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2"/>
        </w:numPr>
        <w:bidi w:val="0"/>
        <w:spacing w:line="360" w:lineRule="auto"/>
        <w:rPr>
          <w:rFonts w:hint="eastAsia"/>
          <w:color w:val="auto"/>
          <w:lang w:eastAsia="zh-CN"/>
        </w:rPr>
      </w:pPr>
      <w:r>
        <w:rPr>
          <w:rFonts w:hint="eastAsia"/>
          <w:color w:val="auto"/>
          <w:lang w:eastAsia="zh-CN"/>
        </w:rPr>
        <w:t>建设项目基本情况</w:t>
      </w:r>
    </w:p>
    <w:tbl>
      <w:tblPr>
        <w:tblStyle w:val="22"/>
        <w:tblW w:w="852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22"/>
        <w:gridCol w:w="1640"/>
        <w:gridCol w:w="1677"/>
        <w:gridCol w:w="1773"/>
        <w:gridCol w:w="29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bCs w:val="0"/>
                <w:color w:val="auto"/>
                <w:lang w:eastAsia="zh-CN"/>
              </w:rPr>
            </w:pPr>
            <w:r>
              <w:rPr>
                <w:rFonts w:hint="default"/>
                <w:b/>
                <w:bCs w:val="0"/>
                <w:color w:val="auto"/>
              </w:rPr>
              <w:t>建设项目名称</w:t>
            </w:r>
          </w:p>
        </w:tc>
        <w:tc>
          <w:tcPr>
            <w:tcW w:w="6360" w:type="dxa"/>
            <w:gridSpan w:val="3"/>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val="0"/>
                <w:bCs/>
                <w:color w:val="auto"/>
                <w:lang w:eastAsia="zh-CN"/>
              </w:rPr>
            </w:pPr>
            <w:r>
              <w:rPr>
                <w:rFonts w:hint="default"/>
                <w:b w:val="0"/>
                <w:bCs/>
                <w:color w:val="auto"/>
                <w:lang w:val="en-US" w:eastAsia="zh-CN"/>
              </w:rPr>
              <w:t>昌吉市农村环境整治佃坝镇垃圾中转站建设项目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bCs w:val="0"/>
                <w:color w:val="auto"/>
                <w:lang w:eastAsia="zh-CN"/>
              </w:rPr>
            </w:pPr>
            <w:r>
              <w:rPr>
                <w:rFonts w:hint="default"/>
                <w:b/>
                <w:bCs w:val="0"/>
                <w:color w:val="auto"/>
              </w:rPr>
              <w:t>项目代码</w:t>
            </w:r>
          </w:p>
        </w:tc>
        <w:tc>
          <w:tcPr>
            <w:tcW w:w="6360" w:type="dxa"/>
            <w:gridSpan w:val="3"/>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val="0"/>
                <w:bCs/>
                <w:color w:val="auto"/>
                <w:lang w:val="en-US" w:eastAsia="zh-CN"/>
              </w:rPr>
            </w:pPr>
            <w:r>
              <w:rPr>
                <w:rFonts w:hint="default"/>
                <w:b w:val="0"/>
                <w:bCs/>
                <w:color w:val="auto"/>
                <w:lang w:val="en-US" w:eastAsia="zh-CN"/>
              </w:rPr>
              <w:t>2102-652301-20-01-739263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bCs w:val="0"/>
                <w:color w:val="auto"/>
                <w:lang w:eastAsia="zh-CN"/>
              </w:rPr>
            </w:pPr>
            <w:r>
              <w:rPr>
                <w:rFonts w:hint="default"/>
                <w:b/>
                <w:bCs w:val="0"/>
                <w:color w:val="auto"/>
              </w:rPr>
              <w:t>建设单位联系人</w:t>
            </w:r>
          </w:p>
        </w:tc>
        <w:tc>
          <w:tcPr>
            <w:tcW w:w="1677" w:type="dxa"/>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val="0"/>
                <w:bCs/>
                <w:color w:val="auto"/>
                <w:lang w:val="en-US" w:eastAsia="zh-CN"/>
              </w:rPr>
            </w:pPr>
            <w:r>
              <w:rPr>
                <w:rFonts w:hint="eastAsia"/>
                <w:b w:val="0"/>
                <w:bCs/>
                <w:color w:val="auto"/>
                <w:lang w:val="en-US" w:eastAsia="zh-CN"/>
              </w:rPr>
              <w:t>徐平</w:t>
            </w:r>
          </w:p>
        </w:tc>
        <w:tc>
          <w:tcPr>
            <w:tcW w:w="1773" w:type="dxa"/>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val="0"/>
                <w:bCs/>
                <w:color w:val="auto"/>
                <w:lang w:eastAsia="zh-CN"/>
              </w:rPr>
            </w:pPr>
            <w:r>
              <w:rPr>
                <w:rFonts w:hint="default"/>
                <w:b/>
                <w:bCs w:val="0"/>
                <w:color w:val="auto"/>
              </w:rPr>
              <w:t>联系方式</w:t>
            </w:r>
          </w:p>
        </w:tc>
        <w:tc>
          <w:tcPr>
            <w:tcW w:w="2910" w:type="dxa"/>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val="0"/>
                <w:bCs/>
                <w:color w:val="auto"/>
                <w:lang w:eastAsia="zh-CN"/>
              </w:rPr>
            </w:pPr>
            <w:r>
              <w:rPr>
                <w:rFonts w:hint="default"/>
                <w:b w:val="0"/>
                <w:bCs/>
                <w:color w:val="auto"/>
                <w:lang w:val="en-US" w:eastAsia="zh-CN"/>
              </w:rPr>
              <w:t>157</w:t>
            </w:r>
            <w:r>
              <w:rPr>
                <w:rFonts w:hint="eastAsia"/>
                <w:b w:val="0"/>
                <w:bCs/>
                <w:color w:val="auto"/>
                <w:lang w:val="en-US" w:eastAsia="zh-CN"/>
              </w:rPr>
              <w:t xml:space="preserve"> </w:t>
            </w:r>
            <w:r>
              <w:rPr>
                <w:rFonts w:hint="default"/>
                <w:b w:val="0"/>
                <w:bCs/>
                <w:color w:val="auto"/>
                <w:lang w:val="en-US" w:eastAsia="zh-CN"/>
              </w:rPr>
              <w:t>3961</w:t>
            </w:r>
            <w:r>
              <w:rPr>
                <w:rFonts w:hint="eastAsia"/>
                <w:b w:val="0"/>
                <w:bCs/>
                <w:color w:val="auto"/>
                <w:lang w:val="en-US" w:eastAsia="zh-CN"/>
              </w:rPr>
              <w:t xml:space="preserve"> </w:t>
            </w:r>
            <w:r>
              <w:rPr>
                <w:rFonts w:hint="default"/>
                <w:b w:val="0"/>
                <w:bCs/>
                <w:color w:val="auto"/>
                <w:lang w:val="en-US" w:eastAsia="zh-CN"/>
              </w:rPr>
              <w:t>7159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bCs w:val="0"/>
                <w:color w:val="auto"/>
                <w:lang w:eastAsia="zh-CN"/>
              </w:rPr>
            </w:pPr>
            <w:r>
              <w:rPr>
                <w:rFonts w:hint="default"/>
                <w:b/>
                <w:bCs w:val="0"/>
                <w:color w:val="auto"/>
              </w:rPr>
              <w:t>建设地点</w:t>
            </w:r>
          </w:p>
        </w:tc>
        <w:tc>
          <w:tcPr>
            <w:tcW w:w="6360" w:type="dxa"/>
            <w:gridSpan w:val="3"/>
            <w:tcBorders>
              <w:tl2br w:val="nil"/>
              <w:tr2bl w:val="nil"/>
            </w:tcBorders>
            <w:shd w:val="clear" w:color="auto" w:fill="FFFFFF"/>
            <w:vAlign w:val="center"/>
          </w:tcPr>
          <w:p>
            <w:pPr>
              <w:pageBreakBefore w:val="0"/>
              <w:kinsoku/>
              <w:wordWrap/>
              <w:overflowPunct/>
              <w:topLinePunct w:val="0"/>
              <w:bidi w:val="0"/>
              <w:spacing w:line="240" w:lineRule="auto"/>
              <w:jc w:val="center"/>
              <w:textAlignment w:val="auto"/>
              <w:rPr>
                <w:rFonts w:hint="default"/>
                <w:b w:val="0"/>
                <w:bCs/>
                <w:color w:val="auto"/>
                <w:lang w:val="en-US" w:eastAsia="zh-CN"/>
              </w:rPr>
            </w:pPr>
            <w:r>
              <w:rPr>
                <w:rFonts w:hint="default"/>
                <w:b w:val="0"/>
                <w:bCs/>
                <w:color w:val="auto"/>
                <w:lang w:val="en-US" w:eastAsia="zh-CN"/>
              </w:rPr>
              <w:t>新疆维吾尔自治区昌吉回族自治州昌吉</w:t>
            </w:r>
            <w:r>
              <w:rPr>
                <w:rFonts w:hint="eastAsia"/>
                <w:b w:val="0"/>
                <w:bCs/>
                <w:color w:val="auto"/>
                <w:lang w:val="en-US" w:eastAsia="zh-CN"/>
              </w:rPr>
              <w:t>市佃坝镇西沟村</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bCs w:val="0"/>
                <w:color w:val="auto"/>
                <w:lang w:eastAsia="zh-CN"/>
              </w:rPr>
            </w:pPr>
            <w:r>
              <w:rPr>
                <w:rFonts w:hint="default"/>
                <w:b/>
                <w:bCs w:val="0"/>
                <w:color w:val="auto"/>
              </w:rPr>
              <w:t>地理坐标</w:t>
            </w:r>
          </w:p>
        </w:tc>
        <w:tc>
          <w:tcPr>
            <w:tcW w:w="6360" w:type="dxa"/>
            <w:gridSpan w:val="3"/>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default"/>
                <w:b w:val="0"/>
                <w:bCs/>
                <w:color w:val="auto"/>
                <w:lang w:eastAsia="zh-CN"/>
              </w:rPr>
            </w:pPr>
            <w:r>
              <w:rPr>
                <w:rFonts w:hint="default"/>
                <w:b w:val="0"/>
                <w:bCs/>
                <w:color w:val="auto"/>
              </w:rPr>
              <w:t>（</w:t>
            </w:r>
            <w:r>
              <w:rPr>
                <w:rFonts w:hint="default"/>
                <w:b w:val="0"/>
                <w:bCs/>
                <w:color w:val="auto"/>
                <w:lang w:val="en-US" w:eastAsia="zh-CN"/>
              </w:rPr>
              <w:t>87</w:t>
            </w:r>
            <w:r>
              <w:rPr>
                <w:rFonts w:hint="default"/>
                <w:b w:val="0"/>
                <w:bCs/>
                <w:color w:val="auto"/>
              </w:rPr>
              <w:t>度</w:t>
            </w:r>
            <w:r>
              <w:rPr>
                <w:rFonts w:hint="eastAsia"/>
                <w:b w:val="0"/>
                <w:bCs/>
                <w:color w:val="auto"/>
                <w:lang w:val="en-US" w:eastAsia="zh-CN"/>
              </w:rPr>
              <w:t>20</w:t>
            </w:r>
            <w:r>
              <w:rPr>
                <w:rFonts w:hint="default"/>
                <w:b w:val="0"/>
                <w:bCs/>
                <w:color w:val="auto"/>
              </w:rPr>
              <w:t>分</w:t>
            </w:r>
            <w:r>
              <w:rPr>
                <w:rFonts w:hint="eastAsia"/>
                <w:b w:val="0"/>
                <w:bCs/>
                <w:color w:val="auto"/>
                <w:lang w:val="en-US" w:eastAsia="zh-CN"/>
              </w:rPr>
              <w:t>57.056</w:t>
            </w:r>
            <w:r>
              <w:rPr>
                <w:rFonts w:hint="default"/>
                <w:b w:val="0"/>
                <w:bCs/>
                <w:color w:val="auto"/>
              </w:rPr>
              <w:t>秒，</w:t>
            </w:r>
            <w:r>
              <w:rPr>
                <w:rFonts w:hint="default"/>
                <w:b w:val="0"/>
                <w:bCs/>
                <w:color w:val="auto"/>
                <w:lang w:val="en-US" w:eastAsia="zh-CN"/>
              </w:rPr>
              <w:t>44</w:t>
            </w:r>
            <w:r>
              <w:rPr>
                <w:rFonts w:hint="default"/>
                <w:b w:val="0"/>
                <w:bCs/>
                <w:color w:val="auto"/>
              </w:rPr>
              <w:t>度</w:t>
            </w:r>
            <w:r>
              <w:rPr>
                <w:rFonts w:hint="default"/>
                <w:b w:val="0"/>
                <w:bCs/>
                <w:color w:val="auto"/>
                <w:lang w:val="en-US" w:eastAsia="zh-CN"/>
              </w:rPr>
              <w:t>1</w:t>
            </w:r>
            <w:r>
              <w:rPr>
                <w:rFonts w:hint="eastAsia"/>
                <w:b w:val="0"/>
                <w:bCs/>
                <w:color w:val="auto"/>
                <w:lang w:val="en-US" w:eastAsia="zh-CN"/>
              </w:rPr>
              <w:t>2</w:t>
            </w:r>
            <w:r>
              <w:rPr>
                <w:rFonts w:hint="default"/>
                <w:b w:val="0"/>
                <w:bCs/>
                <w:color w:val="auto"/>
              </w:rPr>
              <w:t>分</w:t>
            </w:r>
            <w:r>
              <w:rPr>
                <w:rFonts w:hint="eastAsia"/>
                <w:b w:val="0"/>
                <w:bCs/>
                <w:color w:val="auto"/>
                <w:lang w:val="en-US" w:eastAsia="zh-CN"/>
              </w:rPr>
              <w:t>19.509</w:t>
            </w:r>
            <w:r>
              <w:rPr>
                <w:rFonts w:hint="default"/>
                <w:b w:val="0"/>
                <w:bCs/>
                <w:color w:val="auto"/>
              </w:rPr>
              <w:t>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rPr>
            </w:pPr>
            <w:r>
              <w:rPr>
                <w:rFonts w:hint="default"/>
                <w:b/>
                <w:bCs w:val="0"/>
                <w:color w:val="auto"/>
              </w:rPr>
              <w:t>国民经济</w:t>
            </w:r>
          </w:p>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行业类别</w:t>
            </w:r>
          </w:p>
        </w:tc>
        <w:tc>
          <w:tcPr>
            <w:tcW w:w="1677" w:type="dxa"/>
            <w:tcBorders>
              <w:tl2br w:val="nil"/>
              <w:tr2bl w:val="nil"/>
            </w:tcBorders>
            <w:shd w:val="clear" w:color="auto" w:fill="FFFFFF"/>
            <w:vAlign w:val="center"/>
          </w:tcPr>
          <w:p>
            <w:pPr>
              <w:pageBreakBefore w:val="0"/>
              <w:kinsoku/>
              <w:wordWrap/>
              <w:overflowPunct/>
              <w:topLinePunct w:val="0"/>
              <w:bidi w:val="0"/>
              <w:jc w:val="center"/>
              <w:textAlignment w:val="auto"/>
              <w:rPr>
                <w:rFonts w:hint="eastAsia"/>
                <w:b w:val="0"/>
                <w:bCs/>
                <w:color w:val="auto"/>
                <w:lang w:val="en-US" w:eastAsia="zh-CN"/>
              </w:rPr>
            </w:pPr>
            <w:r>
              <w:rPr>
                <w:rFonts w:hint="eastAsia"/>
                <w:b w:val="0"/>
                <w:bCs/>
                <w:color w:val="auto"/>
                <w:lang w:val="en-US" w:eastAsia="zh-CN"/>
              </w:rPr>
              <w:t>N7820</w:t>
            </w:r>
          </w:p>
          <w:p>
            <w:pPr>
              <w:pageBreakBefore w:val="0"/>
              <w:kinsoku/>
              <w:wordWrap/>
              <w:overflowPunct/>
              <w:topLinePunct w:val="0"/>
              <w:bidi w:val="0"/>
              <w:jc w:val="center"/>
              <w:textAlignment w:val="auto"/>
              <w:rPr>
                <w:rFonts w:hint="default"/>
                <w:b w:val="0"/>
                <w:bCs/>
                <w:color w:val="auto"/>
                <w:lang w:val="en-US" w:eastAsia="zh-CN"/>
              </w:rPr>
            </w:pPr>
            <w:r>
              <w:rPr>
                <w:rFonts w:hint="eastAsia"/>
                <w:b w:val="0"/>
                <w:bCs/>
                <w:color w:val="auto"/>
                <w:lang w:val="en-US" w:eastAsia="zh-CN"/>
              </w:rPr>
              <w:t>环境卫生管理</w:t>
            </w:r>
          </w:p>
        </w:tc>
        <w:tc>
          <w:tcPr>
            <w:tcW w:w="1773"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rPr>
            </w:pPr>
            <w:bookmarkStart w:id="0" w:name="_Hlk49843745"/>
            <w:r>
              <w:rPr>
                <w:rFonts w:hint="default"/>
                <w:b/>
                <w:bCs w:val="0"/>
                <w:color w:val="auto"/>
              </w:rPr>
              <w:t>建设项目</w:t>
            </w:r>
          </w:p>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行业类别</w:t>
            </w:r>
            <w:bookmarkEnd w:id="0"/>
          </w:p>
        </w:tc>
        <w:tc>
          <w:tcPr>
            <w:tcW w:w="2910"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default"/>
                <w:b w:val="0"/>
                <w:bCs/>
                <w:color w:val="auto"/>
                <w:lang w:val="en-US" w:eastAsia="zh-CN"/>
              </w:rPr>
              <w:t>105.生活垃圾（含餐厨废弃物）转运站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建设性质</w:t>
            </w:r>
          </w:p>
        </w:tc>
        <w:tc>
          <w:tcPr>
            <w:tcW w:w="1677" w:type="dxa"/>
            <w:tcBorders>
              <w:tl2br w:val="nil"/>
              <w:tr2bl w:val="nil"/>
            </w:tcBorders>
            <w:shd w:val="clear" w:color="auto" w:fill="FFFFFF"/>
            <w:vAlign w:val="center"/>
          </w:tcPr>
          <w:p>
            <w:pPr>
              <w:pageBreakBefore w:val="0"/>
              <w:kinsoku/>
              <w:wordWrap/>
              <w:overflowPunct/>
              <w:topLinePunct w:val="0"/>
              <w:bidi w:val="0"/>
              <w:textAlignment w:val="auto"/>
              <w:rPr>
                <w:rFonts w:hint="default"/>
                <w:b w:val="0"/>
                <w:bCs/>
                <w:color w:val="auto"/>
              </w:rPr>
            </w:pPr>
            <w:r>
              <w:rPr>
                <w:rFonts w:hint="default"/>
                <w:b w:val="0"/>
                <w:bCs/>
                <w:color w:val="auto"/>
                <w:lang w:eastAsia="zh-CN"/>
              </w:rPr>
              <w:sym w:font="Wingdings 2" w:char="0052"/>
            </w:r>
            <w:r>
              <w:rPr>
                <w:rFonts w:hint="default"/>
                <w:b w:val="0"/>
                <w:bCs/>
                <w:color w:val="auto"/>
              </w:rPr>
              <w:t>新建（迁建）</w:t>
            </w:r>
          </w:p>
          <w:p>
            <w:pPr>
              <w:pageBreakBefore w:val="0"/>
              <w:kinsoku/>
              <w:wordWrap/>
              <w:overflowPunct/>
              <w:topLinePunct w:val="0"/>
              <w:bidi w:val="0"/>
              <w:textAlignment w:val="auto"/>
              <w:rPr>
                <w:rFonts w:hint="default"/>
                <w:b w:val="0"/>
                <w:bCs/>
                <w:color w:val="auto"/>
              </w:rPr>
            </w:pPr>
            <w:r>
              <w:rPr>
                <w:rFonts w:hint="default"/>
                <w:b w:val="0"/>
                <w:bCs/>
                <w:color w:val="auto"/>
              </w:rPr>
              <w:t>□改建</w:t>
            </w:r>
          </w:p>
          <w:p>
            <w:pPr>
              <w:pageBreakBefore w:val="0"/>
              <w:kinsoku/>
              <w:wordWrap/>
              <w:overflowPunct/>
              <w:topLinePunct w:val="0"/>
              <w:bidi w:val="0"/>
              <w:textAlignment w:val="auto"/>
              <w:rPr>
                <w:rFonts w:hint="default"/>
                <w:b w:val="0"/>
                <w:bCs/>
                <w:color w:val="auto"/>
              </w:rPr>
            </w:pPr>
            <w:r>
              <w:rPr>
                <w:rFonts w:hint="default"/>
                <w:b w:val="0"/>
                <w:bCs/>
                <w:color w:val="auto"/>
              </w:rPr>
              <w:t>□扩建</w:t>
            </w:r>
          </w:p>
          <w:p>
            <w:pPr>
              <w:pageBreakBefore w:val="0"/>
              <w:kinsoku/>
              <w:wordWrap/>
              <w:overflowPunct/>
              <w:topLinePunct w:val="0"/>
              <w:bidi w:val="0"/>
              <w:textAlignment w:val="auto"/>
              <w:rPr>
                <w:rFonts w:hint="default"/>
                <w:b w:val="0"/>
                <w:bCs/>
                <w:color w:val="auto"/>
                <w:lang w:eastAsia="zh-CN"/>
              </w:rPr>
            </w:pPr>
            <w:r>
              <w:rPr>
                <w:rFonts w:hint="default"/>
                <w:b w:val="0"/>
                <w:bCs/>
                <w:color w:val="auto"/>
              </w:rPr>
              <w:t>□技术改造</w:t>
            </w:r>
          </w:p>
        </w:tc>
        <w:tc>
          <w:tcPr>
            <w:tcW w:w="1773"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rPr>
            </w:pPr>
            <w:r>
              <w:rPr>
                <w:rFonts w:hint="default"/>
                <w:b/>
                <w:bCs w:val="0"/>
                <w:color w:val="auto"/>
              </w:rPr>
              <w:t>建设项目</w:t>
            </w:r>
          </w:p>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申报情形</w:t>
            </w:r>
          </w:p>
        </w:tc>
        <w:tc>
          <w:tcPr>
            <w:tcW w:w="2910" w:type="dxa"/>
            <w:tcBorders>
              <w:tl2br w:val="nil"/>
              <w:tr2bl w:val="nil"/>
            </w:tcBorders>
            <w:shd w:val="clear" w:color="auto" w:fill="FFFFFF"/>
            <w:tcMar>
              <w:top w:w="0" w:type="dxa"/>
              <w:left w:w="108" w:type="dxa"/>
              <w:bottom w:w="0" w:type="dxa"/>
              <w:right w:w="0" w:type="dxa"/>
            </w:tcMar>
            <w:vAlign w:val="center"/>
          </w:tcPr>
          <w:p>
            <w:pPr>
              <w:pageBreakBefore w:val="0"/>
              <w:kinsoku/>
              <w:wordWrap/>
              <w:overflowPunct/>
              <w:topLinePunct w:val="0"/>
              <w:bidi w:val="0"/>
              <w:textAlignment w:val="auto"/>
              <w:rPr>
                <w:rFonts w:hint="default"/>
                <w:b w:val="0"/>
                <w:bCs/>
                <w:color w:val="auto"/>
              </w:rPr>
            </w:pPr>
            <w:r>
              <w:rPr>
                <w:rFonts w:hint="default"/>
                <w:b w:val="0"/>
                <w:bCs/>
                <w:color w:val="auto"/>
                <w:lang w:eastAsia="zh-CN"/>
              </w:rPr>
              <w:sym w:font="Wingdings 2" w:char="0052"/>
            </w:r>
            <w:r>
              <w:rPr>
                <w:rFonts w:hint="default"/>
                <w:b w:val="0"/>
                <w:bCs/>
                <w:color w:val="auto"/>
              </w:rPr>
              <w:t>首次申报项目</w:t>
            </w:r>
          </w:p>
          <w:p>
            <w:pPr>
              <w:pageBreakBefore w:val="0"/>
              <w:kinsoku/>
              <w:wordWrap/>
              <w:overflowPunct/>
              <w:topLinePunct w:val="0"/>
              <w:bidi w:val="0"/>
              <w:textAlignment w:val="auto"/>
              <w:rPr>
                <w:rFonts w:hint="default"/>
                <w:b w:val="0"/>
                <w:bCs/>
                <w:color w:val="auto"/>
                <w:lang w:eastAsia="zh-CN"/>
              </w:rPr>
            </w:pPr>
            <w:r>
              <w:rPr>
                <w:rFonts w:hint="default"/>
                <w:b w:val="0"/>
                <w:bCs/>
                <w:color w:val="auto"/>
              </w:rPr>
              <w:t>□</w:t>
            </w:r>
            <w:r>
              <w:rPr>
                <w:rFonts w:hint="default"/>
                <w:b w:val="0"/>
                <w:bCs/>
                <w:color w:val="auto"/>
                <w:lang w:eastAsia="zh-CN"/>
              </w:rPr>
              <w:t>不予批准后再次申报项目</w:t>
            </w:r>
          </w:p>
          <w:p>
            <w:pPr>
              <w:pageBreakBefore w:val="0"/>
              <w:kinsoku/>
              <w:wordWrap/>
              <w:overflowPunct/>
              <w:topLinePunct w:val="0"/>
              <w:bidi w:val="0"/>
              <w:textAlignment w:val="auto"/>
              <w:rPr>
                <w:rFonts w:hint="default"/>
                <w:b w:val="0"/>
                <w:bCs/>
                <w:color w:val="auto"/>
              </w:rPr>
            </w:pPr>
            <w:r>
              <w:rPr>
                <w:rFonts w:hint="default"/>
                <w:b w:val="0"/>
                <w:bCs/>
                <w:color w:val="auto"/>
                <w:lang w:eastAsia="zh-CN"/>
              </w:rPr>
              <w:t>□</w:t>
            </w:r>
            <w:r>
              <w:rPr>
                <w:rFonts w:hint="default"/>
                <w:b w:val="0"/>
                <w:bCs/>
                <w:color w:val="auto"/>
              </w:rPr>
              <w:t>超五年重新审核项目</w:t>
            </w:r>
          </w:p>
          <w:p>
            <w:pPr>
              <w:pageBreakBefore w:val="0"/>
              <w:kinsoku/>
              <w:wordWrap/>
              <w:overflowPunct/>
              <w:topLinePunct w:val="0"/>
              <w:bidi w:val="0"/>
              <w:textAlignment w:val="auto"/>
              <w:rPr>
                <w:rFonts w:hint="default"/>
                <w:b w:val="0"/>
                <w:bCs/>
                <w:color w:val="auto"/>
                <w:lang w:eastAsia="zh-CN"/>
              </w:rPr>
            </w:pPr>
            <w:r>
              <w:rPr>
                <w:rFonts w:hint="default"/>
                <w:b w:val="0"/>
                <w:bCs/>
                <w:color w:val="auto"/>
              </w:rPr>
              <w:t>□重大变动重新报批项目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rPr>
            </w:pPr>
            <w:r>
              <w:rPr>
                <w:rFonts w:hint="default"/>
                <w:b/>
                <w:bCs w:val="0"/>
                <w:color w:val="auto"/>
              </w:rPr>
              <w:t>项目审批（核准/</w:t>
            </w:r>
          </w:p>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备案）部门（选填）</w:t>
            </w:r>
          </w:p>
        </w:tc>
        <w:tc>
          <w:tcPr>
            <w:tcW w:w="1677" w:type="dxa"/>
            <w:tcBorders>
              <w:tl2br w:val="nil"/>
              <w:tr2bl w:val="nil"/>
            </w:tcBorders>
            <w:shd w:val="clear" w:color="auto" w:fill="FFFFFF"/>
            <w:vAlign w:val="center"/>
          </w:tcPr>
          <w:p>
            <w:pPr>
              <w:pageBreakBefore w:val="0"/>
              <w:kinsoku/>
              <w:wordWrap/>
              <w:overflowPunct/>
              <w:topLinePunct w:val="0"/>
              <w:bidi w:val="0"/>
              <w:textAlignment w:val="auto"/>
              <w:rPr>
                <w:rFonts w:hint="default"/>
                <w:b w:val="0"/>
                <w:bCs/>
                <w:color w:val="auto"/>
                <w:lang w:val="en-US" w:eastAsia="zh-CN"/>
              </w:rPr>
            </w:pPr>
            <w:r>
              <w:rPr>
                <w:rFonts w:hint="default"/>
                <w:b w:val="0"/>
                <w:bCs/>
                <w:color w:val="auto"/>
                <w:lang w:val="en-US" w:eastAsia="zh-CN"/>
              </w:rPr>
              <w:t>昌吉</w:t>
            </w:r>
            <w:r>
              <w:rPr>
                <w:rFonts w:hint="eastAsia"/>
                <w:b w:val="0"/>
                <w:bCs/>
                <w:color w:val="auto"/>
                <w:lang w:val="en-US" w:eastAsia="zh-CN"/>
              </w:rPr>
              <w:t>市发展和改革委员会</w:t>
            </w:r>
          </w:p>
        </w:tc>
        <w:tc>
          <w:tcPr>
            <w:tcW w:w="1773"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项目审批（核准/备案）文号（选填）</w:t>
            </w:r>
          </w:p>
        </w:tc>
        <w:tc>
          <w:tcPr>
            <w:tcW w:w="2910" w:type="dxa"/>
            <w:tcBorders>
              <w:tl2br w:val="nil"/>
              <w:tr2bl w:val="nil"/>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b w:val="0"/>
                <w:bCs/>
                <w:color w:val="auto"/>
                <w:lang w:val="en-US" w:eastAsia="zh-CN"/>
              </w:rPr>
            </w:pPr>
            <w:r>
              <w:rPr>
                <w:rFonts w:hint="default"/>
                <w:b w:val="0"/>
                <w:bCs/>
                <w:color w:val="auto"/>
                <w:lang w:val="en-US" w:eastAsia="zh-CN"/>
              </w:rPr>
              <w:t>昌</w:t>
            </w:r>
            <w:r>
              <w:rPr>
                <w:rFonts w:hint="eastAsia"/>
                <w:b w:val="0"/>
                <w:bCs/>
                <w:color w:val="auto"/>
                <w:lang w:val="en-US" w:eastAsia="zh-CN"/>
              </w:rPr>
              <w:t>市发改地</w:t>
            </w:r>
            <w:r>
              <w:rPr>
                <w:rFonts w:hint="default"/>
                <w:b w:val="0"/>
                <w:bCs/>
                <w:color w:val="auto"/>
                <w:lang w:val="en-US" w:eastAsia="zh-CN"/>
              </w:rPr>
              <w:t>字</w:t>
            </w:r>
            <w:r>
              <w:rPr>
                <w:rFonts w:hint="eastAsia" w:ascii="微软雅黑" w:hAnsi="微软雅黑" w:eastAsia="微软雅黑" w:cs="微软雅黑"/>
                <w:b w:val="0"/>
                <w:bCs/>
                <w:color w:val="auto"/>
                <w:lang w:val="en-US" w:eastAsia="zh-CN"/>
              </w:rPr>
              <w:t>〔</w:t>
            </w:r>
            <w:r>
              <w:rPr>
                <w:rFonts w:hint="default"/>
                <w:b w:val="0"/>
                <w:bCs/>
                <w:color w:val="auto"/>
                <w:lang w:val="en-US" w:eastAsia="zh-CN"/>
              </w:rPr>
              <w:t>2021</w:t>
            </w:r>
            <w:r>
              <w:rPr>
                <w:rFonts w:hint="eastAsia" w:ascii="微软雅黑" w:hAnsi="微软雅黑" w:eastAsia="微软雅黑" w:cs="微软雅黑"/>
                <w:b w:val="0"/>
                <w:bCs/>
                <w:color w:val="auto"/>
                <w:lang w:val="en-US" w:eastAsia="zh-CN"/>
              </w:rPr>
              <w:t>〕</w:t>
            </w:r>
            <w:r>
              <w:rPr>
                <w:rFonts w:hint="eastAsia"/>
                <w:b w:val="0"/>
                <w:bCs/>
                <w:color w:val="auto"/>
                <w:lang w:val="en-US" w:eastAsia="zh-CN"/>
              </w:rPr>
              <w:t>17</w:t>
            </w:r>
            <w:r>
              <w:rPr>
                <w:rFonts w:hint="default"/>
                <w:b w:val="0"/>
                <w:bCs/>
                <w:color w:val="auto"/>
                <w:lang w:val="en-US" w:eastAsia="zh-CN"/>
              </w:rPr>
              <w:t>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总投资（万元）</w:t>
            </w:r>
          </w:p>
        </w:tc>
        <w:tc>
          <w:tcPr>
            <w:tcW w:w="1677"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eastAsia"/>
                <w:b w:val="0"/>
                <w:bCs/>
                <w:color w:val="auto"/>
                <w:lang w:val="en-US" w:eastAsia="zh-CN"/>
              </w:rPr>
              <w:t>3250</w:t>
            </w:r>
            <w:r>
              <w:rPr>
                <w:rFonts w:hint="default"/>
                <w:b w:val="0"/>
                <w:bCs/>
                <w:color w:val="auto"/>
                <w:lang w:val="en-US" w:eastAsia="zh-CN"/>
              </w:rPr>
              <w:t>.00</w:t>
            </w:r>
          </w:p>
        </w:tc>
        <w:tc>
          <w:tcPr>
            <w:tcW w:w="1773"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rPr>
            </w:pPr>
            <w:r>
              <w:rPr>
                <w:rFonts w:hint="default"/>
                <w:b/>
                <w:bCs w:val="0"/>
                <w:color w:val="auto"/>
              </w:rPr>
              <w:t>环保投资</w:t>
            </w:r>
          </w:p>
          <w:p>
            <w:pPr>
              <w:pageBreakBefore w:val="0"/>
              <w:kinsoku/>
              <w:wordWrap/>
              <w:overflowPunct/>
              <w:topLinePunct w:val="0"/>
              <w:bidi w:val="0"/>
              <w:jc w:val="center"/>
              <w:textAlignment w:val="auto"/>
              <w:rPr>
                <w:rFonts w:hint="default"/>
                <w:b/>
                <w:bCs w:val="0"/>
                <w:color w:val="auto"/>
                <w:lang w:val="en-US" w:eastAsia="zh-CN"/>
              </w:rPr>
            </w:pPr>
            <w:r>
              <w:rPr>
                <w:rFonts w:hint="default"/>
                <w:b/>
                <w:bCs w:val="0"/>
                <w:color w:val="auto"/>
              </w:rPr>
              <w:t>（万元）</w:t>
            </w:r>
          </w:p>
        </w:tc>
        <w:tc>
          <w:tcPr>
            <w:tcW w:w="2910"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eastAsia"/>
                <w:b w:val="0"/>
                <w:bCs/>
                <w:color w:val="auto"/>
                <w:lang w:val="en-US" w:eastAsia="zh-CN"/>
              </w:rPr>
              <w:t>102</w:t>
            </w:r>
            <w:r>
              <w:rPr>
                <w:rFonts w:hint="default"/>
                <w:b w:val="0"/>
                <w:bCs/>
                <w:color w:val="auto"/>
                <w:lang w:val="en-US" w:eastAsia="zh-CN"/>
              </w:rPr>
              <w:t>.</w:t>
            </w:r>
            <w:r>
              <w:rPr>
                <w:rFonts w:hint="eastAsia"/>
                <w:b w:val="0"/>
                <w:bCs/>
                <w:color w:val="auto"/>
                <w:lang w:val="en-US" w:eastAsia="zh-CN"/>
              </w:rPr>
              <w:t>5</w:t>
            </w:r>
            <w:r>
              <w:rPr>
                <w:rFonts w:hint="default"/>
                <w:b w:val="0"/>
                <w:bCs/>
                <w:color w:val="auto"/>
                <w:lang w:val="en-US" w:eastAsia="zh-CN"/>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环保投资占比（%）</w:t>
            </w:r>
          </w:p>
        </w:tc>
        <w:tc>
          <w:tcPr>
            <w:tcW w:w="1677"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eastAsia"/>
                <w:b w:val="0"/>
                <w:bCs/>
                <w:color w:val="auto"/>
                <w:lang w:val="en-US" w:eastAsia="zh-CN"/>
              </w:rPr>
              <w:t>3</w:t>
            </w:r>
            <w:r>
              <w:rPr>
                <w:rFonts w:hint="default"/>
                <w:b w:val="0"/>
                <w:bCs/>
                <w:color w:val="auto"/>
                <w:lang w:val="en-US" w:eastAsia="zh-CN"/>
              </w:rPr>
              <w:t>.</w:t>
            </w:r>
            <w:r>
              <w:rPr>
                <w:rFonts w:hint="eastAsia"/>
                <w:b w:val="0"/>
                <w:bCs/>
                <w:color w:val="auto"/>
                <w:lang w:val="en-US" w:eastAsia="zh-CN"/>
              </w:rPr>
              <w:t>15</w:t>
            </w:r>
          </w:p>
        </w:tc>
        <w:tc>
          <w:tcPr>
            <w:tcW w:w="1773"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lang w:val="en-US" w:eastAsia="zh-CN"/>
              </w:rPr>
            </w:pPr>
            <w:r>
              <w:rPr>
                <w:rFonts w:hint="default"/>
                <w:b/>
                <w:bCs w:val="0"/>
                <w:color w:val="auto"/>
              </w:rPr>
              <w:t>施工工期</w:t>
            </w:r>
          </w:p>
        </w:tc>
        <w:tc>
          <w:tcPr>
            <w:tcW w:w="2910"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default"/>
                <w:b w:val="0"/>
                <w:bCs/>
                <w:color w:val="auto"/>
                <w:lang w:val="en-US" w:eastAsia="zh-CN"/>
              </w:rPr>
              <w:t>12</w:t>
            </w:r>
            <w:r>
              <w:rPr>
                <w:rFonts w:hint="eastAsia"/>
                <w:b w:val="0"/>
                <w:bCs/>
                <w:color w:val="auto"/>
                <w:lang w:val="en-US" w:eastAsia="zh-CN"/>
              </w:rPr>
              <w:t>个月</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lang w:eastAsia="zh-CN"/>
              </w:rPr>
            </w:pPr>
            <w:r>
              <w:rPr>
                <w:rFonts w:hint="default"/>
                <w:b/>
                <w:bCs w:val="0"/>
                <w:color w:val="auto"/>
              </w:rPr>
              <w:t>是否开工建设</w:t>
            </w:r>
          </w:p>
        </w:tc>
        <w:tc>
          <w:tcPr>
            <w:tcW w:w="1677" w:type="dxa"/>
            <w:tcBorders>
              <w:tl2br w:val="nil"/>
              <w:tr2bl w:val="nil"/>
            </w:tcBorders>
            <w:shd w:val="clear" w:color="auto" w:fill="FFFFFF"/>
            <w:vAlign w:val="center"/>
          </w:tcPr>
          <w:p>
            <w:pPr>
              <w:pageBreakBefore w:val="0"/>
              <w:kinsoku/>
              <w:wordWrap/>
              <w:overflowPunct/>
              <w:topLinePunct w:val="0"/>
              <w:bidi w:val="0"/>
              <w:textAlignment w:val="auto"/>
              <w:rPr>
                <w:rFonts w:hint="default"/>
                <w:b w:val="0"/>
                <w:bCs/>
                <w:color w:val="auto"/>
                <w:lang w:eastAsia="zh-CN"/>
              </w:rPr>
            </w:pPr>
            <w:r>
              <w:rPr>
                <w:rFonts w:hint="default"/>
                <w:b w:val="0"/>
                <w:bCs/>
                <w:color w:val="auto"/>
                <w:lang w:eastAsia="zh-CN"/>
              </w:rPr>
              <w:sym w:font="Wingdings 2" w:char="0052"/>
            </w:r>
            <w:r>
              <w:rPr>
                <w:rFonts w:hint="default"/>
                <w:b w:val="0"/>
                <w:bCs/>
                <w:color w:val="auto"/>
                <w:lang w:eastAsia="zh-CN"/>
              </w:rPr>
              <w:t>否</w:t>
            </w:r>
          </w:p>
          <w:p>
            <w:pPr>
              <w:pageBreakBefore w:val="0"/>
              <w:kinsoku/>
              <w:wordWrap/>
              <w:overflowPunct/>
              <w:topLinePunct w:val="0"/>
              <w:bidi w:val="0"/>
              <w:textAlignment w:val="auto"/>
              <w:rPr>
                <w:rFonts w:hint="default"/>
                <w:b w:val="0"/>
                <w:bCs/>
                <w:color w:val="auto"/>
                <w:lang w:val="en-US" w:eastAsia="zh-CN"/>
              </w:rPr>
            </w:pPr>
            <w:r>
              <w:rPr>
                <w:rFonts w:hint="default"/>
                <w:b w:val="0"/>
                <w:bCs/>
                <w:color w:val="auto"/>
                <w:lang w:eastAsia="zh-CN"/>
              </w:rPr>
              <w:t>□是</w:t>
            </w:r>
            <w:r>
              <w:rPr>
                <w:rFonts w:hint="default"/>
                <w:b w:val="0"/>
                <w:bCs/>
                <w:color w:val="auto"/>
                <w:lang w:val="en-US" w:eastAsia="zh-CN"/>
              </w:rPr>
              <w:t xml:space="preserve">        </w:t>
            </w:r>
          </w:p>
        </w:tc>
        <w:tc>
          <w:tcPr>
            <w:tcW w:w="1773"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bCs w:val="0"/>
                <w:color w:val="auto"/>
              </w:rPr>
            </w:pPr>
            <w:r>
              <w:rPr>
                <w:rFonts w:hint="default"/>
                <w:b/>
                <w:bCs w:val="0"/>
                <w:color w:val="auto"/>
              </w:rPr>
              <w:t>用地（用海）</w:t>
            </w:r>
          </w:p>
          <w:p>
            <w:pPr>
              <w:pageBreakBefore w:val="0"/>
              <w:kinsoku/>
              <w:wordWrap/>
              <w:overflowPunct/>
              <w:topLinePunct w:val="0"/>
              <w:bidi w:val="0"/>
              <w:jc w:val="center"/>
              <w:textAlignment w:val="auto"/>
              <w:rPr>
                <w:rFonts w:hint="default"/>
                <w:b/>
                <w:bCs w:val="0"/>
                <w:color w:val="auto"/>
                <w:lang w:val="en-US" w:eastAsia="zh-CN"/>
              </w:rPr>
            </w:pPr>
            <w:r>
              <w:rPr>
                <w:rFonts w:hint="default"/>
                <w:b/>
                <w:bCs w:val="0"/>
                <w:color w:val="auto"/>
              </w:rPr>
              <w:t>面积（m</w:t>
            </w:r>
            <w:r>
              <w:rPr>
                <w:rFonts w:hint="default"/>
                <w:b/>
                <w:bCs w:val="0"/>
                <w:color w:val="auto"/>
                <w:vertAlign w:val="superscript"/>
              </w:rPr>
              <w:t>2</w:t>
            </w:r>
            <w:r>
              <w:rPr>
                <w:rFonts w:hint="default"/>
                <w:b/>
                <w:bCs w:val="0"/>
                <w:color w:val="auto"/>
              </w:rPr>
              <w:t>）</w:t>
            </w:r>
          </w:p>
        </w:tc>
        <w:tc>
          <w:tcPr>
            <w:tcW w:w="2910" w:type="dxa"/>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default"/>
                <w:b w:val="0"/>
                <w:bCs/>
                <w:color w:val="auto"/>
                <w:lang w:val="en-US" w:eastAsia="zh-CN"/>
              </w:rPr>
              <w:t>1</w:t>
            </w:r>
            <w:r>
              <w:rPr>
                <w:rFonts w:hint="eastAsia"/>
                <w:b w:val="0"/>
                <w:bCs/>
                <w:color w:val="auto"/>
                <w:lang w:val="en-US" w:eastAsia="zh-CN"/>
              </w:rPr>
              <w:t>0000</w:t>
            </w:r>
            <w:r>
              <w:rPr>
                <w:rFonts w:hint="default"/>
                <w:b w:val="0"/>
                <w:bCs/>
                <w:color w:val="auto"/>
                <w:lang w:val="en-US" w:eastAsia="zh-CN"/>
              </w:rPr>
              <w:t>.</w:t>
            </w:r>
            <w:r>
              <w:rPr>
                <w:rFonts w:hint="eastAsia"/>
                <w:b w:val="0"/>
                <w:bCs/>
                <w:color w:val="auto"/>
                <w:lang w:val="en-US" w:eastAsia="zh-CN"/>
              </w:rPr>
              <w:t>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default"/>
                <w:color w:val="auto"/>
                <w:lang w:eastAsia="zh-CN"/>
              </w:rPr>
            </w:pPr>
            <w:r>
              <w:rPr>
                <w:rFonts w:hint="default"/>
                <w:color w:val="auto"/>
              </w:rPr>
              <w:t>专项评价设置情况</w:t>
            </w:r>
          </w:p>
        </w:tc>
        <w:tc>
          <w:tcPr>
            <w:tcW w:w="6360" w:type="dxa"/>
            <w:gridSpan w:val="3"/>
            <w:tcBorders>
              <w:tl2br w:val="nil"/>
              <w:tr2bl w:val="nil"/>
            </w:tcBorders>
            <w:shd w:val="clear" w:color="auto" w:fill="FFFFFF"/>
            <w:vAlign w:val="center"/>
          </w:tcPr>
          <w:p>
            <w:pPr>
              <w:pageBreakBefore w:val="0"/>
              <w:kinsoku/>
              <w:wordWrap/>
              <w:overflowPunct/>
              <w:topLinePunct w:val="0"/>
              <w:bidi w:val="0"/>
              <w:jc w:val="center"/>
              <w:textAlignment w:val="auto"/>
              <w:rPr>
                <w:rFonts w:hint="default"/>
                <w:b w:val="0"/>
                <w:bCs/>
                <w:color w:val="auto"/>
                <w:lang w:val="en-US" w:eastAsia="zh-CN"/>
              </w:rPr>
            </w:pPr>
            <w:r>
              <w:rPr>
                <w:rFonts w:hint="default"/>
                <w:b w:val="0"/>
                <w:bCs/>
                <w:color w:val="auto"/>
                <w:lang w:val="en-US"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28" w:hRule="atLeast"/>
        </w:trPr>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eastAsia" w:ascii="Times New Roman" w:hAnsi="Times New Roman" w:eastAsia="宋体" w:cstheme="minorBidi"/>
                <w:b w:val="0"/>
                <w:color w:val="auto"/>
                <w:kern w:val="2"/>
                <w:sz w:val="24"/>
                <w:szCs w:val="24"/>
                <w:lang w:val="en-US" w:eastAsia="zh-CN" w:bidi="ar-SA"/>
              </w:rPr>
            </w:pPr>
            <w:r>
              <w:rPr>
                <w:rFonts w:hint="eastAsia" w:ascii="Times New Roman" w:hAnsi="Times New Roman" w:eastAsia="宋体"/>
                <w:color w:val="auto"/>
                <w:lang w:val="en-US" w:eastAsia="zh-CN"/>
              </w:rPr>
              <w:t>规划情况</w:t>
            </w:r>
          </w:p>
        </w:tc>
        <w:tc>
          <w:tcPr>
            <w:tcW w:w="6360" w:type="dxa"/>
            <w:gridSpan w:val="3"/>
            <w:tcBorders>
              <w:tl2br w:val="nil"/>
              <w:tr2bl w:val="nil"/>
            </w:tcBorders>
            <w:shd w:val="clear" w:color="auto" w:fill="FFFFFF"/>
            <w:vAlign w:val="center"/>
          </w:tcPr>
          <w:p>
            <w:pPr>
              <w:pageBreakBefore w:val="0"/>
              <w:kinsoku/>
              <w:wordWrap/>
              <w:overflowPunct/>
              <w:topLinePunct w:val="0"/>
              <w:bidi w:val="0"/>
              <w:spacing w:line="360" w:lineRule="auto"/>
              <w:jc w:val="center"/>
              <w:textAlignment w:val="auto"/>
              <w:rPr>
                <w:rFonts w:hint="eastAsia" w:ascii="Times New Roman" w:hAnsi="Times New Roman" w:eastAsia="宋体" w:cstheme="minorBidi"/>
                <w:b w:val="0"/>
                <w:color w:val="auto"/>
                <w:kern w:val="2"/>
                <w:sz w:val="24"/>
                <w:szCs w:val="24"/>
                <w:lang w:val="en-US" w:eastAsia="zh-CN" w:bidi="ar-SA"/>
              </w:rPr>
            </w:pPr>
            <w:r>
              <w:rPr>
                <w:rFonts w:hint="eastAsia" w:ascii="Times New Roman" w:hAnsi="Times New Roman" w:eastAsia="宋体" w:cstheme="minorBidi"/>
                <w:b w:val="0"/>
                <w:color w:val="auto"/>
                <w:kern w:val="2"/>
                <w:sz w:val="24"/>
                <w:szCs w:val="24"/>
                <w:lang w:val="en-US" w:eastAsia="zh-CN" w:bidi="ar-SA"/>
              </w:rPr>
              <w:t>昌吉市城市总体规划（2011-2030 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04" w:hRule="atLeast"/>
        </w:trPr>
        <w:tc>
          <w:tcPr>
            <w:tcW w:w="2162" w:type="dxa"/>
            <w:gridSpan w:val="2"/>
            <w:tcBorders>
              <w:tl2br w:val="nil"/>
              <w:tr2bl w:val="nil"/>
            </w:tcBorders>
            <w:shd w:val="clear" w:color="auto" w:fill="FFFFFF"/>
            <w:vAlign w:val="center"/>
          </w:tcPr>
          <w:p>
            <w:pPr>
              <w:pageBreakBefore w:val="0"/>
              <w:kinsoku/>
              <w:wordWrap/>
              <w:overflowPunct/>
              <w:topLinePunct w:val="0"/>
              <w:bidi w:val="0"/>
              <w:jc w:val="center"/>
              <w:textAlignment w:val="auto"/>
              <w:rPr>
                <w:rFonts w:hint="eastAsia" w:ascii="Times New Roman" w:hAnsi="Times New Roman" w:eastAsia="宋体"/>
                <w:color w:val="auto"/>
              </w:rPr>
            </w:pPr>
            <w:r>
              <w:rPr>
                <w:rFonts w:hint="eastAsia" w:ascii="Times New Roman" w:hAnsi="Times New Roman" w:eastAsia="宋体"/>
                <w:color w:val="auto"/>
              </w:rPr>
              <w:t>规划环境影响</w:t>
            </w:r>
          </w:p>
          <w:p>
            <w:pPr>
              <w:pageBreakBefore w:val="0"/>
              <w:kinsoku/>
              <w:wordWrap/>
              <w:overflowPunct/>
              <w:topLinePunct w:val="0"/>
              <w:bidi w:val="0"/>
              <w:jc w:val="center"/>
              <w:textAlignment w:val="auto"/>
              <w:rPr>
                <w:rFonts w:hint="eastAsia" w:ascii="Times New Roman" w:hAnsi="Times New Roman" w:eastAsia="宋体"/>
                <w:color w:val="auto"/>
                <w:lang w:val="en-US" w:eastAsia="zh-CN"/>
              </w:rPr>
            </w:pPr>
            <w:r>
              <w:rPr>
                <w:rFonts w:hint="eastAsia" w:ascii="Times New Roman" w:hAnsi="Times New Roman" w:eastAsia="宋体"/>
                <w:color w:val="auto"/>
              </w:rPr>
              <w:t>评价情况</w:t>
            </w:r>
          </w:p>
        </w:tc>
        <w:tc>
          <w:tcPr>
            <w:tcW w:w="6360" w:type="dxa"/>
            <w:gridSpan w:val="3"/>
            <w:tcBorders>
              <w:tl2br w:val="nil"/>
              <w:tr2bl w:val="nil"/>
            </w:tcBorders>
            <w:shd w:val="clear" w:color="auto" w:fill="FFFFFF"/>
            <w:vAlign w:val="center"/>
          </w:tcPr>
          <w:p>
            <w:pPr>
              <w:pStyle w:val="18"/>
              <w:bidi w:val="0"/>
              <w:ind w:left="0" w:leftChars="0" w:firstLine="0" w:firstLineChars="0"/>
              <w:jc w:val="center"/>
              <w:rPr>
                <w:rFonts w:hint="default"/>
                <w:color w:val="auto"/>
                <w:lang w:val="en-US" w:eastAsia="zh-CN"/>
              </w:rPr>
            </w:pPr>
            <w:r>
              <w:rPr>
                <w:rFonts w:hint="default"/>
                <w:b w:val="0"/>
                <w:bCs/>
                <w:color w:val="auto"/>
                <w:lang w:val="en-US"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574" w:hRule="atLeast"/>
        </w:trPr>
        <w:tc>
          <w:tcPr>
            <w:tcW w:w="2162" w:type="dxa"/>
            <w:gridSpan w:val="2"/>
            <w:tcBorders>
              <w:tl2br w:val="nil"/>
              <w:tr2bl w:val="nil"/>
            </w:tcBorders>
            <w:shd w:val="clear" w:color="auto" w:fill="FFFFFF"/>
            <w:vAlign w:val="center"/>
          </w:tcPr>
          <w:p>
            <w:pPr>
              <w:pageBreakBefore w:val="0"/>
              <w:kinsoku/>
              <w:wordWrap/>
              <w:overflowPunct/>
              <w:topLinePunct w:val="0"/>
              <w:bidi w:val="0"/>
              <w:textAlignment w:val="auto"/>
              <w:rPr>
                <w:rFonts w:hint="eastAsia" w:ascii="Times New Roman" w:hAnsi="Times New Roman" w:eastAsia="宋体"/>
                <w:color w:val="auto"/>
              </w:rPr>
            </w:pPr>
            <w:r>
              <w:rPr>
                <w:rFonts w:hint="eastAsia" w:ascii="宋体" w:hAnsi="宋体" w:cs="宋体"/>
                <w:b/>
                <w:snapToGrid w:val="0"/>
                <w:color w:val="auto"/>
                <w:kern w:val="0"/>
                <w:szCs w:val="21"/>
              </w:rPr>
              <w:t>规划及规划环境影响评价符合性分析</w:t>
            </w:r>
          </w:p>
        </w:tc>
        <w:tc>
          <w:tcPr>
            <w:tcW w:w="6360" w:type="dxa"/>
            <w:gridSpan w:val="3"/>
            <w:tcBorders>
              <w:tl2br w:val="nil"/>
              <w:tr2bl w:val="nil"/>
            </w:tcBorders>
            <w:shd w:val="clear" w:color="auto" w:fill="FFFFFF"/>
            <w:vAlign w:val="center"/>
          </w:tcPr>
          <w:p>
            <w:pPr>
              <w:pStyle w:val="18"/>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theme="minorBidi"/>
                <w:b/>
                <w:color w:val="auto"/>
                <w:kern w:val="2"/>
                <w:sz w:val="21"/>
                <w:szCs w:val="24"/>
                <w:lang w:val="en-US" w:eastAsia="zh-CN" w:bidi="ar-SA"/>
              </w:rPr>
            </w:pPr>
            <w:r>
              <w:rPr>
                <w:rFonts w:hint="default"/>
                <w:b w:val="0"/>
                <w:bCs/>
                <w:color w:val="auto"/>
                <w:lang w:val="en-US" w:eastAsia="zh-CN"/>
              </w:rPr>
              <w:t>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3536" w:hRule="atLeast"/>
        </w:trPr>
        <w:tc>
          <w:tcPr>
            <w:tcW w:w="522" w:type="dxa"/>
            <w:tcBorders>
              <w:tl2br w:val="nil"/>
              <w:tr2bl w:val="nil"/>
            </w:tcBorders>
            <w:shd w:val="clear" w:color="auto" w:fill="FFFFFF"/>
            <w:vAlign w:val="center"/>
          </w:tcPr>
          <w:p>
            <w:pPr>
              <w:pageBreakBefore w:val="0"/>
              <w:kinsoku/>
              <w:wordWrap/>
              <w:overflowPunct/>
              <w:topLinePunct w:val="0"/>
              <w:autoSpaceDE w:val="0"/>
              <w:autoSpaceDN w:val="0"/>
              <w:bidi w:val="0"/>
              <w:adjustRightInd w:val="0"/>
              <w:snapToGrid w:val="0"/>
              <w:spacing w:line="240" w:lineRule="auto"/>
              <w:ind w:firstLine="0" w:firstLineChars="0"/>
              <w:jc w:val="center"/>
              <w:textAlignment w:val="auto"/>
              <w:rPr>
                <w:rFonts w:hint="eastAsia" w:ascii="宋体" w:hAnsi="宋体" w:eastAsia="宋体" w:cs="宋体"/>
                <w:b/>
                <w:color w:val="auto"/>
                <w:kern w:val="0"/>
                <w:sz w:val="21"/>
                <w:szCs w:val="21"/>
                <w:lang w:val="en-US" w:eastAsia="zh-CN" w:bidi="ar-SA"/>
              </w:rPr>
            </w:pPr>
            <w:r>
              <w:rPr>
                <w:rFonts w:hint="eastAsia" w:ascii="宋体" w:hAnsi="宋体" w:cs="宋体"/>
                <w:color w:val="auto"/>
                <w:kern w:val="0"/>
                <w:szCs w:val="21"/>
              </w:rPr>
              <w:t>其他符合性分析</w:t>
            </w:r>
          </w:p>
        </w:tc>
        <w:tc>
          <w:tcPr>
            <w:tcW w:w="8000" w:type="dxa"/>
            <w:gridSpan w:val="4"/>
            <w:tcBorders>
              <w:tl2br w:val="nil"/>
              <w:tr2bl w:val="nil"/>
            </w:tcBorders>
            <w:shd w:val="clear" w:color="auto" w:fill="FFFFFF"/>
            <w:vAlign w:val="center"/>
          </w:tcPr>
          <w:p>
            <w:pPr>
              <w:pStyle w:val="5"/>
              <w:numPr>
                <w:ilvl w:val="0"/>
                <w:numId w:val="3"/>
              </w:numPr>
              <w:bidi w:val="0"/>
              <w:rPr>
                <w:rFonts w:hint="default"/>
                <w:color w:val="auto"/>
              </w:rPr>
            </w:pPr>
            <w:r>
              <w:rPr>
                <w:rFonts w:hint="default"/>
                <w:color w:val="auto"/>
              </w:rPr>
              <w:t>产业政策符合性分析</w:t>
            </w:r>
          </w:p>
          <w:p>
            <w:pPr>
              <w:pStyle w:val="18"/>
              <w:pageBreakBefore w:val="0"/>
              <w:kinsoku/>
              <w:wordWrap/>
              <w:overflowPunct/>
              <w:topLinePunct w:val="0"/>
              <w:bidi w:val="0"/>
              <w:textAlignment w:val="auto"/>
              <w:rPr>
                <w:rFonts w:hint="default"/>
                <w:color w:val="auto"/>
              </w:rPr>
            </w:pPr>
            <w:r>
              <w:rPr>
                <w:rFonts w:hint="default"/>
                <w:color w:val="auto"/>
                <w:lang w:val="en-US" w:eastAsia="zh-CN"/>
              </w:rPr>
              <w:t>根据</w:t>
            </w:r>
            <w:r>
              <w:rPr>
                <w:rFonts w:hint="default"/>
                <w:color w:val="auto"/>
              </w:rPr>
              <w:t>国家发展和改革委员会令第2</w:t>
            </w:r>
            <w:r>
              <w:rPr>
                <w:rFonts w:hint="default"/>
                <w:color w:val="auto"/>
                <w:lang w:val="en-US" w:eastAsia="zh-CN"/>
              </w:rPr>
              <w:t>9</w:t>
            </w:r>
            <w:r>
              <w:rPr>
                <w:rFonts w:hint="default"/>
                <w:color w:val="auto"/>
              </w:rPr>
              <w:t>号</w:t>
            </w:r>
            <w:r>
              <w:rPr>
                <w:rFonts w:hint="default"/>
                <w:color w:val="auto"/>
                <w:lang w:val="en-US" w:eastAsia="zh-CN"/>
              </w:rPr>
              <w:t>令</w:t>
            </w:r>
            <w:r>
              <w:rPr>
                <w:rFonts w:hint="default"/>
                <w:color w:val="auto"/>
              </w:rPr>
              <w:t>《产业结构调整指导目录（201</w:t>
            </w:r>
            <w:r>
              <w:rPr>
                <w:rFonts w:hint="default"/>
                <w:color w:val="auto"/>
                <w:lang w:val="en-US" w:eastAsia="zh-CN"/>
              </w:rPr>
              <w:t>9</w:t>
            </w:r>
            <w:r>
              <w:rPr>
                <w:rFonts w:hint="default"/>
                <w:color w:val="auto"/>
              </w:rPr>
              <w:t>年本）》（</w:t>
            </w:r>
            <w:r>
              <w:rPr>
                <w:rFonts w:hint="default"/>
                <w:color w:val="auto"/>
                <w:lang w:val="en-US" w:eastAsia="zh-CN"/>
              </w:rPr>
              <w:t>2020年1月1日实施</w:t>
            </w:r>
            <w:r>
              <w:rPr>
                <w:rFonts w:hint="default"/>
                <w:color w:val="auto"/>
              </w:rPr>
              <w:t>）</w:t>
            </w:r>
            <w:r>
              <w:rPr>
                <w:rFonts w:hint="default"/>
                <w:color w:val="auto"/>
                <w:lang w:val="en-US" w:eastAsia="zh-CN"/>
              </w:rPr>
              <w:t>条款</w:t>
            </w:r>
            <w:r>
              <w:rPr>
                <w:rFonts w:hint="eastAsia" w:ascii="Times New Roman" w:hAnsi="Times New Roman"/>
                <w:color w:val="auto"/>
                <w:sz w:val="24"/>
              </w:rPr>
              <w:t>中第一类“鼓励类”第</w:t>
            </w:r>
            <w:r>
              <w:rPr>
                <w:rFonts w:hint="eastAsia" w:ascii="Times New Roman" w:hAnsi="Times New Roman"/>
                <w:color w:val="auto"/>
                <w:sz w:val="24"/>
                <w:lang w:eastAsia="zh-CN"/>
              </w:rPr>
              <w:t>四十三</w:t>
            </w:r>
            <w:r>
              <w:rPr>
                <w:rFonts w:hint="eastAsia" w:ascii="Times New Roman" w:hAnsi="Times New Roman"/>
                <w:color w:val="auto"/>
                <w:sz w:val="24"/>
              </w:rPr>
              <w:t>条“环境保护与资源节约</w:t>
            </w:r>
            <w:r>
              <w:rPr>
                <w:rFonts w:hint="eastAsia" w:ascii="Times New Roman" w:hAnsi="Times New Roman"/>
                <w:color w:val="auto"/>
                <w:sz w:val="24"/>
                <w:lang w:eastAsia="zh-CN"/>
              </w:rPr>
              <w:t>综合</w:t>
            </w:r>
            <w:r>
              <w:rPr>
                <w:rFonts w:hint="eastAsia" w:ascii="Times New Roman" w:hAnsi="Times New Roman"/>
                <w:color w:val="auto"/>
                <w:sz w:val="24"/>
              </w:rPr>
              <w:t>利用”中第20款“城镇垃圾、农村生活垃圾、农村生活污水、污泥及其他固体废弃物减量化、资源化、无害化处理和综合利用工程”的要求</w:t>
            </w:r>
            <w:r>
              <w:rPr>
                <w:rFonts w:hint="eastAsia"/>
                <w:color w:val="auto"/>
                <w:sz w:val="24"/>
              </w:rPr>
              <w:t>。因此，本项目符合现行国家产业政策的有关要求。</w:t>
            </w:r>
          </w:p>
          <w:p>
            <w:pPr>
              <w:pStyle w:val="5"/>
              <w:numPr>
                <w:ilvl w:val="0"/>
                <w:numId w:val="3"/>
              </w:numPr>
              <w:bidi w:val="0"/>
              <w:rPr>
                <w:rFonts w:hint="eastAsia"/>
                <w:color w:val="auto"/>
                <w:lang w:val="en-US" w:eastAsia="zh-CN"/>
              </w:rPr>
            </w:pPr>
            <w:r>
              <w:rPr>
                <w:rFonts w:hint="eastAsia"/>
                <w:color w:val="auto"/>
                <w:lang w:val="en-US" w:eastAsia="zh-CN"/>
              </w:rPr>
              <w:t>与《昌吉市城市总体规划》（2011-2030 年）符合性分析</w:t>
            </w:r>
          </w:p>
          <w:p>
            <w:pPr>
              <w:pStyle w:val="18"/>
              <w:bidi w:val="0"/>
              <w:rPr>
                <w:rFonts w:hint="eastAsia"/>
                <w:lang w:val="en-US" w:eastAsia="zh-CN"/>
              </w:rPr>
            </w:pPr>
            <w:r>
              <w:rPr>
                <w:rFonts w:hint="eastAsia"/>
                <w:lang w:val="en-US" w:eastAsia="zh-CN"/>
              </w:rPr>
              <w:t xml:space="preserve">根据昌吉市行政审批局出具的《建设项目用地预审与选址意见书》（详见附件），该项目拟用地位置位于佃坝镇西沟村县道122西侧，拟用地规模约 </w:t>
            </w:r>
            <w:r>
              <w:rPr>
                <w:rFonts w:hint="default"/>
                <w:lang w:val="en-US" w:eastAsia="zh-CN"/>
              </w:rPr>
              <w:t xml:space="preserve">15 </w:t>
            </w:r>
            <w:r>
              <w:rPr>
                <w:rFonts w:hint="eastAsia"/>
                <w:lang w:val="en-US" w:eastAsia="zh-CN"/>
              </w:rPr>
              <w:t>亩，拟占用土地性质为环卫用地，依据《昌吉市城市总体规划（</w:t>
            </w:r>
            <w:r>
              <w:rPr>
                <w:rFonts w:hint="default"/>
                <w:color w:val="auto"/>
                <w:lang w:val="en-US" w:eastAsia="zh-CN"/>
              </w:rPr>
              <w:t>20</w:t>
            </w:r>
            <w:r>
              <w:rPr>
                <w:rFonts w:hint="eastAsia"/>
                <w:color w:val="auto"/>
                <w:lang w:val="en-US" w:eastAsia="zh-CN"/>
              </w:rPr>
              <w:t>11</w:t>
            </w:r>
            <w:r>
              <w:rPr>
                <w:rFonts w:hint="default"/>
                <w:color w:val="auto"/>
                <w:lang w:val="en-US" w:eastAsia="zh-CN"/>
              </w:rPr>
              <w:t>-20</w:t>
            </w:r>
            <w:r>
              <w:rPr>
                <w:rFonts w:hint="eastAsia"/>
                <w:color w:val="auto"/>
                <w:lang w:val="en-US" w:eastAsia="zh-CN"/>
              </w:rPr>
              <w:t>3</w:t>
            </w:r>
            <w:r>
              <w:rPr>
                <w:rFonts w:hint="default"/>
                <w:color w:val="auto"/>
                <w:lang w:val="en-US" w:eastAsia="zh-CN"/>
              </w:rPr>
              <w:t xml:space="preserve">0 </w:t>
            </w:r>
            <w:r>
              <w:rPr>
                <w:rFonts w:hint="eastAsia"/>
                <w:color w:val="auto"/>
                <w:lang w:val="en-US" w:eastAsia="zh-CN"/>
              </w:rPr>
              <w:t>年）》、昌吉市土地利用现状图（附图3）及《佃坝镇总体规划（2013-2030）》，该项目范围内为规划允</w:t>
            </w:r>
            <w:r>
              <w:rPr>
                <w:rFonts w:hint="eastAsia"/>
                <w:lang w:val="en-US" w:eastAsia="zh-CN"/>
              </w:rPr>
              <w:t>许建设区，符合昌吉市总体规划，不涉及永久基本农田和生态保护红线。项目选址符合昌吉市总体规划（</w:t>
            </w:r>
            <w:r>
              <w:rPr>
                <w:rFonts w:hint="default"/>
                <w:lang w:val="en-US" w:eastAsia="zh-CN"/>
              </w:rPr>
              <w:t>20</w:t>
            </w:r>
            <w:r>
              <w:rPr>
                <w:rFonts w:hint="eastAsia"/>
                <w:lang w:val="en-US" w:eastAsia="zh-CN"/>
              </w:rPr>
              <w:t>11</w:t>
            </w:r>
            <w:r>
              <w:rPr>
                <w:rFonts w:hint="default"/>
                <w:lang w:val="en-US" w:eastAsia="zh-CN"/>
              </w:rPr>
              <w:t>-20</w:t>
            </w:r>
            <w:r>
              <w:rPr>
                <w:rFonts w:hint="eastAsia"/>
                <w:lang w:val="en-US" w:eastAsia="zh-CN"/>
              </w:rPr>
              <w:t>3</w:t>
            </w:r>
            <w:r>
              <w:rPr>
                <w:rFonts w:hint="default"/>
                <w:lang w:val="en-US" w:eastAsia="zh-CN"/>
              </w:rPr>
              <w:t xml:space="preserve">0 </w:t>
            </w:r>
            <w:r>
              <w:rPr>
                <w:rFonts w:hint="eastAsia"/>
                <w:lang w:val="en-US" w:eastAsia="zh-CN"/>
              </w:rPr>
              <w:t>年）。</w:t>
            </w:r>
          </w:p>
          <w:p>
            <w:pPr>
              <w:pStyle w:val="18"/>
              <w:bidi w:val="0"/>
              <w:rPr>
                <w:rFonts w:hint="default"/>
                <w:lang w:val="en-US" w:eastAsia="zh-CN"/>
              </w:rPr>
            </w:pPr>
            <w:r>
              <w:rPr>
                <w:rFonts w:hint="eastAsia"/>
                <w:lang w:val="en-US" w:eastAsia="zh-CN"/>
              </w:rPr>
              <w:t>经现场勘察，</w:t>
            </w:r>
            <w:r>
              <w:rPr>
                <w:rFonts w:hint="default"/>
                <w:lang w:val="en-US" w:eastAsia="zh-CN"/>
              </w:rPr>
              <w:t>拟建项目</w:t>
            </w:r>
            <w:r>
              <w:rPr>
                <w:rFonts w:hint="eastAsia"/>
                <w:lang w:val="en-US" w:eastAsia="zh-CN"/>
              </w:rPr>
              <w:t>选址</w:t>
            </w:r>
            <w:r>
              <w:rPr>
                <w:rFonts w:hint="default"/>
                <w:lang w:val="en-US" w:eastAsia="zh-CN"/>
              </w:rPr>
              <w:t>交通便利，</w:t>
            </w:r>
            <w:r>
              <w:rPr>
                <w:rFonts w:hint="eastAsia"/>
                <w:lang w:val="en-US" w:eastAsia="zh-CN"/>
              </w:rPr>
              <w:t>给排水管网健全，</w:t>
            </w:r>
            <w:r>
              <w:rPr>
                <w:rFonts w:hint="default"/>
                <w:lang w:val="en-US" w:eastAsia="zh-CN"/>
              </w:rPr>
              <w:t>远离村庄，场址</w:t>
            </w:r>
            <w:r>
              <w:rPr>
                <w:rFonts w:hint="eastAsia"/>
                <w:lang w:val="en-US" w:eastAsia="zh-CN"/>
              </w:rPr>
              <w:t>内</w:t>
            </w:r>
            <w:r>
              <w:rPr>
                <w:rFonts w:hint="default"/>
                <w:lang w:val="en-US" w:eastAsia="zh-CN"/>
              </w:rPr>
              <w:t>植被分布</w:t>
            </w:r>
            <w:r>
              <w:rPr>
                <w:rFonts w:hint="eastAsia"/>
                <w:lang w:val="en-US" w:eastAsia="zh-CN"/>
              </w:rPr>
              <w:t>较少，由此可见，本项目建设满足城市总体规划要求</w:t>
            </w:r>
            <w:r>
              <w:rPr>
                <w:rFonts w:hint="default"/>
                <w:lang w:val="en-US" w:eastAsia="zh-CN"/>
              </w:rPr>
              <w:t>。</w:t>
            </w:r>
          </w:p>
          <w:p>
            <w:pPr>
              <w:pStyle w:val="5"/>
              <w:numPr>
                <w:ilvl w:val="0"/>
                <w:numId w:val="3"/>
              </w:numPr>
              <w:bidi w:val="0"/>
              <w:jc w:val="both"/>
              <w:rPr>
                <w:rFonts w:hint="default"/>
                <w:color w:val="auto"/>
                <w:lang w:val="en-US" w:eastAsia="zh-CN"/>
              </w:rPr>
            </w:pPr>
            <w:r>
              <w:rPr>
                <w:rFonts w:hint="eastAsia"/>
                <w:color w:val="auto"/>
                <w:lang w:val="en-US" w:eastAsia="zh-CN"/>
              </w:rPr>
              <w:t>与《新疆昌吉回族自治州昌吉市生态环境保护总体规划》（2016-2025 年）符合性分析</w:t>
            </w:r>
          </w:p>
          <w:p>
            <w:pPr>
              <w:pStyle w:val="28"/>
              <w:pageBreakBefore w:val="0"/>
              <w:kinsoku/>
              <w:wordWrap/>
              <w:overflowPunct/>
              <w:topLinePunct w:val="0"/>
              <w:bidi w:val="0"/>
              <w:textAlignment w:val="auto"/>
              <w:rPr>
                <w:rFonts w:hint="default"/>
                <w:color w:val="auto"/>
                <w:lang w:val="en-US" w:eastAsia="zh-CN"/>
              </w:rPr>
            </w:pPr>
            <w:r>
              <w:rPr>
                <w:rFonts w:hint="default"/>
                <w:color w:val="auto"/>
                <w:lang w:val="en-US" w:eastAsia="zh-CN"/>
              </w:rPr>
              <w:t>表</w:t>
            </w:r>
            <w:r>
              <w:rPr>
                <w:rFonts w:hint="eastAsia"/>
                <w:color w:val="auto"/>
                <w:lang w:val="en-US" w:eastAsia="zh-CN"/>
              </w:rPr>
              <w:t xml:space="preserve">1-1    </w:t>
            </w:r>
            <w:r>
              <w:rPr>
                <w:rFonts w:hint="default"/>
                <w:color w:val="auto"/>
                <w:lang w:val="en-US" w:eastAsia="zh-CN"/>
              </w:rPr>
              <w:t>昌吉市生态环境保护总体规划符合性分析一览表</w:t>
            </w:r>
          </w:p>
          <w:tbl>
            <w:tblPr>
              <w:tblStyle w:val="21"/>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513"/>
              <w:gridCol w:w="3399"/>
              <w:gridCol w:w="8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6"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内容</w:t>
                  </w:r>
                </w:p>
              </w:tc>
              <w:tc>
                <w:tcPr>
                  <w:tcW w:w="2183"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本项目工程概况</w:t>
                  </w:r>
                </w:p>
              </w:tc>
              <w:tc>
                <w:tcPr>
                  <w:tcW w:w="559"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6" w:type="pct"/>
                  <w:tcBorders>
                    <w:top w:val="single" w:color="auto" w:sz="12" w:space="0"/>
                    <w:bottom w:val="single" w:color="auto" w:sz="4" w:space="0"/>
                  </w:tcBorders>
                  <w:noWrap w:val="0"/>
                  <w:vAlign w:val="center"/>
                </w:tcPr>
                <w:p>
                  <w:pPr>
                    <w:pStyle w:val="29"/>
                    <w:bidi w:val="0"/>
                    <w:jc w:val="left"/>
                    <w:rPr>
                      <w:rFonts w:hint="default"/>
                      <w:lang w:val="en-US" w:eastAsia="zh-CN"/>
                    </w:rPr>
                  </w:pPr>
                  <w:r>
                    <w:rPr>
                      <w:rFonts w:hint="eastAsia"/>
                      <w:lang w:val="en-US" w:eastAsia="zh-CN"/>
                    </w:rPr>
                    <w:t>加强环境保护，加严环境管理、加大淘汰落后产能力度、关停重污染企业、优化调整产业结构，为昌吉市战略新兴产业的发展腾出环境资源，实现昌吉市经济持续健康绿色发展</w:t>
                  </w:r>
                </w:p>
              </w:tc>
              <w:tc>
                <w:tcPr>
                  <w:tcW w:w="2183" w:type="pct"/>
                  <w:tcBorders>
                    <w:top w:val="single" w:color="auto" w:sz="12" w:space="0"/>
                    <w:bottom w:val="single" w:color="auto" w:sz="4" w:space="0"/>
                  </w:tcBorders>
                  <w:noWrap w:val="0"/>
                  <w:vAlign w:val="center"/>
                </w:tcPr>
                <w:p>
                  <w:pPr>
                    <w:pStyle w:val="29"/>
                    <w:bidi w:val="0"/>
                    <w:jc w:val="left"/>
                    <w:rPr>
                      <w:rFonts w:hint="default"/>
                      <w:lang w:val="en-US" w:eastAsia="zh-CN"/>
                    </w:rPr>
                  </w:pPr>
                  <w:r>
                    <w:rPr>
                      <w:rFonts w:hint="eastAsia"/>
                      <w:b w:val="0"/>
                      <w:bCs/>
                      <w:color w:val="auto"/>
                      <w:lang w:val="en-US" w:eastAsia="zh-CN"/>
                    </w:rPr>
                    <w:t>本项目为</w:t>
                  </w:r>
                  <w:r>
                    <w:rPr>
                      <w:rFonts w:hint="default"/>
                      <w:b w:val="0"/>
                      <w:bCs/>
                      <w:color w:val="auto"/>
                      <w:lang w:val="en-US" w:eastAsia="zh-CN"/>
                    </w:rPr>
                    <w:t>生活垃圾转运站</w:t>
                  </w:r>
                  <w:r>
                    <w:rPr>
                      <w:rFonts w:hint="eastAsia"/>
                      <w:b w:val="0"/>
                      <w:bCs/>
                      <w:color w:val="auto"/>
                      <w:lang w:val="en-US" w:eastAsia="zh-CN"/>
                    </w:rPr>
                    <w:t>项目，属于鼓励类项目，不属于重污染企业。</w:t>
                  </w:r>
                </w:p>
              </w:tc>
              <w:tc>
                <w:tcPr>
                  <w:tcW w:w="559" w:type="pct"/>
                  <w:tcBorders>
                    <w:top w:val="single" w:color="auto" w:sz="12" w:space="0"/>
                    <w:bottom w:val="single" w:color="auto" w:sz="4" w:space="0"/>
                  </w:tcBorders>
                  <w:noWrap w:val="0"/>
                  <w:vAlign w:val="center"/>
                </w:tcPr>
                <w:p>
                  <w:pPr>
                    <w:pStyle w:val="29"/>
                    <w:bidi w:val="0"/>
                    <w:jc w:val="center"/>
                    <w:rPr>
                      <w:rFonts w:hint="default"/>
                    </w:rPr>
                  </w:pPr>
                  <w:r>
                    <w:rPr>
                      <w:rFonts w:hint="default"/>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256" w:type="pct"/>
                  <w:tcBorders>
                    <w:top w:val="single" w:color="auto" w:sz="4" w:space="0"/>
                    <w:bottom w:val="single" w:color="auto" w:sz="12" w:space="0"/>
                  </w:tcBorders>
                  <w:noWrap w:val="0"/>
                  <w:vAlign w:val="center"/>
                </w:tcPr>
                <w:p>
                  <w:pPr>
                    <w:pStyle w:val="29"/>
                    <w:bidi w:val="0"/>
                    <w:jc w:val="center"/>
                    <w:rPr>
                      <w:rFonts w:hint="eastAsia"/>
                      <w:lang w:val="en-US" w:eastAsia="zh-CN"/>
                    </w:rPr>
                  </w:pPr>
                  <w:r>
                    <w:rPr>
                      <w:rFonts w:hint="eastAsia"/>
                      <w:lang w:val="en-US" w:eastAsia="zh-CN"/>
                    </w:rPr>
                    <w:t>加大基础设施建设，改善人居环境</w:t>
                  </w:r>
                </w:p>
              </w:tc>
              <w:tc>
                <w:tcPr>
                  <w:tcW w:w="2183" w:type="pct"/>
                  <w:tcBorders>
                    <w:top w:val="single" w:color="auto" w:sz="4" w:space="0"/>
                    <w:bottom w:val="single" w:color="auto" w:sz="12" w:space="0"/>
                  </w:tcBorders>
                  <w:noWrap w:val="0"/>
                  <w:vAlign w:val="center"/>
                </w:tcPr>
                <w:p>
                  <w:pPr>
                    <w:pStyle w:val="29"/>
                    <w:bidi w:val="0"/>
                    <w:jc w:val="left"/>
                    <w:rPr>
                      <w:rFonts w:hint="default"/>
                      <w:lang w:val="en-US" w:eastAsia="zh-CN"/>
                    </w:rPr>
                  </w:pPr>
                  <w:r>
                    <w:rPr>
                      <w:rFonts w:hint="eastAsia"/>
                      <w:lang w:val="en-US" w:eastAsia="zh-CN"/>
                    </w:rPr>
                    <w:t>项目建成后服务对象为佃坝镇、滨湖镇、六工镇、庙尔沟镇，日转运量200t/d</w:t>
                  </w:r>
                </w:p>
              </w:tc>
              <w:tc>
                <w:tcPr>
                  <w:tcW w:w="559" w:type="pct"/>
                  <w:tcBorders>
                    <w:top w:val="single" w:color="auto" w:sz="4" w:space="0"/>
                    <w:bottom w:val="single" w:color="auto" w:sz="12" w:space="0"/>
                  </w:tcBorders>
                  <w:noWrap w:val="0"/>
                  <w:vAlign w:val="center"/>
                </w:tcPr>
                <w:p>
                  <w:pPr>
                    <w:pStyle w:val="29"/>
                    <w:bidi w:val="0"/>
                    <w:jc w:val="center"/>
                    <w:rPr>
                      <w:rFonts w:hint="default"/>
                    </w:rPr>
                  </w:pPr>
                  <w:r>
                    <w:rPr>
                      <w:rFonts w:hint="default"/>
                    </w:rPr>
                    <w:t>符合</w:t>
                  </w:r>
                </w:p>
              </w:tc>
            </w:tr>
          </w:tbl>
          <w:p>
            <w:pPr>
              <w:pStyle w:val="18"/>
              <w:bidi w:val="0"/>
              <w:rPr>
                <w:rFonts w:hint="default"/>
                <w:lang w:val="en-US" w:eastAsia="zh-CN"/>
              </w:rPr>
            </w:pPr>
            <w:r>
              <w:rPr>
                <w:rFonts w:hint="eastAsia"/>
                <w:lang w:val="en-US" w:eastAsia="zh-CN"/>
              </w:rPr>
              <w:t>项目区远离村庄，</w:t>
            </w:r>
            <w:r>
              <w:rPr>
                <w:rFonts w:hint="default"/>
                <w:lang w:val="en-US" w:eastAsia="zh-CN"/>
              </w:rPr>
              <w:t>项目区东侧为县道122，南侧为农田，西侧空地、北侧为农田</w:t>
            </w:r>
            <w:r>
              <w:rPr>
                <w:rFonts w:hint="eastAsia"/>
                <w:lang w:val="en-US" w:eastAsia="zh-CN"/>
              </w:rPr>
              <w:t>，项目区500m范围内无居民住宅区、学校、医院、保护文物、风景名胜区、水源地、生态敏感点等环境保护目标。综上本项目符合</w:t>
            </w:r>
            <w:r>
              <w:rPr>
                <w:rFonts w:hint="default"/>
                <w:color w:val="auto"/>
                <w:lang w:val="en-US" w:eastAsia="zh-CN"/>
              </w:rPr>
              <w:t>昌吉市生态环境保护总体规划</w:t>
            </w:r>
            <w:r>
              <w:rPr>
                <w:rFonts w:hint="eastAsia"/>
                <w:color w:val="auto"/>
                <w:lang w:val="en-US" w:eastAsia="zh-CN"/>
              </w:rPr>
              <w:t>。</w:t>
            </w:r>
          </w:p>
          <w:p>
            <w:pPr>
              <w:pStyle w:val="5"/>
              <w:numPr>
                <w:ilvl w:val="0"/>
                <w:numId w:val="3"/>
              </w:numPr>
              <w:bidi w:val="0"/>
              <w:rPr>
                <w:rFonts w:hint="default"/>
                <w:color w:val="auto"/>
                <w:lang w:val="en-US" w:eastAsia="zh-CN"/>
              </w:rPr>
            </w:pPr>
            <w:r>
              <w:rPr>
                <w:rFonts w:hint="default"/>
                <w:color w:val="auto"/>
                <w:lang w:val="en-US" w:eastAsia="zh-CN"/>
              </w:rPr>
              <w:t>“三线一单”符合性分析</w:t>
            </w:r>
          </w:p>
          <w:p>
            <w:pPr>
              <w:pStyle w:val="18"/>
              <w:pageBreakBefore w:val="0"/>
              <w:numPr>
                <w:ilvl w:val="0"/>
                <w:numId w:val="4"/>
              </w:numPr>
              <w:kinsoku/>
              <w:wordWrap/>
              <w:overflowPunct/>
              <w:topLinePunct w:val="0"/>
              <w:bidi w:val="0"/>
              <w:textAlignment w:val="auto"/>
              <w:rPr>
                <w:rFonts w:hint="default"/>
                <w:color w:val="auto"/>
              </w:rPr>
            </w:pPr>
            <w:r>
              <w:rPr>
                <w:rFonts w:hint="default"/>
                <w:color w:val="auto"/>
              </w:rPr>
              <w:t>本项目建设与</w:t>
            </w:r>
            <w:r>
              <w:rPr>
                <w:rFonts w:hint="default"/>
                <w:color w:val="auto"/>
                <w:lang w:val="en-US" w:eastAsia="zh-CN"/>
              </w:rPr>
              <w:t>新疆维吾尔自治区</w:t>
            </w:r>
            <w:r>
              <w:rPr>
                <w:rFonts w:hint="eastAsia"/>
                <w:color w:val="auto"/>
                <w:lang w:val="en-US" w:eastAsia="zh-CN"/>
              </w:rPr>
              <w:t>七大片区</w:t>
            </w:r>
            <w:r>
              <w:rPr>
                <w:rFonts w:hint="default"/>
                <w:color w:val="auto"/>
                <w:lang w:val="en-US" w:eastAsia="zh-CN"/>
              </w:rPr>
              <w:t>“三线一单”生态环境分区管控</w:t>
            </w:r>
            <w:r>
              <w:rPr>
                <w:rFonts w:hint="eastAsia"/>
                <w:color w:val="auto"/>
                <w:lang w:val="en-US" w:eastAsia="zh-CN"/>
              </w:rPr>
              <w:t>要求</w:t>
            </w:r>
            <w:r>
              <w:rPr>
                <w:rFonts w:hint="default"/>
                <w:color w:val="auto"/>
                <w:lang w:val="en-US" w:eastAsia="zh-CN"/>
              </w:rPr>
              <w:t>》（新政发 [2021]1</w:t>
            </w:r>
            <w:r>
              <w:rPr>
                <w:rFonts w:hint="eastAsia"/>
                <w:color w:val="auto"/>
                <w:lang w:val="en-US" w:eastAsia="zh-CN"/>
              </w:rPr>
              <w:t>62</w:t>
            </w:r>
            <w:r>
              <w:rPr>
                <w:rFonts w:hint="default"/>
                <w:color w:val="auto"/>
                <w:lang w:val="en-US" w:eastAsia="zh-CN"/>
              </w:rPr>
              <w:t>号）</w:t>
            </w:r>
            <w:r>
              <w:rPr>
                <w:rFonts w:hint="default"/>
                <w:color w:val="auto"/>
              </w:rPr>
              <w:t>的符合性分析见表</w:t>
            </w:r>
            <w:r>
              <w:rPr>
                <w:rFonts w:hint="eastAsia"/>
                <w:color w:val="auto"/>
                <w:lang w:val="en-US" w:eastAsia="zh-CN"/>
              </w:rPr>
              <w:t>1-2。</w:t>
            </w:r>
          </w:p>
          <w:p>
            <w:pPr>
              <w:pStyle w:val="28"/>
              <w:pageBreakBefore w:val="0"/>
              <w:kinsoku/>
              <w:wordWrap/>
              <w:overflowPunct/>
              <w:topLinePunct w:val="0"/>
              <w:bidi w:val="0"/>
              <w:textAlignment w:val="auto"/>
              <w:rPr>
                <w:rFonts w:hint="default"/>
                <w:color w:val="auto"/>
                <w:lang w:val="en-US" w:eastAsia="zh-CN"/>
              </w:rPr>
            </w:pPr>
            <w:r>
              <w:rPr>
                <w:rFonts w:hint="default"/>
                <w:color w:val="auto"/>
                <w:lang w:val="en-US" w:eastAsia="zh-CN"/>
              </w:rPr>
              <w:t>表</w:t>
            </w:r>
            <w:r>
              <w:rPr>
                <w:rFonts w:hint="eastAsia"/>
                <w:color w:val="auto"/>
                <w:lang w:val="en-US" w:eastAsia="zh-CN"/>
              </w:rPr>
              <w:t>1-2</w:t>
            </w:r>
            <w:r>
              <w:rPr>
                <w:rFonts w:hint="default"/>
                <w:color w:val="auto"/>
                <w:lang w:val="en-US" w:eastAsia="zh-CN"/>
              </w:rPr>
              <w:t xml:space="preserve">    新疆维吾尔自治区</w:t>
            </w:r>
            <w:r>
              <w:rPr>
                <w:rFonts w:hint="eastAsia"/>
                <w:color w:val="auto"/>
                <w:lang w:val="en-US" w:eastAsia="zh-CN"/>
              </w:rPr>
              <w:t>七大片区</w:t>
            </w:r>
            <w:r>
              <w:rPr>
                <w:rFonts w:hint="default"/>
                <w:color w:val="auto"/>
                <w:lang w:val="en-US" w:eastAsia="zh-CN"/>
              </w:rPr>
              <w:t>“三线一单”符合性分析一览表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5482"/>
              <w:gridCol w:w="87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8"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内容</w:t>
                  </w:r>
                </w:p>
              </w:tc>
              <w:tc>
                <w:tcPr>
                  <w:tcW w:w="3522"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本项目工程概况</w:t>
                  </w:r>
                </w:p>
              </w:tc>
              <w:tc>
                <w:tcPr>
                  <w:tcW w:w="559"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8" w:type="pct"/>
                  <w:tcBorders>
                    <w:top w:val="single" w:color="auto" w:sz="12" w:space="0"/>
                    <w:bottom w:val="single" w:color="auto" w:sz="4" w:space="0"/>
                  </w:tcBorders>
                  <w:noWrap w:val="0"/>
                  <w:vAlign w:val="center"/>
                </w:tcPr>
                <w:p>
                  <w:pPr>
                    <w:pStyle w:val="29"/>
                    <w:pageBreakBefore w:val="0"/>
                    <w:kinsoku/>
                    <w:wordWrap/>
                    <w:overflowPunct/>
                    <w:topLinePunct w:val="0"/>
                    <w:bidi w:val="0"/>
                    <w:jc w:val="center"/>
                    <w:textAlignment w:val="auto"/>
                    <w:rPr>
                      <w:rFonts w:hint="default" w:eastAsia="宋体"/>
                      <w:color w:val="auto"/>
                      <w:lang w:val="en-US" w:eastAsia="zh-CN"/>
                    </w:rPr>
                  </w:pPr>
                  <w:r>
                    <w:rPr>
                      <w:rFonts w:hint="eastAsia"/>
                      <w:color w:val="auto"/>
                      <w:lang w:val="en-US" w:eastAsia="zh-CN"/>
                    </w:rPr>
                    <w:t>空间布局约束</w:t>
                  </w:r>
                </w:p>
              </w:tc>
              <w:tc>
                <w:tcPr>
                  <w:tcW w:w="3522" w:type="pct"/>
                  <w:tcBorders>
                    <w:top w:val="single" w:color="auto" w:sz="12" w:space="0"/>
                    <w:bottom w:val="single" w:color="auto" w:sz="4" w:space="0"/>
                  </w:tcBorders>
                  <w:noWrap w:val="0"/>
                  <w:vAlign w:val="center"/>
                </w:tcPr>
                <w:p>
                  <w:pPr>
                    <w:pStyle w:val="29"/>
                    <w:pageBreakBefore w:val="0"/>
                    <w:kinsoku/>
                    <w:wordWrap/>
                    <w:overflowPunct/>
                    <w:topLinePunct w:val="0"/>
                    <w:bidi w:val="0"/>
                    <w:jc w:val="left"/>
                    <w:textAlignment w:val="auto"/>
                    <w:rPr>
                      <w:rFonts w:hint="default" w:eastAsia="宋体"/>
                      <w:color w:val="auto"/>
                      <w:lang w:val="en-US" w:eastAsia="zh-CN"/>
                    </w:rPr>
                  </w:pPr>
                  <w:r>
                    <w:rPr>
                      <w:rFonts w:hint="eastAsia"/>
                      <w:color w:val="auto"/>
                      <w:lang w:val="en-US" w:eastAsia="zh-CN"/>
                    </w:rPr>
                    <w:t>本项目严格执行国家、自治区产业政策和环境准入要求；项目为</w:t>
                  </w:r>
                  <w:r>
                    <w:rPr>
                      <w:rFonts w:hint="default"/>
                      <w:b w:val="0"/>
                      <w:bCs/>
                      <w:color w:val="auto"/>
                      <w:lang w:val="en-US" w:eastAsia="zh-CN"/>
                    </w:rPr>
                    <w:t>生活垃圾转运站</w:t>
                  </w:r>
                  <w:r>
                    <w:rPr>
                      <w:rFonts w:hint="eastAsia"/>
                      <w:b w:val="0"/>
                      <w:bCs/>
                      <w:color w:val="auto"/>
                      <w:lang w:val="en-US" w:eastAsia="zh-CN"/>
                    </w:rPr>
                    <w:t>行业，不属于“两高”类项目；项目位于昌吉市佃坝镇西沟村，项目区周边无水源涵养区、饮用水水源保护区内和河流、湖泊、水库等；</w:t>
                  </w:r>
                </w:p>
              </w:tc>
              <w:tc>
                <w:tcPr>
                  <w:tcW w:w="559" w:type="pct"/>
                  <w:tcBorders>
                    <w:top w:val="single" w:color="auto" w:sz="12" w:space="0"/>
                    <w:bottom w:val="single" w:color="auto" w:sz="4" w:space="0"/>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8" w:type="pct"/>
                  <w:tcBorders>
                    <w:top w:val="single" w:color="auto" w:sz="4" w:space="0"/>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污染物排放管控</w:t>
                  </w:r>
                </w:p>
              </w:tc>
              <w:tc>
                <w:tcPr>
                  <w:tcW w:w="3522" w:type="pct"/>
                  <w:tcBorders>
                    <w:top w:val="single" w:color="auto" w:sz="4" w:space="0"/>
                  </w:tcBorders>
                  <w:noWrap w:val="0"/>
                  <w:vAlign w:val="center"/>
                </w:tcPr>
                <w:p>
                  <w:pPr>
                    <w:pStyle w:val="29"/>
                    <w:pageBreakBefore w:val="0"/>
                    <w:kinsoku/>
                    <w:wordWrap/>
                    <w:overflowPunct/>
                    <w:topLinePunct w:val="0"/>
                    <w:bidi w:val="0"/>
                    <w:jc w:val="both"/>
                    <w:textAlignment w:val="auto"/>
                    <w:rPr>
                      <w:rFonts w:hint="default"/>
                      <w:color w:val="auto"/>
                      <w:lang w:val="en-US"/>
                    </w:rPr>
                  </w:pPr>
                  <w:r>
                    <w:rPr>
                      <w:rFonts w:hint="eastAsia"/>
                      <w:color w:val="auto"/>
                      <w:lang w:val="en-US" w:eastAsia="zh-CN"/>
                    </w:rPr>
                    <w:t>本项目为</w:t>
                  </w:r>
                  <w:r>
                    <w:rPr>
                      <w:rFonts w:hint="default"/>
                      <w:b w:val="0"/>
                      <w:bCs/>
                      <w:color w:val="auto"/>
                      <w:lang w:val="en-US" w:eastAsia="zh-CN"/>
                    </w:rPr>
                    <w:t>生活垃圾转运站</w:t>
                  </w:r>
                  <w:r>
                    <w:rPr>
                      <w:rFonts w:hint="eastAsia"/>
                      <w:b w:val="0"/>
                      <w:bCs/>
                      <w:color w:val="auto"/>
                      <w:lang w:val="en-US" w:eastAsia="zh-CN"/>
                    </w:rPr>
                    <w:t>项目，项目供暖采用电采暖；项目废水集中收集至污水收集池，由吸污车拉运至昌吉市生活垃圾填埋场处理，处理后的废水用于绿化或回喷；</w:t>
                  </w:r>
                </w:p>
              </w:tc>
              <w:tc>
                <w:tcPr>
                  <w:tcW w:w="559" w:type="pct"/>
                  <w:tcBorders>
                    <w:top w:val="single" w:color="auto" w:sz="4" w:space="0"/>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8"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环境风险防控</w:t>
                  </w:r>
                </w:p>
              </w:tc>
              <w:tc>
                <w:tcPr>
                  <w:tcW w:w="3522" w:type="pct"/>
                  <w:tcBorders>
                    <w:tl2br w:val="nil"/>
                    <w:tr2bl w:val="nil"/>
                  </w:tcBorders>
                  <w:noWrap w:val="0"/>
                  <w:vAlign w:val="center"/>
                </w:tcPr>
                <w:p>
                  <w:pPr>
                    <w:pStyle w:val="29"/>
                    <w:pageBreakBefore w:val="0"/>
                    <w:kinsoku/>
                    <w:wordWrap/>
                    <w:overflowPunct/>
                    <w:topLinePunct w:val="0"/>
                    <w:bidi w:val="0"/>
                    <w:jc w:val="both"/>
                    <w:textAlignment w:val="auto"/>
                    <w:rPr>
                      <w:rFonts w:hint="default" w:eastAsia="宋体"/>
                      <w:color w:val="auto"/>
                      <w:lang w:val="en-US" w:eastAsia="zh-CN"/>
                    </w:rPr>
                  </w:pPr>
                  <w:r>
                    <w:rPr>
                      <w:rFonts w:hint="eastAsia"/>
                      <w:color w:val="auto"/>
                      <w:lang w:val="en-US" w:eastAsia="zh-CN"/>
                    </w:rPr>
                    <w:t>本项目为生活垃圾中转站建设项目，不属于危险化学品生产项目；项目生产过程中无危险废物产生；对重点区域采取分区防渗。</w:t>
                  </w:r>
                </w:p>
              </w:tc>
              <w:tc>
                <w:tcPr>
                  <w:tcW w:w="559"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8"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资源利用效率要求</w:t>
                  </w:r>
                </w:p>
              </w:tc>
              <w:tc>
                <w:tcPr>
                  <w:tcW w:w="3522" w:type="pct"/>
                  <w:tcBorders>
                    <w:tl2br w:val="nil"/>
                    <w:tr2bl w:val="nil"/>
                  </w:tcBorders>
                  <w:noWrap w:val="0"/>
                  <w:vAlign w:val="center"/>
                </w:tcPr>
                <w:p>
                  <w:pPr>
                    <w:pStyle w:val="29"/>
                    <w:pageBreakBefore w:val="0"/>
                    <w:kinsoku/>
                    <w:wordWrap/>
                    <w:overflowPunct/>
                    <w:topLinePunct w:val="0"/>
                    <w:bidi w:val="0"/>
                    <w:jc w:val="both"/>
                    <w:textAlignment w:val="auto"/>
                    <w:rPr>
                      <w:rFonts w:hint="default" w:eastAsia="宋体"/>
                      <w:color w:val="auto"/>
                      <w:lang w:val="en-US" w:eastAsia="zh-CN"/>
                    </w:rPr>
                  </w:pPr>
                  <w:r>
                    <w:rPr>
                      <w:rFonts w:hint="eastAsia"/>
                      <w:color w:val="auto"/>
                      <w:lang w:val="en-US" w:eastAsia="zh-CN"/>
                    </w:rPr>
                    <w:t>项目采用电采暖，项目用水为市政供水。</w:t>
                  </w:r>
                </w:p>
              </w:tc>
              <w:tc>
                <w:tcPr>
                  <w:tcW w:w="559"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8"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乌昌石片区</w:t>
                  </w:r>
                  <w:r>
                    <w:rPr>
                      <w:rFonts w:hint="eastAsia"/>
                      <w:color w:val="auto"/>
                      <w:lang w:val="en-US" w:eastAsia="zh-CN"/>
                    </w:rPr>
                    <w:t>管控要求</w:t>
                  </w:r>
                </w:p>
              </w:tc>
              <w:tc>
                <w:tcPr>
                  <w:tcW w:w="3522" w:type="pct"/>
                  <w:tcBorders>
                    <w:tl2br w:val="nil"/>
                    <w:tr2bl w:val="nil"/>
                  </w:tcBorders>
                  <w:noWrap w:val="0"/>
                  <w:vAlign w:val="center"/>
                </w:tcPr>
                <w:p>
                  <w:pPr>
                    <w:pStyle w:val="29"/>
                    <w:pageBreakBefore w:val="0"/>
                    <w:kinsoku/>
                    <w:wordWrap/>
                    <w:overflowPunct/>
                    <w:topLinePunct w:val="0"/>
                    <w:bidi w:val="0"/>
                    <w:jc w:val="both"/>
                    <w:textAlignment w:val="auto"/>
                    <w:rPr>
                      <w:rFonts w:hint="default" w:eastAsia="宋体"/>
                      <w:color w:val="auto"/>
                      <w:lang w:val="en-US" w:eastAsia="zh-CN"/>
                    </w:rPr>
                  </w:pPr>
                  <w:r>
                    <w:rPr>
                      <w:rFonts w:hint="eastAsia"/>
                      <w:color w:val="auto"/>
                      <w:lang w:val="en-US" w:eastAsia="zh-CN"/>
                    </w:rPr>
                    <w:t>本项目位于昌吉市佃坝镇西沟村，项目建成后为日处理200t生活垃圾中转站，项目采用电采暖；废气经负压抽风除臭系统+前端喷淋除臭系统处理；</w:t>
                  </w:r>
                </w:p>
              </w:tc>
              <w:tc>
                <w:tcPr>
                  <w:tcW w:w="559"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bl>
          <w:p>
            <w:pPr>
              <w:pStyle w:val="18"/>
              <w:pageBreakBefore w:val="0"/>
              <w:numPr>
                <w:ilvl w:val="0"/>
                <w:numId w:val="4"/>
              </w:numPr>
              <w:kinsoku/>
              <w:wordWrap/>
              <w:overflowPunct/>
              <w:topLinePunct w:val="0"/>
              <w:bidi w:val="0"/>
              <w:textAlignment w:val="auto"/>
              <w:rPr>
                <w:rFonts w:hint="default"/>
                <w:color w:val="auto"/>
              </w:rPr>
            </w:pPr>
            <w:r>
              <w:rPr>
                <w:rFonts w:hint="default"/>
                <w:color w:val="auto"/>
                <w:lang w:val="en-US" w:eastAsia="zh-CN"/>
              </w:rPr>
              <w:t>根据《关于以改善环境质量为核心加强环境影响评价管理的通知》（环环评 [2016]150号）和《新疆维吾尔自治区“三线一单”生态环境分区管控方案》（新政发 [2021]18号）要求，落实</w:t>
            </w:r>
            <w:r>
              <w:rPr>
                <w:rFonts w:hint="default"/>
                <w:color w:val="auto"/>
                <w:lang w:val="zh-CN" w:eastAsia="zh-CN"/>
              </w:rPr>
              <w:t>“生</w:t>
            </w:r>
            <w:r>
              <w:rPr>
                <w:rFonts w:hint="default"/>
                <w:color w:val="auto"/>
                <w:lang w:val="en-US" w:eastAsia="zh-CN"/>
              </w:rPr>
              <w:t>态保护红线、环境质量底线、资源利用上线和生态环境准入清单</w:t>
            </w:r>
            <w:r>
              <w:rPr>
                <w:rFonts w:hint="default"/>
                <w:color w:val="auto"/>
                <w:lang w:val="zh-CN" w:eastAsia="zh-CN"/>
              </w:rPr>
              <w:t>”（简</w:t>
            </w:r>
            <w:r>
              <w:rPr>
                <w:rFonts w:hint="default"/>
                <w:color w:val="auto"/>
                <w:lang w:val="en-US" w:eastAsia="zh-CN"/>
              </w:rPr>
              <w:t>称“三线一单”）约束，更好地发挥环评制度从源头防范环境污染和生态破坏的作用，加快推进改善环境质量。</w:t>
            </w:r>
            <w:r>
              <w:rPr>
                <w:rFonts w:hint="default"/>
                <w:color w:val="auto"/>
              </w:rPr>
              <w:t>本项目建设与</w:t>
            </w:r>
            <w:r>
              <w:rPr>
                <w:rFonts w:hint="default"/>
                <w:color w:val="auto"/>
                <w:lang w:val="en-US" w:eastAsia="zh-CN"/>
              </w:rPr>
              <w:t>新疆维吾尔自治区</w:t>
            </w:r>
            <w:r>
              <w:rPr>
                <w:rFonts w:hint="default"/>
                <w:color w:val="auto"/>
                <w:lang w:eastAsia="zh-CN"/>
              </w:rPr>
              <w:t>“</w:t>
            </w:r>
            <w:r>
              <w:rPr>
                <w:rFonts w:hint="default"/>
                <w:color w:val="auto"/>
              </w:rPr>
              <w:t>三线一单</w:t>
            </w:r>
            <w:r>
              <w:rPr>
                <w:rFonts w:hint="default"/>
                <w:color w:val="auto"/>
                <w:lang w:eastAsia="zh-CN"/>
              </w:rPr>
              <w:t>”</w:t>
            </w:r>
            <w:r>
              <w:rPr>
                <w:rFonts w:hint="default"/>
                <w:color w:val="auto"/>
              </w:rPr>
              <w:t>的符合性分析见表</w:t>
            </w:r>
            <w:r>
              <w:rPr>
                <w:rFonts w:hint="eastAsia"/>
                <w:color w:val="auto"/>
                <w:lang w:val="en-US" w:eastAsia="zh-CN"/>
              </w:rPr>
              <w:t>1-3</w:t>
            </w:r>
            <w:r>
              <w:rPr>
                <w:rFonts w:hint="default"/>
                <w:color w:val="auto"/>
              </w:rPr>
              <w:t>。</w:t>
            </w:r>
          </w:p>
          <w:p>
            <w:pPr>
              <w:pStyle w:val="28"/>
              <w:pageBreakBefore w:val="0"/>
              <w:kinsoku/>
              <w:wordWrap/>
              <w:overflowPunct/>
              <w:topLinePunct w:val="0"/>
              <w:bidi w:val="0"/>
              <w:textAlignment w:val="auto"/>
              <w:rPr>
                <w:rFonts w:hint="default"/>
                <w:color w:val="auto"/>
                <w:lang w:val="en-US" w:eastAsia="zh-CN"/>
              </w:rPr>
            </w:pPr>
            <w:r>
              <w:rPr>
                <w:rFonts w:hint="default"/>
                <w:color w:val="auto"/>
                <w:lang w:val="en-US" w:eastAsia="zh-CN"/>
              </w:rPr>
              <w:t>表</w:t>
            </w:r>
            <w:r>
              <w:rPr>
                <w:rFonts w:hint="eastAsia"/>
                <w:color w:val="auto"/>
                <w:lang w:val="en-US" w:eastAsia="zh-CN"/>
              </w:rPr>
              <w:t>1-3</w:t>
            </w:r>
            <w:r>
              <w:rPr>
                <w:rFonts w:hint="default"/>
                <w:color w:val="auto"/>
                <w:lang w:val="en-US" w:eastAsia="zh-CN"/>
              </w:rPr>
              <w:t xml:space="preserve">    新疆维吾尔自治区“三线一单”符合性分析一览表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5661"/>
              <w:gridCol w:w="8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内容</w:t>
                  </w:r>
                </w:p>
              </w:tc>
              <w:tc>
                <w:tcPr>
                  <w:tcW w:w="3637"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本项目工程概况</w:t>
                  </w:r>
                </w:p>
              </w:tc>
              <w:tc>
                <w:tcPr>
                  <w:tcW w:w="577"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pct"/>
                  <w:tcBorders>
                    <w:top w:val="single" w:color="auto" w:sz="12" w:space="0"/>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生态保护红线</w:t>
                  </w:r>
                </w:p>
              </w:tc>
              <w:tc>
                <w:tcPr>
                  <w:tcW w:w="3637" w:type="pct"/>
                  <w:tcBorders>
                    <w:top w:val="single" w:color="auto" w:sz="12" w:space="0"/>
                    <w:tl2br w:val="nil"/>
                    <w:tr2bl w:val="nil"/>
                  </w:tcBorders>
                  <w:noWrap w:val="0"/>
                  <w:vAlign w:val="center"/>
                </w:tcPr>
                <w:p>
                  <w:pPr>
                    <w:pStyle w:val="29"/>
                    <w:pageBreakBefore w:val="0"/>
                    <w:kinsoku/>
                    <w:wordWrap/>
                    <w:overflowPunct/>
                    <w:topLinePunct w:val="0"/>
                    <w:bidi w:val="0"/>
                    <w:jc w:val="both"/>
                    <w:textAlignment w:val="auto"/>
                    <w:rPr>
                      <w:rFonts w:hint="default"/>
                      <w:color w:val="auto"/>
                    </w:rPr>
                  </w:pPr>
                  <w:r>
                    <w:rPr>
                      <w:rFonts w:hint="default"/>
                      <w:color w:val="auto"/>
                    </w:rPr>
                    <w:t>项目占地不涉及自然保护区、森林公园、风景名胜区、世界文化自然遗产、地质公园等禁止开发的区域。</w:t>
                  </w:r>
                  <w:r>
                    <w:rPr>
                      <w:rFonts w:hint="default"/>
                      <w:color w:val="auto"/>
                      <w:lang w:val="en-US" w:eastAsia="zh-CN"/>
                    </w:rPr>
                    <w:t>也不在《新疆维吾尔自治区“三线一单”生态环境分区管控方案》中的优先保护单元和重点管控单元内。</w:t>
                  </w:r>
                  <w:r>
                    <w:rPr>
                      <w:rFonts w:hint="default"/>
                      <w:color w:val="auto"/>
                    </w:rPr>
                    <w:t>本项目占地面积小，项目建成后绿化面积有所增加，不会恶化区域生态环境现状，满足生态保护红线</w:t>
                  </w:r>
                  <w:r>
                    <w:rPr>
                      <w:rFonts w:hint="default"/>
                      <w:color w:val="auto"/>
                      <w:lang w:val="en-US" w:eastAsia="zh-CN"/>
                    </w:rPr>
                    <w:t>及《新疆维吾尔自治区“三线一单”生态环境分区管控方案》</w:t>
                  </w:r>
                  <w:r>
                    <w:rPr>
                      <w:rFonts w:hint="default"/>
                      <w:color w:val="auto"/>
                    </w:rPr>
                    <w:t>要求。</w:t>
                  </w:r>
                </w:p>
              </w:tc>
              <w:tc>
                <w:tcPr>
                  <w:tcW w:w="577" w:type="pct"/>
                  <w:tcBorders>
                    <w:top w:val="single" w:color="auto" w:sz="12" w:space="0"/>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资源利用上线</w:t>
                  </w:r>
                </w:p>
              </w:tc>
              <w:tc>
                <w:tcPr>
                  <w:tcW w:w="3637" w:type="pct"/>
                  <w:tcBorders>
                    <w:tl2br w:val="nil"/>
                    <w:tr2bl w:val="nil"/>
                  </w:tcBorders>
                  <w:noWrap w:val="0"/>
                  <w:vAlign w:val="center"/>
                </w:tcPr>
                <w:p>
                  <w:pPr>
                    <w:pStyle w:val="29"/>
                    <w:pageBreakBefore w:val="0"/>
                    <w:kinsoku/>
                    <w:wordWrap/>
                    <w:overflowPunct/>
                    <w:topLinePunct w:val="0"/>
                    <w:bidi w:val="0"/>
                    <w:jc w:val="both"/>
                    <w:textAlignment w:val="auto"/>
                    <w:rPr>
                      <w:rFonts w:hint="default"/>
                      <w:color w:val="auto"/>
                    </w:rPr>
                  </w:pPr>
                  <w:r>
                    <w:rPr>
                      <w:rFonts w:hint="default"/>
                      <w:color w:val="auto"/>
                    </w:rPr>
                    <w:t>本项目用电由</w:t>
                  </w:r>
                  <w:r>
                    <w:rPr>
                      <w:rFonts w:hint="eastAsia"/>
                      <w:color w:val="auto"/>
                      <w:lang w:val="en-US" w:eastAsia="zh-CN"/>
                    </w:rPr>
                    <w:t>市政</w:t>
                  </w:r>
                  <w:r>
                    <w:rPr>
                      <w:rFonts w:hint="default"/>
                      <w:color w:val="auto"/>
                    </w:rPr>
                    <w:t>电网供应，生活、生产用水为</w:t>
                  </w:r>
                  <w:r>
                    <w:rPr>
                      <w:rFonts w:hint="eastAsia"/>
                      <w:color w:val="auto"/>
                      <w:lang w:val="en-US" w:eastAsia="zh-CN"/>
                    </w:rPr>
                    <w:t>市政</w:t>
                  </w:r>
                  <w:r>
                    <w:rPr>
                      <w:rFonts w:hint="default"/>
                      <w:color w:val="auto"/>
                    </w:rPr>
                    <w:t>供水管网接入，项目在营运过程中消耗一定的资源，项目对区域资源消耗量相对于区域资源利用总量较少，符合资源利用上线要求。</w:t>
                  </w:r>
                </w:p>
              </w:tc>
              <w:tc>
                <w:tcPr>
                  <w:tcW w:w="577"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环境质量底线</w:t>
                  </w:r>
                </w:p>
              </w:tc>
              <w:tc>
                <w:tcPr>
                  <w:tcW w:w="3637" w:type="pct"/>
                  <w:tcBorders>
                    <w:tl2br w:val="nil"/>
                    <w:tr2bl w:val="nil"/>
                  </w:tcBorders>
                  <w:noWrap w:val="0"/>
                  <w:vAlign w:val="center"/>
                </w:tcPr>
                <w:p>
                  <w:pPr>
                    <w:pStyle w:val="29"/>
                    <w:pageBreakBefore w:val="0"/>
                    <w:kinsoku/>
                    <w:wordWrap/>
                    <w:overflowPunct/>
                    <w:topLinePunct w:val="0"/>
                    <w:bidi w:val="0"/>
                    <w:jc w:val="both"/>
                    <w:textAlignment w:val="auto"/>
                    <w:rPr>
                      <w:rFonts w:hint="default"/>
                      <w:color w:val="auto"/>
                    </w:rPr>
                  </w:pPr>
                  <w:r>
                    <w:rPr>
                      <w:rFonts w:hint="default"/>
                      <w:color w:val="auto"/>
                    </w:rPr>
                    <w:t>大气环境：本项目生产过程中大气污染物达标排放，排放总量少，对周围环境影响小。水环境：本项目</w:t>
                  </w:r>
                  <w:r>
                    <w:rPr>
                      <w:rFonts w:hint="eastAsia"/>
                      <w:color w:val="auto"/>
                      <w:lang w:val="en-US" w:eastAsia="zh-CN"/>
                    </w:rPr>
                    <w:t>废水经集中收集后，由吸污车拉运至昌吉市垃圾填埋场处理</w:t>
                  </w:r>
                  <w:r>
                    <w:rPr>
                      <w:rFonts w:hint="default"/>
                      <w:color w:val="auto"/>
                    </w:rPr>
                    <w:t>。声环境：项目无较大的噪声源，声环境质量良好。</w:t>
                  </w:r>
                  <w:r>
                    <w:rPr>
                      <w:rFonts w:hint="eastAsia"/>
                      <w:color w:val="auto"/>
                      <w:lang w:val="en-US" w:eastAsia="zh-CN"/>
                    </w:rPr>
                    <w:t>固废：项目固体废物压缩垃圾、污泥、生活垃圾，集中收集后拉运至昌吉市生活垃圾填埋场，除臭剂废包装桶集中收集厂家回收；</w:t>
                  </w:r>
                  <w:r>
                    <w:rPr>
                      <w:rFonts w:hint="default"/>
                      <w:color w:val="auto"/>
                    </w:rPr>
                    <w:t>综上，项目对周围环境的影响有限，不会降低当地的大气环境质量，符合环境质量底线要求。</w:t>
                  </w:r>
                </w:p>
              </w:tc>
              <w:tc>
                <w:tcPr>
                  <w:tcW w:w="577"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5"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eastAsia"/>
                      <w:color w:val="auto"/>
                      <w:lang w:eastAsia="zh-CN"/>
                    </w:rPr>
                    <w:t>生态环境准入</w:t>
                  </w:r>
                  <w:r>
                    <w:rPr>
                      <w:rFonts w:hint="default"/>
                      <w:color w:val="auto"/>
                    </w:rPr>
                    <w:t>清单</w:t>
                  </w:r>
                </w:p>
              </w:tc>
              <w:tc>
                <w:tcPr>
                  <w:tcW w:w="3637" w:type="pct"/>
                  <w:tcBorders>
                    <w:tl2br w:val="nil"/>
                    <w:tr2bl w:val="nil"/>
                  </w:tcBorders>
                  <w:noWrap w:val="0"/>
                  <w:vAlign w:val="center"/>
                </w:tcPr>
                <w:p>
                  <w:pPr>
                    <w:pStyle w:val="29"/>
                    <w:pageBreakBefore w:val="0"/>
                    <w:kinsoku/>
                    <w:wordWrap/>
                    <w:overflowPunct/>
                    <w:topLinePunct w:val="0"/>
                    <w:bidi w:val="0"/>
                    <w:jc w:val="both"/>
                    <w:textAlignment w:val="auto"/>
                    <w:rPr>
                      <w:rFonts w:hint="default"/>
                      <w:color w:val="auto"/>
                    </w:rPr>
                  </w:pPr>
                  <w:r>
                    <w:rPr>
                      <w:rFonts w:hint="default"/>
                      <w:color w:val="auto"/>
                    </w:rPr>
                    <w:t>本项目未列入《新疆重点生态功能区产业准入负面清单》中限制类和禁止类。</w:t>
                  </w:r>
                </w:p>
              </w:tc>
              <w:tc>
                <w:tcPr>
                  <w:tcW w:w="577" w:type="pct"/>
                  <w:tcBorders>
                    <w:tl2br w:val="nil"/>
                    <w:tr2bl w:val="nil"/>
                  </w:tcBorders>
                  <w:noWrap w:val="0"/>
                  <w:vAlign w:val="center"/>
                </w:tcPr>
                <w:p>
                  <w:pPr>
                    <w:pStyle w:val="29"/>
                    <w:pageBreakBefore w:val="0"/>
                    <w:kinsoku/>
                    <w:wordWrap/>
                    <w:overflowPunct/>
                    <w:topLinePunct w:val="0"/>
                    <w:bidi w:val="0"/>
                    <w:jc w:val="center"/>
                    <w:textAlignment w:val="auto"/>
                    <w:rPr>
                      <w:rFonts w:hint="default"/>
                      <w:color w:val="auto"/>
                    </w:rPr>
                  </w:pPr>
                  <w:r>
                    <w:rPr>
                      <w:rFonts w:hint="default"/>
                      <w:color w:val="auto"/>
                    </w:rPr>
                    <w:t>符合</w:t>
                  </w:r>
                </w:p>
              </w:tc>
            </w:tr>
          </w:tbl>
          <w:p>
            <w:pPr>
              <w:pStyle w:val="18"/>
              <w:pageBreakBefore w:val="0"/>
              <w:numPr>
                <w:ilvl w:val="0"/>
                <w:numId w:val="4"/>
              </w:numPr>
              <w:kinsoku/>
              <w:wordWrap/>
              <w:overflowPunct/>
              <w:topLinePunct w:val="0"/>
              <w:bidi w:val="0"/>
              <w:ind w:left="0" w:leftChars="0" w:firstLine="480" w:firstLineChars="200"/>
              <w:textAlignment w:val="auto"/>
              <w:rPr>
                <w:rFonts w:hint="default"/>
                <w:color w:val="auto"/>
                <w:lang w:val="en-US" w:eastAsia="zh-CN"/>
              </w:rPr>
            </w:pPr>
            <w:r>
              <w:rPr>
                <w:rFonts w:hint="default"/>
                <w:color w:val="auto"/>
              </w:rPr>
              <w:t>本项目建设与</w:t>
            </w:r>
            <w:r>
              <w:rPr>
                <w:rFonts w:hint="eastAsia"/>
                <w:color w:val="auto"/>
              </w:rPr>
              <w:t>《昌吉回族自治州“三线一单”生态环境分区管控方案及生态环境准入清单》符合性分析</w:t>
            </w:r>
          </w:p>
          <w:p>
            <w:pPr>
              <w:pStyle w:val="18"/>
              <w:bidi w:val="0"/>
              <w:rPr>
                <w:rFonts w:hint="default" w:eastAsia="宋体"/>
                <w:color w:val="auto"/>
                <w:lang w:val="en-US" w:eastAsia="zh-CN"/>
              </w:rPr>
            </w:pPr>
            <w:r>
              <w:rPr>
                <w:rFonts w:hint="eastAsia"/>
                <w:color w:val="auto"/>
              </w:rPr>
              <w:t>本项目位于昌吉市</w:t>
            </w:r>
            <w:r>
              <w:rPr>
                <w:rFonts w:hint="eastAsia"/>
                <w:color w:val="auto"/>
                <w:lang w:val="en-US" w:eastAsia="zh-CN"/>
              </w:rPr>
              <w:t>佃坝镇</w:t>
            </w:r>
            <w:r>
              <w:rPr>
                <w:rFonts w:hint="eastAsia"/>
                <w:color w:val="auto"/>
              </w:rPr>
              <w:t>，根据《昌吉回族自治州“三线一单”生态环境分区管控方案及生态环境准入清单》本项目所属为文件中“昌吉市环境管控单元”中的重点管控单元。</w:t>
            </w:r>
            <w:r>
              <w:rPr>
                <w:rFonts w:hint="eastAsia" w:cs="Times New Roman"/>
                <w:color w:val="auto"/>
              </w:rPr>
              <w:t>本项目与其符合情况见下表</w:t>
            </w:r>
            <w:r>
              <w:rPr>
                <w:rFonts w:hint="eastAsia" w:cs="Times New Roman"/>
                <w:color w:val="auto"/>
                <w:lang w:val="en-US" w:eastAsia="zh-CN"/>
              </w:rPr>
              <w:t>1-4。</w:t>
            </w:r>
          </w:p>
          <w:p>
            <w:pPr>
              <w:pStyle w:val="28"/>
              <w:bidi w:val="0"/>
              <w:rPr>
                <w:rFonts w:hint="default"/>
                <w:color w:val="auto"/>
                <w:lang w:val="en-US" w:eastAsia="zh-CN"/>
              </w:rPr>
            </w:pPr>
            <w:r>
              <w:rPr>
                <w:rFonts w:hint="default"/>
                <w:color w:val="auto"/>
                <w:lang w:val="en-US" w:eastAsia="zh-CN"/>
              </w:rPr>
              <w:t>表</w:t>
            </w:r>
            <w:r>
              <w:rPr>
                <w:rFonts w:hint="eastAsia"/>
                <w:color w:val="auto"/>
                <w:lang w:val="en-US" w:eastAsia="zh-CN"/>
              </w:rPr>
              <w:t>1-4</w:t>
            </w:r>
            <w:r>
              <w:rPr>
                <w:rFonts w:hint="default"/>
                <w:color w:val="auto"/>
                <w:lang w:val="en-US" w:eastAsia="zh-CN"/>
              </w:rPr>
              <w:t xml:space="preserve">    </w:t>
            </w:r>
            <w:r>
              <w:rPr>
                <w:rFonts w:hint="default"/>
                <w:color w:val="auto"/>
              </w:rPr>
              <w:t>昌吉回族自治州</w:t>
            </w:r>
            <w:r>
              <w:rPr>
                <w:rFonts w:hint="default"/>
                <w:color w:val="auto"/>
                <w:lang w:val="en-US" w:eastAsia="zh-CN"/>
              </w:rPr>
              <w:t>“三线一单”符合性分析一览表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9"/>
              <w:gridCol w:w="3613"/>
              <w:gridCol w:w="2400"/>
              <w:gridCol w:w="9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73" w:type="pct"/>
                  <w:gridSpan w:val="2"/>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管控要求</w:t>
                  </w:r>
                </w:p>
              </w:tc>
              <w:tc>
                <w:tcPr>
                  <w:tcW w:w="1542"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本项目工程概况</w:t>
                  </w:r>
                </w:p>
              </w:tc>
              <w:tc>
                <w:tcPr>
                  <w:tcW w:w="584" w:type="pct"/>
                  <w:tcBorders>
                    <w:bottom w:val="single" w:color="auto" w:sz="12" w:space="0"/>
                  </w:tcBorders>
                  <w:noWrap w:val="0"/>
                  <w:vAlign w:val="center"/>
                </w:tcPr>
                <w:p>
                  <w:pPr>
                    <w:pStyle w:val="29"/>
                    <w:pageBreakBefore w:val="0"/>
                    <w:kinsoku/>
                    <w:wordWrap/>
                    <w:overflowPunct/>
                    <w:topLinePunct w:val="0"/>
                    <w:bidi w:val="0"/>
                    <w:jc w:val="center"/>
                    <w:textAlignment w:val="auto"/>
                    <w:rPr>
                      <w:rFonts w:hint="default"/>
                      <w:b/>
                      <w:bCs/>
                      <w:color w:val="auto"/>
                    </w:rPr>
                  </w:pPr>
                  <w:r>
                    <w:rPr>
                      <w:rFonts w:hint="default"/>
                      <w:b/>
                      <w:bCs/>
                      <w:color w:val="auto"/>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pct"/>
                  <w:tcBorders>
                    <w:top w:val="single" w:color="auto" w:sz="12" w:space="0"/>
                    <w:tl2br w:val="nil"/>
                    <w:tr2bl w:val="nil"/>
                  </w:tcBorders>
                  <w:noWrap w:val="0"/>
                  <w:vAlign w:val="center"/>
                </w:tcPr>
                <w:p>
                  <w:pPr>
                    <w:pStyle w:val="29"/>
                    <w:bidi w:val="0"/>
                    <w:jc w:val="left"/>
                    <w:rPr>
                      <w:rFonts w:hint="default"/>
                      <w:color w:val="auto"/>
                    </w:rPr>
                  </w:pPr>
                  <w:r>
                    <w:rPr>
                      <w:color w:val="auto"/>
                    </w:rPr>
                    <w:t>空间布局约束</w:t>
                  </w:r>
                </w:p>
              </w:tc>
              <w:tc>
                <w:tcPr>
                  <w:tcW w:w="2320" w:type="pct"/>
                  <w:tcBorders>
                    <w:top w:val="single" w:color="auto" w:sz="12" w:space="0"/>
                    <w:tl2br w:val="nil"/>
                    <w:tr2bl w:val="nil"/>
                  </w:tcBorders>
                  <w:noWrap w:val="0"/>
                  <w:vAlign w:val="center"/>
                </w:tcPr>
                <w:p>
                  <w:pPr>
                    <w:pStyle w:val="29"/>
                    <w:bidi w:val="0"/>
                    <w:jc w:val="left"/>
                    <w:rPr>
                      <w:rFonts w:hint="default"/>
                      <w:color w:val="auto"/>
                    </w:rPr>
                  </w:pPr>
                  <w:r>
                    <w:rPr>
                      <w:rFonts w:hint="default"/>
                      <w:color w:val="auto"/>
                    </w:rPr>
                    <w:t>1、执行自治区总体准入要求中关于重点管控单元空间布局约束的准入要求（表2-3 A6.1）。</w:t>
                  </w:r>
                </w:p>
                <w:p>
                  <w:pPr>
                    <w:pStyle w:val="29"/>
                    <w:bidi w:val="0"/>
                    <w:jc w:val="left"/>
                    <w:rPr>
                      <w:rFonts w:hint="default"/>
                      <w:color w:val="auto"/>
                    </w:rPr>
                  </w:pPr>
                  <w:r>
                    <w:rPr>
                      <w:rFonts w:hint="default"/>
                      <w:color w:val="auto"/>
                    </w:rPr>
                    <w:t>2、禁止新建每小时65蒸吨以下燃煤锅炉，在城市城区及其近郊禁止新建、扩建钢铁、有色金属、石化、水泥、化工等重污染企业，对城区内已建重污染企业要结合产业结构调整实施搬迁改造。</w:t>
                  </w:r>
                </w:p>
                <w:p>
                  <w:pPr>
                    <w:pStyle w:val="29"/>
                    <w:bidi w:val="0"/>
                    <w:jc w:val="left"/>
                    <w:rPr>
                      <w:rFonts w:hint="default"/>
                      <w:color w:val="auto"/>
                    </w:rPr>
                  </w:pPr>
                  <w:r>
                    <w:rPr>
                      <w:rFonts w:hint="default"/>
                      <w:color w:val="auto"/>
                    </w:rPr>
                    <w:t>3、严格控制新建、扩建除“上大压小”和热电联产以外的火电厂，禁止建设除热电联产以外的火电厂。</w:t>
                  </w:r>
                </w:p>
                <w:p>
                  <w:pPr>
                    <w:pStyle w:val="29"/>
                    <w:bidi w:val="0"/>
                    <w:jc w:val="left"/>
                    <w:rPr>
                      <w:rFonts w:hint="default"/>
                      <w:color w:val="auto"/>
                    </w:rPr>
                  </w:pPr>
                  <w:r>
                    <w:rPr>
                      <w:rFonts w:hint="default"/>
                      <w:color w:val="auto"/>
                    </w:rPr>
                    <w:t>4、在居民住宅区等人口密集区域和机关、医院、学校、幼儿园、养老院等其他需要特殊保护的区域及其周边，不得新建和扩建易产生恶臭气体的生产项目，或者从事其他产生恶臭气体的生产经营活动。已建成的，应当逐步搬迁或者升级改造。</w:t>
                  </w:r>
                </w:p>
                <w:p>
                  <w:pPr>
                    <w:pStyle w:val="29"/>
                    <w:bidi w:val="0"/>
                    <w:jc w:val="left"/>
                    <w:rPr>
                      <w:rFonts w:hint="default"/>
                      <w:color w:val="auto"/>
                    </w:rPr>
                  </w:pPr>
                  <w:r>
                    <w:rPr>
                      <w:rFonts w:hint="default"/>
                      <w:color w:val="auto"/>
                    </w:rPr>
                    <w:t>5、禁燃区内禁止销售、燃用原煤、粉煤、各种可燃废物等高污染燃料；禁止新建、扩建燃用高污染燃料的设施，已建设成的，应当在规定的期限内改用清洁能源；严格控制引进高排放、高污染、高耗能项目，禁止建设不符合国家和自治区环境保护标准的项目。</w:t>
                  </w:r>
                </w:p>
                <w:p>
                  <w:pPr>
                    <w:pStyle w:val="29"/>
                    <w:bidi w:val="0"/>
                    <w:jc w:val="left"/>
                    <w:rPr>
                      <w:rFonts w:hint="default"/>
                      <w:color w:val="auto"/>
                    </w:rPr>
                  </w:pPr>
                  <w:r>
                    <w:rPr>
                      <w:rFonts w:hint="default"/>
                      <w:color w:val="auto"/>
                    </w:rPr>
                    <w:t>6、推进热电联产和集中供热。在集中供热管网覆盖地区，禁止新建、扩建分散燃煤供热锅炉；已建成的不能达标排放的燃煤供热锅炉，应当在城市人民政府规定的期限内拆除。</w:t>
                  </w:r>
                </w:p>
              </w:tc>
              <w:tc>
                <w:tcPr>
                  <w:tcW w:w="1542" w:type="pct"/>
                  <w:tcBorders>
                    <w:top w:val="single" w:color="auto" w:sz="12" w:space="0"/>
                    <w:tl2br w:val="nil"/>
                    <w:tr2bl w:val="nil"/>
                  </w:tcBorders>
                  <w:noWrap w:val="0"/>
                  <w:vAlign w:val="center"/>
                </w:tcPr>
                <w:p>
                  <w:pPr>
                    <w:pStyle w:val="29"/>
                    <w:bidi w:val="0"/>
                    <w:jc w:val="left"/>
                    <w:rPr>
                      <w:color w:val="auto"/>
                    </w:rPr>
                  </w:pPr>
                  <w:r>
                    <w:rPr>
                      <w:rFonts w:hint="eastAsia"/>
                      <w:color w:val="auto"/>
                    </w:rPr>
                    <w:t>1、本项目不属于表2-3 A6.1、表3.4-2 B1中重点管控单元空间布局约束的内容之列。</w:t>
                  </w:r>
                </w:p>
                <w:p>
                  <w:pPr>
                    <w:pStyle w:val="29"/>
                    <w:bidi w:val="0"/>
                    <w:jc w:val="left"/>
                    <w:rPr>
                      <w:color w:val="auto"/>
                    </w:rPr>
                  </w:pPr>
                  <w:r>
                    <w:rPr>
                      <w:rFonts w:hint="eastAsia"/>
                      <w:color w:val="auto"/>
                    </w:rPr>
                    <w:t>2、</w:t>
                  </w:r>
                  <w:r>
                    <w:rPr>
                      <w:rFonts w:hint="eastAsia"/>
                      <w:color w:val="auto"/>
                      <w:lang w:val="en-US" w:eastAsia="zh-CN"/>
                    </w:rPr>
                    <w:t>本项目生产不用热，生活采用0.3t/h的电锅炉；</w:t>
                  </w:r>
                </w:p>
                <w:p>
                  <w:pPr>
                    <w:pStyle w:val="29"/>
                    <w:bidi w:val="0"/>
                    <w:jc w:val="left"/>
                    <w:rPr>
                      <w:color w:val="auto"/>
                    </w:rPr>
                  </w:pPr>
                  <w:r>
                    <w:rPr>
                      <w:rFonts w:hint="eastAsia"/>
                      <w:color w:val="auto"/>
                    </w:rPr>
                    <w:t>3、本项目不在特殊保护区域的周边</w:t>
                  </w:r>
                </w:p>
                <w:p>
                  <w:pPr>
                    <w:pStyle w:val="29"/>
                    <w:bidi w:val="0"/>
                    <w:jc w:val="left"/>
                    <w:rPr>
                      <w:rFonts w:hint="default"/>
                      <w:color w:val="auto"/>
                      <w:lang w:val="en-US" w:eastAsia="zh-CN"/>
                    </w:rPr>
                  </w:pPr>
                  <w:r>
                    <w:rPr>
                      <w:rFonts w:hint="eastAsia"/>
                      <w:color w:val="auto"/>
                    </w:rPr>
                    <w:t>4、本项目不涉及禁燃区</w:t>
                  </w:r>
                </w:p>
              </w:tc>
              <w:tc>
                <w:tcPr>
                  <w:tcW w:w="584" w:type="pct"/>
                  <w:tcBorders>
                    <w:top w:val="single" w:color="auto" w:sz="12" w:space="0"/>
                    <w:tl2br w:val="nil"/>
                    <w:tr2bl w:val="nil"/>
                  </w:tcBorders>
                  <w:noWrap w:val="0"/>
                  <w:vAlign w:val="center"/>
                </w:tcPr>
                <w:p>
                  <w:pPr>
                    <w:pStyle w:val="29"/>
                    <w:bidi w:val="0"/>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pct"/>
                  <w:tcBorders>
                    <w:tl2br w:val="nil"/>
                    <w:tr2bl w:val="nil"/>
                  </w:tcBorders>
                  <w:noWrap w:val="0"/>
                  <w:vAlign w:val="center"/>
                </w:tcPr>
                <w:p>
                  <w:pPr>
                    <w:pStyle w:val="29"/>
                    <w:bidi w:val="0"/>
                    <w:jc w:val="left"/>
                    <w:rPr>
                      <w:rFonts w:hint="default"/>
                      <w:color w:val="auto"/>
                    </w:rPr>
                  </w:pPr>
                  <w:r>
                    <w:rPr>
                      <w:color w:val="auto"/>
                    </w:rPr>
                    <w:t>污染物排放管控</w:t>
                  </w:r>
                </w:p>
              </w:tc>
              <w:tc>
                <w:tcPr>
                  <w:tcW w:w="2320" w:type="pct"/>
                  <w:tcBorders>
                    <w:tl2br w:val="nil"/>
                    <w:tr2bl w:val="nil"/>
                  </w:tcBorders>
                  <w:noWrap w:val="0"/>
                  <w:vAlign w:val="center"/>
                </w:tcPr>
                <w:p>
                  <w:pPr>
                    <w:pStyle w:val="29"/>
                    <w:bidi w:val="0"/>
                    <w:jc w:val="left"/>
                    <w:rPr>
                      <w:rFonts w:hint="default"/>
                      <w:color w:val="auto"/>
                    </w:rPr>
                  </w:pPr>
                  <w:r>
                    <w:rPr>
                      <w:rFonts w:hint="default"/>
                      <w:color w:val="auto"/>
                    </w:rPr>
                    <w:t>1、执行自治区总体准入要求中关于重点管控单元污染物排放管控的准入要求（表2-3 A6.2）。</w:t>
                  </w:r>
                </w:p>
                <w:p>
                  <w:pPr>
                    <w:pStyle w:val="29"/>
                    <w:bidi w:val="0"/>
                    <w:jc w:val="left"/>
                    <w:rPr>
                      <w:rFonts w:hint="default"/>
                      <w:color w:val="auto"/>
                    </w:rPr>
                  </w:pPr>
                  <w:r>
                    <w:rPr>
                      <w:rFonts w:hint="default"/>
                      <w:color w:val="auto"/>
                    </w:rPr>
                    <w:t>2、新（改、扩）建项目应执行最严格的大气污染物排放标准。</w:t>
                  </w:r>
                </w:p>
                <w:p>
                  <w:pPr>
                    <w:pStyle w:val="29"/>
                    <w:bidi w:val="0"/>
                    <w:jc w:val="left"/>
                    <w:rPr>
                      <w:rFonts w:hint="default"/>
                      <w:color w:val="auto"/>
                    </w:rPr>
                  </w:pPr>
                  <w:r>
                    <w:rPr>
                      <w:rFonts w:hint="default"/>
                      <w:color w:val="auto"/>
                    </w:rPr>
                    <w:t>3、烟粉尘、SO</w:t>
                  </w:r>
                  <w:r>
                    <w:rPr>
                      <w:rFonts w:hint="default"/>
                      <w:color w:val="auto"/>
                      <w:vertAlign w:val="subscript"/>
                    </w:rPr>
                    <w:t>2</w:t>
                  </w:r>
                  <w:r>
                    <w:rPr>
                      <w:rFonts w:hint="default"/>
                      <w:color w:val="auto"/>
                    </w:rPr>
                    <w:t>、NOx、挥发性有机物等污染物的项目在区域环境空气质量达标前应实施倍量替代。</w:t>
                  </w:r>
                </w:p>
                <w:p>
                  <w:pPr>
                    <w:pStyle w:val="29"/>
                    <w:bidi w:val="0"/>
                    <w:jc w:val="left"/>
                    <w:rPr>
                      <w:rFonts w:hint="default"/>
                      <w:color w:val="auto"/>
                    </w:rPr>
                  </w:pPr>
                  <w:r>
                    <w:rPr>
                      <w:rFonts w:hint="default"/>
                      <w:color w:val="auto"/>
                    </w:rPr>
                    <w:t>4、现有企业大气污染物无法稳定达标排放的，应限期开展提标升级改造</w:t>
                  </w:r>
                </w:p>
              </w:tc>
              <w:tc>
                <w:tcPr>
                  <w:tcW w:w="1542" w:type="pct"/>
                  <w:tcBorders>
                    <w:tl2br w:val="nil"/>
                    <w:tr2bl w:val="nil"/>
                  </w:tcBorders>
                  <w:noWrap w:val="0"/>
                  <w:vAlign w:val="center"/>
                </w:tcPr>
                <w:p>
                  <w:pPr>
                    <w:pStyle w:val="29"/>
                    <w:bidi w:val="0"/>
                    <w:jc w:val="left"/>
                    <w:rPr>
                      <w:color w:val="auto"/>
                    </w:rPr>
                  </w:pPr>
                  <w:r>
                    <w:rPr>
                      <w:color w:val="auto"/>
                    </w:rPr>
                    <w:t>1</w:t>
                  </w:r>
                  <w:r>
                    <w:rPr>
                      <w:rFonts w:hint="eastAsia"/>
                      <w:color w:val="auto"/>
                    </w:rPr>
                    <w:t>、本项目产生的污染物不属于表2-3 A6.2中重点管控单元污染物的内容之列。</w:t>
                  </w:r>
                </w:p>
                <w:p>
                  <w:pPr>
                    <w:pStyle w:val="29"/>
                    <w:bidi w:val="0"/>
                    <w:jc w:val="left"/>
                    <w:rPr>
                      <w:color w:val="auto"/>
                    </w:rPr>
                  </w:pPr>
                  <w:r>
                    <w:rPr>
                      <w:color w:val="auto"/>
                    </w:rPr>
                    <w:t>2</w:t>
                  </w:r>
                  <w:r>
                    <w:rPr>
                      <w:rFonts w:hint="eastAsia"/>
                      <w:color w:val="auto"/>
                    </w:rPr>
                    <w:t>、本项目执行</w:t>
                  </w:r>
                  <w:r>
                    <w:rPr>
                      <w:color w:val="auto"/>
                    </w:rPr>
                    <w:t>《大气污染物</w:t>
                  </w:r>
                  <w:r>
                    <w:rPr>
                      <w:rFonts w:hint="eastAsia"/>
                      <w:color w:val="auto"/>
                      <w:lang w:val="en-US" w:eastAsia="zh-CN"/>
                    </w:rPr>
                    <w:t>综合</w:t>
                  </w:r>
                  <w:r>
                    <w:rPr>
                      <w:color w:val="auto"/>
                    </w:rPr>
                    <w:t xml:space="preserve">排放标准》（GB </w:t>
                  </w:r>
                  <w:r>
                    <w:rPr>
                      <w:rFonts w:hint="eastAsia"/>
                      <w:color w:val="auto"/>
                      <w:lang w:val="en-US" w:eastAsia="zh-CN"/>
                    </w:rPr>
                    <w:t>16297</w:t>
                  </w:r>
                  <w:r>
                    <w:rPr>
                      <w:color w:val="auto"/>
                    </w:rPr>
                    <w:t>-</w:t>
                  </w:r>
                  <w:r>
                    <w:rPr>
                      <w:rFonts w:hint="eastAsia"/>
                      <w:color w:val="auto"/>
                      <w:lang w:val="en-US" w:eastAsia="zh-CN"/>
                    </w:rPr>
                    <w:t>1996</w:t>
                  </w:r>
                  <w:r>
                    <w:rPr>
                      <w:color w:val="auto"/>
                    </w:rPr>
                    <w:t>）表</w:t>
                  </w:r>
                  <w:r>
                    <w:rPr>
                      <w:rFonts w:hint="eastAsia"/>
                      <w:color w:val="auto"/>
                    </w:rPr>
                    <w:t>2</w:t>
                  </w:r>
                  <w:r>
                    <w:rPr>
                      <w:rFonts w:hint="eastAsia"/>
                      <w:color w:val="auto"/>
                      <w:lang w:val="en-US" w:eastAsia="zh-CN"/>
                    </w:rPr>
                    <w:t>二级排放</w:t>
                  </w:r>
                  <w:r>
                    <w:rPr>
                      <w:rFonts w:hint="eastAsia"/>
                      <w:color w:val="auto"/>
                    </w:rPr>
                    <w:t>标准</w:t>
                  </w:r>
                  <w:r>
                    <w:rPr>
                      <w:rFonts w:hint="eastAsia"/>
                      <w:color w:val="auto"/>
                      <w:lang w:val="en-US" w:eastAsia="zh-CN"/>
                    </w:rPr>
                    <w:t>、《恶臭污染物排放标准》（GB14554-1993）表1中二级新改建限制及表2中相应限制</w:t>
                  </w:r>
                  <w:r>
                    <w:rPr>
                      <w:rFonts w:hint="eastAsia"/>
                      <w:color w:val="auto"/>
                    </w:rPr>
                    <w:t>。</w:t>
                  </w:r>
                </w:p>
                <w:p>
                  <w:pPr>
                    <w:pStyle w:val="29"/>
                    <w:bidi w:val="0"/>
                    <w:jc w:val="left"/>
                    <w:rPr>
                      <w:color w:val="auto"/>
                    </w:rPr>
                  </w:pPr>
                  <w:r>
                    <w:rPr>
                      <w:color w:val="auto"/>
                    </w:rPr>
                    <w:t>3</w:t>
                  </w:r>
                  <w:r>
                    <w:rPr>
                      <w:rFonts w:hint="eastAsia"/>
                      <w:color w:val="auto"/>
                    </w:rPr>
                    <w:t>、项目所在区域为不达标区域，污染物排放实行倍量替代</w:t>
                  </w:r>
                </w:p>
                <w:p>
                  <w:pPr>
                    <w:pStyle w:val="29"/>
                    <w:bidi w:val="0"/>
                    <w:jc w:val="left"/>
                    <w:rPr>
                      <w:rFonts w:hint="default"/>
                      <w:color w:val="auto"/>
                    </w:rPr>
                  </w:pPr>
                  <w:r>
                    <w:rPr>
                      <w:rFonts w:hint="eastAsia"/>
                      <w:color w:val="auto"/>
                    </w:rPr>
                    <w:t>4、本项目为新建项目</w:t>
                  </w:r>
                </w:p>
              </w:tc>
              <w:tc>
                <w:tcPr>
                  <w:tcW w:w="584" w:type="pct"/>
                  <w:tcBorders>
                    <w:tl2br w:val="nil"/>
                    <w:tr2bl w:val="nil"/>
                  </w:tcBorders>
                  <w:noWrap w:val="0"/>
                  <w:vAlign w:val="center"/>
                </w:tcPr>
                <w:p>
                  <w:pPr>
                    <w:pStyle w:val="29"/>
                    <w:bidi w:val="0"/>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pct"/>
                  <w:tcBorders>
                    <w:tl2br w:val="nil"/>
                    <w:tr2bl w:val="nil"/>
                  </w:tcBorders>
                  <w:noWrap w:val="0"/>
                  <w:vAlign w:val="center"/>
                </w:tcPr>
                <w:p>
                  <w:pPr>
                    <w:pStyle w:val="29"/>
                    <w:bidi w:val="0"/>
                    <w:jc w:val="left"/>
                    <w:rPr>
                      <w:rFonts w:hint="default"/>
                      <w:color w:val="auto"/>
                    </w:rPr>
                  </w:pPr>
                  <w:r>
                    <w:rPr>
                      <w:color w:val="auto"/>
                    </w:rPr>
                    <w:t>环境风险防控</w:t>
                  </w:r>
                </w:p>
              </w:tc>
              <w:tc>
                <w:tcPr>
                  <w:tcW w:w="2320" w:type="pct"/>
                  <w:tcBorders>
                    <w:tl2br w:val="nil"/>
                    <w:tr2bl w:val="nil"/>
                  </w:tcBorders>
                  <w:noWrap w:val="0"/>
                  <w:vAlign w:val="center"/>
                </w:tcPr>
                <w:p>
                  <w:pPr>
                    <w:pStyle w:val="29"/>
                    <w:bidi w:val="0"/>
                    <w:jc w:val="left"/>
                    <w:rPr>
                      <w:rFonts w:hint="default"/>
                      <w:color w:val="auto"/>
                    </w:rPr>
                  </w:pPr>
                  <w:r>
                    <w:rPr>
                      <w:rFonts w:hint="default"/>
                      <w:color w:val="auto"/>
                    </w:rPr>
                    <w:t>1、执行自治区总体准入要求中关于重点管控单元环境风险防控的准入要求（表2-3 A6.3）。</w:t>
                  </w:r>
                </w:p>
                <w:p>
                  <w:pPr>
                    <w:pStyle w:val="29"/>
                    <w:bidi w:val="0"/>
                    <w:jc w:val="left"/>
                    <w:rPr>
                      <w:rFonts w:hint="default"/>
                      <w:color w:val="auto"/>
                    </w:rPr>
                  </w:pPr>
                  <w:r>
                    <w:rPr>
                      <w:rFonts w:hint="default"/>
                      <w:color w:val="auto"/>
                    </w:rPr>
                    <w:t>2、到2022年，城镇人口密集区现有不符合安全和卫生防护距离要求的危险化学品生产企业就地改造达标、搬迁进入规范工业（化工）园区或关闭退出。城市建成区重污染企业和危险化学品企业搬迁改造。</w:t>
                  </w:r>
                </w:p>
                <w:p>
                  <w:pPr>
                    <w:pStyle w:val="29"/>
                    <w:bidi w:val="0"/>
                    <w:jc w:val="left"/>
                    <w:rPr>
                      <w:rFonts w:hint="default"/>
                      <w:color w:val="auto"/>
                    </w:rPr>
                  </w:pPr>
                  <w:r>
                    <w:rPr>
                      <w:rFonts w:hint="default"/>
                      <w:color w:val="auto"/>
                    </w:rPr>
                    <w:t>3、搬迁改造企业拆除危化品生产装置、建筑物和防污染设施，事先制定废弃危险化学品、残留污染物清理和安全处置方案，采取切实有效措施，防范拆除活动造成人员伤亡和环境污染。加强腾退土地污染风险管控和治理修复，确保腾退土地符合规划用地土壤环境质量标准</w:t>
                  </w:r>
                </w:p>
              </w:tc>
              <w:tc>
                <w:tcPr>
                  <w:tcW w:w="1542" w:type="pct"/>
                  <w:tcBorders>
                    <w:tl2br w:val="nil"/>
                    <w:tr2bl w:val="nil"/>
                  </w:tcBorders>
                  <w:noWrap w:val="0"/>
                  <w:vAlign w:val="center"/>
                </w:tcPr>
                <w:p>
                  <w:pPr>
                    <w:pStyle w:val="29"/>
                    <w:bidi w:val="0"/>
                    <w:jc w:val="left"/>
                    <w:rPr>
                      <w:rFonts w:hint="default"/>
                      <w:color w:val="auto"/>
                    </w:rPr>
                  </w:pPr>
                  <w:r>
                    <w:rPr>
                      <w:rFonts w:hint="default"/>
                      <w:color w:val="auto"/>
                    </w:rPr>
                    <w:t>1、项目不属于表2-3 A6.3中关于重点管控单元环境风险防控限制内容。</w:t>
                  </w:r>
                </w:p>
                <w:p>
                  <w:pPr>
                    <w:pStyle w:val="29"/>
                    <w:bidi w:val="0"/>
                    <w:jc w:val="left"/>
                    <w:rPr>
                      <w:rFonts w:hint="default"/>
                      <w:color w:val="auto"/>
                    </w:rPr>
                  </w:pPr>
                  <w:r>
                    <w:rPr>
                      <w:rFonts w:hint="default"/>
                      <w:color w:val="auto"/>
                    </w:rPr>
                    <w:t>2、本项目不在人口密集区</w:t>
                  </w:r>
                </w:p>
                <w:p>
                  <w:pPr>
                    <w:pStyle w:val="29"/>
                    <w:bidi w:val="0"/>
                    <w:jc w:val="left"/>
                    <w:rPr>
                      <w:rFonts w:hint="default"/>
                      <w:color w:val="auto"/>
                    </w:rPr>
                  </w:pPr>
                  <w:r>
                    <w:rPr>
                      <w:rFonts w:hint="default"/>
                      <w:color w:val="auto"/>
                    </w:rPr>
                    <w:t>3、本项目不涉及危险化学品。</w:t>
                  </w:r>
                </w:p>
              </w:tc>
              <w:tc>
                <w:tcPr>
                  <w:tcW w:w="584" w:type="pct"/>
                  <w:tcBorders>
                    <w:tl2br w:val="nil"/>
                    <w:tr2bl w:val="nil"/>
                  </w:tcBorders>
                  <w:noWrap w:val="0"/>
                  <w:vAlign w:val="center"/>
                </w:tcPr>
                <w:p>
                  <w:pPr>
                    <w:pStyle w:val="29"/>
                    <w:bidi w:val="0"/>
                    <w:rPr>
                      <w:rFonts w:hint="default"/>
                      <w:color w:val="auto"/>
                    </w:rPr>
                  </w:pPr>
                  <w:r>
                    <w:rPr>
                      <w:rFonts w:hint="default"/>
                      <w:color w:val="auto"/>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2" w:type="pct"/>
                  <w:tcBorders>
                    <w:tl2br w:val="nil"/>
                    <w:tr2bl w:val="nil"/>
                  </w:tcBorders>
                  <w:noWrap w:val="0"/>
                  <w:vAlign w:val="center"/>
                </w:tcPr>
                <w:p>
                  <w:pPr>
                    <w:pStyle w:val="29"/>
                    <w:bidi w:val="0"/>
                    <w:jc w:val="left"/>
                    <w:rPr>
                      <w:rFonts w:hint="default"/>
                      <w:color w:val="auto"/>
                    </w:rPr>
                  </w:pPr>
                  <w:r>
                    <w:rPr>
                      <w:color w:val="auto"/>
                    </w:rPr>
                    <w:t>资源利用效率</w:t>
                  </w:r>
                </w:p>
              </w:tc>
              <w:tc>
                <w:tcPr>
                  <w:tcW w:w="2320" w:type="pct"/>
                  <w:tcBorders>
                    <w:tl2br w:val="nil"/>
                    <w:tr2bl w:val="nil"/>
                  </w:tcBorders>
                  <w:noWrap w:val="0"/>
                  <w:vAlign w:val="center"/>
                </w:tcPr>
                <w:p>
                  <w:pPr>
                    <w:pStyle w:val="29"/>
                    <w:bidi w:val="0"/>
                    <w:jc w:val="left"/>
                    <w:rPr>
                      <w:rFonts w:hint="default"/>
                      <w:color w:val="auto"/>
                    </w:rPr>
                  </w:pPr>
                  <w:r>
                    <w:rPr>
                      <w:rFonts w:hint="default"/>
                      <w:color w:val="auto"/>
                    </w:rPr>
                    <w:t>1、执行自治区总体准入要求中关于重点管控单元资源利用要求的准入要求（表2-3 A6.4）。</w:t>
                  </w:r>
                </w:p>
              </w:tc>
              <w:tc>
                <w:tcPr>
                  <w:tcW w:w="1542" w:type="pct"/>
                  <w:tcBorders>
                    <w:tl2br w:val="nil"/>
                    <w:tr2bl w:val="nil"/>
                  </w:tcBorders>
                  <w:noWrap w:val="0"/>
                  <w:vAlign w:val="center"/>
                </w:tcPr>
                <w:p>
                  <w:pPr>
                    <w:pStyle w:val="29"/>
                    <w:bidi w:val="0"/>
                    <w:jc w:val="left"/>
                    <w:rPr>
                      <w:rFonts w:hint="default"/>
                      <w:color w:val="auto"/>
                    </w:rPr>
                  </w:pPr>
                  <w:r>
                    <w:rPr>
                      <w:rFonts w:hint="eastAsia"/>
                      <w:color w:val="auto"/>
                    </w:rPr>
                    <w:t>1、本项目符合</w:t>
                  </w:r>
                  <w:r>
                    <w:rPr>
                      <w:color w:val="auto"/>
                    </w:rPr>
                    <w:t>自治区总体准入要求中关于重点管控单元资源利用要求的准入要求</w:t>
                  </w:r>
                  <w:r>
                    <w:rPr>
                      <w:rFonts w:hint="eastAsia"/>
                      <w:color w:val="auto"/>
                    </w:rPr>
                    <w:t>。</w:t>
                  </w:r>
                </w:p>
              </w:tc>
              <w:tc>
                <w:tcPr>
                  <w:tcW w:w="584" w:type="pct"/>
                  <w:tcBorders>
                    <w:tl2br w:val="nil"/>
                    <w:tr2bl w:val="nil"/>
                  </w:tcBorders>
                  <w:noWrap w:val="0"/>
                  <w:vAlign w:val="center"/>
                </w:tcPr>
                <w:p>
                  <w:pPr>
                    <w:pStyle w:val="29"/>
                    <w:bidi w:val="0"/>
                    <w:rPr>
                      <w:rFonts w:hint="default"/>
                      <w:color w:val="auto"/>
                    </w:rPr>
                  </w:pPr>
                  <w:r>
                    <w:rPr>
                      <w:rFonts w:hint="default"/>
                      <w:color w:val="auto"/>
                    </w:rPr>
                    <w:t>符合</w:t>
                  </w:r>
                </w:p>
              </w:tc>
            </w:tr>
          </w:tbl>
          <w:p>
            <w:pPr>
              <w:pStyle w:val="5"/>
              <w:numPr>
                <w:ilvl w:val="0"/>
                <w:numId w:val="3"/>
              </w:numPr>
              <w:bidi w:val="0"/>
              <w:rPr>
                <w:rFonts w:hint="default" w:ascii="Times New Roman" w:hAnsi="Times New Roman" w:eastAsia="宋体"/>
                <w:color w:val="auto"/>
                <w:lang w:val="en-US" w:eastAsia="zh-CN"/>
              </w:rPr>
            </w:pPr>
            <w:bookmarkStart w:id="1" w:name="_Toc487443770"/>
            <w:bookmarkStart w:id="2" w:name="_Toc440992638"/>
            <w:bookmarkStart w:id="3" w:name="_Toc440295614"/>
            <w:bookmarkStart w:id="4" w:name="_Toc463770648"/>
            <w:bookmarkStart w:id="5" w:name="_Toc459880854"/>
            <w:bookmarkStart w:id="6" w:name="_Toc441075220"/>
            <w:r>
              <w:rPr>
                <w:rFonts w:hint="default" w:ascii="Times New Roman" w:hAnsi="Times New Roman" w:eastAsia="宋体"/>
                <w:color w:val="auto"/>
                <w:lang w:val="en-US" w:eastAsia="zh-CN"/>
              </w:rPr>
              <w:t>《自治区重点区域大气污染联防联控工作实施方案》的符合性分析</w:t>
            </w:r>
            <w:bookmarkEnd w:id="1"/>
            <w:bookmarkEnd w:id="2"/>
            <w:bookmarkEnd w:id="3"/>
            <w:bookmarkEnd w:id="4"/>
            <w:bookmarkEnd w:id="5"/>
            <w:bookmarkEnd w:id="6"/>
          </w:p>
          <w:p>
            <w:pPr>
              <w:pStyle w:val="18"/>
              <w:bidi w:val="0"/>
              <w:rPr>
                <w:rFonts w:hint="default"/>
                <w:color w:val="auto"/>
                <w:lang w:val="en-US" w:eastAsia="zh-CN"/>
              </w:rPr>
            </w:pPr>
            <w:r>
              <w:rPr>
                <w:rFonts w:hint="default"/>
                <w:color w:val="auto"/>
                <w:lang w:val="en-US" w:eastAsia="zh-CN"/>
              </w:rPr>
              <w:t>《自治区重点区域大气污染联防联控工作实施方案》指出，重点区域包括乌鲁木齐市、昌吉市、阜康市和五家渠市区域，本项目行政区划隶属</w:t>
            </w:r>
            <w:r>
              <w:rPr>
                <w:rFonts w:hint="eastAsia"/>
                <w:color w:val="auto"/>
                <w:lang w:val="en-US" w:eastAsia="zh-CN"/>
              </w:rPr>
              <w:t>昌吉市佃坝镇</w:t>
            </w:r>
            <w:r>
              <w:rPr>
                <w:rFonts w:hint="default"/>
                <w:color w:val="auto"/>
                <w:lang w:val="en-US" w:eastAsia="zh-CN"/>
              </w:rPr>
              <w:t>，在重点区域范围</w:t>
            </w:r>
            <w:r>
              <w:rPr>
                <w:rFonts w:hint="eastAsia"/>
                <w:color w:val="auto"/>
                <w:lang w:val="en-US" w:eastAsia="zh-CN"/>
              </w:rPr>
              <w:t>内</w:t>
            </w:r>
            <w:r>
              <w:rPr>
                <w:rFonts w:hint="default"/>
                <w:color w:val="auto"/>
                <w:lang w:val="en-US" w:eastAsia="zh-CN"/>
              </w:rPr>
              <w:t>，</w:t>
            </w:r>
            <w:r>
              <w:rPr>
                <w:rFonts w:hint="eastAsia"/>
                <w:color w:val="auto"/>
                <w:lang w:val="en-US" w:eastAsia="zh-CN"/>
              </w:rPr>
              <w:t>项目冬季采用电采暖，</w:t>
            </w:r>
            <w:r>
              <w:rPr>
                <w:rFonts w:hint="default"/>
                <w:color w:val="auto"/>
                <w:lang w:val="en-US" w:eastAsia="zh-CN"/>
              </w:rPr>
              <w:t>符合工作实施方案的要求。</w:t>
            </w:r>
          </w:p>
          <w:p>
            <w:pPr>
              <w:pStyle w:val="5"/>
              <w:numPr>
                <w:ilvl w:val="0"/>
                <w:numId w:val="3"/>
              </w:numPr>
              <w:bidi w:val="0"/>
              <w:ind w:left="0" w:leftChars="0" w:firstLine="0" w:firstLineChars="0"/>
              <w:rPr>
                <w:rFonts w:hint="default"/>
              </w:rPr>
            </w:pPr>
            <w:r>
              <w:rPr>
                <w:rFonts w:hint="default"/>
              </w:rPr>
              <w:t>《关于加强乌鲁木齐、昌吉、石河子、五家渠区域环境同防同治的的意见》的符合性分析</w:t>
            </w:r>
          </w:p>
          <w:p>
            <w:pPr>
              <w:pStyle w:val="18"/>
              <w:bidi w:val="0"/>
            </w:pPr>
            <w:r>
              <w:rPr>
                <w:rFonts w:hint="eastAsia"/>
                <w:lang w:val="en-US" w:eastAsia="zh-CN"/>
              </w:rPr>
              <w:t>根据《关于加强乌鲁木齐、昌吉、石河子、五家渠区域环境同防同治的意见》（新政发〔</w:t>
            </w:r>
            <w:r>
              <w:rPr>
                <w:rFonts w:hint="default"/>
                <w:lang w:val="en-US" w:eastAsia="zh-CN"/>
              </w:rPr>
              <w:t>2016</w:t>
            </w:r>
            <w:r>
              <w:rPr>
                <w:rFonts w:hint="eastAsia"/>
                <w:lang w:val="en-US" w:eastAsia="zh-CN"/>
              </w:rPr>
              <w:t>〕</w:t>
            </w:r>
            <w:r>
              <w:rPr>
                <w:rFonts w:hint="default"/>
                <w:lang w:val="en-US" w:eastAsia="zh-CN"/>
              </w:rPr>
              <w:t>140</w:t>
            </w:r>
            <w:r>
              <w:rPr>
                <w:rFonts w:hint="eastAsia"/>
                <w:lang w:val="en-US" w:eastAsia="zh-CN"/>
              </w:rPr>
              <w:t>号）》，规定：</w:t>
            </w:r>
            <w:r>
              <w:rPr>
                <w:rFonts w:hint="default"/>
                <w:lang w:val="en-US" w:eastAsia="zh-CN"/>
              </w:rPr>
              <w:t>“2016</w:t>
            </w:r>
            <w:r>
              <w:rPr>
                <w:rFonts w:hint="eastAsia"/>
                <w:lang w:val="en-US" w:eastAsia="zh-CN"/>
              </w:rPr>
              <w:t>年在乌鲁木齐区域、奎屯</w:t>
            </w:r>
            <w:r>
              <w:rPr>
                <w:rFonts w:hint="default"/>
                <w:lang w:val="en-US" w:eastAsia="zh-CN"/>
              </w:rPr>
              <w:t>-</w:t>
            </w:r>
            <w:r>
              <w:rPr>
                <w:rFonts w:hint="eastAsia"/>
                <w:lang w:val="en-US" w:eastAsia="zh-CN"/>
              </w:rPr>
              <w:t>独山子</w:t>
            </w:r>
            <w:r>
              <w:rPr>
                <w:rFonts w:hint="default"/>
                <w:lang w:val="en-US" w:eastAsia="zh-CN"/>
              </w:rPr>
              <w:t>-</w:t>
            </w:r>
            <w:r>
              <w:rPr>
                <w:rFonts w:hint="eastAsia"/>
                <w:lang w:val="en-US" w:eastAsia="zh-CN"/>
              </w:rPr>
              <w:t>乌苏区域、克拉玛依市、石河子市、库尔勒市区域内的火电、钢铁、水泥、石化行业和燃煤锅炉，以及哈密市、准东区域的火电行业，要按照规定时间执行相应的大气污染物特别排放限值，其他工业企业一律执行国家最新污染物排放标准</w:t>
            </w:r>
            <w:r>
              <w:rPr>
                <w:rFonts w:hint="default"/>
                <w:lang w:val="en-US" w:eastAsia="zh-CN"/>
              </w:rPr>
              <w:t>”</w:t>
            </w:r>
            <w:r>
              <w:rPr>
                <w:rFonts w:hint="eastAsia"/>
                <w:lang w:val="en-US" w:eastAsia="zh-CN"/>
              </w:rPr>
              <w:t>。</w:t>
            </w:r>
          </w:p>
          <w:p>
            <w:pPr>
              <w:pStyle w:val="18"/>
              <w:bidi w:val="0"/>
            </w:pPr>
            <w:r>
              <w:rPr>
                <w:rFonts w:hint="eastAsia"/>
                <w:lang w:val="en-US" w:eastAsia="zh-CN"/>
              </w:rPr>
              <w:t>本项目属于乌昌石同防同治区域图中的重点控制区，</w:t>
            </w:r>
            <w:r>
              <w:rPr>
                <w:rFonts w:hint="default" w:ascii="Times New Roman" w:hAnsi="Times New Roman" w:eastAsia="宋体" w:cs="Times New Roman"/>
                <w:sz w:val="24"/>
                <w:szCs w:val="32"/>
                <w:lang w:val="en-US" w:eastAsia="zh-CN"/>
              </w:rPr>
              <w:t>项目不属于火电行业，不执行特别排放限值要求。</w:t>
            </w:r>
          </w:p>
          <w:p>
            <w:pPr>
              <w:pStyle w:val="18"/>
              <w:bidi w:val="0"/>
              <w:rPr>
                <w:rFonts w:hint="default"/>
                <w:lang w:val="en-US" w:eastAsia="zh-CN"/>
              </w:rPr>
            </w:pPr>
            <w:r>
              <w:rPr>
                <w:rFonts w:hint="eastAsia"/>
                <w:lang w:val="en-US" w:eastAsia="zh-CN"/>
              </w:rPr>
              <w:t>本项目在乌昌石同防同治区域图中的位置见附图7。</w:t>
            </w:r>
          </w:p>
          <w:p>
            <w:pPr>
              <w:pStyle w:val="5"/>
              <w:numPr>
                <w:ilvl w:val="0"/>
                <w:numId w:val="3"/>
              </w:numPr>
              <w:bidi w:val="0"/>
              <w:jc w:val="both"/>
              <w:rPr>
                <w:rFonts w:hint="eastAsia"/>
                <w:color w:val="auto"/>
                <w:lang w:val="en-US" w:eastAsia="zh-CN"/>
              </w:rPr>
            </w:pPr>
            <w:r>
              <w:rPr>
                <w:rFonts w:hint="eastAsia"/>
                <w:color w:val="auto"/>
                <w:lang w:val="en-US" w:eastAsia="zh-CN"/>
              </w:rPr>
              <w:t>与《昌吉州农村人居环境整治三年行动实施方案》（昌州党办发〔2018〕75号）符合性分析</w:t>
            </w:r>
          </w:p>
          <w:p>
            <w:pPr>
              <w:pStyle w:val="18"/>
              <w:bidi w:val="0"/>
              <w:rPr>
                <w:rFonts w:hint="eastAsia"/>
                <w:color w:val="auto"/>
                <w:lang w:val="en-US" w:eastAsia="zh-CN"/>
              </w:rPr>
            </w:pPr>
            <w:r>
              <w:rPr>
                <w:rFonts w:hint="eastAsia"/>
                <w:color w:val="auto"/>
                <w:lang w:val="en-US" w:eastAsia="zh-CN"/>
              </w:rPr>
              <w:t>《昌吉州农村人居环境整治三年行动实施方案》（昌州党办发〔2018〕75号）中指出“推进农村生活垃圾治理。统筹考虑生活垃圾和农业生产废弃物利用、处理，建立健全符合农村实际、方式多样的生活垃圾收运处置体系。有条件的地区要推行适合农村特点的垃圾就地分类和资源化利用方式。开展非正规垃圾堆放点排查整治”本项目建设垃圾中转站，可有效推进昌吉市农村生活垃圾整治，解决当前的农村生活垃圾露天堆放问题，保证农村人居环境整治有序推进，因此本项目建设符合《昌吉州农村人居环境整治三年行动实施方案》要求。</w:t>
            </w:r>
          </w:p>
          <w:p>
            <w:pPr>
              <w:pStyle w:val="5"/>
              <w:keepNext/>
              <w:keepLines/>
              <w:pageBreakBefore w:val="0"/>
              <w:widowControl w:val="0"/>
              <w:numPr>
                <w:ilvl w:val="0"/>
                <w:numId w:val="3"/>
              </w:numPr>
              <w:kinsoku/>
              <w:wordWrap/>
              <w:overflowPunct/>
              <w:topLinePunct w:val="0"/>
              <w:autoSpaceDE/>
              <w:autoSpaceDN/>
              <w:bidi w:val="0"/>
              <w:adjustRightInd/>
              <w:snapToGrid/>
              <w:spacing w:line="240" w:lineRule="auto"/>
              <w:textAlignment w:val="auto"/>
              <w:rPr>
                <w:rFonts w:hint="eastAsia"/>
                <w:color w:val="auto"/>
                <w:lang w:val="en-US" w:eastAsia="zh-CN"/>
              </w:rPr>
            </w:pPr>
            <w:r>
              <w:rPr>
                <w:rFonts w:hint="eastAsia"/>
                <w:color w:val="auto"/>
                <w:lang w:val="en-US" w:eastAsia="zh-CN"/>
              </w:rPr>
              <w:t>与《昌吉州农村人居环境整治生活垃圾治理2021年专项行动工作方案》（昌州建村〔2021〕2号）符合性分析</w:t>
            </w:r>
          </w:p>
          <w:p>
            <w:pPr>
              <w:pStyle w:val="18"/>
              <w:pageBreakBefore w:val="0"/>
              <w:kinsoku/>
              <w:wordWrap/>
              <w:overflowPunct/>
              <w:topLinePunct w:val="0"/>
              <w:bidi w:val="0"/>
              <w:jc w:val="both"/>
              <w:textAlignment w:val="auto"/>
              <w:rPr>
                <w:rFonts w:hint="default"/>
                <w:color w:val="auto"/>
                <w:lang w:val="en-US" w:eastAsia="zh-CN"/>
              </w:rPr>
            </w:pPr>
            <w:r>
              <w:rPr>
                <w:rFonts w:hint="eastAsia"/>
                <w:color w:val="auto"/>
                <w:lang w:val="en-US" w:eastAsia="zh-CN"/>
              </w:rPr>
              <w:t>《昌吉州农村人居环境整治生活垃圾治理2021年专项行动工作方案》，指出“健全农村生活垃圾收集、转运和处置体系。按照《自治区农村生活垃圾收集、转运和处置体系建设标准》，在现有治理成效基础上，结合人口规模、村域面积、转运至垃圾处理中心的垃圾量、运距条件、现有设施处理能力、未来发展趋势等因素，升级改造所有村庄现有设施运行能力，按自治区标准配齐垃圾收集、转运、处置设施设备，更新更换陈旧、损坏的设施设备，进一步完善农村生活垃圾治理模式。针对治理过程中出现的短板和弱项，积极申报农村生活垃圾治理项目，建立项目库，加快农村生活垃圾收集、转运和处置设施建设”。本项目建设后，处理能力可达到20</w:t>
            </w:r>
            <w:r>
              <w:rPr>
                <w:rFonts w:hint="default"/>
                <w:color w:val="auto"/>
                <w:lang w:val="en-US" w:eastAsia="zh-CN"/>
              </w:rPr>
              <w:t>0t/d</w:t>
            </w:r>
            <w:r>
              <w:rPr>
                <w:rFonts w:hint="eastAsia"/>
                <w:color w:val="auto"/>
                <w:lang w:val="en-US" w:eastAsia="zh-CN"/>
              </w:rPr>
              <w:t>，为中型Ⅲ类转运站，可有效处理服务范围内农村生活垃圾，加快实施乡村振兴战略和乡村建设行动的目标要求，持续改善和巩固农村人居环境，巩固提升农村生活垃圾治理质量水平，因此项目建设符合《昌吉州农村人居环境整治生活垃圾治理2021年专项行动工作方案》要求。</w:t>
            </w:r>
          </w:p>
          <w:p>
            <w:pPr>
              <w:pStyle w:val="5"/>
              <w:numPr>
                <w:ilvl w:val="0"/>
                <w:numId w:val="3"/>
              </w:numPr>
              <w:bidi w:val="0"/>
              <w:jc w:val="both"/>
              <w:rPr>
                <w:rFonts w:hint="eastAsia"/>
                <w:lang w:val="en-US" w:eastAsia="zh-CN"/>
              </w:rPr>
            </w:pPr>
            <w:r>
              <w:rPr>
                <w:rFonts w:hint="eastAsia"/>
                <w:lang w:val="en-US" w:eastAsia="zh-CN"/>
              </w:rPr>
              <w:t>与</w:t>
            </w:r>
            <w:r>
              <w:rPr>
                <w:rFonts w:hint="default"/>
                <w:lang w:val="en-US" w:eastAsia="zh-CN"/>
              </w:rPr>
              <w:t>《关于开展自治区2021年度夏秋季大气污染防治“</w:t>
            </w:r>
            <w:r>
              <w:rPr>
                <w:rFonts w:hint="eastAsia"/>
                <w:lang w:val="en-US" w:eastAsia="zh-CN"/>
              </w:rPr>
              <w:t>冬</w:t>
            </w:r>
            <w:r>
              <w:rPr>
                <w:rFonts w:hint="default"/>
                <w:lang w:val="en-US" w:eastAsia="zh-CN"/>
              </w:rPr>
              <w:t>病夏治”工作的通知</w:t>
            </w:r>
            <w:r>
              <w:rPr>
                <w:rFonts w:hint="eastAsia"/>
                <w:lang w:val="en-US" w:eastAsia="zh-CN"/>
              </w:rPr>
              <w:t>》符合性分析</w:t>
            </w:r>
          </w:p>
          <w:p>
            <w:pPr>
              <w:pStyle w:val="18"/>
              <w:bidi w:val="0"/>
              <w:rPr>
                <w:rFonts w:hint="eastAsia"/>
                <w:lang w:val="en-US" w:eastAsia="zh-CN"/>
              </w:rPr>
            </w:pPr>
            <w:r>
              <w:rPr>
                <w:rFonts w:hint="default"/>
                <w:lang w:val="en-US" w:eastAsia="zh-CN"/>
              </w:rPr>
              <w:t>根据《关于开展自治区2021年度夏秋季大气污染防治“</w:t>
            </w:r>
            <w:r>
              <w:rPr>
                <w:rFonts w:hint="eastAsia"/>
                <w:lang w:val="en-US" w:eastAsia="zh-CN"/>
              </w:rPr>
              <w:t>冬</w:t>
            </w:r>
            <w:r>
              <w:rPr>
                <w:rFonts w:hint="default"/>
                <w:lang w:val="en-US" w:eastAsia="zh-CN"/>
              </w:rPr>
              <w:t>病夏治”工作的通知》（昌州环委办发[2021]17号）</w:t>
            </w:r>
            <w:r>
              <w:rPr>
                <w:rFonts w:hint="eastAsia"/>
                <w:lang w:val="en-US" w:eastAsia="zh-CN"/>
              </w:rPr>
              <w:t>：</w:t>
            </w:r>
            <w:r>
              <w:rPr>
                <w:rFonts w:hint="default"/>
                <w:lang w:val="en-US" w:eastAsia="zh-CN"/>
              </w:rPr>
              <w:t>开展锅炉综合整治</w:t>
            </w:r>
            <w:r>
              <w:rPr>
                <w:rFonts w:hint="eastAsia"/>
                <w:lang w:val="en-US" w:eastAsia="zh-CN"/>
              </w:rPr>
              <w:t>——</w:t>
            </w:r>
            <w:r>
              <w:rPr>
                <w:rFonts w:hint="default"/>
                <w:lang w:val="en-US" w:eastAsia="zh-CN"/>
              </w:rPr>
              <w:t>“实施燃气锅炉低氮改造，重点区域内未实施燃气锅炉低氮改造的城市，按照氮氧化物排放浓度不高于</w:t>
            </w:r>
            <w:r>
              <w:rPr>
                <w:rFonts w:hint="eastAsia"/>
                <w:lang w:val="en-US" w:eastAsia="zh-CN"/>
              </w:rPr>
              <w:t>50</w:t>
            </w:r>
            <w:r>
              <w:rPr>
                <w:rFonts w:hint="default"/>
                <w:lang w:val="en-US" w:eastAsia="zh-CN"/>
              </w:rPr>
              <w:t>毫克/立方米的要求，力争2021年夏</w:t>
            </w:r>
            <w:r>
              <w:rPr>
                <w:rFonts w:hint="eastAsia"/>
                <w:lang w:val="en-US" w:eastAsia="zh-CN"/>
              </w:rPr>
              <w:t>秋季</w:t>
            </w:r>
            <w:r>
              <w:rPr>
                <w:rFonts w:hint="default"/>
                <w:lang w:val="en-US" w:eastAsia="zh-CN"/>
              </w:rPr>
              <w:t>完成30%以上燃气锅炉低氮改造”</w:t>
            </w:r>
            <w:r>
              <w:rPr>
                <w:rFonts w:hint="eastAsia"/>
                <w:lang w:val="en-US" w:eastAsia="zh-CN"/>
              </w:rPr>
              <w:t>。齐抓共管，严格管控烟粉尘污染。</w:t>
            </w:r>
          </w:p>
          <w:p>
            <w:pPr>
              <w:pStyle w:val="18"/>
              <w:bidi w:val="0"/>
              <w:rPr>
                <w:rFonts w:hint="default"/>
                <w:lang w:val="en-US" w:eastAsia="zh-CN"/>
              </w:rPr>
            </w:pPr>
            <w:r>
              <w:rPr>
                <w:rFonts w:hint="default"/>
                <w:lang w:val="en-US" w:eastAsia="zh-CN"/>
              </w:rPr>
              <w:t>本项目位于重点区域，</w:t>
            </w:r>
            <w:r>
              <w:rPr>
                <w:rFonts w:hint="eastAsia"/>
                <w:lang w:val="en-US" w:eastAsia="zh-CN"/>
              </w:rPr>
              <w:t>项目冬季供暖采用电采暖。项目废气采用“</w:t>
            </w:r>
            <w:r>
              <w:rPr>
                <w:color w:val="000000"/>
                <w:kern w:val="0"/>
                <w:szCs w:val="21"/>
              </w:rPr>
              <w:t>喷雾除臭除尘</w:t>
            </w:r>
            <w:r>
              <w:rPr>
                <w:rFonts w:hint="eastAsia"/>
                <w:color w:val="000000"/>
                <w:kern w:val="0"/>
                <w:szCs w:val="21"/>
              </w:rPr>
              <w:t>装置</w:t>
            </w:r>
            <w:r>
              <w:rPr>
                <w:rFonts w:hint="eastAsia"/>
                <w:lang w:val="en-US" w:eastAsia="zh-CN"/>
              </w:rPr>
              <w:t>”处理，项目收集、运输车辆实行密闭化运输，不存在沿途丢弃、遗撒生活垃圾或者滴漏污水现象，整个站区除绿化用地和建筑用地外，其它均铺设水泥路面，作为回车和运输道路使用。站外与城市道路相连。</w:t>
            </w:r>
          </w:p>
          <w:p>
            <w:pPr>
              <w:pStyle w:val="5"/>
              <w:numPr>
                <w:ilvl w:val="0"/>
                <w:numId w:val="3"/>
              </w:numPr>
              <w:bidi w:val="0"/>
              <w:jc w:val="both"/>
              <w:rPr>
                <w:rFonts w:hint="default"/>
                <w:lang w:val="en-US" w:eastAsia="zh-CN"/>
              </w:rPr>
            </w:pPr>
            <w:r>
              <w:rPr>
                <w:rFonts w:hint="eastAsia"/>
                <w:lang w:val="en-US" w:eastAsia="zh-CN"/>
              </w:rPr>
              <w:t>《自治区打赢蓝天保卫战三年行动计划》（2018-2020年）</w:t>
            </w:r>
            <w:r>
              <w:rPr>
                <w:rFonts w:hint="default"/>
                <w:lang w:val="en-US" w:eastAsia="zh-CN"/>
              </w:rPr>
              <w:t>符合性分析</w:t>
            </w:r>
          </w:p>
          <w:p>
            <w:pPr>
              <w:pStyle w:val="18"/>
              <w:pageBreakBefore w:val="0"/>
              <w:kinsoku/>
              <w:wordWrap/>
              <w:overflowPunct/>
              <w:topLinePunct w:val="0"/>
              <w:bidi w:val="0"/>
              <w:textAlignment w:val="auto"/>
              <w:rPr>
                <w:rFonts w:hint="default"/>
                <w:color w:val="auto"/>
                <w:highlight w:val="none"/>
                <w:lang w:val="en-US" w:eastAsia="zh-CN"/>
              </w:rPr>
            </w:pPr>
            <w:r>
              <w:rPr>
                <w:rFonts w:hint="default" w:ascii="Times New Roman" w:hAnsi="Times New Roman" w:eastAsia="宋体"/>
                <w:color w:val="auto"/>
                <w:highlight w:val="none"/>
                <w:lang w:val="en-US" w:eastAsia="zh-CN"/>
              </w:rPr>
              <w:t>《</w:t>
            </w:r>
            <w:r>
              <w:rPr>
                <w:rFonts w:hint="eastAsia" w:ascii="Times New Roman" w:hAnsi="Times New Roman" w:eastAsia="宋体"/>
                <w:color w:val="auto"/>
                <w:highlight w:val="none"/>
                <w:lang w:val="en-US" w:eastAsia="zh-CN"/>
              </w:rPr>
              <w:t>自治区</w:t>
            </w:r>
            <w:r>
              <w:rPr>
                <w:rFonts w:hint="default"/>
                <w:color w:val="auto"/>
                <w:highlight w:val="none"/>
                <w:lang w:val="en-US" w:eastAsia="zh-CN"/>
              </w:rPr>
              <w:t>打赢蓝天保卫战三年行动计划》（2018-2020年）中与本项目有关内容进行相符性对照，本项目符合性分析见表1-</w:t>
            </w:r>
            <w:r>
              <w:rPr>
                <w:rFonts w:hint="eastAsia"/>
                <w:color w:val="auto"/>
                <w:highlight w:val="none"/>
                <w:lang w:val="en-US" w:eastAsia="zh-CN"/>
              </w:rPr>
              <w:t>5</w:t>
            </w:r>
            <w:r>
              <w:rPr>
                <w:rFonts w:hint="default"/>
                <w:color w:val="auto"/>
                <w:highlight w:val="none"/>
                <w:lang w:val="en-US" w:eastAsia="zh-CN"/>
              </w:rPr>
              <w:t>。</w:t>
            </w:r>
          </w:p>
          <w:p>
            <w:pPr>
              <w:pStyle w:val="28"/>
              <w:pageBreakBefore w:val="0"/>
              <w:kinsoku/>
              <w:wordWrap/>
              <w:overflowPunct/>
              <w:topLinePunct w:val="0"/>
              <w:bidi w:val="0"/>
              <w:textAlignment w:val="auto"/>
              <w:rPr>
                <w:rFonts w:hint="default"/>
                <w:color w:val="auto"/>
                <w:highlight w:val="none"/>
                <w:lang w:val="en-US" w:eastAsia="zh-CN"/>
              </w:rPr>
            </w:pPr>
            <w:r>
              <w:rPr>
                <w:rFonts w:hint="default"/>
                <w:color w:val="auto"/>
                <w:highlight w:val="none"/>
                <w:lang w:val="en-US" w:eastAsia="zh-CN"/>
              </w:rPr>
              <w:t>表1-</w:t>
            </w:r>
            <w:r>
              <w:rPr>
                <w:rFonts w:hint="eastAsia"/>
                <w:color w:val="auto"/>
                <w:highlight w:val="none"/>
                <w:lang w:val="en-US" w:eastAsia="zh-CN"/>
              </w:rPr>
              <w:t xml:space="preserve">5   </w:t>
            </w:r>
            <w:r>
              <w:rPr>
                <w:rFonts w:hint="default"/>
                <w:color w:val="auto"/>
                <w:highlight w:val="none"/>
                <w:lang w:val="en-US" w:eastAsia="zh-CN"/>
              </w:rPr>
              <w:t xml:space="preserve"> 与</w:t>
            </w:r>
            <w:r>
              <w:rPr>
                <w:rFonts w:hint="eastAsia" w:ascii="Times New Roman" w:hAnsi="Times New Roman" w:eastAsia="宋体"/>
                <w:color w:val="auto"/>
                <w:highlight w:val="none"/>
                <w:lang w:val="en-US" w:eastAsia="zh-CN"/>
              </w:rPr>
              <w:t>自治区</w:t>
            </w:r>
            <w:r>
              <w:rPr>
                <w:rFonts w:hint="eastAsia"/>
                <w:b/>
                <w:bCs/>
                <w:color w:val="auto"/>
                <w:highlight w:val="none"/>
                <w:lang w:val="en-US" w:eastAsia="zh-CN"/>
              </w:rPr>
              <w:t>打赢蓝天保卫战三年行动计划</w:t>
            </w:r>
            <w:r>
              <w:rPr>
                <w:rFonts w:hint="default"/>
                <w:color w:val="auto"/>
                <w:highlight w:val="none"/>
                <w:lang w:val="en-US" w:eastAsia="zh-CN"/>
              </w:rPr>
              <w:t>符合性分析</w:t>
            </w:r>
            <w:r>
              <w:rPr>
                <w:color w:val="auto"/>
                <w:highlight w:val="none"/>
              </w:rPr>
              <w:t>一览表</w:t>
            </w:r>
          </w:p>
          <w:tbl>
            <w:tblPr>
              <w:tblStyle w:val="22"/>
              <w:tblW w:w="4998" w:type="pct"/>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783"/>
              <w:gridCol w:w="4429"/>
              <w:gridCol w:w="864"/>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序号</w:t>
                  </w:r>
                </w:p>
              </w:tc>
              <w:tc>
                <w:tcPr>
                  <w:tcW w:w="1145"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文件要求</w:t>
                  </w:r>
                </w:p>
              </w:tc>
              <w:tc>
                <w:tcPr>
                  <w:tcW w:w="2845"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本项目建设情况</w:t>
                  </w:r>
                </w:p>
              </w:tc>
              <w:tc>
                <w:tcPr>
                  <w:tcW w:w="555"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符合性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op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1</w:t>
                  </w:r>
                </w:p>
              </w:tc>
              <w:tc>
                <w:tcPr>
                  <w:tcW w:w="1145" w:type="pct"/>
                  <w:tcBorders>
                    <w:top w:val="single" w:color="000000" w:sz="12" w:space="0"/>
                    <w:tl2br w:val="nil"/>
                    <w:tr2bl w:val="nil"/>
                  </w:tcBorders>
                  <w:vAlign w:val="center"/>
                </w:tcPr>
                <w:p>
                  <w:pPr>
                    <w:pStyle w:val="29"/>
                    <w:pageBreakBefore w:val="0"/>
                    <w:widowControl w:val="0"/>
                    <w:kinsoku/>
                    <w:wordWrap/>
                    <w:overflowPunct/>
                    <w:topLinePunct w:val="0"/>
                    <w:bidi w:val="0"/>
                    <w:jc w:val="both"/>
                    <w:textAlignment w:val="auto"/>
                    <w:rPr>
                      <w:rFonts w:hint="default"/>
                      <w:color w:val="auto"/>
                      <w:highlight w:val="none"/>
                      <w:lang w:val="en-US" w:eastAsia="zh-CN"/>
                    </w:rPr>
                  </w:pPr>
                  <w:r>
                    <w:rPr>
                      <w:rFonts w:hint="eastAsia"/>
                      <w:color w:val="auto"/>
                      <w:highlight w:val="none"/>
                      <w:lang w:val="en-US" w:eastAsia="zh-CN"/>
                    </w:rPr>
                    <w:t>调整优化产业结构，推进绿色发展</w:t>
                  </w:r>
                </w:p>
              </w:tc>
              <w:tc>
                <w:tcPr>
                  <w:tcW w:w="2845" w:type="pct"/>
                  <w:tcBorders>
                    <w:top w:val="single" w:color="000000" w:sz="12" w:space="0"/>
                    <w:tl2br w:val="nil"/>
                    <w:tr2bl w:val="nil"/>
                  </w:tcBorders>
                  <w:vAlign w:val="center"/>
                </w:tcPr>
                <w:p>
                  <w:pPr>
                    <w:pStyle w:val="29"/>
                    <w:pageBreakBefore w:val="0"/>
                    <w:widowControl w:val="0"/>
                    <w:kinsoku/>
                    <w:wordWrap/>
                    <w:overflowPunct/>
                    <w:topLinePunct w:val="0"/>
                    <w:bidi w:val="0"/>
                    <w:jc w:val="both"/>
                    <w:textAlignment w:val="auto"/>
                    <w:rPr>
                      <w:rFonts w:hint="default" w:eastAsia="宋体"/>
                      <w:color w:val="auto"/>
                      <w:highlight w:val="none"/>
                      <w:lang w:val="en-US" w:eastAsia="zh-CN"/>
                    </w:rPr>
                  </w:pPr>
                  <w:r>
                    <w:rPr>
                      <w:rFonts w:hint="eastAsia"/>
                      <w:b w:val="0"/>
                      <w:bCs/>
                      <w:color w:val="auto"/>
                      <w:lang w:val="en-US" w:eastAsia="zh-CN"/>
                    </w:rPr>
                    <w:t>本项目属于</w:t>
                  </w:r>
                  <w:r>
                    <w:rPr>
                      <w:rFonts w:hint="default"/>
                      <w:b w:val="0"/>
                      <w:bCs/>
                      <w:color w:val="auto"/>
                      <w:lang w:val="en-US" w:eastAsia="zh-CN"/>
                    </w:rPr>
                    <w:t>生活垃圾（含餐厨废弃物）转运站</w:t>
                  </w:r>
                  <w:r>
                    <w:rPr>
                      <w:rFonts w:hint="eastAsia"/>
                      <w:b w:val="0"/>
                      <w:bCs/>
                      <w:color w:val="auto"/>
                      <w:lang w:val="en-US" w:eastAsia="zh-CN"/>
                    </w:rPr>
                    <w:t>项目，根据</w:t>
                  </w:r>
                  <w:r>
                    <w:rPr>
                      <w:rFonts w:hint="default"/>
                      <w:color w:val="auto"/>
                    </w:rPr>
                    <w:t>《产业结构调整指导目录（201</w:t>
                  </w:r>
                  <w:r>
                    <w:rPr>
                      <w:rFonts w:hint="default"/>
                      <w:color w:val="auto"/>
                      <w:lang w:val="en-US" w:eastAsia="zh-CN"/>
                    </w:rPr>
                    <w:t>9</w:t>
                  </w:r>
                  <w:r>
                    <w:rPr>
                      <w:rFonts w:hint="default"/>
                      <w:color w:val="auto"/>
                    </w:rPr>
                    <w:t>年本）》</w:t>
                  </w:r>
                  <w:r>
                    <w:rPr>
                      <w:rFonts w:hint="eastAsia"/>
                      <w:color w:val="auto"/>
                      <w:lang w:val="en-US" w:eastAsia="zh-CN"/>
                    </w:rPr>
                    <w:t>属鼓励类项目，项目污染物均达标排放；</w:t>
                  </w:r>
                </w:p>
              </w:tc>
              <w:tc>
                <w:tcPr>
                  <w:tcW w:w="555" w:type="pct"/>
                  <w:tcBorders>
                    <w:top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2</w:t>
                  </w:r>
                </w:p>
              </w:tc>
              <w:tc>
                <w:tcPr>
                  <w:tcW w:w="1145" w:type="pct"/>
                  <w:tcBorders>
                    <w:tl2br w:val="nil"/>
                    <w:tr2bl w:val="nil"/>
                  </w:tcBorders>
                  <w:vAlign w:val="center"/>
                </w:tcPr>
                <w:p>
                  <w:pPr>
                    <w:pStyle w:val="29"/>
                    <w:pageBreakBefore w:val="0"/>
                    <w:widowControl w:val="0"/>
                    <w:kinsoku/>
                    <w:wordWrap/>
                    <w:overflowPunct/>
                    <w:topLinePunct w:val="0"/>
                    <w:bidi w:val="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调整优化能源结构，构建清洁低碳高效能源体系</w:t>
                  </w:r>
                </w:p>
              </w:tc>
              <w:tc>
                <w:tcPr>
                  <w:tcW w:w="2845"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项目冬季采用电采暖</w:t>
                  </w:r>
                </w:p>
              </w:tc>
              <w:tc>
                <w:tcPr>
                  <w:tcW w:w="555"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3"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3</w:t>
                  </w:r>
                </w:p>
              </w:tc>
              <w:tc>
                <w:tcPr>
                  <w:tcW w:w="1145" w:type="pct"/>
                  <w:tcBorders>
                    <w:tl2br w:val="nil"/>
                    <w:tr2bl w:val="nil"/>
                  </w:tcBorders>
                  <w:vAlign w:val="center"/>
                </w:tcPr>
                <w:p>
                  <w:pPr>
                    <w:pStyle w:val="29"/>
                    <w:pageBreakBefore w:val="0"/>
                    <w:widowControl w:val="0"/>
                    <w:kinsoku/>
                    <w:wordWrap/>
                    <w:overflowPunct/>
                    <w:topLinePunct w:val="0"/>
                    <w:bidi w:val="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优化调整用地结构，推进面源污染治理</w:t>
                  </w:r>
                </w:p>
              </w:tc>
              <w:tc>
                <w:tcPr>
                  <w:tcW w:w="2845" w:type="pct"/>
                  <w:tcBorders>
                    <w:tl2br w:val="nil"/>
                    <w:tr2bl w:val="nil"/>
                  </w:tcBorders>
                  <w:vAlign w:val="center"/>
                </w:tcPr>
                <w:p>
                  <w:pPr>
                    <w:pStyle w:val="29"/>
                    <w:pageBreakBefore w:val="0"/>
                    <w:widowControl w:val="0"/>
                    <w:kinsoku/>
                    <w:wordWrap/>
                    <w:overflowPunct/>
                    <w:topLinePunct w:val="0"/>
                    <w:bidi w:val="0"/>
                    <w:jc w:val="both"/>
                    <w:textAlignment w:val="auto"/>
                    <w:rPr>
                      <w:rFonts w:hint="default"/>
                      <w:color w:val="auto"/>
                      <w:highlight w:val="none"/>
                      <w:lang w:val="en-US" w:eastAsia="zh-CN"/>
                    </w:rPr>
                  </w:pPr>
                  <w:r>
                    <w:rPr>
                      <w:rFonts w:hint="eastAsia"/>
                      <w:color w:val="auto"/>
                      <w:highlight w:val="none"/>
                      <w:lang w:val="en-US" w:eastAsia="zh-CN"/>
                    </w:rPr>
                    <w:t>本项目废气采用</w:t>
                  </w:r>
                  <w:r>
                    <w:rPr>
                      <w:rFonts w:hint="default"/>
                      <w:color w:val="auto"/>
                      <w:lang w:val="en-US" w:eastAsia="zh-CN"/>
                    </w:rPr>
                    <w:t>负压抽风除臭系统</w:t>
                  </w:r>
                  <w:r>
                    <w:rPr>
                      <w:rFonts w:hint="eastAsia"/>
                      <w:color w:val="auto"/>
                      <w:lang w:val="en-US" w:eastAsia="zh-CN"/>
                    </w:rPr>
                    <w:t>、前端植物液雾化除臭、降尘喷淋除臭系统、空间雾化系统、15m排气筒等措施处理后排放；</w:t>
                  </w:r>
                  <w:r>
                    <w:rPr>
                      <w:color w:val="auto"/>
                    </w:rPr>
                    <w:t>运输车辆必须定期检查；加强对垃圾收集箱和集装箱的维护，装载前检查箱体的密闭性和防渗漏性，确保运输过程不发生滴漏、满溢等现象；严格控制运输时间及运输量，不得超载、超速和使用劣质机油。</w:t>
                  </w:r>
                </w:p>
              </w:tc>
              <w:tc>
                <w:tcPr>
                  <w:tcW w:w="555"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符合</w:t>
                  </w:r>
                </w:p>
              </w:tc>
            </w:tr>
          </w:tbl>
          <w:p>
            <w:pPr>
              <w:pStyle w:val="5"/>
              <w:numPr>
                <w:ilvl w:val="0"/>
                <w:numId w:val="3"/>
              </w:numPr>
              <w:bidi w:val="0"/>
              <w:rPr>
                <w:rFonts w:hint="default"/>
                <w:color w:val="auto"/>
                <w:lang w:val="en-US" w:eastAsia="zh-CN"/>
              </w:rPr>
            </w:pPr>
            <w:r>
              <w:rPr>
                <w:rFonts w:hint="default"/>
                <w:color w:val="auto"/>
                <w:lang w:val="en-US" w:eastAsia="zh-CN"/>
              </w:rPr>
              <w:t>《关于</w:t>
            </w:r>
            <w:r>
              <w:rPr>
                <w:rFonts w:hint="eastAsia"/>
                <w:color w:val="auto"/>
                <w:lang w:val="en-US" w:eastAsia="zh-CN"/>
              </w:rPr>
              <w:t>做好</w:t>
            </w:r>
            <w:r>
              <w:rPr>
                <w:rFonts w:hint="default"/>
                <w:color w:val="auto"/>
                <w:lang w:val="en-US" w:eastAsia="zh-CN"/>
              </w:rPr>
              <w:t>乌鲁木齐、昌吉、石河子、五家渠区域环境同防同治</w:t>
            </w:r>
            <w:r>
              <w:rPr>
                <w:rFonts w:hint="eastAsia"/>
                <w:color w:val="auto"/>
                <w:lang w:val="en-US" w:eastAsia="zh-CN"/>
              </w:rPr>
              <w:t>工作的通知</w:t>
            </w:r>
            <w:r>
              <w:rPr>
                <w:rFonts w:hint="default"/>
                <w:color w:val="auto"/>
                <w:lang w:val="en-US" w:eastAsia="zh-CN"/>
              </w:rPr>
              <w:t>》（新政</w:t>
            </w:r>
            <w:r>
              <w:rPr>
                <w:rFonts w:hint="eastAsia"/>
                <w:color w:val="auto"/>
                <w:lang w:val="en-US" w:eastAsia="zh-CN"/>
              </w:rPr>
              <w:t>办</w:t>
            </w:r>
            <w:r>
              <w:rPr>
                <w:rFonts w:hint="default"/>
                <w:color w:val="auto"/>
                <w:lang w:val="en-US" w:eastAsia="zh-CN"/>
              </w:rPr>
              <w:t>发〔201</w:t>
            </w:r>
            <w:r>
              <w:rPr>
                <w:rFonts w:hint="eastAsia"/>
                <w:color w:val="auto"/>
                <w:lang w:val="en-US" w:eastAsia="zh-CN"/>
              </w:rPr>
              <w:t>7</w:t>
            </w:r>
            <w:r>
              <w:rPr>
                <w:rFonts w:hint="default"/>
                <w:color w:val="auto"/>
                <w:lang w:val="en-US" w:eastAsia="zh-CN"/>
              </w:rPr>
              <w:t>〕1</w:t>
            </w:r>
            <w:r>
              <w:rPr>
                <w:rFonts w:hint="eastAsia"/>
                <w:color w:val="auto"/>
                <w:lang w:val="en-US" w:eastAsia="zh-CN"/>
              </w:rPr>
              <w:t>7</w:t>
            </w:r>
            <w:r>
              <w:rPr>
                <w:rFonts w:hint="default"/>
                <w:color w:val="auto"/>
                <w:lang w:val="en-US" w:eastAsia="zh-CN"/>
              </w:rPr>
              <w:t xml:space="preserve"> 号）</w:t>
            </w:r>
          </w:p>
          <w:p>
            <w:pPr>
              <w:pStyle w:val="28"/>
              <w:bidi w:val="0"/>
              <w:spacing w:line="240" w:lineRule="auto"/>
              <w:rPr>
                <w:rFonts w:hint="default"/>
                <w:lang w:val="en-US" w:eastAsia="zh-CN"/>
              </w:rPr>
            </w:pPr>
            <w:r>
              <w:rPr>
                <w:rFonts w:hint="default"/>
                <w:lang w:val="en-US" w:eastAsia="zh-CN"/>
              </w:rPr>
              <w:t>表1-</w:t>
            </w:r>
            <w:r>
              <w:rPr>
                <w:rFonts w:hint="eastAsia"/>
                <w:lang w:val="en-US" w:eastAsia="zh-CN"/>
              </w:rPr>
              <w:t>6</w:t>
            </w:r>
            <w:r>
              <w:rPr>
                <w:rFonts w:hint="default"/>
                <w:lang w:val="en-US" w:eastAsia="zh-CN"/>
              </w:rPr>
              <w:t>与关于做好乌鲁木齐、昌吉、石河子、五家渠区域环境同防同治工作的通知符合性分析</w:t>
            </w:r>
            <w:r>
              <w:t>一览表</w:t>
            </w:r>
          </w:p>
          <w:tbl>
            <w:tblPr>
              <w:tblStyle w:val="22"/>
              <w:tblW w:w="4998" w:type="pct"/>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674"/>
              <w:gridCol w:w="4537"/>
              <w:gridCol w:w="864"/>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PrEx>
              <w:tc>
                <w:tcPr>
                  <w:tcW w:w="454"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序号</w:t>
                  </w:r>
                </w:p>
              </w:tc>
              <w:tc>
                <w:tcPr>
                  <w:tcW w:w="1075"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文件要求</w:t>
                  </w:r>
                </w:p>
              </w:tc>
              <w:tc>
                <w:tcPr>
                  <w:tcW w:w="2914"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本项目建设情况</w:t>
                  </w:r>
                </w:p>
              </w:tc>
              <w:tc>
                <w:tcPr>
                  <w:tcW w:w="555" w:type="pct"/>
                  <w:tcBorders>
                    <w:bottom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b/>
                      <w:bCs/>
                      <w:color w:val="auto"/>
                      <w:highlight w:val="none"/>
                      <w:lang w:val="en-US" w:eastAsia="zh-CN"/>
                    </w:rPr>
                  </w:pPr>
                  <w:r>
                    <w:rPr>
                      <w:rFonts w:hint="eastAsia"/>
                      <w:b/>
                      <w:bCs/>
                      <w:color w:val="auto"/>
                      <w:highlight w:val="none"/>
                      <w:lang w:val="en-US" w:eastAsia="zh-CN"/>
                    </w:rPr>
                    <w:t>符合性</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top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1</w:t>
                  </w:r>
                </w:p>
              </w:tc>
              <w:tc>
                <w:tcPr>
                  <w:tcW w:w="1075" w:type="pct"/>
                  <w:tcBorders>
                    <w:top w:val="single" w:color="000000" w:sz="12" w:space="0"/>
                    <w:tl2br w:val="nil"/>
                    <w:tr2bl w:val="nil"/>
                  </w:tcBorders>
                  <w:vAlign w:val="center"/>
                </w:tcPr>
                <w:p>
                  <w:pPr>
                    <w:pStyle w:val="29"/>
                    <w:pageBreakBefore w:val="0"/>
                    <w:widowControl w:val="0"/>
                    <w:kinsoku/>
                    <w:wordWrap/>
                    <w:overflowPunct/>
                    <w:topLinePunct w:val="0"/>
                    <w:bidi w:val="0"/>
                    <w:jc w:val="both"/>
                    <w:textAlignment w:val="auto"/>
                    <w:rPr>
                      <w:rFonts w:hint="default"/>
                      <w:color w:val="auto"/>
                      <w:highlight w:val="none"/>
                      <w:lang w:val="en-US" w:eastAsia="zh-CN"/>
                    </w:rPr>
                  </w:pPr>
                  <w:r>
                    <w:rPr>
                      <w:rFonts w:hint="eastAsia"/>
                      <w:color w:val="auto"/>
                      <w:highlight w:val="none"/>
                      <w:lang w:val="en-US" w:eastAsia="zh-CN"/>
                    </w:rPr>
                    <w:t>调整优化产业结构</w:t>
                  </w:r>
                </w:p>
              </w:tc>
              <w:tc>
                <w:tcPr>
                  <w:tcW w:w="2914" w:type="pct"/>
                  <w:tcBorders>
                    <w:top w:val="single" w:color="000000" w:sz="12" w:space="0"/>
                    <w:tl2br w:val="nil"/>
                    <w:tr2bl w:val="nil"/>
                  </w:tcBorders>
                  <w:vAlign w:val="center"/>
                </w:tcPr>
                <w:p>
                  <w:pPr>
                    <w:pStyle w:val="29"/>
                    <w:pageBreakBefore w:val="0"/>
                    <w:widowControl w:val="0"/>
                    <w:kinsoku/>
                    <w:wordWrap/>
                    <w:overflowPunct/>
                    <w:topLinePunct w:val="0"/>
                    <w:bidi w:val="0"/>
                    <w:jc w:val="both"/>
                    <w:textAlignment w:val="auto"/>
                    <w:rPr>
                      <w:rFonts w:hint="default" w:eastAsia="宋体"/>
                      <w:color w:val="auto"/>
                      <w:highlight w:val="none"/>
                      <w:lang w:val="en-US" w:eastAsia="zh-CN"/>
                    </w:rPr>
                  </w:pPr>
                  <w:r>
                    <w:rPr>
                      <w:rFonts w:hint="default" w:eastAsia="宋体"/>
                      <w:color w:val="auto"/>
                      <w:highlight w:val="none"/>
                      <w:lang w:val="en-US" w:eastAsia="zh-CN"/>
                    </w:rPr>
                    <w:t>本项目为</w:t>
                  </w:r>
                  <w:r>
                    <w:rPr>
                      <w:rFonts w:hint="default"/>
                      <w:b w:val="0"/>
                      <w:bCs/>
                      <w:color w:val="auto"/>
                      <w:lang w:val="en-US" w:eastAsia="zh-CN"/>
                    </w:rPr>
                    <w:t>生活垃圾（含餐厨废弃物）转运站</w:t>
                  </w:r>
                  <w:r>
                    <w:rPr>
                      <w:rFonts w:hint="default" w:eastAsia="宋体"/>
                      <w:color w:val="auto"/>
                      <w:highlight w:val="none"/>
                      <w:lang w:val="en-US" w:eastAsia="zh-CN"/>
                    </w:rPr>
                    <w:t>项目</w:t>
                  </w:r>
                  <w:r>
                    <w:rPr>
                      <w:rFonts w:hint="eastAsia"/>
                      <w:color w:val="auto"/>
                      <w:highlight w:val="none"/>
                      <w:lang w:val="en-US" w:eastAsia="zh-CN"/>
                    </w:rPr>
                    <w:t>，属于鼓励建设类项目，项目冬季采用电采暖。</w:t>
                  </w:r>
                </w:p>
              </w:tc>
              <w:tc>
                <w:tcPr>
                  <w:tcW w:w="555" w:type="pct"/>
                  <w:tcBorders>
                    <w:top w:val="single" w:color="000000" w:sz="12" w:space="0"/>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符合</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4"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2</w:t>
                  </w:r>
                </w:p>
              </w:tc>
              <w:tc>
                <w:tcPr>
                  <w:tcW w:w="1075" w:type="pct"/>
                  <w:tcBorders>
                    <w:tl2br w:val="nil"/>
                    <w:tr2bl w:val="nil"/>
                  </w:tcBorders>
                  <w:vAlign w:val="center"/>
                </w:tcPr>
                <w:p>
                  <w:pPr>
                    <w:pStyle w:val="29"/>
                    <w:pageBreakBefore w:val="0"/>
                    <w:widowControl w:val="0"/>
                    <w:kinsoku/>
                    <w:wordWrap/>
                    <w:overflowPunct/>
                    <w:topLinePunct w:val="0"/>
                    <w:bidi w:val="0"/>
                    <w:jc w:val="both"/>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加强城市综合治理，减少多污染物排放</w:t>
                  </w:r>
                </w:p>
              </w:tc>
              <w:tc>
                <w:tcPr>
                  <w:tcW w:w="2914" w:type="pct"/>
                  <w:tcBorders>
                    <w:tl2br w:val="nil"/>
                    <w:tr2bl w:val="nil"/>
                  </w:tcBorders>
                  <w:vAlign w:val="center"/>
                </w:tcPr>
                <w:p>
                  <w:pPr>
                    <w:pStyle w:val="29"/>
                    <w:pageBreakBefore w:val="0"/>
                    <w:widowControl w:val="0"/>
                    <w:kinsoku/>
                    <w:wordWrap/>
                    <w:overflowPunct/>
                    <w:topLinePunct w:val="0"/>
                    <w:bidi w:val="0"/>
                    <w:jc w:val="both"/>
                    <w:textAlignment w:val="auto"/>
                    <w:rPr>
                      <w:rFonts w:hint="default"/>
                      <w:color w:val="auto"/>
                      <w:highlight w:val="none"/>
                      <w:lang w:val="en-US" w:eastAsia="zh-CN"/>
                    </w:rPr>
                  </w:pPr>
                  <w:r>
                    <w:rPr>
                      <w:rFonts w:hint="eastAsia"/>
                      <w:color w:val="auto"/>
                      <w:highlight w:val="none"/>
                      <w:lang w:val="en-US" w:eastAsia="zh-CN"/>
                    </w:rPr>
                    <w:t>本项目废气采用</w:t>
                  </w:r>
                  <w:r>
                    <w:rPr>
                      <w:rFonts w:hint="default"/>
                      <w:color w:val="auto"/>
                      <w:lang w:val="en-US" w:eastAsia="zh-CN"/>
                    </w:rPr>
                    <w:t>负压抽风除臭系统</w:t>
                  </w:r>
                  <w:r>
                    <w:rPr>
                      <w:rFonts w:hint="eastAsia"/>
                      <w:color w:val="auto"/>
                      <w:lang w:val="en-US" w:eastAsia="zh-CN"/>
                    </w:rPr>
                    <w:t>、前端植物液雾化除臭、降尘喷淋除臭系统、空间雾化系统、15m排气筒等措施处理后排放。</w:t>
                  </w:r>
                </w:p>
              </w:tc>
              <w:tc>
                <w:tcPr>
                  <w:tcW w:w="555" w:type="pct"/>
                  <w:tcBorders>
                    <w:tl2br w:val="nil"/>
                    <w:tr2bl w:val="nil"/>
                  </w:tcBorders>
                  <w:vAlign w:val="center"/>
                </w:tcPr>
                <w:p>
                  <w:pPr>
                    <w:pStyle w:val="29"/>
                    <w:pageBreakBefore w:val="0"/>
                    <w:widowControl w:val="0"/>
                    <w:kinsoku/>
                    <w:wordWrap/>
                    <w:overflowPunct/>
                    <w:topLinePunct w:val="0"/>
                    <w:bidi w:val="0"/>
                    <w:jc w:val="center"/>
                    <w:textAlignment w:val="auto"/>
                    <w:rPr>
                      <w:rFonts w:hint="default"/>
                      <w:color w:val="auto"/>
                      <w:highlight w:val="none"/>
                      <w:lang w:val="en-US" w:eastAsia="zh-CN"/>
                    </w:rPr>
                  </w:pPr>
                  <w:r>
                    <w:rPr>
                      <w:rFonts w:hint="eastAsia"/>
                      <w:color w:val="auto"/>
                      <w:highlight w:val="none"/>
                      <w:lang w:val="en-US" w:eastAsia="zh-CN"/>
                    </w:rPr>
                    <w:t>符合</w:t>
                  </w:r>
                </w:p>
              </w:tc>
            </w:tr>
          </w:tbl>
          <w:p>
            <w:pPr>
              <w:pStyle w:val="5"/>
              <w:numPr>
                <w:ilvl w:val="0"/>
                <w:numId w:val="3"/>
              </w:numPr>
              <w:bidi w:val="0"/>
              <w:rPr>
                <w:rFonts w:hint="default"/>
                <w:color w:val="auto"/>
                <w:lang w:val="en-US" w:eastAsia="zh-CN"/>
              </w:rPr>
            </w:pPr>
            <w:r>
              <w:rPr>
                <w:rFonts w:hint="eastAsia"/>
                <w:color w:val="auto"/>
                <w:lang w:val="en-US" w:eastAsia="zh-CN"/>
              </w:rPr>
              <w:t>设计规模合理性分析</w:t>
            </w:r>
          </w:p>
          <w:p>
            <w:pPr>
              <w:pStyle w:val="18"/>
              <w:pageBreakBefore w:val="0"/>
              <w:kinsoku/>
              <w:wordWrap/>
              <w:overflowPunct/>
              <w:topLinePunct w:val="0"/>
              <w:bidi w:val="0"/>
              <w:jc w:val="both"/>
              <w:textAlignment w:val="auto"/>
              <w:rPr>
                <w:rFonts w:hint="eastAsia"/>
                <w:color w:val="auto"/>
                <w:lang w:val="en-US" w:eastAsia="zh-CN"/>
              </w:rPr>
            </w:pPr>
            <w:r>
              <w:rPr>
                <w:rFonts w:hint="eastAsia"/>
                <w:color w:val="auto"/>
                <w:lang w:val="en-US" w:eastAsia="zh-CN"/>
              </w:rPr>
              <w:t>中转站的设计规模的确定应在一定的时间和一定的服务区域内，以中转站设计接受垃圾量为基础，并综合城市区域特征和社会经济发展中的各种变化因素来定。垃圾中转站设调规模计算方法：</w:t>
            </w:r>
          </w:p>
          <w:p>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color w:val="auto"/>
                <w:lang w:val="en-US" w:eastAsia="zh-CN"/>
              </w:rPr>
            </w:pPr>
            <w:r>
              <w:rPr>
                <w:rFonts w:hint="default"/>
                <w:color w:val="auto"/>
                <w:lang w:val="en-US" w:eastAsia="zh-CN"/>
              </w:rPr>
              <w:object>
                <v:shape id="_x0000_i1025" o:spt="75" type="#_x0000_t75" style="height:16pt;width:69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p>
          <w:p>
            <w:pPr>
              <w:pStyle w:val="18"/>
              <w:pageBreakBefore w:val="0"/>
              <w:kinsoku/>
              <w:wordWrap/>
              <w:overflowPunct/>
              <w:topLinePunct w:val="0"/>
              <w:bidi w:val="0"/>
              <w:jc w:val="both"/>
              <w:textAlignment w:val="auto"/>
              <w:rPr>
                <w:rFonts w:hint="default"/>
                <w:color w:val="auto"/>
                <w:lang w:val="en-US" w:eastAsia="zh-CN"/>
              </w:rPr>
            </w:pPr>
            <w:r>
              <w:rPr>
                <w:rFonts w:hint="eastAsia"/>
                <w:color w:val="auto"/>
                <w:lang w:val="en-US" w:eastAsia="zh-CN"/>
              </w:rPr>
              <w:t>式</w:t>
            </w:r>
            <w:r>
              <w:rPr>
                <w:rFonts w:hint="default"/>
                <w:color w:val="auto"/>
                <w:lang w:val="en-US" w:eastAsia="zh-CN"/>
              </w:rPr>
              <w:t>中：</w:t>
            </w:r>
          </w:p>
          <w:p>
            <w:pPr>
              <w:pStyle w:val="18"/>
              <w:pageBreakBefore w:val="0"/>
              <w:kinsoku/>
              <w:wordWrap/>
              <w:overflowPunct/>
              <w:topLinePunct w:val="0"/>
              <w:bidi w:val="0"/>
              <w:ind w:firstLine="1200" w:firstLineChars="500"/>
              <w:jc w:val="both"/>
              <w:textAlignment w:val="auto"/>
              <w:rPr>
                <w:rFonts w:hint="default"/>
                <w:color w:val="auto"/>
                <w:lang w:val="en-US" w:eastAsia="zh-CN"/>
              </w:rPr>
            </w:pPr>
            <w:r>
              <w:rPr>
                <w:rFonts w:hint="default"/>
                <w:color w:val="auto"/>
                <w:lang w:val="en-US" w:eastAsia="zh-CN"/>
              </w:rPr>
              <w:t xml:space="preserve">Q——中转站的日中转量，t/d； </w:t>
            </w:r>
          </w:p>
          <w:p>
            <w:pPr>
              <w:pStyle w:val="18"/>
              <w:pageBreakBefore w:val="0"/>
              <w:kinsoku/>
              <w:wordWrap/>
              <w:overflowPunct/>
              <w:topLinePunct w:val="0"/>
              <w:bidi w:val="0"/>
              <w:ind w:firstLine="1200" w:firstLineChars="500"/>
              <w:jc w:val="both"/>
              <w:textAlignment w:val="auto"/>
              <w:rPr>
                <w:rFonts w:hint="default"/>
                <w:color w:val="auto"/>
                <w:lang w:val="en-US" w:eastAsia="zh-CN"/>
              </w:rPr>
            </w:pPr>
            <w:r>
              <w:rPr>
                <w:rFonts w:hint="default"/>
                <w:color w:val="auto"/>
                <w:lang w:val="en-US" w:eastAsia="zh-CN"/>
              </w:rPr>
              <w:t>n——服务区域的人数；</w:t>
            </w:r>
          </w:p>
          <w:p>
            <w:pPr>
              <w:pStyle w:val="18"/>
              <w:pageBreakBefore w:val="0"/>
              <w:kinsoku/>
              <w:wordWrap/>
              <w:overflowPunct/>
              <w:topLinePunct w:val="0"/>
              <w:bidi w:val="0"/>
              <w:ind w:firstLine="1200" w:firstLineChars="500"/>
              <w:jc w:val="both"/>
              <w:textAlignment w:val="auto"/>
              <w:rPr>
                <w:rFonts w:hint="default"/>
                <w:color w:val="auto"/>
                <w:lang w:val="en-US" w:eastAsia="zh-CN"/>
              </w:rPr>
            </w:pPr>
            <w:r>
              <w:rPr>
                <w:rFonts w:hint="default"/>
                <w:color w:val="auto"/>
                <w:lang w:val="en-US" w:eastAsia="zh-CN"/>
              </w:rPr>
              <w:t>q——服务区域居民垃圾人均日产量kg/人.d；</w:t>
            </w:r>
          </w:p>
          <w:p>
            <w:pPr>
              <w:pStyle w:val="18"/>
              <w:pageBreakBefore w:val="0"/>
              <w:kinsoku/>
              <w:wordWrap/>
              <w:overflowPunct/>
              <w:topLinePunct w:val="0"/>
              <w:bidi w:val="0"/>
              <w:ind w:firstLine="1200" w:firstLineChars="500"/>
              <w:jc w:val="both"/>
              <w:textAlignment w:val="auto"/>
              <w:rPr>
                <w:rFonts w:hint="default"/>
                <w:color w:val="auto"/>
                <w:lang w:val="en-US" w:eastAsia="zh-CN"/>
              </w:rPr>
            </w:pPr>
            <w:r>
              <w:rPr>
                <w:rFonts w:hint="default"/>
                <w:color w:val="auto"/>
                <w:lang w:val="en-US" w:eastAsia="zh-CN"/>
              </w:rPr>
              <w:t>δ——垃圾产量变化系数，可采用1.3～1.5，本工程取1.3。</w:t>
            </w:r>
          </w:p>
          <w:p>
            <w:pPr>
              <w:pStyle w:val="18"/>
              <w:pageBreakBefore w:val="0"/>
              <w:kinsoku/>
              <w:wordWrap/>
              <w:overflowPunct/>
              <w:topLinePunct w:val="0"/>
              <w:bidi w:val="0"/>
              <w:jc w:val="both"/>
              <w:textAlignment w:val="auto"/>
              <w:rPr>
                <w:rFonts w:hint="eastAsia"/>
                <w:color w:val="auto"/>
                <w:lang w:val="en-US" w:eastAsia="zh-CN"/>
              </w:rPr>
            </w:pPr>
            <w:r>
              <w:rPr>
                <w:rFonts w:hint="eastAsia"/>
                <w:color w:val="auto"/>
                <w:highlight w:val="none"/>
                <w:lang w:val="en-US" w:eastAsia="zh-CN"/>
              </w:rPr>
              <w:t>本工程的服务对象为于佃坝镇、滨湖镇、六工镇、庙尔沟镇</w:t>
            </w:r>
            <w:r>
              <w:rPr>
                <w:rFonts w:hint="default"/>
                <w:color w:val="auto"/>
                <w:highlight w:val="none"/>
                <w:lang w:val="en-US" w:eastAsia="zh-CN"/>
              </w:rPr>
              <w:t>。</w:t>
            </w:r>
            <w:r>
              <w:rPr>
                <w:rFonts w:hint="default"/>
                <w:color w:val="auto"/>
                <w:lang w:val="en-US" w:eastAsia="zh-CN"/>
              </w:rPr>
              <w:t>据初步估算，目前服务区域</w:t>
            </w:r>
            <w:r>
              <w:rPr>
                <w:rFonts w:hint="eastAsia"/>
                <w:color w:val="auto"/>
                <w:lang w:val="en-US" w:eastAsia="zh-CN"/>
              </w:rPr>
              <w:t>到</w:t>
            </w:r>
            <w:r>
              <w:rPr>
                <w:rFonts w:hint="default"/>
                <w:color w:val="auto"/>
                <w:lang w:val="en-US" w:eastAsia="zh-CN"/>
              </w:rPr>
              <w:t>户籍人口约</w:t>
            </w:r>
            <w:r>
              <w:rPr>
                <w:rFonts w:hint="eastAsia"/>
                <w:color w:val="auto"/>
                <w:lang w:val="en-US" w:eastAsia="zh-CN"/>
              </w:rPr>
              <w:t>5.6</w:t>
            </w:r>
            <w:r>
              <w:rPr>
                <w:rFonts w:hint="default"/>
                <w:color w:val="auto"/>
                <w:lang w:val="en-US" w:eastAsia="zh-CN"/>
              </w:rPr>
              <w:t>万人（未包括流动人口），日产垃圾因农村生活垃圾成分复杂按每人每天产生约2公斤计算，日产垃圾约1</w:t>
            </w:r>
            <w:r>
              <w:rPr>
                <w:rFonts w:hint="eastAsia"/>
                <w:color w:val="auto"/>
                <w:lang w:val="en-US" w:eastAsia="zh-CN"/>
              </w:rPr>
              <w:t>12</w:t>
            </w:r>
            <w:r>
              <w:rPr>
                <w:rFonts w:hint="default"/>
                <w:color w:val="auto"/>
                <w:lang w:val="en-US" w:eastAsia="zh-CN"/>
              </w:rPr>
              <w:t>吨，每年按10%</w:t>
            </w:r>
            <w:r>
              <w:rPr>
                <w:rFonts w:hint="eastAsia"/>
                <w:color w:val="auto"/>
                <w:lang w:val="en-US" w:eastAsia="zh-CN"/>
              </w:rPr>
              <w:t>递增考虑。</w:t>
            </w:r>
          </w:p>
          <w:p>
            <w:pPr>
              <w:pStyle w:val="18"/>
              <w:pageBreakBefore w:val="0"/>
              <w:kinsoku/>
              <w:wordWrap/>
              <w:overflowPunct/>
              <w:topLinePunct w:val="0"/>
              <w:bidi w:val="0"/>
              <w:jc w:val="both"/>
              <w:textAlignment w:val="auto"/>
              <w:rPr>
                <w:rFonts w:hint="eastAsia"/>
                <w:color w:val="auto"/>
                <w:lang w:val="en-US" w:eastAsia="zh-CN"/>
              </w:rPr>
            </w:pPr>
            <w:r>
              <w:rPr>
                <w:rFonts w:hint="eastAsia"/>
                <w:color w:val="auto"/>
                <w:lang w:val="en-US" w:eastAsia="zh-CN"/>
              </w:rPr>
              <w:t>根据以上计算，中转站规模在考虑中远期规模的同时，应考虑垃圾站建成后周边的村落收集垃圾的需要。故确定垃圾中转站规模为：日处理能力</w:t>
            </w:r>
            <w:r>
              <w:rPr>
                <w:rFonts w:hint="default"/>
                <w:color w:val="auto"/>
                <w:lang w:val="en-US" w:eastAsia="zh-CN"/>
              </w:rPr>
              <w:t>为200吨</w:t>
            </w:r>
            <w:r>
              <w:rPr>
                <w:rFonts w:hint="eastAsia"/>
                <w:color w:val="auto"/>
                <w:lang w:val="en-US" w:eastAsia="zh-CN"/>
              </w:rPr>
              <w:t>，中</w:t>
            </w:r>
            <w:r>
              <w:rPr>
                <w:rFonts w:hint="default"/>
                <w:color w:val="auto"/>
                <w:lang w:val="en-US" w:eastAsia="zh-CN"/>
              </w:rPr>
              <w:t>型Ⅲ类</w:t>
            </w:r>
            <w:r>
              <w:rPr>
                <w:rFonts w:hint="eastAsia"/>
                <w:color w:val="auto"/>
                <w:lang w:val="en-US" w:eastAsia="zh-CN"/>
              </w:rPr>
              <w:t>垃圾中转站。</w:t>
            </w:r>
          </w:p>
          <w:p>
            <w:pPr>
              <w:pStyle w:val="5"/>
              <w:numPr>
                <w:ilvl w:val="0"/>
                <w:numId w:val="3"/>
              </w:numPr>
              <w:bidi w:val="0"/>
              <w:rPr>
                <w:rFonts w:hint="eastAsia"/>
                <w:color w:val="auto"/>
                <w:lang w:val="en-US" w:eastAsia="zh-CN"/>
              </w:rPr>
            </w:pPr>
            <w:r>
              <w:rPr>
                <w:rFonts w:hint="eastAsia"/>
                <w:color w:val="auto"/>
                <w:lang w:val="en-US" w:eastAsia="zh-CN"/>
              </w:rPr>
              <w:t>选址合理性分析</w:t>
            </w:r>
          </w:p>
          <w:p>
            <w:pPr>
              <w:pStyle w:val="18"/>
              <w:pageBreakBefore w:val="0"/>
              <w:kinsoku/>
              <w:wordWrap/>
              <w:overflowPunct/>
              <w:topLinePunct w:val="0"/>
              <w:bidi w:val="0"/>
              <w:jc w:val="both"/>
              <w:textAlignment w:val="auto"/>
              <w:rPr>
                <w:rFonts w:hint="eastAsia"/>
                <w:color w:val="auto"/>
                <w:lang w:val="en-US" w:eastAsia="zh-CN"/>
              </w:rPr>
            </w:pPr>
            <w:r>
              <w:rPr>
                <w:rFonts w:hint="default"/>
                <w:color w:val="auto"/>
                <w:lang w:val="en-US" w:eastAsia="zh-CN"/>
              </w:rPr>
              <w:t>根据《生活垃圾转运站技术规范》（CJJ/T47-2016）、</w:t>
            </w:r>
            <w:r>
              <w:rPr>
                <w:rFonts w:hint="eastAsia"/>
                <w:color w:val="auto"/>
                <w:lang w:val="en-US" w:eastAsia="zh-CN"/>
              </w:rPr>
              <w:t>《自治区农村生活垃圾收集、转运和处置体系建设标准》（新建标005-2020）、</w:t>
            </w:r>
            <w:r>
              <w:rPr>
                <w:rFonts w:hint="default"/>
                <w:color w:val="auto"/>
                <w:lang w:val="en-US" w:eastAsia="zh-CN"/>
              </w:rPr>
              <w:t>《环境卫生设施设置标准》（CJJ27-2012）、《城市环境卫生设施规划规范》（GB50337-2018）等相关标准</w:t>
            </w:r>
            <w:r>
              <w:rPr>
                <w:rFonts w:hint="eastAsia"/>
                <w:color w:val="auto"/>
                <w:lang w:val="en-US" w:eastAsia="zh-CN"/>
              </w:rPr>
              <w:t>、规范中对生活垃圾中转站的选址要求，本项目选址合理性见下表1-7</w:t>
            </w:r>
            <w:r>
              <w:rPr>
                <w:rFonts w:hint="default"/>
                <w:color w:val="auto"/>
                <w:lang w:val="en-US" w:eastAsia="zh-CN"/>
              </w:rPr>
              <w:t>。</w:t>
            </w:r>
          </w:p>
          <w:p>
            <w:pPr>
              <w:pStyle w:val="28"/>
              <w:bidi w:val="0"/>
              <w:rPr>
                <w:rFonts w:hint="default"/>
                <w:color w:val="auto"/>
                <w:lang w:val="en-US" w:eastAsia="zh-CN"/>
              </w:rPr>
            </w:pPr>
            <w:r>
              <w:rPr>
                <w:rFonts w:hint="eastAsia"/>
                <w:color w:val="auto"/>
                <w:lang w:val="en-US" w:eastAsia="zh-CN"/>
              </w:rPr>
              <w:t>表1-7     项目区与相关文件相符性一览表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2816"/>
              <w:gridCol w:w="2150"/>
              <w:gridCol w:w="9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3" w:type="pct"/>
                  <w:tcBorders>
                    <w:bottom w:val="single" w:color="auto" w:sz="12"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规范名称</w:t>
                  </w:r>
                </w:p>
              </w:tc>
              <w:tc>
                <w:tcPr>
                  <w:tcW w:w="1809" w:type="pct"/>
                  <w:tcBorders>
                    <w:bottom w:val="single" w:color="auto" w:sz="12"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文件要求</w:t>
                  </w:r>
                </w:p>
              </w:tc>
              <w:tc>
                <w:tcPr>
                  <w:tcW w:w="1381" w:type="pct"/>
                  <w:tcBorders>
                    <w:bottom w:val="single" w:color="auto" w:sz="12"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本项目情况</w:t>
                  </w:r>
                </w:p>
              </w:tc>
              <w:tc>
                <w:tcPr>
                  <w:tcW w:w="605" w:type="pct"/>
                  <w:tcBorders>
                    <w:bottom w:val="single" w:color="auto" w:sz="12"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3" w:type="pct"/>
                  <w:tcBorders>
                    <w:top w:val="single" w:color="auto" w:sz="12" w:space="0"/>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rPr>
                    <w:t>《生活垃圾转运站技术规范》</w:t>
                  </w:r>
                  <w:r>
                    <w:rPr>
                      <w:rFonts w:hint="default"/>
                      <w:color w:val="auto"/>
                      <w:lang w:val="en-US" w:eastAsia="zh-CN"/>
                    </w:rPr>
                    <w:t>（CJJ/T47-2016）</w:t>
                  </w:r>
                </w:p>
              </w:tc>
              <w:tc>
                <w:tcPr>
                  <w:tcW w:w="1809" w:type="pct"/>
                  <w:tcBorders>
                    <w:top w:val="single" w:color="auto" w:sz="12" w:space="0"/>
                    <w:tl2br w:val="nil"/>
                    <w:tr2bl w:val="nil"/>
                  </w:tcBorders>
                  <w:noWrap w:val="0"/>
                  <w:vAlign w:val="center"/>
                </w:tcPr>
                <w:p>
                  <w:pPr>
                    <w:pStyle w:val="29"/>
                    <w:pageBreakBefore w:val="0"/>
                    <w:widowControl w:val="0"/>
                    <w:kinsoku/>
                    <w:wordWrap/>
                    <w:overflowPunct/>
                    <w:topLinePunct w:val="0"/>
                    <w:bidi w:val="0"/>
                    <w:jc w:val="left"/>
                    <w:textAlignment w:val="auto"/>
                    <w:rPr>
                      <w:rFonts w:hint="default"/>
                      <w:color w:val="auto"/>
                    </w:rPr>
                  </w:pPr>
                  <w:r>
                    <w:rPr>
                      <w:rFonts w:hint="eastAsia"/>
                      <w:color w:val="auto"/>
                      <w:lang w:val="en-US" w:eastAsia="zh-CN"/>
                    </w:rPr>
                    <w:t>①</w:t>
                  </w:r>
                  <w:r>
                    <w:rPr>
                      <w:rFonts w:hint="default"/>
                      <w:color w:val="auto"/>
                    </w:rPr>
                    <w:t>转运站选址应符合下列规定：应符合城市总体规划和城市环境卫生专业规划的要求；应综合考虑服务区域、服务人数、服务半径、中转能力、运输距离、污染控制、配套条件等因素的影响；应设在交通便利，易安排清运线路的地方；应满足供水、供电、污水排放、通信等方面的要求。</w:t>
                  </w:r>
                </w:p>
                <w:p>
                  <w:pPr>
                    <w:pStyle w:val="29"/>
                    <w:pageBreakBefore w:val="0"/>
                    <w:widowControl w:val="0"/>
                    <w:kinsoku/>
                    <w:wordWrap/>
                    <w:overflowPunct/>
                    <w:topLinePunct w:val="0"/>
                    <w:bidi w:val="0"/>
                    <w:jc w:val="left"/>
                    <w:textAlignment w:val="auto"/>
                    <w:rPr>
                      <w:rFonts w:hint="default"/>
                      <w:color w:val="auto"/>
                      <w:lang w:val="en-US" w:eastAsia="zh-CN"/>
                    </w:rPr>
                  </w:pPr>
                  <w:r>
                    <w:rPr>
                      <w:rFonts w:hint="eastAsia"/>
                      <w:color w:val="auto"/>
                      <w:lang w:val="en-US" w:eastAsia="zh-CN"/>
                    </w:rPr>
                    <w:t>②</w:t>
                  </w:r>
                  <w:r>
                    <w:rPr>
                      <w:rFonts w:hint="default"/>
                      <w:color w:val="auto"/>
                    </w:rPr>
                    <w:t>转运站不宜设在下列地区：大型商场、影剧院出入口等繁华地段；邻近学校、商场、餐饮店等群众日常生活聚焦场所和其他人流密集区域。</w:t>
                  </w:r>
                </w:p>
              </w:tc>
              <w:tc>
                <w:tcPr>
                  <w:tcW w:w="1381" w:type="pct"/>
                  <w:tcBorders>
                    <w:top w:val="single" w:color="auto" w:sz="12" w:space="0"/>
                    <w:tl2br w:val="nil"/>
                    <w:tr2bl w:val="nil"/>
                  </w:tcBorders>
                  <w:noWrap w:val="0"/>
                  <w:vAlign w:val="center"/>
                </w:tcPr>
                <w:p>
                  <w:pPr>
                    <w:pStyle w:val="29"/>
                    <w:widowControl w:val="0"/>
                    <w:bidi w:val="0"/>
                    <w:jc w:val="left"/>
                    <w:rPr>
                      <w:rFonts w:hint="eastAsia"/>
                      <w:lang w:val="en-US" w:eastAsia="zh-CN"/>
                    </w:rPr>
                  </w:pPr>
                  <w:r>
                    <w:rPr>
                      <w:rFonts w:hint="eastAsia"/>
                      <w:lang w:val="en-US" w:eastAsia="zh-CN"/>
                    </w:rPr>
                    <w:t>①项目选址符合昌吉市总体规划及</w:t>
                  </w:r>
                  <w:r>
                    <w:rPr>
                      <w:rFonts w:hint="default"/>
                      <w:color w:val="auto"/>
                    </w:rPr>
                    <w:t>城市环境卫生专业规划的要求</w:t>
                  </w:r>
                  <w:r>
                    <w:rPr>
                      <w:rFonts w:hint="eastAsia"/>
                      <w:color w:val="auto"/>
                      <w:lang w:eastAsia="zh-CN"/>
                    </w:rPr>
                    <w:t>；</w:t>
                  </w:r>
                  <w:r>
                    <w:rPr>
                      <w:rFonts w:hint="default"/>
                      <w:lang w:val="en-US" w:eastAsia="zh-CN"/>
                    </w:rPr>
                    <w:t>本项目位于昌吉市</w:t>
                  </w:r>
                  <w:r>
                    <w:rPr>
                      <w:rFonts w:hint="eastAsia"/>
                      <w:lang w:val="en-US" w:eastAsia="zh-CN"/>
                    </w:rPr>
                    <w:t>佃坝镇122县道西侧</w:t>
                  </w:r>
                  <w:r>
                    <w:rPr>
                      <w:rFonts w:hint="default"/>
                      <w:lang w:val="en-US" w:eastAsia="zh-CN"/>
                    </w:rPr>
                    <w:t>，</w:t>
                  </w:r>
                  <w:r>
                    <w:rPr>
                      <w:rFonts w:hint="eastAsia"/>
                      <w:lang w:val="en-US" w:eastAsia="zh-CN"/>
                    </w:rPr>
                    <w:t>交通便利，项目供水依托自来水管网，供电市政供电，满足项目所需；</w:t>
                  </w:r>
                </w:p>
                <w:p>
                  <w:pPr>
                    <w:pStyle w:val="29"/>
                    <w:widowControl w:val="0"/>
                    <w:bidi w:val="0"/>
                    <w:jc w:val="left"/>
                    <w:rPr>
                      <w:rFonts w:hint="default"/>
                      <w:color w:val="auto"/>
                      <w:lang w:val="en-US" w:eastAsia="zh-CN"/>
                    </w:rPr>
                  </w:pPr>
                  <w:r>
                    <w:rPr>
                      <w:rFonts w:hint="eastAsia"/>
                      <w:lang w:val="en-US" w:eastAsia="zh-CN"/>
                    </w:rPr>
                    <w:t>②项目未设置在大型商场、影剧院出入口等繁华地段，邻近学校、商场、餐饮店等群众日常生活聚集场所和其他人流密集区域；也未设置在大型商场、影剧院出入口等繁华地段。垃圾中转站项目区远离学校、餐饮店等群众日常生活聚集场所。</w:t>
                  </w:r>
                </w:p>
              </w:tc>
              <w:tc>
                <w:tcPr>
                  <w:tcW w:w="605" w:type="pct"/>
                  <w:tcBorders>
                    <w:top w:val="single" w:color="auto" w:sz="12" w:space="0"/>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3" w:type="pct"/>
                  <w:tcBorders>
                    <w:top w:val="single" w:color="auto" w:sz="12" w:space="0"/>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rPr>
                  </w:pPr>
                  <w:r>
                    <w:rPr>
                      <w:rFonts w:hint="eastAsia"/>
                      <w:color w:val="auto"/>
                      <w:lang w:val="en-US" w:eastAsia="zh-CN"/>
                    </w:rPr>
                    <w:t>《自治区农村生活垃圾收集、转运和处置体系建设标准》（新建标005-2020）</w:t>
                  </w:r>
                </w:p>
              </w:tc>
              <w:tc>
                <w:tcPr>
                  <w:tcW w:w="1809" w:type="pct"/>
                  <w:tcBorders>
                    <w:top w:val="single" w:color="auto" w:sz="12" w:space="0"/>
                    <w:tl2br w:val="nil"/>
                    <w:tr2bl w:val="nil"/>
                  </w:tcBorders>
                  <w:noWrap w:val="0"/>
                  <w:vAlign w:val="center"/>
                </w:tcPr>
                <w:p>
                  <w:pPr>
                    <w:pStyle w:val="29"/>
                    <w:pageBreakBefore w:val="0"/>
                    <w:widowControl w:val="0"/>
                    <w:kinsoku/>
                    <w:wordWrap/>
                    <w:overflowPunct/>
                    <w:topLinePunct w:val="0"/>
                    <w:bidi w:val="0"/>
                    <w:jc w:val="left"/>
                    <w:textAlignment w:val="auto"/>
                    <w:rPr>
                      <w:rFonts w:hint="default"/>
                      <w:color w:val="auto"/>
                    </w:rPr>
                  </w:pPr>
                  <w:r>
                    <w:rPr>
                      <w:rFonts w:hint="default"/>
                      <w:color w:val="auto"/>
                    </w:rPr>
                    <w:t>垃圾转运站应由乡镇统筹布局</w:t>
                  </w:r>
                  <w:r>
                    <w:rPr>
                      <w:rFonts w:hint="eastAsia"/>
                      <w:color w:val="auto"/>
                      <w:lang w:eastAsia="zh-CN"/>
                    </w:rPr>
                    <w:t>，</w:t>
                  </w:r>
                  <w:r>
                    <w:rPr>
                      <w:rFonts w:hint="default"/>
                      <w:color w:val="auto"/>
                    </w:rPr>
                    <w:t>服务多个村庄或乡镇</w:t>
                  </w:r>
                  <w:r>
                    <w:rPr>
                      <w:rFonts w:hint="eastAsia"/>
                      <w:color w:val="auto"/>
                      <w:lang w:eastAsia="zh-CN"/>
                    </w:rPr>
                    <w:t>，</w:t>
                  </w:r>
                  <w:r>
                    <w:rPr>
                      <w:rFonts w:hint="default"/>
                      <w:color w:val="auto"/>
                    </w:rPr>
                    <w:t>在选址上要考虑到转运站的效能发挥、各个村庄运输的经济性及场地基础设施水</w:t>
                  </w:r>
                  <w:r>
                    <w:rPr>
                      <w:rFonts w:hint="eastAsia"/>
                      <w:color w:val="auto"/>
                      <w:lang w:eastAsia="zh-CN"/>
                    </w:rPr>
                    <w:t>、</w:t>
                  </w:r>
                  <w:r>
                    <w:rPr>
                      <w:rFonts w:hint="default"/>
                      <w:color w:val="auto"/>
                    </w:rPr>
                    <w:t>电、交通等配套的便利性。</w:t>
                  </w:r>
                </w:p>
              </w:tc>
              <w:tc>
                <w:tcPr>
                  <w:tcW w:w="1381" w:type="pct"/>
                  <w:tcBorders>
                    <w:top w:val="single" w:color="auto" w:sz="12" w:space="0"/>
                    <w:tl2br w:val="nil"/>
                    <w:tr2bl w:val="nil"/>
                  </w:tcBorders>
                  <w:noWrap w:val="0"/>
                  <w:vAlign w:val="center"/>
                </w:tcPr>
                <w:p>
                  <w:pPr>
                    <w:pStyle w:val="29"/>
                    <w:pageBreakBefore w:val="0"/>
                    <w:widowControl w:val="0"/>
                    <w:kinsoku/>
                    <w:wordWrap/>
                    <w:overflowPunct/>
                    <w:topLinePunct w:val="0"/>
                    <w:bidi w:val="0"/>
                    <w:jc w:val="left"/>
                    <w:textAlignment w:val="auto"/>
                    <w:rPr>
                      <w:rFonts w:hint="default"/>
                      <w:color w:val="auto"/>
                      <w:lang w:val="en-US" w:eastAsia="zh-CN"/>
                    </w:rPr>
                  </w:pPr>
                  <w:r>
                    <w:rPr>
                      <w:rFonts w:hint="default"/>
                      <w:color w:val="auto"/>
                    </w:rPr>
                    <w:t>本项目位于</w:t>
                  </w:r>
                  <w:r>
                    <w:rPr>
                      <w:rFonts w:hint="eastAsia"/>
                      <w:color w:val="auto"/>
                      <w:lang w:val="en-US" w:eastAsia="zh-CN"/>
                    </w:rPr>
                    <w:t>昌吉市佃坝镇122县道西侧</w:t>
                  </w:r>
                  <w:r>
                    <w:rPr>
                      <w:rFonts w:hint="default"/>
                      <w:color w:val="auto"/>
                    </w:rPr>
                    <w:t>，</w:t>
                  </w:r>
                  <w:r>
                    <w:rPr>
                      <w:rFonts w:hint="eastAsia"/>
                      <w:color w:val="auto"/>
                      <w:lang w:val="en-US" w:eastAsia="zh-CN"/>
                    </w:rPr>
                    <w:t>交通便利，</w:t>
                  </w:r>
                  <w:r>
                    <w:rPr>
                      <w:rFonts w:hint="default"/>
                      <w:color w:val="auto"/>
                    </w:rPr>
                    <w:t>项目</w:t>
                  </w:r>
                  <w:r>
                    <w:rPr>
                      <w:rFonts w:hint="eastAsia"/>
                      <w:color w:val="auto"/>
                      <w:lang w:val="en-US" w:eastAsia="zh-CN"/>
                    </w:rPr>
                    <w:t>供水依托市政供水管网；</w:t>
                  </w:r>
                  <w:r>
                    <w:rPr>
                      <w:rFonts w:hint="default"/>
                      <w:color w:val="auto"/>
                    </w:rPr>
                    <w:t>供电</w:t>
                  </w:r>
                  <w:r>
                    <w:rPr>
                      <w:rFonts w:hint="eastAsia"/>
                      <w:color w:val="auto"/>
                      <w:lang w:val="en-US" w:eastAsia="zh-CN"/>
                    </w:rPr>
                    <w:t>市政</w:t>
                  </w:r>
                  <w:r>
                    <w:rPr>
                      <w:rFonts w:hint="default"/>
                      <w:color w:val="auto"/>
                    </w:rPr>
                    <w:t>电网供给，能够满足</w:t>
                  </w:r>
                  <w:r>
                    <w:rPr>
                      <w:rFonts w:hint="eastAsia"/>
                      <w:color w:val="auto"/>
                      <w:lang w:val="en-US" w:eastAsia="zh-CN"/>
                    </w:rPr>
                    <w:t>项目</w:t>
                  </w:r>
                  <w:r>
                    <w:rPr>
                      <w:rFonts w:hint="default"/>
                      <w:color w:val="auto"/>
                    </w:rPr>
                    <w:t>生产、生活</w:t>
                  </w:r>
                  <w:r>
                    <w:rPr>
                      <w:rFonts w:hint="eastAsia"/>
                      <w:color w:val="auto"/>
                      <w:lang w:val="en-US" w:eastAsia="zh-CN"/>
                    </w:rPr>
                    <w:t>需求</w:t>
                  </w:r>
                </w:p>
              </w:tc>
              <w:tc>
                <w:tcPr>
                  <w:tcW w:w="605" w:type="pct"/>
                  <w:tcBorders>
                    <w:top w:val="single" w:color="auto" w:sz="12" w:space="0"/>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3" w:type="pct"/>
                  <w:tcBorders>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rPr>
                    <w:t>《环境卫生设施设置标准》</w:t>
                  </w:r>
                  <w:r>
                    <w:rPr>
                      <w:rFonts w:hint="default"/>
                      <w:color w:val="auto"/>
                      <w:lang w:val="en-US" w:eastAsia="zh-CN"/>
                    </w:rPr>
                    <w:t>（CJJ27-2012）</w:t>
                  </w:r>
                </w:p>
              </w:tc>
              <w:tc>
                <w:tcPr>
                  <w:tcW w:w="1809" w:type="pct"/>
                  <w:tcBorders>
                    <w:tl2br w:val="nil"/>
                    <w:tr2bl w:val="nil"/>
                  </w:tcBorders>
                  <w:noWrap w:val="0"/>
                  <w:vAlign w:val="center"/>
                </w:tcPr>
                <w:p>
                  <w:pPr>
                    <w:pStyle w:val="29"/>
                    <w:pageBreakBefore w:val="0"/>
                    <w:widowControl w:val="0"/>
                    <w:kinsoku/>
                    <w:wordWrap/>
                    <w:overflowPunct/>
                    <w:topLinePunct w:val="0"/>
                    <w:bidi w:val="0"/>
                    <w:jc w:val="both"/>
                    <w:textAlignment w:val="auto"/>
                    <w:rPr>
                      <w:rFonts w:hint="default"/>
                      <w:color w:val="auto"/>
                      <w:lang w:val="en-US" w:eastAsia="zh-CN"/>
                    </w:rPr>
                  </w:pPr>
                  <w:r>
                    <w:rPr>
                      <w:rFonts w:hint="default"/>
                      <w:color w:val="auto"/>
                    </w:rPr>
                    <w:t>当垃圾运输距离超过经济运距且运输量较大时，宜设置垃圾转运站。垃圾转运站的设置应符合下列规定：服务范围内垃圾运输平均距离超过10km，宜设置垃圾转运站；平均距离超过20km时，宜设置大、中型转运站；镇（乡）宜设置转运站；垃圾转运站外形应美观，并应与周围环境相协调，应采用先进设备，作业时应能实现封闭、减容、压缩。飘尘、噪声、臭气、排水等指标应符合国家相关环境保护标准要求。</w:t>
                  </w:r>
                </w:p>
              </w:tc>
              <w:tc>
                <w:tcPr>
                  <w:tcW w:w="1381" w:type="pct"/>
                  <w:tcBorders>
                    <w:tl2br w:val="nil"/>
                    <w:tr2bl w:val="nil"/>
                  </w:tcBorders>
                  <w:noWrap w:val="0"/>
                  <w:vAlign w:val="center"/>
                </w:tcPr>
                <w:p>
                  <w:pPr>
                    <w:pStyle w:val="29"/>
                    <w:pageBreakBefore w:val="0"/>
                    <w:widowControl w:val="0"/>
                    <w:kinsoku/>
                    <w:wordWrap/>
                    <w:overflowPunct/>
                    <w:topLinePunct w:val="0"/>
                    <w:bidi w:val="0"/>
                    <w:jc w:val="left"/>
                    <w:textAlignment w:val="auto"/>
                    <w:rPr>
                      <w:rFonts w:hint="default"/>
                      <w:color w:val="auto"/>
                      <w:lang w:val="en-US" w:eastAsia="zh-CN"/>
                    </w:rPr>
                  </w:pPr>
                  <w:r>
                    <w:rPr>
                      <w:rFonts w:hint="default"/>
                      <w:color w:val="auto"/>
                      <w:lang w:val="en-US" w:eastAsia="zh-CN"/>
                    </w:rPr>
                    <w:t>本项目中转能力200t/d，运输距离</w:t>
                  </w:r>
                  <w:r>
                    <w:rPr>
                      <w:rFonts w:hint="eastAsia"/>
                      <w:color w:val="auto"/>
                      <w:lang w:val="en-US" w:eastAsia="zh-CN"/>
                    </w:rPr>
                    <w:t>30</w:t>
                  </w:r>
                  <w:r>
                    <w:rPr>
                      <w:rFonts w:hint="default"/>
                      <w:color w:val="auto"/>
                      <w:lang w:val="en-US" w:eastAsia="zh-CN"/>
                    </w:rPr>
                    <w:t>公里，属于中型Ⅲ类垃圾中转站。</w:t>
                  </w:r>
                </w:p>
              </w:tc>
              <w:tc>
                <w:tcPr>
                  <w:tcW w:w="605" w:type="pct"/>
                  <w:tcBorders>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203" w:type="pct"/>
                  <w:tcBorders>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rPr>
                    <w:t>《城市环境卫生设施规划规范》</w:t>
                  </w:r>
                  <w:r>
                    <w:rPr>
                      <w:rFonts w:hint="default"/>
                      <w:color w:val="auto"/>
                      <w:lang w:val="en-US" w:eastAsia="zh-CN"/>
                    </w:rPr>
                    <w:t>（GB50337-2018）</w:t>
                  </w:r>
                </w:p>
              </w:tc>
              <w:tc>
                <w:tcPr>
                  <w:tcW w:w="1809" w:type="pct"/>
                  <w:tcBorders>
                    <w:tl2br w:val="nil"/>
                    <w:tr2bl w:val="nil"/>
                  </w:tcBorders>
                  <w:noWrap w:val="0"/>
                  <w:vAlign w:val="center"/>
                </w:tcPr>
                <w:p>
                  <w:pPr>
                    <w:pStyle w:val="29"/>
                    <w:pageBreakBefore w:val="0"/>
                    <w:widowControl w:val="0"/>
                    <w:kinsoku/>
                    <w:wordWrap/>
                    <w:overflowPunct/>
                    <w:topLinePunct w:val="0"/>
                    <w:bidi w:val="0"/>
                    <w:jc w:val="left"/>
                    <w:textAlignment w:val="auto"/>
                    <w:rPr>
                      <w:rFonts w:hint="default"/>
                      <w:color w:val="auto"/>
                      <w:lang w:val="en-US" w:eastAsia="zh-CN"/>
                    </w:rPr>
                  </w:pPr>
                  <w:r>
                    <w:rPr>
                      <w:rFonts w:hint="default"/>
                      <w:color w:val="auto"/>
                    </w:rPr>
                    <w:t>当生活垃圾运输距离超过经济运距且运输量较大时，宜设置垃圾转运站。服务范围内垃圾运输平均距离超过10km，宜设置垃圾转运站；平均距离超过20km时，宜设置大、中型垃圾转运站。</w:t>
                  </w:r>
                </w:p>
              </w:tc>
              <w:tc>
                <w:tcPr>
                  <w:tcW w:w="1381" w:type="pct"/>
                  <w:tcBorders>
                    <w:tl2br w:val="nil"/>
                    <w:tr2bl w:val="nil"/>
                  </w:tcBorders>
                  <w:noWrap w:val="0"/>
                  <w:vAlign w:val="center"/>
                </w:tcPr>
                <w:p>
                  <w:pPr>
                    <w:pStyle w:val="29"/>
                    <w:pageBreakBefore w:val="0"/>
                    <w:widowControl w:val="0"/>
                    <w:kinsoku/>
                    <w:wordWrap/>
                    <w:overflowPunct/>
                    <w:topLinePunct w:val="0"/>
                    <w:bidi w:val="0"/>
                    <w:jc w:val="both"/>
                    <w:textAlignment w:val="auto"/>
                    <w:rPr>
                      <w:rFonts w:hint="default"/>
                      <w:color w:val="auto"/>
                      <w:lang w:val="en-US" w:eastAsia="zh-CN"/>
                    </w:rPr>
                  </w:pPr>
                  <w:r>
                    <w:rPr>
                      <w:rFonts w:hint="default"/>
                      <w:color w:val="auto"/>
                      <w:lang w:val="en-US" w:eastAsia="zh-CN"/>
                    </w:rPr>
                    <w:t>本项目中转能力200t/d，运输距离</w:t>
                  </w:r>
                  <w:r>
                    <w:rPr>
                      <w:rFonts w:hint="eastAsia"/>
                      <w:color w:val="auto"/>
                      <w:lang w:val="en-US" w:eastAsia="zh-CN"/>
                    </w:rPr>
                    <w:t>30</w:t>
                  </w:r>
                  <w:r>
                    <w:rPr>
                      <w:rFonts w:hint="default"/>
                      <w:color w:val="auto"/>
                      <w:lang w:val="en-US" w:eastAsia="zh-CN"/>
                    </w:rPr>
                    <w:t>公里，属于中型Ⅲ类垃圾中转站。</w:t>
                  </w:r>
                </w:p>
              </w:tc>
              <w:tc>
                <w:tcPr>
                  <w:tcW w:w="605" w:type="pct"/>
                  <w:tcBorders>
                    <w:tl2br w:val="nil"/>
                    <w:tr2bl w:val="nil"/>
                  </w:tcBorders>
                  <w:noWrap w:val="0"/>
                  <w:vAlign w:val="center"/>
                </w:tcPr>
                <w:p>
                  <w:pPr>
                    <w:pStyle w:val="29"/>
                    <w:pageBreakBefore w:val="0"/>
                    <w:widowControl w:val="0"/>
                    <w:kinsoku/>
                    <w:wordWrap/>
                    <w:overflowPunct/>
                    <w:topLinePunct w:val="0"/>
                    <w:bidi w:val="0"/>
                    <w:textAlignment w:val="auto"/>
                    <w:rPr>
                      <w:rFonts w:hint="default"/>
                      <w:color w:val="auto"/>
                      <w:lang w:val="en-US" w:eastAsia="zh-CN"/>
                    </w:rPr>
                  </w:pPr>
                  <w:r>
                    <w:rPr>
                      <w:rFonts w:hint="default"/>
                      <w:color w:val="auto"/>
                      <w:lang w:val="en-US" w:eastAsia="zh-CN"/>
                    </w:rPr>
                    <w:t>符合</w:t>
                  </w:r>
                </w:p>
              </w:tc>
            </w:tr>
          </w:tbl>
          <w:p>
            <w:pPr>
              <w:pStyle w:val="18"/>
              <w:pageBreakBefore w:val="0"/>
              <w:kinsoku/>
              <w:wordWrap/>
              <w:overflowPunct/>
              <w:topLinePunct w:val="0"/>
              <w:bidi w:val="0"/>
              <w:textAlignment w:val="auto"/>
              <w:rPr>
                <w:rFonts w:hint="eastAsia"/>
                <w:color w:val="auto"/>
                <w:lang w:val="en-US" w:eastAsia="zh-CN"/>
              </w:rPr>
            </w:pPr>
            <w:r>
              <w:rPr>
                <w:rFonts w:hint="eastAsia"/>
                <w:color w:val="auto"/>
                <w:w w:val="96"/>
                <w:sz w:val="24"/>
                <w:lang w:val="en-US" w:eastAsia="zh-CN"/>
              </w:rPr>
              <w:t>综上，本项目选址合理可行。本环评要求</w:t>
            </w:r>
            <w:r>
              <w:rPr>
                <w:rFonts w:hint="eastAsia"/>
                <w:sz w:val="24"/>
                <w:szCs w:val="24"/>
                <w:lang w:val="en-US" w:eastAsia="zh-CN"/>
              </w:rPr>
              <w:t>建设单位应根据《自治区农村生活垃圾收集、转运和处置体系建设标准》（新建标005-2020）、《生活垃圾转运站技术规范》（CJJ/T47-2016）、《环境卫生设施设置标准》（CJJ27-2012）、《城市环境卫生设施规划规范》（GB50337-2018）等相关标准、规范建设实施。</w:t>
            </w:r>
          </w:p>
          <w:p>
            <w:pPr>
              <w:pStyle w:val="18"/>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default"/>
                <w:color w:val="auto"/>
                <w:lang w:val="en-US" w:eastAsia="zh-CN"/>
              </w:rPr>
            </w:pPr>
          </w:p>
          <w:p>
            <w:pPr>
              <w:pStyle w:val="18"/>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default"/>
                <w:color w:val="auto"/>
                <w:lang w:val="en-US" w:eastAsia="zh-CN"/>
              </w:rPr>
            </w:pPr>
          </w:p>
        </w:tc>
      </w:tr>
    </w:tbl>
    <w:p>
      <w:pPr>
        <w:numPr>
          <w:ilvl w:val="0"/>
          <w:numId w:val="0"/>
        </w:numPr>
        <w:rPr>
          <w:rFonts w:hint="eastAsia"/>
          <w:color w:val="auto"/>
          <w:lang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numPr>
          <w:ilvl w:val="0"/>
          <w:numId w:val="2"/>
        </w:numPr>
        <w:bidi w:val="0"/>
        <w:rPr>
          <w:rFonts w:hint="eastAsia"/>
          <w:color w:val="auto"/>
        </w:rPr>
      </w:pPr>
      <w:r>
        <w:rPr>
          <w:rFonts w:hint="eastAsia"/>
          <w:color w:val="auto"/>
        </w:rPr>
        <w:t>建设项目工程分析</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0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6" w:hRule="atLeast"/>
          <w:jc w:val="center"/>
        </w:trPr>
        <w:tc>
          <w:tcPr>
            <w:tcW w:w="454" w:type="dxa"/>
            <w:tcBorders>
              <w:tl2br w:val="nil"/>
              <w:tr2bl w:val="nil"/>
            </w:tcBorders>
            <w:vAlign w:val="center"/>
          </w:tcPr>
          <w:p>
            <w:pPr>
              <w:numPr>
                <w:ilvl w:val="0"/>
                <w:numId w:val="0"/>
              </w:numPr>
              <w:jc w:val="center"/>
              <w:rPr>
                <w:rFonts w:hint="eastAsia"/>
                <w:color w:val="auto"/>
                <w:vertAlign w:val="baseline"/>
                <w:lang w:eastAsia="zh-CN"/>
              </w:rPr>
            </w:pPr>
            <w:r>
              <w:rPr>
                <w:rFonts w:hint="eastAsia" w:cs="宋体"/>
                <w:color w:val="auto"/>
                <w:sz w:val="24"/>
                <w:szCs w:val="24"/>
              </w:rPr>
              <w:t>建设内容</w:t>
            </w:r>
          </w:p>
        </w:tc>
        <w:tc>
          <w:tcPr>
            <w:tcW w:w="8068" w:type="dxa"/>
            <w:tcBorders>
              <w:tl2br w:val="nil"/>
              <w:tr2bl w:val="nil"/>
            </w:tcBorders>
          </w:tcPr>
          <w:p>
            <w:pPr>
              <w:pStyle w:val="5"/>
              <w:numPr>
                <w:ilvl w:val="0"/>
                <w:numId w:val="5"/>
              </w:numPr>
              <w:bidi w:val="0"/>
              <w:rPr>
                <w:rFonts w:hint="eastAsia"/>
                <w:lang w:val="en-US" w:eastAsia="zh-CN"/>
              </w:rPr>
            </w:pPr>
            <w:r>
              <w:rPr>
                <w:rFonts w:hint="eastAsia"/>
                <w:lang w:val="en-US" w:eastAsia="zh-CN"/>
              </w:rPr>
              <w:t>工程内容</w:t>
            </w:r>
          </w:p>
          <w:p>
            <w:pPr>
              <w:pStyle w:val="6"/>
              <w:bidi w:val="0"/>
              <w:rPr>
                <w:rFonts w:hint="default"/>
                <w:lang w:val="en-US" w:eastAsia="zh-CN"/>
              </w:rPr>
            </w:pPr>
            <w:r>
              <w:rPr>
                <w:rFonts w:hint="eastAsia"/>
                <w:lang w:val="en-US" w:eastAsia="zh-CN"/>
              </w:rPr>
              <w:t>1.1项目基本情况</w:t>
            </w:r>
          </w:p>
          <w:p>
            <w:pPr>
              <w:pStyle w:val="18"/>
              <w:bidi w:val="0"/>
              <w:rPr>
                <w:rFonts w:hint="eastAsia"/>
                <w:lang w:val="en-US" w:eastAsia="zh-CN"/>
              </w:rPr>
            </w:pPr>
            <w:r>
              <w:rPr>
                <w:rFonts w:hint="eastAsia"/>
                <w:lang w:val="en-US" w:eastAsia="zh-CN"/>
              </w:rPr>
              <w:t>昌吉市农村环境整治佃坝镇垃圾中转站建设项目（本项目）为“昌吉市农村环境整治项目”中的分项项目，根据昌吉市农业农村局提供的可行性研究报告，“昌吉市农村环境整治项目”中包括“农村生活供水设施、垃圾处理设施垃圾中转站建设、乡村产业振兴产业提升项目建设、农村污水管网设施建设、人居环境整体提升环卫设施配套建设、农村道路基础设施建设，农村集中供暖，清洁能源利用设施建设及其他配套设施建设”等，本次评价只针对垃圾中转站建设中的佃坝镇垃圾中转站建设项目。</w:t>
            </w:r>
          </w:p>
          <w:p>
            <w:pPr>
              <w:pStyle w:val="18"/>
              <w:bidi w:val="0"/>
              <w:rPr>
                <w:rFonts w:hint="default"/>
                <w:lang w:val="en-US" w:eastAsia="zh-CN"/>
              </w:rPr>
            </w:pPr>
            <w:r>
              <w:rPr>
                <w:rFonts w:hint="default"/>
                <w:lang w:val="en-US" w:eastAsia="zh-CN"/>
              </w:rPr>
              <w:t>本项目区位于昌吉市</w:t>
            </w:r>
            <w:r>
              <w:rPr>
                <w:rFonts w:hint="eastAsia"/>
                <w:lang w:val="en-US" w:eastAsia="zh-CN"/>
              </w:rPr>
              <w:t>佃坝镇西沟村</w:t>
            </w:r>
            <w:r>
              <w:rPr>
                <w:rFonts w:hint="default"/>
                <w:lang w:val="en-US" w:eastAsia="zh-CN"/>
              </w:rPr>
              <w:t>，用地面积为</w:t>
            </w:r>
            <w:r>
              <w:rPr>
                <w:rFonts w:hint="eastAsia"/>
                <w:lang w:val="en-US" w:eastAsia="zh-CN"/>
              </w:rPr>
              <w:t>10000平方米</w:t>
            </w:r>
            <w:r>
              <w:rPr>
                <w:rFonts w:hint="default"/>
                <w:lang w:val="en-US" w:eastAsia="zh-CN"/>
              </w:rPr>
              <w:t>，项目区东侧为县道122，南侧为农田，西侧空地、北侧为农田，厂址占地范围</w:t>
            </w:r>
            <w:r>
              <w:rPr>
                <w:rFonts w:hint="eastAsia"/>
                <w:lang w:val="en-US" w:eastAsia="zh-CN"/>
              </w:rPr>
              <w:t>内无</w:t>
            </w:r>
            <w:r>
              <w:rPr>
                <w:lang w:val="en-US" w:eastAsia="zh-CN"/>
              </w:rPr>
              <w:t>大型商场、影剧院出入口等繁华地段</w:t>
            </w:r>
            <w:r>
              <w:rPr>
                <w:rFonts w:hint="eastAsia"/>
                <w:lang w:val="en-US" w:eastAsia="zh-CN"/>
              </w:rPr>
              <w:t>、</w:t>
            </w:r>
            <w:r>
              <w:rPr>
                <w:lang w:val="en-US" w:eastAsia="zh-CN"/>
              </w:rPr>
              <w:t>邻近学校、商场、餐饮店等群众日常生活聚集场所和其他人流密集区域</w:t>
            </w:r>
            <w:r>
              <w:rPr>
                <w:rFonts w:hint="default"/>
                <w:lang w:val="en-US" w:eastAsia="zh-CN"/>
              </w:rPr>
              <w:t>等。</w:t>
            </w:r>
          </w:p>
          <w:p>
            <w:pPr>
              <w:pStyle w:val="6"/>
              <w:bidi w:val="0"/>
              <w:rPr>
                <w:rFonts w:hint="default"/>
                <w:lang w:val="en-US" w:eastAsia="zh-CN"/>
              </w:rPr>
            </w:pPr>
            <w:r>
              <w:rPr>
                <w:rFonts w:hint="eastAsia"/>
                <w:lang w:val="en-US" w:eastAsia="zh-CN"/>
              </w:rPr>
              <w:t>1.2建设规模及服务范围</w:t>
            </w:r>
          </w:p>
          <w:p>
            <w:pPr>
              <w:pStyle w:val="18"/>
              <w:bidi w:val="0"/>
              <w:jc w:val="both"/>
              <w:rPr>
                <w:rFonts w:hint="eastAsia"/>
                <w:lang w:val="en-US" w:eastAsia="zh-CN"/>
              </w:rPr>
            </w:pPr>
            <w:r>
              <w:rPr>
                <w:rFonts w:hint="eastAsia"/>
                <w:lang w:val="en-US" w:eastAsia="zh-CN"/>
              </w:rPr>
              <w:t>昌吉市农村环境整治佃坝镇垃圾中转站建设项目主要建设生活垃圾中转站1座，设计日处理量为 200t/d，主要服务范围包括佃坝镇、滨湖镇、六工镇、庙尔沟镇，服务人口约5.6万人。生活垃圾进行压缩处理后外运至昌吉市生活垃圾填埋场处理。</w:t>
            </w:r>
          </w:p>
          <w:p>
            <w:pPr>
              <w:pStyle w:val="6"/>
              <w:bidi w:val="0"/>
              <w:rPr>
                <w:rFonts w:hint="eastAsia"/>
                <w:lang w:val="en-US" w:eastAsia="zh-CN"/>
              </w:rPr>
            </w:pPr>
            <w:r>
              <w:rPr>
                <w:rFonts w:hint="eastAsia"/>
                <w:lang w:val="en-US" w:eastAsia="zh-CN"/>
              </w:rPr>
              <w:t>1.3项目建设内容</w:t>
            </w:r>
          </w:p>
          <w:p>
            <w:pPr>
              <w:pStyle w:val="18"/>
              <w:bidi w:val="0"/>
              <w:rPr>
                <w:rFonts w:hint="eastAsia"/>
                <w:lang w:val="en-US" w:eastAsia="zh-CN"/>
              </w:rPr>
            </w:pPr>
            <w:r>
              <w:rPr>
                <w:rFonts w:hint="eastAsia"/>
                <w:lang w:val="en-US" w:eastAsia="zh-CN"/>
              </w:rPr>
              <w:t>昌吉市农村环境整治佃坝镇垃圾中转站建设项目建设地点位于昌吉市佃坝镇122县道西侧，总占地面积10000m</w:t>
            </w:r>
            <w:r>
              <w:rPr>
                <w:rFonts w:hint="eastAsia"/>
                <w:vertAlign w:val="superscript"/>
                <w:lang w:val="en-US" w:eastAsia="zh-CN"/>
              </w:rPr>
              <w:t>2</w:t>
            </w:r>
            <w:r>
              <w:rPr>
                <w:rFonts w:hint="eastAsia"/>
                <w:lang w:val="en-US" w:eastAsia="zh-CN"/>
              </w:rPr>
              <w:t>，建筑面积3370.55m</w:t>
            </w:r>
            <w:r>
              <w:rPr>
                <w:rFonts w:hint="eastAsia"/>
                <w:vertAlign w:val="superscript"/>
                <w:lang w:val="en-US" w:eastAsia="zh-CN"/>
              </w:rPr>
              <w:t>2</w:t>
            </w:r>
            <w:r>
              <w:rPr>
                <w:rFonts w:hint="eastAsia"/>
                <w:lang w:val="en-US" w:eastAsia="zh-CN"/>
              </w:rPr>
              <w:t>，修建垃圾转运间 1 栋（2F，建筑面积 1697.29m</w:t>
            </w:r>
            <w:r>
              <w:rPr>
                <w:rFonts w:hint="eastAsia"/>
                <w:vertAlign w:val="superscript"/>
                <w:lang w:val="en-US" w:eastAsia="zh-CN"/>
              </w:rPr>
              <w:t>2</w:t>
            </w:r>
            <w:r>
              <w:rPr>
                <w:rFonts w:hint="eastAsia"/>
                <w:lang w:val="en-US" w:eastAsia="zh-CN"/>
              </w:rPr>
              <w:t>），安装</w:t>
            </w:r>
            <w:r>
              <w:rPr>
                <w:rFonts w:hint="eastAsia"/>
              </w:rPr>
              <w:t>水平压缩式垃圾压缩机</w:t>
            </w:r>
            <w:r>
              <w:rPr>
                <w:rFonts w:hint="eastAsia"/>
                <w:lang w:val="en-US" w:eastAsia="zh-CN"/>
              </w:rPr>
              <w:t xml:space="preserve"> 1 台，设计日处理量为 200t/d。</w:t>
            </w:r>
          </w:p>
          <w:p>
            <w:pPr>
              <w:pStyle w:val="28"/>
              <w:bidi w:val="0"/>
              <w:rPr>
                <w:rFonts w:hint="eastAsia"/>
                <w:color w:val="auto"/>
                <w:lang w:val="en-US" w:eastAsia="zh-CN"/>
              </w:rPr>
            </w:pPr>
            <w:r>
              <w:rPr>
                <w:rFonts w:hint="eastAsia"/>
                <w:color w:val="auto"/>
                <w:lang w:val="en-US" w:eastAsia="zh-CN"/>
              </w:rPr>
              <w:t>表2-1    项目建设内容一览表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336"/>
              <w:gridCol w:w="4693"/>
              <w:gridCol w:w="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工程类型</w:t>
                  </w:r>
                </w:p>
              </w:tc>
              <w:tc>
                <w:tcPr>
                  <w:tcW w:w="851" w:type="pct"/>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工程名称</w:t>
                  </w:r>
                </w:p>
              </w:tc>
              <w:tc>
                <w:tcPr>
                  <w:tcW w:w="2989" w:type="pct"/>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建设内容</w:t>
                  </w:r>
                </w:p>
              </w:tc>
              <w:tc>
                <w:tcPr>
                  <w:tcW w:w="442" w:type="pct"/>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主体工程</w:t>
                  </w:r>
                </w:p>
              </w:tc>
              <w:tc>
                <w:tcPr>
                  <w:tcW w:w="851"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垃圾转运间</w:t>
                  </w:r>
                </w:p>
              </w:tc>
              <w:tc>
                <w:tcPr>
                  <w:tcW w:w="2989"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位于项目区南侧，2F（框架结构，建筑面积1697.29m</w:t>
                  </w:r>
                  <w:r>
                    <w:rPr>
                      <w:rFonts w:hint="eastAsia"/>
                      <w:color w:val="auto"/>
                      <w:vertAlign w:val="superscript"/>
                      <w:lang w:val="en-US" w:eastAsia="zh-CN"/>
                    </w:rPr>
                    <w:t>2</w:t>
                  </w:r>
                  <w:r>
                    <w:rPr>
                      <w:rFonts w:hint="eastAsia"/>
                      <w:color w:val="auto"/>
                      <w:lang w:val="en-US" w:eastAsia="zh-CN"/>
                    </w:rPr>
                    <w:t>）</w:t>
                  </w:r>
                </w:p>
              </w:tc>
              <w:tc>
                <w:tcPr>
                  <w:tcW w:w="442"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restar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辅助</w:t>
                  </w: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生活办公区</w:t>
                  </w:r>
                </w:p>
              </w:tc>
              <w:tc>
                <w:tcPr>
                  <w:tcW w:w="298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综合楼，3F，1507.92m</w:t>
                  </w:r>
                  <w:r>
                    <w:rPr>
                      <w:rFonts w:hint="eastAsia"/>
                      <w:color w:val="auto"/>
                      <w:vertAlign w:val="superscript"/>
                      <w:lang w:val="en-US" w:eastAsia="zh-CN"/>
                    </w:rPr>
                    <w:t>2</w:t>
                  </w:r>
                </w:p>
              </w:tc>
              <w:tc>
                <w:tcPr>
                  <w:tcW w:w="442" w:type="pct"/>
                  <w:vMerge w:val="restar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eastAsia"/>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消杀车间</w:t>
                  </w:r>
                </w:p>
              </w:tc>
              <w:tc>
                <w:tcPr>
                  <w:tcW w:w="298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120m</w:t>
                  </w:r>
                  <w:r>
                    <w:rPr>
                      <w:rFonts w:hint="eastAsia"/>
                      <w:color w:val="auto"/>
                      <w:vertAlign w:val="superscript"/>
                      <w:lang w:val="en-US" w:eastAsia="zh-CN"/>
                    </w:rPr>
                    <w:t>2</w:t>
                  </w:r>
                </w:p>
              </w:tc>
              <w:tc>
                <w:tcPr>
                  <w:tcW w:w="442" w:type="pct"/>
                  <w:vMerge w:val="continue"/>
                  <w:tcBorders>
                    <w:tl2br w:val="nil"/>
                    <w:tr2bl w:val="nil"/>
                  </w:tcBorders>
                  <w:vAlign w:val="center"/>
                </w:tcPr>
                <w:p>
                  <w:pPr>
                    <w:pStyle w:val="29"/>
                    <w:widowControl w:val="0"/>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restar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公用工程</w:t>
                  </w: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供水工程</w:t>
                  </w:r>
                </w:p>
              </w:tc>
              <w:tc>
                <w:tcPr>
                  <w:tcW w:w="298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市政供水管网</w:t>
                  </w:r>
                </w:p>
              </w:tc>
              <w:tc>
                <w:tcPr>
                  <w:tcW w:w="44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供电工程</w:t>
                  </w:r>
                </w:p>
              </w:tc>
              <w:tc>
                <w:tcPr>
                  <w:tcW w:w="298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市政电网，压缩车间内布置 30KW 柴油发电机设备作为备用电源</w:t>
                  </w:r>
                </w:p>
              </w:tc>
              <w:tc>
                <w:tcPr>
                  <w:tcW w:w="44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供热工程</w:t>
                  </w:r>
                </w:p>
              </w:tc>
              <w:tc>
                <w:tcPr>
                  <w:tcW w:w="298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0.3t/h电锅炉2台（一用一备）</w:t>
                  </w:r>
                </w:p>
              </w:tc>
              <w:tc>
                <w:tcPr>
                  <w:tcW w:w="44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排水工程</w:t>
                  </w:r>
                </w:p>
              </w:tc>
              <w:tc>
                <w:tcPr>
                  <w:tcW w:w="2989" w:type="pct"/>
                  <w:tcBorders>
                    <w:tl2br w:val="nil"/>
                    <w:tr2bl w:val="nil"/>
                  </w:tcBorders>
                  <w:vAlign w:val="center"/>
                </w:tcPr>
                <w:p>
                  <w:pPr>
                    <w:pStyle w:val="29"/>
                    <w:widowControl w:val="0"/>
                    <w:bidi w:val="0"/>
                    <w:jc w:val="left"/>
                    <w:rPr>
                      <w:rFonts w:hint="default"/>
                      <w:color w:val="auto"/>
                      <w:lang w:val="en-US" w:eastAsia="zh-CN"/>
                    </w:rPr>
                  </w:pPr>
                  <w:r>
                    <w:rPr>
                      <w:rFonts w:hint="eastAsia"/>
                      <w:color w:val="auto"/>
                      <w:lang w:val="en-US" w:eastAsia="zh-CN"/>
                    </w:rPr>
                    <w:t>生产废水及生活污水一同收集后由吸污车拉运至昌吉市生活垃圾填埋场</w:t>
                  </w:r>
                </w:p>
              </w:tc>
              <w:tc>
                <w:tcPr>
                  <w:tcW w:w="44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restar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环保工程</w:t>
                  </w: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废气治理</w:t>
                  </w:r>
                </w:p>
              </w:tc>
              <w:tc>
                <w:tcPr>
                  <w:tcW w:w="2989" w:type="pct"/>
                  <w:tcBorders>
                    <w:tl2br w:val="nil"/>
                    <w:tr2bl w:val="nil"/>
                  </w:tcBorders>
                  <w:vAlign w:val="center"/>
                </w:tcPr>
                <w:p>
                  <w:pPr>
                    <w:pStyle w:val="29"/>
                    <w:widowControl w:val="0"/>
                    <w:bidi w:val="0"/>
                    <w:jc w:val="both"/>
                    <w:rPr>
                      <w:rFonts w:hint="default"/>
                      <w:color w:val="auto"/>
                      <w:lang w:val="en-US" w:eastAsia="zh-CN"/>
                    </w:rPr>
                  </w:pPr>
                  <w:r>
                    <w:rPr>
                      <w:rFonts w:hint="default"/>
                      <w:color w:val="auto"/>
                      <w:lang w:val="en-US" w:eastAsia="zh-CN"/>
                    </w:rPr>
                    <w:t>负压抽风除臭系统</w:t>
                  </w:r>
                  <w:r>
                    <w:rPr>
                      <w:rFonts w:hint="eastAsia"/>
                      <w:color w:val="auto"/>
                      <w:lang w:val="en-US" w:eastAsia="zh-CN"/>
                    </w:rPr>
                    <w:t>、前端植物液雾化除臭、降尘喷淋除臭系统、空间雾化系统、15m排气筒</w:t>
                  </w:r>
                </w:p>
              </w:tc>
              <w:tc>
                <w:tcPr>
                  <w:tcW w:w="442" w:type="pct"/>
                  <w:tcBorders>
                    <w:tl2br w:val="nil"/>
                    <w:tr2bl w:val="nil"/>
                  </w:tcBorders>
                  <w:vAlign w:val="center"/>
                </w:tcPr>
                <w:p>
                  <w:pPr>
                    <w:pStyle w:val="29"/>
                    <w:widowControl w:val="0"/>
                    <w:bidi w:val="0"/>
                    <w:jc w:val="both"/>
                    <w:rPr>
                      <w:rFonts w:hint="default"/>
                      <w:color w:val="auto"/>
                      <w:lang w:val="en-US" w:eastAsia="zh-CN"/>
                    </w:rPr>
                  </w:pPr>
                  <w:r>
                    <w:rPr>
                      <w:rFonts w:hint="eastAsia"/>
                      <w:color w:val="auto"/>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废水治理</w:t>
                  </w:r>
                </w:p>
              </w:tc>
              <w:tc>
                <w:tcPr>
                  <w:tcW w:w="2989" w:type="pct"/>
                  <w:tcBorders>
                    <w:tl2br w:val="nil"/>
                    <w:tr2bl w:val="nil"/>
                  </w:tcBorders>
                  <w:vAlign w:val="center"/>
                </w:tcPr>
                <w:p>
                  <w:pPr>
                    <w:pStyle w:val="29"/>
                    <w:widowControl w:val="0"/>
                    <w:bidi w:val="0"/>
                    <w:jc w:val="both"/>
                    <w:rPr>
                      <w:rFonts w:hint="default"/>
                      <w:color w:val="auto"/>
                      <w:lang w:val="en-US" w:eastAsia="zh-CN"/>
                    </w:rPr>
                  </w:pPr>
                  <w:r>
                    <w:rPr>
                      <w:rFonts w:hint="default"/>
                      <w:color w:val="auto"/>
                      <w:lang w:val="en-US" w:eastAsia="zh-CN"/>
                    </w:rPr>
                    <w:t>设 1 座地埋式</w:t>
                  </w:r>
                  <w:r>
                    <w:rPr>
                      <w:rFonts w:hint="eastAsia"/>
                      <w:color w:val="auto"/>
                      <w:lang w:val="en-US" w:eastAsia="zh-CN"/>
                    </w:rPr>
                    <w:t>污水</w:t>
                  </w:r>
                  <w:r>
                    <w:rPr>
                      <w:rFonts w:hint="default"/>
                      <w:color w:val="auto"/>
                      <w:lang w:val="en-US" w:eastAsia="zh-CN"/>
                    </w:rPr>
                    <w:t xml:space="preserve">收集池（容积 </w:t>
                  </w:r>
                  <w:r>
                    <w:rPr>
                      <w:rFonts w:hint="eastAsia"/>
                      <w:color w:val="auto"/>
                      <w:lang w:val="en-US" w:eastAsia="zh-CN"/>
                    </w:rPr>
                    <w:t>3</w:t>
                  </w:r>
                  <w:r>
                    <w:rPr>
                      <w:rFonts w:hint="default"/>
                      <w:color w:val="auto"/>
                      <w:lang w:val="en-US" w:eastAsia="zh-CN"/>
                    </w:rPr>
                    <w:t>0m³），用于收集垃圾渗滤液</w:t>
                  </w:r>
                  <w:r>
                    <w:rPr>
                      <w:rFonts w:hint="eastAsia"/>
                      <w:color w:val="auto"/>
                      <w:lang w:val="en-US" w:eastAsia="zh-CN"/>
                    </w:rPr>
                    <w:t>、车间</w:t>
                  </w:r>
                  <w:r>
                    <w:rPr>
                      <w:rFonts w:hint="default"/>
                      <w:color w:val="auto"/>
                      <w:lang w:val="en-US" w:eastAsia="zh-CN"/>
                    </w:rPr>
                    <w:t>冲洗废水</w:t>
                  </w:r>
                  <w:r>
                    <w:rPr>
                      <w:rFonts w:hint="eastAsia"/>
                      <w:color w:val="auto"/>
                      <w:lang w:val="en-US" w:eastAsia="zh-CN"/>
                    </w:rPr>
                    <w:t>和生活污水</w:t>
                  </w:r>
                  <w:r>
                    <w:rPr>
                      <w:rFonts w:hint="default"/>
                      <w:color w:val="auto"/>
                      <w:lang w:val="en-US" w:eastAsia="zh-CN"/>
                    </w:rPr>
                    <w:t>。</w:t>
                  </w:r>
                  <w:r>
                    <w:rPr>
                      <w:rFonts w:hint="eastAsia"/>
                      <w:color w:val="auto"/>
                      <w:lang w:val="en-US" w:eastAsia="zh-CN"/>
                    </w:rPr>
                    <w:t>由吸污车定期拉运至昌吉市生活垃圾填埋场处理</w:t>
                  </w:r>
                </w:p>
              </w:tc>
              <w:tc>
                <w:tcPr>
                  <w:tcW w:w="442" w:type="pct"/>
                  <w:tcBorders>
                    <w:tl2br w:val="nil"/>
                    <w:tr2bl w:val="nil"/>
                  </w:tcBorders>
                  <w:vAlign w:val="center"/>
                </w:tcPr>
                <w:p>
                  <w:pPr>
                    <w:pStyle w:val="29"/>
                    <w:widowControl w:val="0"/>
                    <w:bidi w:val="0"/>
                    <w:jc w:val="both"/>
                    <w:rPr>
                      <w:rFonts w:hint="default"/>
                      <w:color w:val="auto"/>
                      <w:lang w:val="en-US" w:eastAsia="zh-CN"/>
                    </w:rPr>
                  </w:pPr>
                  <w:r>
                    <w:rPr>
                      <w:rFonts w:hint="eastAsia"/>
                      <w:color w:val="auto"/>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噪声治理</w:t>
                  </w:r>
                </w:p>
              </w:tc>
              <w:tc>
                <w:tcPr>
                  <w:tcW w:w="2989" w:type="pct"/>
                  <w:tcBorders>
                    <w:tl2br w:val="nil"/>
                    <w:tr2bl w:val="nil"/>
                  </w:tcBorders>
                  <w:vAlign w:val="center"/>
                </w:tcPr>
                <w:p>
                  <w:pPr>
                    <w:pStyle w:val="29"/>
                    <w:widowControl w:val="0"/>
                    <w:bidi w:val="0"/>
                    <w:jc w:val="both"/>
                    <w:rPr>
                      <w:rFonts w:hint="eastAsia"/>
                      <w:color w:val="auto"/>
                      <w:lang w:val="en-US" w:eastAsia="zh-CN"/>
                    </w:rPr>
                  </w:pPr>
                  <w:r>
                    <w:rPr>
                      <w:rFonts w:hint="eastAsia"/>
                      <w:color w:val="auto"/>
                      <w:lang w:eastAsia="zh-CN"/>
                    </w:rPr>
                    <w:t>选用低噪</w:t>
                  </w:r>
                  <w:r>
                    <w:rPr>
                      <w:rFonts w:hint="eastAsia"/>
                      <w:color w:val="auto"/>
                      <w:lang w:val="en-US" w:eastAsia="zh-CN"/>
                    </w:rPr>
                    <w:t>声</w:t>
                  </w:r>
                  <w:r>
                    <w:rPr>
                      <w:rFonts w:hint="eastAsia"/>
                      <w:color w:val="auto"/>
                      <w:lang w:eastAsia="zh-CN"/>
                    </w:rPr>
                    <w:t>设备，采取基础减震、建筑隔音等措施；合理布局，车间封闭等措施</w:t>
                  </w:r>
                </w:p>
              </w:tc>
              <w:tc>
                <w:tcPr>
                  <w:tcW w:w="442" w:type="pct"/>
                  <w:tcBorders>
                    <w:tl2br w:val="nil"/>
                    <w:tr2bl w:val="nil"/>
                  </w:tcBorders>
                  <w:vAlign w:val="center"/>
                </w:tcPr>
                <w:p>
                  <w:pPr>
                    <w:pStyle w:val="29"/>
                    <w:widowControl w:val="0"/>
                    <w:bidi w:val="0"/>
                    <w:jc w:val="both"/>
                    <w:rPr>
                      <w:rFonts w:hint="default"/>
                      <w:color w:val="auto"/>
                      <w:lang w:val="en-US" w:eastAsia="zh-CN"/>
                    </w:rPr>
                  </w:pPr>
                  <w:r>
                    <w:rPr>
                      <w:rFonts w:hint="eastAsia"/>
                      <w:color w:val="auto"/>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717"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851"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固废治理</w:t>
                  </w:r>
                </w:p>
              </w:tc>
              <w:tc>
                <w:tcPr>
                  <w:tcW w:w="2989" w:type="pct"/>
                  <w:tcBorders>
                    <w:tl2br w:val="nil"/>
                    <w:tr2bl w:val="nil"/>
                  </w:tcBorders>
                  <w:vAlign w:val="center"/>
                </w:tcPr>
                <w:p>
                  <w:pPr>
                    <w:keepNext w:val="0"/>
                    <w:keepLines w:val="0"/>
                    <w:widowControl/>
                    <w:suppressLineNumbers w:val="0"/>
                    <w:jc w:val="left"/>
                    <w:rPr>
                      <w:rFonts w:hint="default"/>
                      <w:color w:val="auto"/>
                      <w:lang w:val="en-US" w:eastAsia="zh-CN"/>
                    </w:rPr>
                  </w:pPr>
                  <w:r>
                    <w:rPr>
                      <w:rFonts w:hint="eastAsia" w:ascii="Times New Roman" w:hAnsi="Times New Roman" w:eastAsia="宋体" w:cs="Times New Roman"/>
                      <w:b w:val="0"/>
                      <w:color w:val="auto"/>
                      <w:kern w:val="2"/>
                      <w:sz w:val="21"/>
                      <w:szCs w:val="24"/>
                      <w:lang w:val="en-US" w:eastAsia="zh-CN" w:bidi="ar-SA"/>
                    </w:rPr>
                    <w:t>生活垃圾</w:t>
                  </w:r>
                  <w:r>
                    <w:rPr>
                      <w:rFonts w:hint="eastAsia" w:cs="Times New Roman"/>
                      <w:b w:val="0"/>
                      <w:color w:val="auto"/>
                      <w:kern w:val="2"/>
                      <w:sz w:val="21"/>
                      <w:szCs w:val="24"/>
                      <w:lang w:val="en-US" w:eastAsia="zh-CN" w:bidi="ar-SA"/>
                    </w:rPr>
                    <w:t>、</w:t>
                  </w:r>
                  <w:r>
                    <w:rPr>
                      <w:rFonts w:hint="eastAsia" w:ascii="Times New Roman" w:hAnsi="Times New Roman" w:eastAsia="宋体" w:cs="Times New Roman"/>
                      <w:b w:val="0"/>
                      <w:color w:val="auto"/>
                      <w:kern w:val="2"/>
                      <w:sz w:val="21"/>
                      <w:szCs w:val="24"/>
                      <w:lang w:val="en-US" w:eastAsia="zh-CN" w:bidi="ar-SA"/>
                    </w:rPr>
                    <w:t>污泥经</w:t>
                  </w:r>
                  <w:r>
                    <w:rPr>
                      <w:rFonts w:hint="eastAsia" w:cs="Times New Roman"/>
                      <w:b w:val="0"/>
                      <w:color w:val="auto"/>
                      <w:kern w:val="2"/>
                      <w:sz w:val="21"/>
                      <w:szCs w:val="24"/>
                      <w:lang w:val="en-US" w:eastAsia="zh-CN" w:bidi="ar-SA"/>
                    </w:rPr>
                    <w:t>脱水干化</w:t>
                  </w:r>
                  <w:r>
                    <w:rPr>
                      <w:rFonts w:hint="eastAsia" w:ascii="Times New Roman" w:hAnsi="Times New Roman" w:eastAsia="宋体" w:cs="Times New Roman"/>
                      <w:b w:val="0"/>
                      <w:color w:val="auto"/>
                      <w:kern w:val="2"/>
                      <w:sz w:val="21"/>
                      <w:szCs w:val="24"/>
                      <w:lang w:val="en-US" w:eastAsia="zh-CN" w:bidi="ar-SA"/>
                    </w:rPr>
                    <w:t>后每日连同外运回来的生活垃圾一并进行压缩处理后外运至昌吉市生活垃圾填埋场处理</w:t>
                  </w:r>
                  <w:r>
                    <w:rPr>
                      <w:rFonts w:hint="eastAsia" w:cs="Times New Roman"/>
                      <w:b w:val="0"/>
                      <w:color w:val="auto"/>
                      <w:kern w:val="2"/>
                      <w:sz w:val="21"/>
                      <w:szCs w:val="24"/>
                      <w:lang w:val="en-US" w:eastAsia="zh-CN" w:bidi="ar-SA"/>
                    </w:rPr>
                    <w:t>；除臭剂废包装桶由厂家回收</w:t>
                  </w:r>
                </w:p>
              </w:tc>
              <w:tc>
                <w:tcPr>
                  <w:tcW w:w="442" w:type="pct"/>
                  <w:tcBorders>
                    <w:tl2br w:val="nil"/>
                    <w:tr2bl w:val="nil"/>
                  </w:tcBorders>
                  <w:vAlign w:val="center"/>
                </w:tcPr>
                <w:p>
                  <w:pPr>
                    <w:pStyle w:val="29"/>
                    <w:widowControl w:val="0"/>
                    <w:bidi w:val="0"/>
                    <w:jc w:val="both"/>
                    <w:rPr>
                      <w:rFonts w:hint="default"/>
                      <w:color w:val="auto"/>
                      <w:lang w:val="en-US" w:eastAsia="zh-CN"/>
                    </w:rPr>
                  </w:pPr>
                  <w:r>
                    <w:rPr>
                      <w:rFonts w:hint="eastAsia"/>
                      <w:color w:val="auto"/>
                      <w:lang w:val="en-US" w:eastAsia="zh-CN"/>
                    </w:rPr>
                    <w:t>新建</w:t>
                  </w:r>
                </w:p>
              </w:tc>
            </w:tr>
          </w:tbl>
          <w:p>
            <w:pPr>
              <w:pStyle w:val="5"/>
              <w:numPr>
                <w:ilvl w:val="0"/>
                <w:numId w:val="5"/>
              </w:numPr>
              <w:bidi w:val="0"/>
              <w:ind w:left="0" w:leftChars="0" w:firstLine="0" w:firstLineChars="0"/>
              <w:rPr>
                <w:rFonts w:hint="eastAsia"/>
                <w:color w:val="auto"/>
                <w:lang w:val="en-US" w:eastAsia="zh-CN"/>
              </w:rPr>
            </w:pPr>
            <w:r>
              <w:rPr>
                <w:rFonts w:hint="eastAsia"/>
                <w:color w:val="auto"/>
                <w:lang w:val="en-US" w:eastAsia="zh-CN"/>
              </w:rPr>
              <w:t>生产设备</w:t>
            </w:r>
          </w:p>
          <w:p>
            <w:pPr>
              <w:pStyle w:val="18"/>
              <w:bidi w:val="0"/>
              <w:rPr>
                <w:color w:val="auto"/>
                <w:lang w:val="en-US" w:eastAsia="zh-CN"/>
              </w:rPr>
            </w:pPr>
            <w:r>
              <w:rPr>
                <w:color w:val="auto"/>
                <w:lang w:val="en-US" w:eastAsia="zh-CN"/>
              </w:rPr>
              <w:t>本项目主要</w:t>
            </w:r>
            <w:r>
              <w:rPr>
                <w:rFonts w:hint="eastAsia"/>
                <w:color w:val="auto"/>
                <w:lang w:val="en-US" w:eastAsia="zh-CN"/>
              </w:rPr>
              <w:t>生产设备</w:t>
            </w:r>
            <w:r>
              <w:rPr>
                <w:color w:val="auto"/>
                <w:lang w:val="en-US" w:eastAsia="zh-CN"/>
              </w:rPr>
              <w:t>见表</w:t>
            </w:r>
            <w:r>
              <w:rPr>
                <w:rFonts w:hint="eastAsia"/>
                <w:color w:val="auto"/>
                <w:lang w:val="en-US" w:eastAsia="zh-CN"/>
              </w:rPr>
              <w:t>2-</w:t>
            </w:r>
            <w:r>
              <w:rPr>
                <w:color w:val="auto"/>
                <w:lang w:val="en-US" w:eastAsia="zh-CN"/>
              </w:rPr>
              <w:t>2。</w:t>
            </w:r>
          </w:p>
          <w:p>
            <w:pPr>
              <w:pStyle w:val="28"/>
              <w:bidi w:val="0"/>
              <w:rPr>
                <w:color w:val="auto"/>
                <w:lang w:val="en-US" w:eastAsia="zh-CN"/>
              </w:rPr>
            </w:pPr>
            <w:r>
              <w:rPr>
                <w:color w:val="auto"/>
                <w:lang w:val="en-US" w:eastAsia="zh-CN"/>
              </w:rPr>
              <w:t>表</w:t>
            </w:r>
            <w:r>
              <w:rPr>
                <w:rFonts w:hint="eastAsia"/>
                <w:color w:val="auto"/>
                <w:lang w:val="en-US" w:eastAsia="zh-CN"/>
              </w:rPr>
              <w:t>2-</w:t>
            </w:r>
            <w:r>
              <w:rPr>
                <w:color w:val="auto"/>
                <w:lang w:val="en-US" w:eastAsia="zh-CN"/>
              </w:rPr>
              <w:t xml:space="preserve"> </w:t>
            </w:r>
            <w:r>
              <w:rPr>
                <w:color w:val="auto"/>
                <w:lang w:val="en-US" w:eastAsia="zh-CN"/>
              </w:rPr>
              <w:fldChar w:fldCharType="begin"/>
            </w:r>
            <w:r>
              <w:rPr>
                <w:color w:val="auto"/>
                <w:lang w:val="en-US" w:eastAsia="zh-CN"/>
              </w:rPr>
              <w:instrText xml:space="preserve"> SEQ 表格 \* ARABIC </w:instrText>
            </w:r>
            <w:r>
              <w:rPr>
                <w:color w:val="auto"/>
                <w:lang w:val="en-US" w:eastAsia="zh-CN"/>
              </w:rPr>
              <w:fldChar w:fldCharType="separate"/>
            </w:r>
            <w:r>
              <w:rPr>
                <w:color w:val="auto"/>
                <w:lang w:val="en-US" w:eastAsia="zh-CN"/>
              </w:rPr>
              <w:t>2</w:t>
            </w:r>
            <w:r>
              <w:rPr>
                <w:color w:val="auto"/>
                <w:lang w:val="en-US" w:eastAsia="zh-CN"/>
              </w:rPr>
              <w:fldChar w:fldCharType="end"/>
            </w:r>
            <w:r>
              <w:rPr>
                <w:color w:val="auto"/>
                <w:lang w:val="en-US" w:eastAsia="zh-CN"/>
              </w:rPr>
              <w:t xml:space="preserve"> </w:t>
            </w:r>
            <w:r>
              <w:rPr>
                <w:rFonts w:hint="eastAsia"/>
                <w:color w:val="auto"/>
                <w:lang w:val="en-US" w:eastAsia="zh-CN"/>
              </w:rPr>
              <w:t xml:space="preserve">     </w:t>
            </w:r>
            <w:r>
              <w:rPr>
                <w:color w:val="auto"/>
                <w:lang w:val="en-US" w:eastAsia="zh-CN"/>
              </w:rPr>
              <w:t>主要</w:t>
            </w:r>
            <w:r>
              <w:rPr>
                <w:rFonts w:hint="eastAsia"/>
                <w:color w:val="auto"/>
                <w:lang w:val="en-US" w:eastAsia="zh-CN"/>
              </w:rPr>
              <w:t>生产设备</w:t>
            </w:r>
            <w:r>
              <w:rPr>
                <w:color w:val="auto"/>
                <w:lang w:val="en-US" w:eastAsia="zh-CN"/>
              </w:rPr>
              <w:t>一览表</w:t>
            </w:r>
          </w:p>
          <w:tbl>
            <w:tblPr>
              <w:tblStyle w:val="21"/>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59"/>
              <w:gridCol w:w="1411"/>
              <w:gridCol w:w="705"/>
              <w:gridCol w:w="741"/>
              <w:gridCol w:w="23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438" w:type="pct"/>
                  <w:tcBorders>
                    <w:top w:val="single" w:color="auto" w:sz="12" w:space="0"/>
                    <w:left w:val="nil"/>
                    <w:bottom w:val="single" w:color="auto" w:sz="12" w:space="0"/>
                    <w:right w:val="single" w:color="auto" w:sz="4" w:space="0"/>
                  </w:tcBorders>
                  <w:noWrap w:val="0"/>
                  <w:vAlign w:val="center"/>
                </w:tcPr>
                <w:p>
                  <w:pPr>
                    <w:pStyle w:val="29"/>
                    <w:bidi w:val="0"/>
                    <w:rPr>
                      <w:b/>
                      <w:bCs/>
                      <w:color w:val="auto"/>
                    </w:rPr>
                  </w:pPr>
                  <w:r>
                    <w:rPr>
                      <w:b/>
                      <w:bCs/>
                      <w:color w:val="auto"/>
                    </w:rPr>
                    <w:t>序号</w:t>
                  </w:r>
                </w:p>
              </w:tc>
              <w:tc>
                <w:tcPr>
                  <w:tcW w:w="1247" w:type="pct"/>
                  <w:tcBorders>
                    <w:top w:val="single" w:color="auto" w:sz="12" w:space="0"/>
                    <w:left w:val="single" w:color="auto" w:sz="4" w:space="0"/>
                    <w:bottom w:val="single" w:color="auto" w:sz="12" w:space="0"/>
                    <w:right w:val="single" w:color="auto" w:sz="4" w:space="0"/>
                  </w:tcBorders>
                  <w:noWrap w:val="0"/>
                  <w:vAlign w:val="center"/>
                </w:tcPr>
                <w:p>
                  <w:pPr>
                    <w:pStyle w:val="29"/>
                    <w:bidi w:val="0"/>
                    <w:rPr>
                      <w:b/>
                      <w:bCs/>
                      <w:color w:val="auto"/>
                    </w:rPr>
                  </w:pPr>
                  <w:r>
                    <w:rPr>
                      <w:b/>
                      <w:bCs/>
                      <w:color w:val="auto"/>
                    </w:rPr>
                    <w:t>名称</w:t>
                  </w:r>
                </w:p>
              </w:tc>
              <w:tc>
                <w:tcPr>
                  <w:tcW w:w="898" w:type="pct"/>
                  <w:tcBorders>
                    <w:top w:val="single" w:color="auto" w:sz="12" w:space="0"/>
                    <w:left w:val="single" w:color="auto" w:sz="4" w:space="0"/>
                    <w:bottom w:val="single" w:color="auto" w:sz="12" w:space="0"/>
                    <w:right w:val="single" w:color="auto" w:sz="4" w:space="0"/>
                  </w:tcBorders>
                  <w:noWrap w:val="0"/>
                  <w:vAlign w:val="center"/>
                </w:tcPr>
                <w:p>
                  <w:pPr>
                    <w:pStyle w:val="29"/>
                    <w:bidi w:val="0"/>
                    <w:rPr>
                      <w:rFonts w:hint="eastAsia"/>
                      <w:b/>
                      <w:bCs/>
                      <w:color w:val="auto"/>
                      <w:lang w:val="en-US" w:eastAsia="zh-CN"/>
                    </w:rPr>
                  </w:pPr>
                  <w:r>
                    <w:rPr>
                      <w:rFonts w:hint="eastAsia"/>
                      <w:b/>
                      <w:bCs/>
                      <w:color w:val="auto"/>
                      <w:lang w:val="en-US" w:eastAsia="zh-CN"/>
                    </w:rPr>
                    <w:t>规格型号</w:t>
                  </w:r>
                </w:p>
              </w:tc>
              <w:tc>
                <w:tcPr>
                  <w:tcW w:w="449" w:type="pct"/>
                  <w:tcBorders>
                    <w:top w:val="single" w:color="auto" w:sz="12" w:space="0"/>
                    <w:left w:val="single" w:color="auto" w:sz="4" w:space="0"/>
                    <w:bottom w:val="single" w:color="auto" w:sz="12" w:space="0"/>
                    <w:right w:val="nil"/>
                  </w:tcBorders>
                  <w:noWrap w:val="0"/>
                  <w:vAlign w:val="center"/>
                </w:tcPr>
                <w:p>
                  <w:pPr>
                    <w:pStyle w:val="29"/>
                    <w:bidi w:val="0"/>
                    <w:rPr>
                      <w:rFonts w:hint="default"/>
                      <w:b/>
                      <w:bCs/>
                      <w:color w:val="auto"/>
                      <w:lang w:val="en-US" w:eastAsia="zh-CN"/>
                    </w:rPr>
                  </w:pPr>
                  <w:r>
                    <w:rPr>
                      <w:b/>
                      <w:bCs/>
                      <w:color w:val="auto"/>
                    </w:rPr>
                    <w:t>数量</w:t>
                  </w:r>
                </w:p>
              </w:tc>
              <w:tc>
                <w:tcPr>
                  <w:tcW w:w="472" w:type="pct"/>
                  <w:tcBorders>
                    <w:top w:val="single" w:color="auto" w:sz="12" w:space="0"/>
                    <w:left w:val="single" w:color="auto" w:sz="4" w:space="0"/>
                    <w:bottom w:val="single" w:color="auto" w:sz="12" w:space="0"/>
                    <w:right w:val="nil"/>
                  </w:tcBorders>
                  <w:noWrap w:val="0"/>
                  <w:vAlign w:val="center"/>
                </w:tcPr>
                <w:p>
                  <w:pPr>
                    <w:pStyle w:val="29"/>
                    <w:bidi w:val="0"/>
                    <w:rPr>
                      <w:rFonts w:hint="eastAsia"/>
                      <w:b/>
                      <w:bCs/>
                      <w:color w:val="auto"/>
                      <w:lang w:val="en-US" w:eastAsia="zh-CN"/>
                    </w:rPr>
                  </w:pPr>
                  <w:r>
                    <w:rPr>
                      <w:rFonts w:hint="eastAsia"/>
                      <w:b/>
                      <w:bCs/>
                      <w:color w:val="auto"/>
                      <w:lang w:val="en-US" w:eastAsia="zh-CN"/>
                    </w:rPr>
                    <w:t>单位</w:t>
                  </w:r>
                </w:p>
              </w:tc>
              <w:tc>
                <w:tcPr>
                  <w:tcW w:w="1493" w:type="pct"/>
                  <w:tcBorders>
                    <w:top w:val="single" w:color="auto" w:sz="12" w:space="0"/>
                    <w:left w:val="single" w:color="auto" w:sz="4" w:space="0"/>
                    <w:bottom w:val="single" w:color="auto" w:sz="12" w:space="0"/>
                    <w:right w:val="nil"/>
                  </w:tcBorders>
                  <w:noWrap w:val="0"/>
                  <w:vAlign w:val="center"/>
                </w:tcPr>
                <w:p>
                  <w:pPr>
                    <w:pStyle w:val="29"/>
                    <w:bidi w:val="0"/>
                    <w:rPr>
                      <w:rFonts w:hint="default"/>
                      <w:b/>
                      <w:bCs/>
                      <w:color w:val="auto"/>
                      <w:lang w:val="en-US" w:eastAsia="zh-CN"/>
                    </w:rPr>
                  </w:pPr>
                  <w:r>
                    <w:rPr>
                      <w:rFonts w:hint="eastAsia"/>
                      <w:b/>
                      <w:bCs/>
                      <w:color w:val="auto"/>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12" w:space="0"/>
                    <w:left w:val="nil"/>
                    <w:bottom w:val="single" w:color="auto"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1</w:t>
                  </w:r>
                </w:p>
              </w:tc>
              <w:tc>
                <w:tcPr>
                  <w:tcW w:w="1247" w:type="pct"/>
                  <w:tcBorders>
                    <w:top w:val="single" w:color="auto" w:sz="12" w:space="0"/>
                    <w:left w:val="single" w:color="auto" w:sz="4" w:space="0"/>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ascii="宋体" w:hAnsi="宋体" w:cs="宋体"/>
                      <w:color w:val="000000"/>
                      <w:kern w:val="0"/>
                      <w:szCs w:val="21"/>
                    </w:rPr>
                    <w:t>大型水平压缩式垃圾压缩成套设备</w:t>
                  </w:r>
                </w:p>
              </w:tc>
              <w:tc>
                <w:tcPr>
                  <w:tcW w:w="898" w:type="pct"/>
                  <w:tcBorders>
                    <w:top w:val="single" w:color="auto" w:sz="12" w:space="0"/>
                    <w:left w:val="single" w:color="auto" w:sz="4" w:space="0"/>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ascii="宋体" w:hAnsi="宋体" w:cs="宋体"/>
                      <w:color w:val="000000"/>
                      <w:kern w:val="0"/>
                      <w:szCs w:val="21"/>
                    </w:rPr>
                    <w:t>日处理能力</w:t>
                  </w:r>
                  <w:r>
                    <w:rPr>
                      <w:rFonts w:hint="eastAsia" w:ascii="宋体" w:hAnsi="宋体" w:cs="宋体"/>
                      <w:color w:val="000000"/>
                      <w:kern w:val="0"/>
                      <w:szCs w:val="21"/>
                      <w:lang w:val="en-US" w:eastAsia="zh-CN"/>
                    </w:rPr>
                    <w:t>≥</w:t>
                  </w:r>
                  <w:r>
                    <w:rPr>
                      <w:rFonts w:hint="eastAsia" w:ascii="宋体" w:hAnsi="宋体" w:cs="宋体"/>
                      <w:color w:val="000000"/>
                      <w:kern w:val="0"/>
                      <w:szCs w:val="21"/>
                    </w:rPr>
                    <w:t>200吨/天</w:t>
                  </w:r>
                </w:p>
              </w:tc>
              <w:tc>
                <w:tcPr>
                  <w:tcW w:w="449" w:type="pct"/>
                  <w:tcBorders>
                    <w:top w:val="single" w:color="auto" w:sz="12" w:space="0"/>
                    <w:left w:val="single" w:color="auto" w:sz="4" w:space="0"/>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3</w:t>
                  </w:r>
                </w:p>
              </w:tc>
              <w:tc>
                <w:tcPr>
                  <w:tcW w:w="472" w:type="pct"/>
                  <w:tcBorders>
                    <w:top w:val="single" w:color="auto" w:sz="12" w:space="0"/>
                    <w:left w:val="single" w:color="auto" w:sz="4" w:space="0"/>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套</w:t>
                  </w:r>
                </w:p>
              </w:tc>
              <w:tc>
                <w:tcPr>
                  <w:tcW w:w="1493" w:type="pct"/>
                  <w:tcBorders>
                    <w:top w:val="single" w:color="auto" w:sz="12" w:space="0"/>
                    <w:left w:val="single" w:color="auto" w:sz="4" w:space="0"/>
                    <w:bottom w:val="single" w:color="auto" w:sz="4" w:space="0"/>
                    <w:right w:val="nil"/>
                  </w:tcBorders>
                  <w:noWrap w:val="0"/>
                  <w:vAlign w:val="center"/>
                </w:tcPr>
                <w:p>
                  <w:pPr>
                    <w:pStyle w:val="29"/>
                    <w:bidi w:val="0"/>
                    <w:rPr>
                      <w:rFonts w:hint="eastAsia"/>
                      <w:color w:val="auto"/>
                      <w:lang w:val="en-US" w:eastAsia="zh-CN"/>
                    </w:rPr>
                  </w:pPr>
                  <w:r>
                    <w:rPr>
                      <w:rFonts w:hint="eastAsia"/>
                      <w:color w:val="auto"/>
                      <w:lang w:val="en-US" w:eastAsia="zh-CN"/>
                    </w:rPr>
                    <w:t>压缩机主体、供料装置、液压系统与电气控制系统等构成。压缩机主体由受料腔、缩腔、推压装置、闸门提升装置、污水收集装置等组成。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auto"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2</w:t>
                  </w:r>
                </w:p>
              </w:tc>
              <w:tc>
                <w:tcPr>
                  <w:tcW w:w="1247" w:type="pct"/>
                  <w:tcBorders>
                    <w:top w:val="single" w:color="auto" w:sz="4" w:space="0"/>
                    <w:left w:val="single" w:color="auto" w:sz="4" w:space="0"/>
                    <w:bottom w:val="single" w:color="auto"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控制系统</w:t>
                  </w:r>
                </w:p>
              </w:tc>
              <w:tc>
                <w:tcPr>
                  <w:tcW w:w="898" w:type="pct"/>
                  <w:tcBorders>
                    <w:top w:val="single" w:color="auto" w:sz="4" w:space="0"/>
                    <w:left w:val="single" w:color="auto" w:sz="4" w:space="0"/>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w:t>
                  </w:r>
                </w:p>
              </w:tc>
              <w:tc>
                <w:tcPr>
                  <w:tcW w:w="449" w:type="pct"/>
                  <w:tcBorders>
                    <w:top w:val="single" w:color="auto" w:sz="4" w:space="0"/>
                    <w:left w:val="single" w:color="auto" w:sz="4" w:space="0"/>
                    <w:bottom w:val="single" w:color="auto" w:sz="4" w:space="0"/>
                    <w:right w:val="single" w:color="auto" w:sz="4" w:space="0"/>
                  </w:tcBorders>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472" w:type="pct"/>
                  <w:tcBorders>
                    <w:top w:val="single" w:color="auto" w:sz="4" w:space="0"/>
                    <w:left w:val="single" w:color="auto" w:sz="4" w:space="0"/>
                    <w:bottom w:val="single" w:color="auto" w:sz="4" w:space="0"/>
                    <w:right w:val="nil"/>
                  </w:tcBorders>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套</w:t>
                  </w:r>
                </w:p>
              </w:tc>
              <w:tc>
                <w:tcPr>
                  <w:tcW w:w="1493" w:type="pct"/>
                  <w:tcBorders>
                    <w:top w:val="single" w:color="auto" w:sz="4" w:space="0"/>
                    <w:left w:val="single" w:color="auto" w:sz="4" w:space="0"/>
                    <w:bottom w:val="single" w:color="auto" w:sz="4" w:space="0"/>
                    <w:right w:val="nil"/>
                  </w:tcBorders>
                  <w:noWrap w:val="0"/>
                  <w:vAlign w:val="center"/>
                </w:tcPr>
                <w:p>
                  <w:pPr>
                    <w:pStyle w:val="29"/>
                    <w:bidi w:val="0"/>
                    <w:rPr>
                      <w:rFonts w:hint="eastAsia" w:eastAsia="宋体"/>
                      <w:color w:val="auto"/>
                      <w:lang w:val="en-US" w:eastAsia="zh-CN"/>
                    </w:rPr>
                  </w:pPr>
                  <w:r>
                    <w:rPr>
                      <w:rFonts w:hint="eastAsia" w:ascii="宋体" w:hAnsi="宋体" w:cs="宋体"/>
                      <w:color w:val="000000"/>
                      <w:kern w:val="0"/>
                      <w:szCs w:val="21"/>
                      <w:highlight w:val="none"/>
                    </w:rPr>
                    <w:t>中央控制系统</w:t>
                  </w:r>
                  <w:r>
                    <w:rPr>
                      <w:rFonts w:hint="eastAsia" w:ascii="宋体" w:hAnsi="宋体" w:cs="宋体"/>
                      <w:color w:val="000000"/>
                      <w:kern w:val="0"/>
                      <w:szCs w:val="21"/>
                      <w:highlight w:val="none"/>
                      <w:lang w:eastAsia="zh-CN"/>
                    </w:rPr>
                    <w:t>、</w:t>
                  </w:r>
                  <w:r>
                    <w:rPr>
                      <w:rFonts w:hint="eastAsia" w:ascii="宋体" w:hAnsi="宋体" w:cs="宋体"/>
                      <w:color w:val="000000"/>
                      <w:kern w:val="0"/>
                      <w:szCs w:val="21"/>
                    </w:rPr>
                    <w:t>中央集成监视监控系统</w:t>
                  </w:r>
                  <w:r>
                    <w:rPr>
                      <w:rFonts w:hint="eastAsia" w:ascii="宋体" w:hAnsi="宋体" w:cs="宋体"/>
                      <w:color w:val="000000"/>
                      <w:kern w:val="0"/>
                      <w:szCs w:val="21"/>
                      <w:lang w:eastAsia="zh-CN"/>
                    </w:rPr>
                    <w:t>、</w:t>
                  </w:r>
                  <w:r>
                    <w:rPr>
                      <w:rFonts w:hint="eastAsia" w:ascii="宋体" w:hAnsi="宋体" w:cs="宋体"/>
                      <w:color w:val="000000"/>
                      <w:kern w:val="0"/>
                      <w:szCs w:val="21"/>
                    </w:rPr>
                    <w:t>中央集成通讯系统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000000"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3</w:t>
                  </w:r>
                </w:p>
              </w:tc>
              <w:tc>
                <w:tcPr>
                  <w:tcW w:w="1247"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ascii="宋体" w:hAnsi="宋体" w:cs="宋体"/>
                      <w:color w:val="000000"/>
                      <w:kern w:val="0"/>
                      <w:szCs w:val="21"/>
                      <w:highlight w:val="none"/>
                    </w:rPr>
                    <w:t>负压抽风除臭系统</w:t>
                  </w:r>
                </w:p>
              </w:tc>
              <w:tc>
                <w:tcPr>
                  <w:tcW w:w="898"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≥20000m³/h</w:t>
                  </w:r>
                </w:p>
              </w:tc>
              <w:tc>
                <w:tcPr>
                  <w:tcW w:w="449"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472" w:type="pct"/>
                  <w:tcBorders>
                    <w:top w:val="single" w:color="auto" w:sz="4" w:space="0"/>
                    <w:left w:val="single" w:color="auto" w:sz="4" w:space="0"/>
                    <w:bottom w:val="single" w:color="000000" w:sz="4" w:space="0"/>
                    <w:right w:val="nil"/>
                  </w:tcBorders>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套</w:t>
                  </w:r>
                </w:p>
              </w:tc>
              <w:tc>
                <w:tcPr>
                  <w:tcW w:w="1493" w:type="pct"/>
                  <w:tcBorders>
                    <w:top w:val="single" w:color="auto" w:sz="4" w:space="0"/>
                    <w:left w:val="single" w:color="auto" w:sz="4" w:space="0"/>
                    <w:bottom w:val="single" w:color="000000" w:sz="4" w:space="0"/>
                    <w:right w:val="nil"/>
                  </w:tcBorders>
                  <w:noWrap w:val="0"/>
                  <w:vAlign w:val="center"/>
                </w:tcPr>
                <w:p>
                  <w:pPr>
                    <w:pStyle w:val="29"/>
                    <w:bidi w:val="0"/>
                    <w:rPr>
                      <w:rFonts w:hint="eastAsia"/>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000000"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4</w:t>
                  </w:r>
                </w:p>
              </w:tc>
              <w:tc>
                <w:tcPr>
                  <w:tcW w:w="1247"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ascii="宋体" w:hAnsi="宋体" w:cs="宋体"/>
                      <w:color w:val="000000"/>
                      <w:kern w:val="0"/>
                      <w:szCs w:val="21"/>
                      <w:highlight w:val="none"/>
                    </w:rPr>
                    <w:t>前端喷淋除臭系统</w:t>
                  </w:r>
                </w:p>
              </w:tc>
              <w:tc>
                <w:tcPr>
                  <w:tcW w:w="898"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≥φ10mm</w:t>
                  </w:r>
                </w:p>
              </w:tc>
              <w:tc>
                <w:tcPr>
                  <w:tcW w:w="449"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1</w:t>
                  </w:r>
                </w:p>
              </w:tc>
              <w:tc>
                <w:tcPr>
                  <w:tcW w:w="472" w:type="pct"/>
                  <w:tcBorders>
                    <w:top w:val="single" w:color="auto" w:sz="4" w:space="0"/>
                    <w:left w:val="single" w:color="auto" w:sz="4" w:space="0"/>
                    <w:bottom w:val="single" w:color="000000" w:sz="4" w:space="0"/>
                    <w:right w:val="nil"/>
                  </w:tcBorders>
                  <w:noWrap w:val="0"/>
                  <w:vAlign w:val="center"/>
                </w:tcPr>
                <w:p>
                  <w:pPr>
                    <w:pStyle w:val="29"/>
                    <w:bidi w:val="0"/>
                    <w:rPr>
                      <w:rFonts w:hint="eastAsia"/>
                      <w:color w:val="auto"/>
                      <w:lang w:val="en-US" w:eastAsia="zh-CN"/>
                    </w:rPr>
                  </w:pPr>
                  <w:r>
                    <w:rPr>
                      <w:rFonts w:hint="eastAsia"/>
                      <w:color w:val="auto"/>
                      <w:lang w:val="en-US" w:eastAsia="zh-CN"/>
                    </w:rPr>
                    <w:t>套</w:t>
                  </w:r>
                </w:p>
              </w:tc>
              <w:tc>
                <w:tcPr>
                  <w:tcW w:w="1493" w:type="pct"/>
                  <w:tcBorders>
                    <w:top w:val="single" w:color="auto" w:sz="4" w:space="0"/>
                    <w:left w:val="single" w:color="auto" w:sz="4" w:space="0"/>
                    <w:bottom w:val="single" w:color="000000" w:sz="4" w:space="0"/>
                    <w:right w:val="nil"/>
                  </w:tcBorders>
                  <w:noWrap w:val="0"/>
                  <w:vAlign w:val="center"/>
                </w:tcPr>
                <w:p>
                  <w:pPr>
                    <w:pStyle w:val="29"/>
                    <w:bidi w:val="0"/>
                    <w:rPr>
                      <w:rFonts w:hint="eastAsia"/>
                      <w:color w:val="auto"/>
                      <w:lang w:val="en-US" w:eastAsia="zh-CN"/>
                    </w:rPr>
                  </w:pPr>
                  <w:r>
                    <w:rPr>
                      <w:rFonts w:hint="eastAsia"/>
                      <w:color w:val="auto"/>
                      <w:lang w:val="en-US" w:eastAsia="zh-CN"/>
                    </w:rPr>
                    <w:t>安装在供卸料装置内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000000"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5</w:t>
                  </w:r>
                </w:p>
              </w:tc>
              <w:tc>
                <w:tcPr>
                  <w:tcW w:w="1247"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ascii="宋体" w:hAnsi="宋体" w:cs="宋体"/>
                      <w:color w:val="000000"/>
                      <w:kern w:val="0"/>
                      <w:szCs w:val="21"/>
                      <w:highlight w:val="none"/>
                    </w:rPr>
                    <w:t>空间雾化系统</w:t>
                  </w:r>
                </w:p>
              </w:tc>
              <w:tc>
                <w:tcPr>
                  <w:tcW w:w="898"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w:t>
                  </w:r>
                </w:p>
              </w:tc>
              <w:tc>
                <w:tcPr>
                  <w:tcW w:w="449"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1</w:t>
                  </w:r>
                </w:p>
              </w:tc>
              <w:tc>
                <w:tcPr>
                  <w:tcW w:w="472" w:type="pct"/>
                  <w:tcBorders>
                    <w:top w:val="single" w:color="auto" w:sz="4" w:space="0"/>
                    <w:left w:val="single" w:color="auto" w:sz="4" w:space="0"/>
                    <w:bottom w:val="single" w:color="000000" w:sz="4" w:space="0"/>
                    <w:right w:val="nil"/>
                  </w:tcBorders>
                  <w:noWrap w:val="0"/>
                  <w:vAlign w:val="center"/>
                </w:tcPr>
                <w:p>
                  <w:pPr>
                    <w:pStyle w:val="29"/>
                    <w:bidi w:val="0"/>
                    <w:rPr>
                      <w:rFonts w:hint="eastAsia"/>
                      <w:color w:val="auto"/>
                      <w:lang w:val="en-US" w:eastAsia="zh-CN"/>
                    </w:rPr>
                  </w:pPr>
                  <w:r>
                    <w:rPr>
                      <w:rFonts w:hint="eastAsia"/>
                      <w:color w:val="auto"/>
                      <w:lang w:val="en-US" w:eastAsia="zh-CN"/>
                    </w:rPr>
                    <w:t>套</w:t>
                  </w:r>
                </w:p>
              </w:tc>
              <w:tc>
                <w:tcPr>
                  <w:tcW w:w="1493"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000000"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6</w:t>
                  </w:r>
                </w:p>
              </w:tc>
              <w:tc>
                <w:tcPr>
                  <w:tcW w:w="1247"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ascii="宋体" w:hAnsi="宋体" w:cs="宋体"/>
                      <w:color w:val="000000"/>
                      <w:kern w:val="0"/>
                      <w:szCs w:val="21"/>
                      <w:highlight w:val="none"/>
                    </w:rPr>
                    <w:t>自动隔离卷帘门</w:t>
                  </w:r>
                </w:p>
              </w:tc>
              <w:tc>
                <w:tcPr>
                  <w:tcW w:w="898"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w:t>
                  </w:r>
                </w:p>
              </w:tc>
              <w:tc>
                <w:tcPr>
                  <w:tcW w:w="449"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4</w:t>
                  </w:r>
                </w:p>
              </w:tc>
              <w:tc>
                <w:tcPr>
                  <w:tcW w:w="472"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套</w:t>
                  </w:r>
                </w:p>
              </w:tc>
              <w:tc>
                <w:tcPr>
                  <w:tcW w:w="1493"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000000"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7</w:t>
                  </w:r>
                </w:p>
              </w:tc>
              <w:tc>
                <w:tcPr>
                  <w:tcW w:w="1247"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ascii="宋体" w:hAnsi="宋体" w:cs="宋体"/>
                      <w:color w:val="000000"/>
                      <w:kern w:val="0"/>
                      <w:szCs w:val="21"/>
                      <w:highlight w:val="none"/>
                    </w:rPr>
                    <w:t>高压清洗机</w:t>
                  </w:r>
                </w:p>
              </w:tc>
              <w:tc>
                <w:tcPr>
                  <w:tcW w:w="898"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≥4Mpa</w:t>
                  </w:r>
                </w:p>
              </w:tc>
              <w:tc>
                <w:tcPr>
                  <w:tcW w:w="449"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2</w:t>
                  </w:r>
                </w:p>
              </w:tc>
              <w:tc>
                <w:tcPr>
                  <w:tcW w:w="472"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套</w:t>
                  </w:r>
                </w:p>
              </w:tc>
              <w:tc>
                <w:tcPr>
                  <w:tcW w:w="1493"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auto" w:sz="4" w:space="0"/>
                    <w:left w:val="nil"/>
                    <w:bottom w:val="single" w:color="000000"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8</w:t>
                  </w:r>
                </w:p>
              </w:tc>
              <w:tc>
                <w:tcPr>
                  <w:tcW w:w="1247"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ascii="宋体" w:hAnsi="宋体" w:cs="宋体"/>
                      <w:color w:val="000000"/>
                      <w:kern w:val="0"/>
                      <w:szCs w:val="21"/>
                    </w:rPr>
                    <w:t>自动称重系统</w:t>
                  </w:r>
                </w:p>
              </w:tc>
              <w:tc>
                <w:tcPr>
                  <w:tcW w:w="898"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≥100 吨</w:t>
                  </w:r>
                </w:p>
              </w:tc>
              <w:tc>
                <w:tcPr>
                  <w:tcW w:w="449" w:type="pct"/>
                  <w:tcBorders>
                    <w:top w:val="single" w:color="auto" w:sz="4" w:space="0"/>
                    <w:left w:val="single" w:color="auto" w:sz="4" w:space="0"/>
                    <w:bottom w:val="single" w:color="000000"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1</w:t>
                  </w:r>
                </w:p>
              </w:tc>
              <w:tc>
                <w:tcPr>
                  <w:tcW w:w="472"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套</w:t>
                  </w:r>
                </w:p>
              </w:tc>
              <w:tc>
                <w:tcPr>
                  <w:tcW w:w="1493" w:type="pct"/>
                  <w:tcBorders>
                    <w:top w:val="single" w:color="auto" w:sz="4" w:space="0"/>
                    <w:left w:val="single" w:color="auto" w:sz="4" w:space="0"/>
                    <w:bottom w:val="single" w:color="000000" w:sz="4" w:space="0"/>
                    <w:right w:val="nil"/>
                  </w:tcBorders>
                  <w:noWrap w:val="0"/>
                  <w:vAlign w:val="center"/>
                </w:tcPr>
                <w:p>
                  <w:pPr>
                    <w:pStyle w:val="29"/>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8" w:type="pct"/>
                  <w:tcBorders>
                    <w:top w:val="single" w:color="000000" w:sz="4" w:space="0"/>
                    <w:left w:val="nil"/>
                    <w:bottom w:val="single" w:color="auto"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9</w:t>
                  </w:r>
                </w:p>
              </w:tc>
              <w:tc>
                <w:tcPr>
                  <w:tcW w:w="1247" w:type="pct"/>
                  <w:tcBorders>
                    <w:top w:val="single" w:color="000000" w:sz="4" w:space="0"/>
                    <w:left w:val="single" w:color="auto" w:sz="4" w:space="0"/>
                    <w:bottom w:val="single" w:color="auto" w:sz="4" w:space="0"/>
                    <w:right w:val="single" w:color="auto" w:sz="4" w:space="0"/>
                  </w:tcBorders>
                  <w:noWrap w:val="0"/>
                  <w:vAlign w:val="center"/>
                </w:tcPr>
                <w:p>
                  <w:pPr>
                    <w:pStyle w:val="29"/>
                    <w:bidi w:val="0"/>
                    <w:rPr>
                      <w:rFonts w:hint="eastAsia"/>
                      <w:color w:val="auto"/>
                      <w:lang w:val="en-US" w:eastAsia="zh-CN"/>
                    </w:rPr>
                  </w:pPr>
                  <w:r>
                    <w:rPr>
                      <w:rFonts w:hint="eastAsia" w:ascii="宋体" w:hAnsi="宋体" w:cs="宋体"/>
                      <w:color w:val="000000"/>
                      <w:kern w:val="0"/>
                      <w:szCs w:val="21"/>
                      <w:highlight w:val="none"/>
                    </w:rPr>
                    <w:t>车厢可卸式垃圾车</w:t>
                  </w:r>
                </w:p>
              </w:tc>
              <w:tc>
                <w:tcPr>
                  <w:tcW w:w="898" w:type="pct"/>
                  <w:tcBorders>
                    <w:top w:val="single" w:color="000000" w:sz="4" w:space="0"/>
                    <w:left w:val="single" w:color="auto" w:sz="4" w:space="0"/>
                    <w:bottom w:val="single" w:color="auto"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31吨</w:t>
                  </w:r>
                </w:p>
              </w:tc>
              <w:tc>
                <w:tcPr>
                  <w:tcW w:w="449" w:type="pct"/>
                  <w:tcBorders>
                    <w:top w:val="single" w:color="000000" w:sz="4" w:space="0"/>
                    <w:left w:val="single" w:color="auto" w:sz="4" w:space="0"/>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3</w:t>
                  </w:r>
                </w:p>
              </w:tc>
              <w:tc>
                <w:tcPr>
                  <w:tcW w:w="472" w:type="pct"/>
                  <w:tcBorders>
                    <w:top w:val="single" w:color="000000" w:sz="4" w:space="0"/>
                    <w:left w:val="single" w:color="auto" w:sz="4" w:space="0"/>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辆</w:t>
                  </w:r>
                </w:p>
              </w:tc>
              <w:tc>
                <w:tcPr>
                  <w:tcW w:w="1493" w:type="pct"/>
                  <w:tcBorders>
                    <w:top w:val="single" w:color="000000" w:sz="4" w:space="0"/>
                    <w:left w:val="single" w:color="auto" w:sz="4" w:space="0"/>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38" w:type="pct"/>
                  <w:tcBorders>
                    <w:top w:val="single" w:color="auto" w:sz="4" w:space="0"/>
                    <w:left w:val="nil"/>
                    <w:bottom w:val="single" w:color="auto" w:sz="12" w:space="0"/>
                    <w:right w:val="nil"/>
                  </w:tcBorders>
                  <w:noWrap w:val="0"/>
                  <w:vAlign w:val="center"/>
                </w:tcPr>
                <w:p>
                  <w:pPr>
                    <w:pStyle w:val="29"/>
                    <w:bidi w:val="0"/>
                    <w:rPr>
                      <w:rFonts w:hint="default"/>
                      <w:color w:val="auto"/>
                      <w:lang w:val="en-US" w:eastAsia="zh-CN"/>
                    </w:rPr>
                  </w:pPr>
                  <w:r>
                    <w:rPr>
                      <w:rFonts w:hint="eastAsia"/>
                      <w:color w:val="auto"/>
                      <w:lang w:val="en-US" w:eastAsia="zh-CN"/>
                    </w:rPr>
                    <w:t>10</w:t>
                  </w:r>
                </w:p>
              </w:tc>
              <w:tc>
                <w:tcPr>
                  <w:tcW w:w="1247" w:type="pct"/>
                  <w:tcBorders>
                    <w:top w:val="single" w:color="auto" w:sz="4" w:space="0"/>
                    <w:left w:val="nil"/>
                    <w:bottom w:val="single" w:color="auto" w:sz="12" w:space="0"/>
                    <w:right w:val="nil"/>
                  </w:tcBorders>
                  <w:noWrap w:val="0"/>
                  <w:vAlign w:val="center"/>
                </w:tcPr>
                <w:p>
                  <w:pPr>
                    <w:pStyle w:val="29"/>
                    <w:bidi w:val="0"/>
                    <w:rPr>
                      <w:rFonts w:hint="eastAsia"/>
                      <w:color w:val="auto"/>
                      <w:lang w:val="en-US" w:eastAsia="zh-CN"/>
                    </w:rPr>
                  </w:pPr>
                  <w:r>
                    <w:rPr>
                      <w:rFonts w:hint="eastAsia" w:ascii="宋体" w:hAnsi="宋体" w:cs="宋体"/>
                      <w:color w:val="000000"/>
                      <w:kern w:val="0"/>
                      <w:szCs w:val="21"/>
                      <w:highlight w:val="none"/>
                    </w:rPr>
                    <w:t>吸污车</w:t>
                  </w:r>
                </w:p>
              </w:tc>
              <w:tc>
                <w:tcPr>
                  <w:tcW w:w="898" w:type="pct"/>
                  <w:tcBorders>
                    <w:top w:val="single" w:color="auto" w:sz="4" w:space="0"/>
                    <w:left w:val="nil"/>
                    <w:bottom w:val="single" w:color="auto" w:sz="12" w:space="0"/>
                    <w:right w:val="nil"/>
                  </w:tcBorders>
                  <w:noWrap w:val="0"/>
                  <w:vAlign w:val="center"/>
                </w:tcPr>
                <w:p>
                  <w:pPr>
                    <w:pStyle w:val="29"/>
                    <w:bidi w:val="0"/>
                    <w:rPr>
                      <w:rFonts w:hint="eastAsia"/>
                      <w:color w:val="auto"/>
                      <w:lang w:val="en-US" w:eastAsia="zh-CN"/>
                    </w:rPr>
                  </w:pPr>
                  <w:r>
                    <w:rPr>
                      <w:rFonts w:hint="eastAsia"/>
                      <w:color w:val="auto"/>
                      <w:lang w:val="en-US" w:eastAsia="zh-CN"/>
                    </w:rPr>
                    <w:t>18吨</w:t>
                  </w:r>
                </w:p>
              </w:tc>
              <w:tc>
                <w:tcPr>
                  <w:tcW w:w="449" w:type="pct"/>
                  <w:tcBorders>
                    <w:top w:val="single" w:color="auto" w:sz="4" w:space="0"/>
                    <w:left w:val="nil"/>
                    <w:bottom w:val="single" w:color="auto" w:sz="12" w:space="0"/>
                    <w:right w:val="nil"/>
                  </w:tcBorders>
                  <w:noWrap w:val="0"/>
                  <w:vAlign w:val="center"/>
                </w:tcPr>
                <w:p>
                  <w:pPr>
                    <w:pStyle w:val="29"/>
                    <w:bidi w:val="0"/>
                    <w:rPr>
                      <w:rFonts w:hint="default"/>
                      <w:color w:val="auto"/>
                      <w:lang w:val="en-US" w:eastAsia="zh-CN"/>
                    </w:rPr>
                  </w:pPr>
                  <w:r>
                    <w:rPr>
                      <w:rFonts w:hint="eastAsia"/>
                      <w:color w:val="auto"/>
                      <w:lang w:val="en-US" w:eastAsia="zh-CN"/>
                    </w:rPr>
                    <w:t>1</w:t>
                  </w:r>
                </w:p>
              </w:tc>
              <w:tc>
                <w:tcPr>
                  <w:tcW w:w="472" w:type="pct"/>
                  <w:tcBorders>
                    <w:top w:val="single" w:color="auto" w:sz="4" w:space="0"/>
                    <w:left w:val="nil"/>
                    <w:bottom w:val="single" w:color="auto" w:sz="12" w:space="0"/>
                    <w:right w:val="nil"/>
                  </w:tcBorders>
                  <w:noWrap w:val="0"/>
                  <w:vAlign w:val="center"/>
                </w:tcPr>
                <w:p>
                  <w:pPr>
                    <w:pStyle w:val="29"/>
                    <w:bidi w:val="0"/>
                    <w:rPr>
                      <w:rFonts w:hint="eastAsia"/>
                      <w:color w:val="auto"/>
                      <w:lang w:val="en-US" w:eastAsia="zh-CN"/>
                    </w:rPr>
                  </w:pPr>
                  <w:r>
                    <w:rPr>
                      <w:rFonts w:hint="eastAsia"/>
                      <w:color w:val="auto"/>
                      <w:lang w:val="en-US" w:eastAsia="zh-CN"/>
                    </w:rPr>
                    <w:t>辆</w:t>
                  </w:r>
                </w:p>
              </w:tc>
              <w:tc>
                <w:tcPr>
                  <w:tcW w:w="1493" w:type="pct"/>
                  <w:tcBorders>
                    <w:top w:val="single" w:color="auto" w:sz="4" w:space="0"/>
                    <w:left w:val="nil"/>
                    <w:bottom w:val="single" w:color="auto" w:sz="12" w:space="0"/>
                    <w:right w:val="nil"/>
                  </w:tcBorders>
                  <w:noWrap w:val="0"/>
                  <w:vAlign w:val="center"/>
                </w:tcPr>
                <w:p>
                  <w:pPr>
                    <w:pStyle w:val="29"/>
                    <w:bidi w:val="0"/>
                    <w:rPr>
                      <w:rFonts w:hint="default"/>
                      <w:color w:val="auto"/>
                      <w:lang w:val="en-US" w:eastAsia="zh-CN"/>
                    </w:rPr>
                  </w:pPr>
                  <w:r>
                    <w:rPr>
                      <w:rFonts w:hint="eastAsia"/>
                      <w:color w:val="auto"/>
                      <w:lang w:val="en-US" w:eastAsia="zh-CN"/>
                    </w:rPr>
                    <w:t>/</w:t>
                  </w:r>
                </w:p>
              </w:tc>
            </w:tr>
          </w:tbl>
          <w:p>
            <w:pPr>
              <w:pStyle w:val="5"/>
              <w:numPr>
                <w:ilvl w:val="0"/>
                <w:numId w:val="5"/>
              </w:numPr>
              <w:bidi w:val="0"/>
              <w:ind w:left="0" w:leftChars="0" w:firstLine="0" w:firstLineChars="0"/>
              <w:rPr>
                <w:rFonts w:hint="default"/>
                <w:color w:val="auto"/>
                <w:lang w:val="en-US" w:eastAsia="zh-CN"/>
              </w:rPr>
            </w:pPr>
            <w:r>
              <w:rPr>
                <w:rFonts w:hint="eastAsia"/>
                <w:color w:val="auto"/>
                <w:lang w:val="en-US" w:eastAsia="zh-CN"/>
              </w:rPr>
              <w:t>原辅材料来源</w:t>
            </w:r>
          </w:p>
          <w:p>
            <w:pPr>
              <w:pStyle w:val="28"/>
              <w:bidi w:val="0"/>
              <w:rPr>
                <w:rFonts w:hint="eastAsia"/>
                <w:color w:val="auto"/>
                <w:lang w:val="en-US" w:eastAsia="zh-CN"/>
              </w:rPr>
            </w:pPr>
          </w:p>
          <w:p>
            <w:pPr>
              <w:pStyle w:val="28"/>
              <w:bidi w:val="0"/>
              <w:rPr>
                <w:rFonts w:hint="eastAsia"/>
                <w:color w:val="auto"/>
                <w:lang w:val="en-US" w:eastAsia="zh-CN"/>
              </w:rPr>
            </w:pPr>
            <w:r>
              <w:rPr>
                <w:rFonts w:hint="eastAsia"/>
                <w:color w:val="auto"/>
                <w:lang w:val="en-US" w:eastAsia="zh-CN"/>
              </w:rPr>
              <w:t>表2-3    主要原辅材料用量一览表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2392"/>
              <w:gridCol w:w="1294"/>
              <w:gridCol w:w="969"/>
              <w:gridCol w:w="22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tcBorders>
                    <w:bottom w:val="single" w:color="auto" w:sz="12" w:space="0"/>
                  </w:tcBorders>
                  <w:vAlign w:val="center"/>
                </w:tcPr>
                <w:p>
                  <w:pPr>
                    <w:pStyle w:val="29"/>
                    <w:widowControl w:val="0"/>
                    <w:bidi w:val="0"/>
                    <w:jc w:val="center"/>
                    <w:rPr>
                      <w:rFonts w:hint="default"/>
                      <w:b/>
                      <w:bCs/>
                      <w:color w:val="auto"/>
                      <w:lang w:val="en-US" w:eastAsia="zh-CN"/>
                    </w:rPr>
                  </w:pPr>
                  <w:r>
                    <w:rPr>
                      <w:rFonts w:hint="eastAsia"/>
                      <w:b/>
                      <w:bCs/>
                      <w:color w:val="auto"/>
                      <w:lang w:val="en-US" w:eastAsia="zh-CN"/>
                    </w:rPr>
                    <w:t>序号</w:t>
                  </w:r>
                </w:p>
              </w:tc>
              <w:tc>
                <w:tcPr>
                  <w:tcW w:w="1523" w:type="pct"/>
                  <w:tcBorders>
                    <w:bottom w:val="single" w:color="auto" w:sz="12" w:space="0"/>
                  </w:tcBorders>
                  <w:vAlign w:val="center"/>
                </w:tcPr>
                <w:p>
                  <w:pPr>
                    <w:pStyle w:val="29"/>
                    <w:widowControl w:val="0"/>
                    <w:bidi w:val="0"/>
                    <w:jc w:val="center"/>
                    <w:rPr>
                      <w:rFonts w:hint="default"/>
                      <w:b/>
                      <w:bCs/>
                      <w:color w:val="auto"/>
                      <w:lang w:val="en-US" w:eastAsia="zh-CN"/>
                    </w:rPr>
                  </w:pPr>
                  <w:r>
                    <w:rPr>
                      <w:rFonts w:hint="eastAsia"/>
                      <w:b/>
                      <w:bCs/>
                      <w:color w:val="auto"/>
                      <w:lang w:val="en-US" w:eastAsia="zh-CN"/>
                    </w:rPr>
                    <w:t>名称</w:t>
                  </w:r>
                </w:p>
              </w:tc>
              <w:tc>
                <w:tcPr>
                  <w:tcW w:w="824" w:type="pct"/>
                  <w:tcBorders>
                    <w:bottom w:val="single" w:color="auto" w:sz="12" w:space="0"/>
                  </w:tcBorders>
                  <w:vAlign w:val="center"/>
                </w:tcPr>
                <w:p>
                  <w:pPr>
                    <w:pStyle w:val="29"/>
                    <w:widowControl w:val="0"/>
                    <w:bidi w:val="0"/>
                    <w:jc w:val="center"/>
                    <w:rPr>
                      <w:rFonts w:hint="default"/>
                      <w:b/>
                      <w:bCs/>
                      <w:color w:val="auto"/>
                      <w:lang w:val="en-US" w:eastAsia="zh-CN"/>
                    </w:rPr>
                  </w:pPr>
                  <w:r>
                    <w:rPr>
                      <w:rFonts w:hint="eastAsia"/>
                      <w:b/>
                      <w:bCs/>
                      <w:color w:val="auto"/>
                      <w:lang w:val="en-US" w:eastAsia="zh-CN"/>
                    </w:rPr>
                    <w:t>数量</w:t>
                  </w:r>
                </w:p>
              </w:tc>
              <w:tc>
                <w:tcPr>
                  <w:tcW w:w="617" w:type="pct"/>
                  <w:tcBorders>
                    <w:bottom w:val="single" w:color="auto" w:sz="12" w:space="0"/>
                  </w:tcBorders>
                  <w:vAlign w:val="center"/>
                </w:tcPr>
                <w:p>
                  <w:pPr>
                    <w:pStyle w:val="29"/>
                    <w:widowControl w:val="0"/>
                    <w:bidi w:val="0"/>
                    <w:jc w:val="center"/>
                    <w:rPr>
                      <w:rFonts w:hint="default"/>
                      <w:b/>
                      <w:bCs/>
                      <w:color w:val="auto"/>
                      <w:lang w:val="en-US" w:eastAsia="zh-CN"/>
                    </w:rPr>
                  </w:pPr>
                  <w:r>
                    <w:rPr>
                      <w:rFonts w:hint="eastAsia"/>
                      <w:b/>
                      <w:bCs/>
                      <w:color w:val="auto"/>
                      <w:lang w:val="en-US" w:eastAsia="zh-CN"/>
                    </w:rPr>
                    <w:t>单位</w:t>
                  </w:r>
                </w:p>
              </w:tc>
              <w:tc>
                <w:tcPr>
                  <w:tcW w:w="1449" w:type="pct"/>
                  <w:tcBorders>
                    <w:bottom w:val="single" w:color="auto" w:sz="12" w:space="0"/>
                  </w:tcBorders>
                  <w:vAlign w:val="center"/>
                </w:tcPr>
                <w:p>
                  <w:pPr>
                    <w:pStyle w:val="29"/>
                    <w:widowControl w:val="0"/>
                    <w:bidi w:val="0"/>
                    <w:rPr>
                      <w:rFonts w:hint="default"/>
                      <w:lang w:val="en-US" w:eastAsia="zh-CN"/>
                    </w:rPr>
                  </w:pPr>
                  <w:r>
                    <w:rPr>
                      <w:rFonts w:hint="eastAsia"/>
                      <w:b/>
                      <w:bCs/>
                      <w:lang w:val="en-US" w:eastAsia="zh-CN"/>
                    </w:rPr>
                    <w:t>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tcBorders>
                    <w:top w:val="single" w:color="auto" w:sz="12" w:space="0"/>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1</w:t>
                  </w:r>
                </w:p>
              </w:tc>
              <w:tc>
                <w:tcPr>
                  <w:tcW w:w="1523"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生活垃圾</w:t>
                  </w:r>
                </w:p>
              </w:tc>
              <w:tc>
                <w:tcPr>
                  <w:tcW w:w="824"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73000</w:t>
                  </w:r>
                </w:p>
              </w:tc>
              <w:tc>
                <w:tcPr>
                  <w:tcW w:w="617"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t/a</w:t>
                  </w:r>
                </w:p>
              </w:tc>
              <w:tc>
                <w:tcPr>
                  <w:tcW w:w="1449" w:type="pct"/>
                  <w:tcBorders>
                    <w:top w:val="single" w:color="auto" w:sz="12" w:space="0"/>
                    <w:tl2br w:val="nil"/>
                    <w:tr2bl w:val="nil"/>
                  </w:tcBorders>
                  <w:vAlign w:val="center"/>
                </w:tcPr>
                <w:p>
                  <w:pPr>
                    <w:pStyle w:val="29"/>
                    <w:widowControl w:val="0"/>
                    <w:bidi w:val="0"/>
                    <w:jc w:val="center"/>
                    <w:rPr>
                      <w:rFonts w:hint="default"/>
                      <w:color w:val="auto"/>
                      <w:lang w:val="en-US" w:eastAsia="zh-CN"/>
                    </w:rPr>
                  </w:pPr>
                  <w:r>
                    <w:rPr>
                      <w:rFonts w:hint="default"/>
                      <w:color w:val="auto"/>
                      <w:lang w:val="en-US" w:eastAsia="zh-CN"/>
                    </w:rPr>
                    <w:t>环卫清运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2</w:t>
                  </w:r>
                </w:p>
              </w:tc>
              <w:tc>
                <w:tcPr>
                  <w:tcW w:w="1523"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植物液除臭剂</w:t>
                  </w:r>
                </w:p>
              </w:tc>
              <w:tc>
                <w:tcPr>
                  <w:tcW w:w="82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2.4</w:t>
                  </w:r>
                </w:p>
              </w:tc>
              <w:tc>
                <w:tcPr>
                  <w:tcW w:w="617"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t/a</w:t>
                  </w:r>
                </w:p>
              </w:tc>
              <w:tc>
                <w:tcPr>
                  <w:tcW w:w="144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外购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3</w:t>
                  </w:r>
                </w:p>
              </w:tc>
              <w:tc>
                <w:tcPr>
                  <w:tcW w:w="1523"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电</w:t>
                  </w:r>
                </w:p>
              </w:tc>
              <w:tc>
                <w:tcPr>
                  <w:tcW w:w="824" w:type="pct"/>
                  <w:tcBorders>
                    <w:tl2br w:val="nil"/>
                    <w:tr2bl w:val="nil"/>
                  </w:tcBorders>
                  <w:vAlign w:val="center"/>
                </w:tcPr>
                <w:p>
                  <w:pPr>
                    <w:pStyle w:val="29"/>
                    <w:widowControl w:val="0"/>
                    <w:bidi w:val="0"/>
                    <w:jc w:val="center"/>
                    <w:rPr>
                      <w:rFonts w:hint="default"/>
                      <w:color w:val="auto"/>
                      <w:lang w:val="en-US" w:eastAsia="zh-CN"/>
                    </w:rPr>
                  </w:pPr>
                  <w:r>
                    <w:rPr>
                      <w:rFonts w:hint="eastAsia"/>
                      <w:bCs/>
                      <w:color w:val="000000"/>
                    </w:rPr>
                    <w:t>2</w:t>
                  </w:r>
                </w:p>
              </w:tc>
              <w:tc>
                <w:tcPr>
                  <w:tcW w:w="617" w:type="pct"/>
                  <w:tcBorders>
                    <w:tl2br w:val="nil"/>
                    <w:tr2bl w:val="nil"/>
                  </w:tcBorders>
                  <w:vAlign w:val="center"/>
                </w:tcPr>
                <w:p>
                  <w:pPr>
                    <w:pStyle w:val="29"/>
                    <w:widowControl w:val="0"/>
                    <w:bidi w:val="0"/>
                    <w:jc w:val="center"/>
                    <w:rPr>
                      <w:rFonts w:hint="default"/>
                      <w:color w:val="auto"/>
                      <w:lang w:val="en-US" w:eastAsia="zh-CN"/>
                    </w:rPr>
                  </w:pPr>
                  <w:r>
                    <w:rPr>
                      <w:rFonts w:hint="eastAsia"/>
                      <w:bCs/>
                      <w:color w:val="000000"/>
                    </w:rPr>
                    <w:t>万</w:t>
                  </w:r>
                  <w:r>
                    <w:rPr>
                      <w:bCs/>
                      <w:color w:val="000000"/>
                    </w:rPr>
                    <w:t>kwh</w:t>
                  </w:r>
                </w:p>
              </w:tc>
              <w:tc>
                <w:tcPr>
                  <w:tcW w:w="144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市政供电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84"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4</w:t>
                  </w:r>
                </w:p>
              </w:tc>
              <w:tc>
                <w:tcPr>
                  <w:tcW w:w="1523"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水</w:t>
                  </w:r>
                </w:p>
              </w:tc>
              <w:tc>
                <w:tcPr>
                  <w:tcW w:w="82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3808.09</w:t>
                  </w:r>
                </w:p>
              </w:tc>
              <w:tc>
                <w:tcPr>
                  <w:tcW w:w="617"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t/a</w:t>
                  </w:r>
                </w:p>
              </w:tc>
              <w:tc>
                <w:tcPr>
                  <w:tcW w:w="1449"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自来水管网</w:t>
                  </w:r>
                </w:p>
              </w:tc>
            </w:tr>
          </w:tbl>
          <w:p>
            <w:pPr>
              <w:pStyle w:val="6"/>
              <w:numPr>
                <w:ilvl w:val="0"/>
                <w:numId w:val="0"/>
              </w:numPr>
              <w:bidi w:val="0"/>
              <w:ind w:leftChars="0"/>
              <w:rPr>
                <w:rFonts w:hint="eastAsia"/>
                <w:color w:val="auto"/>
                <w:lang w:val="en-US" w:eastAsia="zh-CN"/>
              </w:rPr>
            </w:pPr>
            <w:r>
              <w:rPr>
                <w:rFonts w:hint="eastAsia"/>
                <w:color w:val="auto"/>
                <w:lang w:val="en-US" w:eastAsia="zh-CN"/>
              </w:rPr>
              <w:t>3.1 项目原辅料物理性质：</w:t>
            </w:r>
          </w:p>
          <w:p>
            <w:pPr>
              <w:pStyle w:val="18"/>
              <w:bidi w:val="0"/>
              <w:rPr>
                <w:rFonts w:hint="eastAsia"/>
                <w:lang w:val="en-US" w:eastAsia="zh-CN"/>
              </w:rPr>
            </w:pPr>
            <w:r>
              <w:rPr>
                <w:rFonts w:hint="eastAsia"/>
                <w:lang w:val="en-US" w:eastAsia="zh-CN"/>
              </w:rPr>
              <w:t>除臭剂：天然植物提取液，是从三百多种天然植物里提取汁液，经科学混合、配制而成，具有植物芳香型的水溶性乳化有色液体，其中的有效分子含有共轭双键等活性基团，化学、物理性质稳定，除臭液不含酒精，且非毒性、非易燃易爆、还可生物降解，不会产生二次污染。</w:t>
            </w:r>
          </w:p>
          <w:p>
            <w:pPr>
              <w:pStyle w:val="5"/>
              <w:numPr>
                <w:ilvl w:val="0"/>
                <w:numId w:val="5"/>
              </w:numPr>
              <w:bidi w:val="0"/>
              <w:ind w:left="0" w:leftChars="0" w:firstLine="0" w:firstLineChars="0"/>
              <w:rPr>
                <w:rFonts w:hint="default"/>
                <w:color w:val="auto"/>
                <w:lang w:val="en-US" w:eastAsia="zh-CN"/>
              </w:rPr>
            </w:pPr>
            <w:r>
              <w:rPr>
                <w:rFonts w:hint="eastAsia"/>
                <w:color w:val="auto"/>
                <w:lang w:val="en-US" w:eastAsia="zh-CN"/>
              </w:rPr>
              <w:t>公用工程</w:t>
            </w:r>
          </w:p>
          <w:p>
            <w:pPr>
              <w:pStyle w:val="6"/>
              <w:numPr>
                <w:ilvl w:val="0"/>
                <w:numId w:val="0"/>
              </w:numPr>
              <w:bidi w:val="0"/>
              <w:ind w:leftChars="0"/>
              <w:rPr>
                <w:rFonts w:hint="eastAsia"/>
                <w:color w:val="auto"/>
                <w:lang w:val="en-US" w:eastAsia="zh-CN"/>
              </w:rPr>
            </w:pPr>
            <w:r>
              <w:rPr>
                <w:rFonts w:hint="eastAsia"/>
                <w:color w:val="auto"/>
                <w:lang w:val="en-US" w:eastAsia="zh-CN"/>
              </w:rPr>
              <w:t>4.1 供电</w:t>
            </w:r>
          </w:p>
          <w:p>
            <w:pPr>
              <w:pStyle w:val="18"/>
              <w:bidi w:val="0"/>
              <w:rPr>
                <w:rFonts w:hint="eastAsia"/>
                <w:color w:val="auto"/>
                <w:lang w:val="en-US" w:eastAsia="zh-CN"/>
              </w:rPr>
            </w:pPr>
            <w:r>
              <w:rPr>
                <w:rFonts w:hint="eastAsia"/>
                <w:color w:val="auto"/>
              </w:rPr>
              <w:t>本项目电源由</w:t>
            </w:r>
            <w:r>
              <w:rPr>
                <w:rFonts w:hint="eastAsia"/>
                <w:color w:val="auto"/>
                <w:lang w:val="en-US" w:eastAsia="zh-CN"/>
              </w:rPr>
              <w:t>市政</w:t>
            </w:r>
            <w:r>
              <w:rPr>
                <w:rFonts w:hint="eastAsia"/>
                <w:color w:val="auto"/>
              </w:rPr>
              <w:t>供电网统一供给，电力设施基础完好，能满足项目用电需求；</w:t>
            </w:r>
          </w:p>
          <w:p>
            <w:pPr>
              <w:pStyle w:val="6"/>
              <w:numPr>
                <w:ilvl w:val="0"/>
                <w:numId w:val="0"/>
              </w:numPr>
              <w:bidi w:val="0"/>
              <w:ind w:leftChars="0"/>
              <w:rPr>
                <w:rFonts w:hint="default" w:ascii="Times New Roman" w:hAnsi="Times New Roman" w:eastAsia="宋体"/>
                <w:color w:val="auto"/>
                <w:lang w:val="en-US" w:eastAsia="zh-CN"/>
              </w:rPr>
            </w:pPr>
            <w:r>
              <w:rPr>
                <w:rFonts w:hint="eastAsia"/>
                <w:color w:val="auto"/>
                <w:lang w:val="en-US" w:eastAsia="zh-CN"/>
              </w:rPr>
              <w:t xml:space="preserve">4.2 </w:t>
            </w:r>
            <w:r>
              <w:rPr>
                <w:rFonts w:hint="eastAsia" w:ascii="Times New Roman" w:hAnsi="Times New Roman" w:eastAsia="宋体"/>
                <w:color w:val="auto"/>
                <w:lang w:val="en-US" w:eastAsia="zh-CN"/>
              </w:rPr>
              <w:t>给排水</w:t>
            </w:r>
          </w:p>
          <w:p>
            <w:pPr>
              <w:pStyle w:val="18"/>
              <w:bidi w:val="0"/>
              <w:rPr>
                <w:rFonts w:hint="default"/>
                <w:color w:val="auto"/>
                <w:lang w:val="en-US" w:eastAsia="zh-CN"/>
              </w:rPr>
            </w:pPr>
            <w:r>
              <w:rPr>
                <w:rFonts w:hint="default"/>
                <w:color w:val="auto"/>
                <w:lang w:val="en-US" w:eastAsia="zh-CN"/>
              </w:rPr>
              <w:t>本项目用水依托</w:t>
            </w:r>
            <w:r>
              <w:rPr>
                <w:rFonts w:hint="eastAsia"/>
                <w:color w:val="auto"/>
                <w:lang w:val="en-US" w:eastAsia="zh-CN"/>
              </w:rPr>
              <w:t>市政</w:t>
            </w:r>
            <w:r>
              <w:rPr>
                <w:rFonts w:hint="default"/>
                <w:color w:val="auto"/>
                <w:lang w:val="en-US" w:eastAsia="zh-CN"/>
              </w:rPr>
              <w:t>管网供水系统提供，可满足本项目用水需求。</w:t>
            </w:r>
          </w:p>
          <w:p>
            <w:pPr>
              <w:pStyle w:val="6"/>
              <w:numPr>
                <w:ilvl w:val="0"/>
                <w:numId w:val="0"/>
              </w:numPr>
              <w:bidi w:val="0"/>
              <w:ind w:leftChars="0"/>
              <w:rPr>
                <w:rFonts w:hint="eastAsia" w:ascii="Times New Roman" w:hAnsi="Times New Roman" w:eastAsia="宋体"/>
                <w:color w:val="auto"/>
                <w:lang w:val="en-US" w:eastAsia="zh-CN"/>
              </w:rPr>
            </w:pPr>
            <w:r>
              <w:rPr>
                <w:rFonts w:hint="eastAsia"/>
                <w:color w:val="auto"/>
                <w:lang w:val="en-US" w:eastAsia="zh-CN"/>
              </w:rPr>
              <w:t>4.2.1 给</w:t>
            </w:r>
            <w:r>
              <w:rPr>
                <w:rFonts w:hint="eastAsia" w:ascii="Times New Roman" w:hAnsi="Times New Roman" w:eastAsia="宋体"/>
                <w:color w:val="auto"/>
                <w:lang w:val="en-US" w:eastAsia="zh-CN"/>
              </w:rPr>
              <w:t>水</w:t>
            </w:r>
          </w:p>
          <w:p>
            <w:pPr>
              <w:pStyle w:val="18"/>
              <w:bidi w:val="0"/>
              <w:rPr>
                <w:rFonts w:hint="default"/>
                <w:color w:val="auto"/>
                <w:lang w:val="en-US" w:eastAsia="zh-CN"/>
              </w:rPr>
            </w:pPr>
            <w:r>
              <w:rPr>
                <w:rFonts w:hint="eastAsia"/>
                <w:color w:val="auto"/>
                <w:lang w:val="en-US" w:eastAsia="zh-CN"/>
              </w:rPr>
              <w:t>生产用水主要为转运车辆冲洗水、设备冲洗水、中转车间地面冲洗水、锅炉及软水设备用水、生活用水，全年用水量约为3808.09m</w:t>
            </w:r>
            <w:r>
              <w:rPr>
                <w:rFonts w:hint="eastAsia"/>
                <w:color w:val="auto"/>
                <w:vertAlign w:val="superscript"/>
                <w:lang w:val="en-US" w:eastAsia="zh-CN"/>
              </w:rPr>
              <w:t>3</w:t>
            </w:r>
            <w:r>
              <w:rPr>
                <w:rFonts w:hint="eastAsia"/>
                <w:color w:val="auto"/>
                <w:lang w:val="en-US" w:eastAsia="zh-CN"/>
              </w:rPr>
              <w:t>。</w:t>
            </w:r>
          </w:p>
          <w:p>
            <w:pPr>
              <w:pStyle w:val="18"/>
              <w:numPr>
                <w:ilvl w:val="0"/>
                <w:numId w:val="6"/>
              </w:numPr>
              <w:bidi w:val="0"/>
              <w:rPr>
                <w:rFonts w:hint="eastAsia"/>
                <w:color w:val="auto"/>
                <w:lang w:val="en-US" w:eastAsia="zh-CN"/>
              </w:rPr>
            </w:pPr>
            <w:r>
              <w:rPr>
                <w:rFonts w:hint="eastAsia"/>
                <w:color w:val="auto"/>
                <w:lang w:val="en-US" w:eastAsia="zh-CN"/>
              </w:rPr>
              <w:t>冲洗水</w:t>
            </w:r>
          </w:p>
          <w:p>
            <w:pPr>
              <w:pStyle w:val="18"/>
              <w:bidi w:val="0"/>
              <w:rPr>
                <w:rFonts w:hint="default"/>
                <w:color w:val="auto"/>
                <w:lang w:val="en-US" w:eastAsia="zh-CN"/>
              </w:rPr>
            </w:pPr>
            <w:r>
              <w:rPr>
                <w:rFonts w:hint="eastAsia"/>
                <w:color w:val="auto"/>
                <w:lang w:val="en-US" w:eastAsia="zh-CN"/>
              </w:rPr>
              <w:t>项目车辆冲洗水按每次冲洗用水400L/车次，每周冲洗一次计，则该项目4辆车，冲洗用水量83.2m</w:t>
            </w:r>
            <w:r>
              <w:rPr>
                <w:rFonts w:hint="eastAsia"/>
                <w:color w:val="auto"/>
                <w:vertAlign w:val="superscript"/>
                <w:lang w:val="en-US" w:eastAsia="zh-CN"/>
              </w:rPr>
              <w:t>3</w:t>
            </w:r>
            <w:r>
              <w:rPr>
                <w:rFonts w:hint="eastAsia"/>
                <w:color w:val="auto"/>
                <w:lang w:val="en-US" w:eastAsia="zh-CN"/>
              </w:rPr>
              <w:t>/a；设备冲洗水按每日清洗用水1200L/次，每周冲洗2次，则清洗用水量约为124.8m</w:t>
            </w:r>
            <w:r>
              <w:rPr>
                <w:rFonts w:hint="eastAsia"/>
                <w:color w:val="auto"/>
                <w:vertAlign w:val="superscript"/>
                <w:lang w:val="en-US" w:eastAsia="zh-CN"/>
              </w:rPr>
              <w:t>3</w:t>
            </w:r>
            <w:r>
              <w:rPr>
                <w:rFonts w:hint="eastAsia"/>
                <w:color w:val="auto"/>
                <w:lang w:val="en-US" w:eastAsia="zh-CN"/>
              </w:rPr>
              <w:t>/a；地面冲洗用水按0.5L/m</w:t>
            </w:r>
            <w:r>
              <w:rPr>
                <w:rFonts w:hint="eastAsia"/>
                <w:color w:val="auto"/>
                <w:vertAlign w:val="superscript"/>
                <w:lang w:val="en-US" w:eastAsia="zh-CN"/>
              </w:rPr>
              <w:t>2</w:t>
            </w:r>
            <w:r>
              <w:rPr>
                <w:rFonts w:hint="eastAsia"/>
                <w:color w:val="auto"/>
                <w:lang w:val="en-US" w:eastAsia="zh-CN"/>
              </w:rPr>
              <w:t>/次，每周冲洗2次，冲洗面积为1697.29m</w:t>
            </w:r>
            <w:r>
              <w:rPr>
                <w:rFonts w:hint="eastAsia"/>
                <w:color w:val="auto"/>
                <w:vertAlign w:val="superscript"/>
                <w:lang w:val="en-US" w:eastAsia="zh-CN"/>
              </w:rPr>
              <w:t>2</w:t>
            </w:r>
            <w:r>
              <w:rPr>
                <w:rFonts w:hint="eastAsia"/>
                <w:color w:val="auto"/>
                <w:lang w:val="en-US" w:eastAsia="zh-CN"/>
              </w:rPr>
              <w:t>，冲洗用水量882.59m</w:t>
            </w:r>
            <w:r>
              <w:rPr>
                <w:rFonts w:hint="eastAsia"/>
                <w:color w:val="auto"/>
                <w:vertAlign w:val="superscript"/>
                <w:lang w:val="en-US" w:eastAsia="zh-CN"/>
              </w:rPr>
              <w:t>3</w:t>
            </w:r>
            <w:r>
              <w:rPr>
                <w:rFonts w:hint="eastAsia"/>
                <w:color w:val="auto"/>
                <w:lang w:val="en-US" w:eastAsia="zh-CN"/>
              </w:rPr>
              <w:t>/a。则项目冲洗用水共计1090.59m</w:t>
            </w:r>
            <w:r>
              <w:rPr>
                <w:rFonts w:hint="eastAsia"/>
                <w:color w:val="auto"/>
                <w:vertAlign w:val="superscript"/>
                <w:lang w:val="en-US" w:eastAsia="zh-CN"/>
              </w:rPr>
              <w:t>3</w:t>
            </w:r>
            <w:r>
              <w:rPr>
                <w:rFonts w:hint="eastAsia"/>
                <w:color w:val="auto"/>
                <w:lang w:val="en-US" w:eastAsia="zh-CN"/>
              </w:rPr>
              <w:t>/a。</w:t>
            </w:r>
          </w:p>
          <w:p>
            <w:pPr>
              <w:pStyle w:val="18"/>
              <w:numPr>
                <w:ilvl w:val="0"/>
                <w:numId w:val="6"/>
              </w:numPr>
              <w:bidi w:val="0"/>
              <w:ind w:left="0" w:leftChars="0" w:firstLine="480" w:firstLineChars="200"/>
              <w:rPr>
                <w:rFonts w:hint="eastAsia"/>
                <w:color w:val="auto"/>
                <w:lang w:val="en-US" w:eastAsia="zh-CN"/>
              </w:rPr>
            </w:pPr>
            <w:r>
              <w:rPr>
                <w:rFonts w:hint="eastAsia"/>
                <w:color w:val="auto"/>
                <w:lang w:val="en-US" w:eastAsia="zh-CN"/>
              </w:rPr>
              <w:t>锅炉及软水设备用水</w:t>
            </w:r>
          </w:p>
          <w:p>
            <w:pPr>
              <w:pStyle w:val="18"/>
              <w:bidi w:val="0"/>
              <w:rPr>
                <w:rFonts w:hint="default"/>
                <w:color w:val="auto"/>
                <w:lang w:val="en-US" w:eastAsia="zh-CN"/>
              </w:rPr>
            </w:pPr>
            <w:r>
              <w:rPr>
                <w:rFonts w:hint="eastAsia"/>
                <w:color w:val="auto"/>
                <w:lang w:val="en-US" w:eastAsia="zh-CN"/>
              </w:rPr>
              <w:t>锅炉用水为软水，锅炉配套软化水处理装置，采用钠离子交换原理，去除水中钙镁等结垢离子，满足锅炉用水硬度要求，项目设置2台0.3t/h电锅炉。软化水处理装置</w:t>
            </w:r>
            <w:r>
              <w:rPr>
                <w:color w:val="auto"/>
                <w:lang w:val="en-US" w:eastAsia="zh-CN"/>
              </w:rPr>
              <w:t>出水效率为8</w:t>
            </w:r>
            <w:r>
              <w:rPr>
                <w:rFonts w:hint="eastAsia"/>
                <w:color w:val="auto"/>
                <w:lang w:val="en-US" w:eastAsia="zh-CN"/>
              </w:rPr>
              <w:t>5</w:t>
            </w:r>
            <w:r>
              <w:rPr>
                <w:color w:val="auto"/>
                <w:lang w:val="en-US" w:eastAsia="zh-CN"/>
              </w:rPr>
              <w:t>%，则新鲜</w:t>
            </w:r>
            <w:r>
              <w:rPr>
                <w:rFonts w:hint="eastAsia"/>
                <w:color w:val="auto"/>
                <w:lang w:val="en-US" w:eastAsia="zh-CN"/>
              </w:rPr>
              <w:t>用水</w:t>
            </w:r>
            <w:r>
              <w:rPr>
                <w:color w:val="auto"/>
                <w:lang w:val="en-US" w:eastAsia="zh-CN"/>
              </w:rPr>
              <w:t>量为</w:t>
            </w:r>
            <w:r>
              <w:rPr>
                <w:rFonts w:hint="eastAsia"/>
                <w:color w:val="auto"/>
                <w:lang w:val="en-US" w:eastAsia="zh-CN"/>
              </w:rPr>
              <w:t>16.9</w:t>
            </w:r>
            <w:r>
              <w:rPr>
                <w:color w:val="auto"/>
                <w:lang w:val="en-US" w:eastAsia="zh-CN"/>
              </w:rPr>
              <w:t>t/</w:t>
            </w:r>
            <w:r>
              <w:rPr>
                <w:rFonts w:hint="eastAsia"/>
                <w:color w:val="auto"/>
                <w:lang w:val="en-US" w:eastAsia="zh-CN"/>
              </w:rPr>
              <w:t>d（2535t/a）</w:t>
            </w:r>
            <w:r>
              <w:rPr>
                <w:color w:val="auto"/>
                <w:lang w:val="en-US" w:eastAsia="zh-CN"/>
              </w:rPr>
              <w:t>，产生软水约</w:t>
            </w:r>
            <w:r>
              <w:rPr>
                <w:rFonts w:hint="eastAsia"/>
                <w:color w:val="auto"/>
                <w:lang w:val="en-US" w:eastAsia="zh-CN"/>
              </w:rPr>
              <w:t>14.4t/d（2160t/a）</w:t>
            </w:r>
            <w:r>
              <w:rPr>
                <w:color w:val="auto"/>
                <w:lang w:val="en-US" w:eastAsia="zh-CN"/>
              </w:rPr>
              <w:t>用于锅炉补充水</w:t>
            </w:r>
            <w:r>
              <w:rPr>
                <w:rFonts w:hint="eastAsia"/>
                <w:color w:val="auto"/>
                <w:lang w:val="en-US" w:eastAsia="zh-CN"/>
              </w:rPr>
              <w:t>。</w:t>
            </w:r>
          </w:p>
          <w:p>
            <w:pPr>
              <w:pStyle w:val="18"/>
              <w:numPr>
                <w:ilvl w:val="0"/>
                <w:numId w:val="6"/>
              </w:numPr>
              <w:bidi w:val="0"/>
              <w:ind w:left="0" w:leftChars="0" w:firstLine="480" w:firstLineChars="200"/>
              <w:rPr>
                <w:rFonts w:hint="eastAsia"/>
                <w:color w:val="auto"/>
                <w:lang w:val="en-US" w:eastAsia="zh-CN"/>
              </w:rPr>
            </w:pPr>
            <w:r>
              <w:rPr>
                <w:rFonts w:hint="eastAsia"/>
                <w:color w:val="auto"/>
                <w:lang w:val="en-US" w:eastAsia="zh-CN"/>
              </w:rPr>
              <w:t>生活用水</w:t>
            </w:r>
          </w:p>
          <w:p>
            <w:pPr>
              <w:pStyle w:val="18"/>
              <w:bidi w:val="0"/>
              <w:rPr>
                <w:rFonts w:hint="default"/>
                <w:color w:val="auto"/>
                <w:lang w:val="en-US" w:eastAsia="zh-CN"/>
              </w:rPr>
            </w:pPr>
            <w:r>
              <w:rPr>
                <w:color w:val="auto"/>
              </w:rPr>
              <w:t>本项目劳动定员为</w:t>
            </w:r>
            <w:r>
              <w:rPr>
                <w:rFonts w:hint="eastAsia"/>
                <w:color w:val="auto"/>
                <w:lang w:val="en-US" w:eastAsia="zh-CN"/>
              </w:rPr>
              <w:t>10</w:t>
            </w:r>
            <w:r>
              <w:rPr>
                <w:color w:val="auto"/>
              </w:rPr>
              <w:t>人，</w:t>
            </w:r>
            <w:r>
              <w:rPr>
                <w:rFonts w:hint="eastAsia"/>
                <w:color w:val="auto"/>
              </w:rPr>
              <w:t>年工作</w:t>
            </w:r>
            <w:r>
              <w:rPr>
                <w:rFonts w:hint="eastAsia"/>
                <w:color w:val="auto"/>
                <w:lang w:val="en-US" w:eastAsia="zh-CN"/>
              </w:rPr>
              <w:t>365</w:t>
            </w:r>
            <w:r>
              <w:rPr>
                <w:rFonts w:hint="eastAsia"/>
                <w:color w:val="auto"/>
              </w:rPr>
              <w:t>天，根据《新疆维吾尔自治区生活用水定额》，人均</w:t>
            </w:r>
            <w:r>
              <w:rPr>
                <w:color w:val="auto"/>
              </w:rPr>
              <w:t>用水量按每人</w:t>
            </w:r>
            <w:r>
              <w:rPr>
                <w:rFonts w:hint="eastAsia"/>
                <w:color w:val="auto"/>
                <w:lang w:val="en-US" w:eastAsia="zh-CN"/>
              </w:rPr>
              <w:t>50</w:t>
            </w:r>
            <w:r>
              <w:rPr>
                <w:color w:val="auto"/>
              </w:rPr>
              <w:t>L/d计算，</w:t>
            </w:r>
            <w:r>
              <w:rPr>
                <w:rFonts w:hint="eastAsia"/>
                <w:color w:val="auto"/>
              </w:rPr>
              <w:t>则</w:t>
            </w:r>
            <w:r>
              <w:rPr>
                <w:color w:val="auto"/>
              </w:rPr>
              <w:t>生活用水量为</w:t>
            </w:r>
            <w:r>
              <w:rPr>
                <w:rFonts w:hint="eastAsia"/>
                <w:color w:val="auto"/>
                <w:lang w:val="en-US" w:eastAsia="zh-CN"/>
              </w:rPr>
              <w:t>0.5</w:t>
            </w:r>
            <w:r>
              <w:rPr>
                <w:color w:val="auto"/>
              </w:rPr>
              <w:t>m</w:t>
            </w:r>
            <w:r>
              <w:rPr>
                <w:color w:val="auto"/>
                <w:vertAlign w:val="superscript"/>
              </w:rPr>
              <w:t>3</w:t>
            </w:r>
            <w:r>
              <w:rPr>
                <w:color w:val="auto"/>
              </w:rPr>
              <w:t>/d</w:t>
            </w:r>
            <w:r>
              <w:rPr>
                <w:rFonts w:hint="eastAsia"/>
                <w:color w:val="auto"/>
                <w:lang w:eastAsia="zh-CN"/>
              </w:rPr>
              <w:t>（</w:t>
            </w:r>
            <w:r>
              <w:rPr>
                <w:rFonts w:hint="eastAsia"/>
                <w:color w:val="auto"/>
                <w:lang w:val="en-US" w:eastAsia="zh-CN"/>
              </w:rPr>
              <w:t>182.5</w:t>
            </w:r>
            <w:r>
              <w:rPr>
                <w:color w:val="auto"/>
              </w:rPr>
              <w:t>m</w:t>
            </w:r>
            <w:r>
              <w:rPr>
                <w:color w:val="auto"/>
                <w:vertAlign w:val="superscript"/>
              </w:rPr>
              <w:t>3</w:t>
            </w:r>
            <w:r>
              <w:rPr>
                <w:color w:val="auto"/>
              </w:rPr>
              <w:t>/a</w:t>
            </w:r>
            <w:r>
              <w:rPr>
                <w:rFonts w:hint="eastAsia"/>
                <w:color w:val="auto"/>
                <w:lang w:eastAsia="zh-CN"/>
              </w:rPr>
              <w:t>）</w:t>
            </w:r>
            <w:r>
              <w:rPr>
                <w:color w:val="auto"/>
              </w:rPr>
              <w:t>。</w:t>
            </w:r>
          </w:p>
          <w:p>
            <w:pPr>
              <w:pStyle w:val="6"/>
              <w:bidi w:val="0"/>
              <w:rPr>
                <w:rFonts w:hint="default"/>
                <w:lang w:val="en-US" w:eastAsia="zh-CN"/>
              </w:rPr>
            </w:pPr>
            <w:r>
              <w:rPr>
                <w:rFonts w:hint="eastAsia"/>
                <w:lang w:val="en-US" w:eastAsia="zh-CN"/>
              </w:rPr>
              <w:t>4.2.2 排水</w:t>
            </w:r>
          </w:p>
          <w:p>
            <w:pPr>
              <w:pStyle w:val="18"/>
              <w:bidi w:val="0"/>
              <w:rPr>
                <w:rFonts w:hint="eastAsia"/>
                <w:lang w:val="en-US" w:eastAsia="zh-CN"/>
              </w:rPr>
            </w:pPr>
            <w:r>
              <w:rPr>
                <w:rFonts w:hint="eastAsia"/>
                <w:lang w:val="en-US" w:eastAsia="zh-CN"/>
              </w:rPr>
              <w:t>项目排水主要为垃圾压缩过程中产生的垃圾渗滤液、软水设备浓水及锅炉排污水、冲洗废水、生活污水。</w:t>
            </w:r>
          </w:p>
          <w:p>
            <w:pPr>
              <w:pStyle w:val="18"/>
              <w:numPr>
                <w:ilvl w:val="0"/>
                <w:numId w:val="7"/>
              </w:numPr>
              <w:bidi w:val="0"/>
              <w:rPr>
                <w:rFonts w:hint="eastAsia"/>
                <w:lang w:val="en-US" w:eastAsia="zh-CN"/>
              </w:rPr>
            </w:pPr>
            <w:r>
              <w:rPr>
                <w:rFonts w:hint="eastAsia"/>
                <w:lang w:val="en-US" w:eastAsia="zh-CN"/>
              </w:rPr>
              <w:t>垃圾挤出水量为垃圾总量的4%-6%，本项目按5%计，项目设计垃圾转运能力为200t/d，则该项目产生垃圾渗滤液约3650</w:t>
            </w:r>
            <w:r>
              <w:t>m</w:t>
            </w:r>
            <w:r>
              <w:rPr>
                <w:vertAlign w:val="superscript"/>
              </w:rPr>
              <w:t>3</w:t>
            </w:r>
            <w:r>
              <w:t>/a</w:t>
            </w:r>
            <w:r>
              <w:rPr>
                <w:rFonts w:hint="eastAsia"/>
                <w:lang w:eastAsia="zh-CN"/>
              </w:rPr>
              <w:t>，</w:t>
            </w:r>
            <w:r>
              <w:rPr>
                <w:rFonts w:hint="eastAsia"/>
                <w:lang w:val="en-US" w:eastAsia="zh-CN"/>
              </w:rPr>
              <w:t>收集于污水收集池，由吸污车清运至昌吉市生活垃圾填埋场处理。</w:t>
            </w:r>
          </w:p>
          <w:p>
            <w:pPr>
              <w:pStyle w:val="18"/>
              <w:numPr>
                <w:ilvl w:val="0"/>
                <w:numId w:val="7"/>
              </w:numPr>
              <w:bidi w:val="0"/>
              <w:ind w:left="0" w:leftChars="0" w:firstLine="480" w:firstLineChars="200"/>
              <w:rPr>
                <w:rFonts w:hint="eastAsia"/>
                <w:color w:val="auto"/>
                <w:lang w:val="en-US" w:eastAsia="zh-CN"/>
              </w:rPr>
            </w:pPr>
            <w:r>
              <w:rPr>
                <w:rFonts w:hint="eastAsia"/>
                <w:color w:val="auto"/>
                <w:lang w:val="en-US" w:eastAsia="zh-CN"/>
              </w:rPr>
              <w:t>本项目软水设备出水效率为 85%，其中包含离子树脂一周再生一次，再生方式采用一定浓度 NaCl 溶液进行冲洗，软水设备产生浓水量约为2.5</w:t>
            </w:r>
            <w:r>
              <w:rPr>
                <w:color w:val="auto"/>
                <w:lang w:val="en-US" w:eastAsia="zh-CN"/>
              </w:rPr>
              <w:t>t/</w:t>
            </w:r>
            <w:r>
              <w:rPr>
                <w:rFonts w:hint="eastAsia"/>
                <w:color w:val="auto"/>
                <w:lang w:val="en-US" w:eastAsia="zh-CN"/>
              </w:rPr>
              <w:t>d（375t/a）；锅炉定期排水量按5%计，锅炉定期排水量为0.125t/d。</w:t>
            </w:r>
          </w:p>
          <w:p>
            <w:pPr>
              <w:pStyle w:val="18"/>
              <w:numPr>
                <w:ilvl w:val="0"/>
                <w:numId w:val="7"/>
              </w:numPr>
              <w:bidi w:val="0"/>
              <w:ind w:left="0" w:leftChars="0" w:firstLine="480" w:firstLineChars="200"/>
              <w:rPr>
                <w:rFonts w:hint="eastAsia"/>
                <w:color w:val="auto"/>
                <w:lang w:val="en-US" w:eastAsia="zh-CN"/>
              </w:rPr>
            </w:pPr>
            <w:r>
              <w:rPr>
                <w:rFonts w:hint="eastAsia"/>
                <w:lang w:val="en-US" w:eastAsia="zh-CN"/>
              </w:rPr>
              <w:t>冲洗废水产生量按用水量90%计，则废水产生量为981.531</w:t>
            </w:r>
            <w:r>
              <w:rPr>
                <w:color w:val="auto"/>
              </w:rPr>
              <w:t>m</w:t>
            </w:r>
            <w:r>
              <w:rPr>
                <w:color w:val="auto"/>
                <w:vertAlign w:val="superscript"/>
              </w:rPr>
              <w:t>3</w:t>
            </w:r>
            <w:r>
              <w:rPr>
                <w:color w:val="auto"/>
              </w:rPr>
              <w:t>/a</w:t>
            </w:r>
            <w:r>
              <w:rPr>
                <w:rFonts w:hint="eastAsia"/>
                <w:color w:val="auto"/>
                <w:lang w:eastAsia="zh-CN"/>
              </w:rPr>
              <w:t>，</w:t>
            </w:r>
            <w:r>
              <w:rPr>
                <w:rFonts w:hint="eastAsia"/>
                <w:color w:val="auto"/>
                <w:lang w:val="en-US" w:eastAsia="zh-CN"/>
              </w:rPr>
              <w:t>与渗滤液一同收集后拉运至昌吉市生活垃圾填埋场；</w:t>
            </w:r>
          </w:p>
          <w:p>
            <w:pPr>
              <w:pStyle w:val="18"/>
              <w:numPr>
                <w:ilvl w:val="0"/>
                <w:numId w:val="7"/>
              </w:numPr>
              <w:bidi w:val="0"/>
              <w:ind w:left="0" w:leftChars="0" w:firstLine="480" w:firstLineChars="200"/>
              <w:rPr>
                <w:rFonts w:hint="eastAsia"/>
                <w:color w:val="auto"/>
                <w:lang w:val="en-US" w:eastAsia="zh-CN"/>
              </w:rPr>
            </w:pPr>
            <w:r>
              <w:rPr>
                <w:rFonts w:hint="eastAsia"/>
                <w:color w:val="auto"/>
                <w:lang w:val="en-US" w:eastAsia="zh-CN"/>
              </w:rPr>
              <w:t>生活废水排污系数按80%计，排放量146</w:t>
            </w:r>
            <w:r>
              <w:rPr>
                <w:color w:val="auto"/>
              </w:rPr>
              <w:t>m</w:t>
            </w:r>
            <w:r>
              <w:rPr>
                <w:color w:val="auto"/>
                <w:vertAlign w:val="superscript"/>
              </w:rPr>
              <w:t>3</w:t>
            </w:r>
            <w:r>
              <w:rPr>
                <w:color w:val="auto"/>
              </w:rPr>
              <w:t>/a</w:t>
            </w:r>
            <w:r>
              <w:rPr>
                <w:rFonts w:hint="eastAsia"/>
                <w:color w:val="auto"/>
                <w:lang w:eastAsia="zh-CN"/>
              </w:rPr>
              <w:t>。</w:t>
            </w:r>
          </w:p>
          <w:p>
            <w:pPr>
              <w:pStyle w:val="18"/>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color w:val="auto"/>
                <w:w w:val="99"/>
                <w:lang w:val="en-US" w:eastAsia="zh-CN"/>
              </w:rPr>
            </w:pPr>
            <w:r>
              <w:drawing>
                <wp:inline distT="0" distB="0" distL="114300" distR="114300">
                  <wp:extent cx="4981575" cy="2794000"/>
                  <wp:effectExtent l="0" t="0" r="9525"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9"/>
                          <a:stretch>
                            <a:fillRect/>
                          </a:stretch>
                        </pic:blipFill>
                        <pic:spPr>
                          <a:xfrm>
                            <a:off x="0" y="0"/>
                            <a:ext cx="4981575" cy="2794000"/>
                          </a:xfrm>
                          <a:prstGeom prst="rect">
                            <a:avLst/>
                          </a:prstGeom>
                          <a:noFill/>
                          <a:ln>
                            <a:noFill/>
                          </a:ln>
                        </pic:spPr>
                      </pic:pic>
                    </a:graphicData>
                  </a:graphic>
                </wp:inline>
              </w:drawing>
            </w:r>
          </w:p>
          <w:p>
            <w:pPr>
              <w:pStyle w:val="9"/>
              <w:bidi w:val="0"/>
              <w:rPr>
                <w:rFonts w:hint="default"/>
                <w:color w:val="auto"/>
                <w:lang w:val="en-US" w:eastAsia="zh-CN"/>
              </w:rPr>
            </w:pPr>
            <w:r>
              <w:rPr>
                <w:rFonts w:hint="eastAsia"/>
                <w:color w:val="auto"/>
                <w:lang w:val="en-US" w:eastAsia="zh-CN"/>
              </w:rPr>
              <w:t>图1    项目水平衡图  单位m</w:t>
            </w:r>
            <w:r>
              <w:rPr>
                <w:rFonts w:hint="eastAsia"/>
                <w:color w:val="auto"/>
                <w:vertAlign w:val="superscript"/>
                <w:lang w:val="en-US" w:eastAsia="zh-CN"/>
              </w:rPr>
              <w:t>3</w:t>
            </w:r>
            <w:r>
              <w:rPr>
                <w:rFonts w:hint="eastAsia"/>
                <w:color w:val="auto"/>
                <w:lang w:val="en-US" w:eastAsia="zh-CN"/>
              </w:rPr>
              <w:t>/d</w:t>
            </w:r>
          </w:p>
          <w:p>
            <w:pPr>
              <w:pStyle w:val="6"/>
              <w:numPr>
                <w:ilvl w:val="0"/>
                <w:numId w:val="0"/>
              </w:numPr>
              <w:bidi w:val="0"/>
              <w:ind w:leftChars="0"/>
              <w:rPr>
                <w:rFonts w:hint="default"/>
                <w:color w:val="auto"/>
                <w:lang w:val="en-US" w:eastAsia="zh-CN"/>
              </w:rPr>
            </w:pPr>
            <w:r>
              <w:rPr>
                <w:rFonts w:hint="eastAsia"/>
                <w:color w:val="auto"/>
                <w:lang w:val="en-US" w:eastAsia="zh-CN"/>
              </w:rPr>
              <w:t>4.4 供暖</w:t>
            </w:r>
          </w:p>
          <w:p>
            <w:pPr>
              <w:pStyle w:val="18"/>
              <w:bidi w:val="0"/>
              <w:rPr>
                <w:rFonts w:hint="default"/>
                <w:color w:val="auto"/>
                <w:lang w:val="en-US" w:eastAsia="zh-CN"/>
              </w:rPr>
            </w:pPr>
            <w:r>
              <w:rPr>
                <w:rFonts w:hint="eastAsia"/>
                <w:color w:val="auto"/>
                <w:lang w:val="en-US" w:eastAsia="zh-CN"/>
              </w:rPr>
              <w:t>项目生产不用热；新建2台0.3t/h电锅炉（一备一用），用于生活供暖。</w:t>
            </w:r>
          </w:p>
          <w:p>
            <w:pPr>
              <w:pStyle w:val="6"/>
              <w:numPr>
                <w:ilvl w:val="0"/>
                <w:numId w:val="0"/>
              </w:numPr>
              <w:bidi w:val="0"/>
              <w:ind w:leftChars="0"/>
              <w:rPr>
                <w:rFonts w:hint="default"/>
                <w:color w:val="auto"/>
                <w:lang w:val="en-US" w:eastAsia="zh-CN"/>
              </w:rPr>
            </w:pPr>
            <w:r>
              <w:rPr>
                <w:rFonts w:hint="eastAsia"/>
                <w:color w:val="auto"/>
                <w:lang w:val="en-US" w:eastAsia="zh-CN"/>
              </w:rPr>
              <w:t>4.5 工作制度及劳动定员</w:t>
            </w:r>
          </w:p>
          <w:p>
            <w:pPr>
              <w:pStyle w:val="18"/>
              <w:bidi w:val="0"/>
              <w:rPr>
                <w:rFonts w:hint="default"/>
                <w:color w:val="auto"/>
              </w:rPr>
            </w:pPr>
            <w:r>
              <w:rPr>
                <w:rFonts w:hint="eastAsia"/>
                <w:color w:val="auto"/>
                <w:lang w:eastAsia="zh-CN"/>
              </w:rPr>
              <w:t>根据</w:t>
            </w:r>
            <w:r>
              <w:rPr>
                <w:rFonts w:hint="default"/>
                <w:color w:val="auto"/>
              </w:rPr>
              <w:t>本项目生产规模需求，</w:t>
            </w:r>
            <w:r>
              <w:rPr>
                <w:rFonts w:hint="eastAsia"/>
                <w:color w:val="auto"/>
                <w:lang w:eastAsia="zh-CN"/>
              </w:rPr>
              <w:t>劳动定员</w:t>
            </w:r>
            <w:r>
              <w:rPr>
                <w:rFonts w:hint="eastAsia"/>
                <w:color w:val="auto"/>
                <w:lang w:val="en-US" w:eastAsia="zh-CN"/>
              </w:rPr>
              <w:t>10</w:t>
            </w:r>
            <w:r>
              <w:rPr>
                <w:rFonts w:hint="eastAsia"/>
                <w:color w:val="auto"/>
              </w:rPr>
              <w:t>人。</w:t>
            </w:r>
            <w:r>
              <w:rPr>
                <w:rFonts w:hint="default"/>
                <w:color w:val="auto"/>
              </w:rPr>
              <w:t>全年生产约为</w:t>
            </w:r>
            <w:r>
              <w:rPr>
                <w:rFonts w:hint="eastAsia"/>
                <w:color w:val="auto"/>
                <w:lang w:val="en-US" w:eastAsia="zh-CN"/>
              </w:rPr>
              <w:t>365</w:t>
            </w:r>
            <w:r>
              <w:rPr>
                <w:rFonts w:hint="default"/>
                <w:color w:val="auto"/>
              </w:rPr>
              <w:t>天。</w:t>
            </w:r>
            <w:r>
              <w:rPr>
                <w:rFonts w:hint="eastAsia"/>
                <w:color w:val="auto"/>
                <w:lang w:val="en-US" w:eastAsia="zh-CN"/>
              </w:rPr>
              <w:t>1</w:t>
            </w:r>
            <w:r>
              <w:rPr>
                <w:rFonts w:hint="default"/>
                <w:color w:val="auto"/>
              </w:rPr>
              <w:t>班制，每班</w:t>
            </w:r>
            <w:r>
              <w:rPr>
                <w:rFonts w:hint="eastAsia"/>
                <w:color w:val="auto"/>
                <w:lang w:val="en-US" w:eastAsia="zh-CN"/>
              </w:rPr>
              <w:t>8</w:t>
            </w:r>
            <w:r>
              <w:rPr>
                <w:rFonts w:hint="default"/>
                <w:color w:val="auto"/>
              </w:rPr>
              <w:t>小时。</w:t>
            </w:r>
          </w:p>
          <w:p>
            <w:pPr>
              <w:pStyle w:val="5"/>
              <w:numPr>
                <w:ilvl w:val="0"/>
                <w:numId w:val="5"/>
              </w:numPr>
              <w:bidi w:val="0"/>
              <w:ind w:left="0" w:leftChars="0" w:firstLine="0" w:firstLineChars="0"/>
              <w:rPr>
                <w:rFonts w:hint="eastAsia"/>
                <w:color w:val="auto"/>
                <w:lang w:val="en-US" w:eastAsia="zh-CN"/>
              </w:rPr>
            </w:pPr>
            <w:r>
              <w:rPr>
                <w:rFonts w:hint="eastAsia"/>
                <w:color w:val="auto"/>
                <w:lang w:val="en-US" w:eastAsia="zh-CN"/>
              </w:rPr>
              <w:t>总平面布置</w:t>
            </w:r>
          </w:p>
          <w:p>
            <w:pPr>
              <w:pStyle w:val="18"/>
              <w:bidi w:val="0"/>
              <w:rPr>
                <w:rFonts w:hint="eastAsia"/>
              </w:rPr>
            </w:pPr>
            <w:r>
              <w:rPr>
                <w:rFonts w:hint="eastAsia"/>
              </w:rPr>
              <w:t>本项目的垃圾中转站平面布置考虑周边环境、气象条件以及《生活垃圾中转站技术规范》（CJJ47-2016）的总体布置要求，根据中转站压装生产流程、运输路线及全年主导风向因地制宜、合理进行设计，同时起到美化环境、减少环境污染的功效，因此总平面布置具有环境合理性。</w:t>
            </w:r>
          </w:p>
          <w:p>
            <w:pPr>
              <w:pStyle w:val="18"/>
              <w:bidi w:val="0"/>
              <w:rPr>
                <w:rFonts w:hint="default"/>
              </w:rPr>
            </w:pPr>
            <w:r>
              <w:rPr>
                <w:rFonts w:hint="eastAsia"/>
                <w:lang w:val="en-US" w:eastAsia="zh-CN"/>
              </w:rPr>
              <w:t>本项目垃圾站场站建设设施分布均分为站房外及站房内两部分，其中站外东侧依次为综合楼、水泵房；厂区西侧为污水处理池；厂区南侧为转运车间；北侧为消杀车间；设置有停车区、门卫、地磅房等设施，站房内主要包括垃圾装卸压缩区、监控室、工具室以及卫生间等辅助用房，其中</w:t>
            </w:r>
            <w:r>
              <w:rPr>
                <w:rFonts w:hint="default"/>
              </w:rPr>
              <w:t>垃圾装卸、压缩是站内工艺流程的核心，</w:t>
            </w:r>
            <w:r>
              <w:rPr>
                <w:rFonts w:hint="eastAsia"/>
                <w:lang w:val="en-US" w:eastAsia="zh-CN"/>
              </w:rPr>
              <w:t>整个装卸压缩区为独立分布，其余设施均分层布设。场区内道路为环形通道</w:t>
            </w:r>
            <w:r>
              <w:rPr>
                <w:rFonts w:hint="default"/>
              </w:rPr>
              <w:t>，用于转运车的回转作业。</w:t>
            </w:r>
          </w:p>
          <w:p>
            <w:pPr>
              <w:pStyle w:val="18"/>
              <w:bidi w:val="0"/>
              <w:rPr>
                <w:rFonts w:hint="default"/>
              </w:rPr>
            </w:pPr>
            <w:r>
              <w:rPr>
                <w:rFonts w:hint="eastAsia"/>
                <w:lang w:val="en-US" w:eastAsia="zh-CN"/>
              </w:rPr>
              <w:t>项目各场站</w:t>
            </w:r>
            <w:r>
              <w:rPr>
                <w:rFonts w:hint="default"/>
              </w:rPr>
              <w:t>沿站区布置围墙以保证站区安全和对环境的影响，整个站区除绿化地和建筑用地外，其它均铺为水泥路面，作为回车和运输道路使用。站外与</w:t>
            </w:r>
            <w:r>
              <w:rPr>
                <w:rFonts w:hint="eastAsia"/>
                <w:lang w:val="en-US" w:eastAsia="zh-CN"/>
              </w:rPr>
              <w:t>城市</w:t>
            </w:r>
            <w:r>
              <w:rPr>
                <w:rFonts w:hint="default"/>
              </w:rPr>
              <w:t>道路相连，可满足生产运输的需要。</w:t>
            </w:r>
          </w:p>
          <w:p>
            <w:pPr>
              <w:pStyle w:val="18"/>
              <w:bidi w:val="0"/>
              <w:ind w:left="0" w:leftChars="0" w:firstLine="0" w:firstLineChars="0"/>
              <w:rPr>
                <w:rFonts w:hint="default"/>
                <w:color w:val="auto"/>
                <w:lang w:val="en-US" w:eastAsia="zh-CN"/>
              </w:rPr>
            </w:pPr>
          </w:p>
          <w:p>
            <w:pPr>
              <w:pStyle w:val="18"/>
              <w:bidi w:val="0"/>
              <w:rPr>
                <w:rFonts w:hint="eastAsia"/>
                <w:color w:val="auto"/>
                <w:lang w:eastAsia="zh-CN"/>
              </w:rPr>
            </w:pPr>
          </w:p>
          <w:p>
            <w:pPr>
              <w:pStyle w:val="18"/>
              <w:bidi w:val="0"/>
              <w:rPr>
                <w:rFonts w:hint="eastAsia"/>
                <w:color w:val="auto"/>
                <w:lang w:eastAsia="zh-CN"/>
              </w:rPr>
            </w:pPr>
          </w:p>
          <w:p>
            <w:pPr>
              <w:pStyle w:val="18"/>
              <w:bidi w:val="0"/>
              <w:rPr>
                <w:rFonts w:hint="eastAsia"/>
                <w:color w:val="auto"/>
                <w:lang w:eastAsia="zh-CN"/>
              </w:rPr>
            </w:pPr>
          </w:p>
          <w:p>
            <w:pPr>
              <w:pStyle w:val="18"/>
              <w:bidi w:val="0"/>
              <w:rPr>
                <w:rFonts w:hint="eastAsia"/>
                <w:color w:val="auto"/>
                <w:lang w:eastAsia="zh-CN"/>
              </w:rPr>
            </w:pPr>
          </w:p>
          <w:p>
            <w:pPr>
              <w:pStyle w:val="18"/>
              <w:bidi w:val="0"/>
              <w:rPr>
                <w:rFonts w:hint="eastAsia"/>
                <w:color w:val="auto"/>
                <w:lang w:val="en-US" w:eastAsia="zh-CN"/>
              </w:rPr>
            </w:pPr>
          </w:p>
          <w:p>
            <w:pPr>
              <w:pStyle w:val="18"/>
              <w:bidi w:val="0"/>
              <w:rPr>
                <w:rFonts w:hint="eastAsia"/>
                <w:color w:val="auto"/>
                <w:lang w:val="en-US" w:eastAsia="zh-CN"/>
              </w:rPr>
            </w:pPr>
          </w:p>
          <w:p>
            <w:pPr>
              <w:pStyle w:val="18"/>
              <w:bidi w:val="0"/>
              <w:rPr>
                <w:rFonts w:hint="eastAsia"/>
                <w:color w:val="auto"/>
                <w:lang w:val="en-US" w:eastAsia="zh-CN"/>
              </w:rPr>
            </w:pPr>
          </w:p>
          <w:p>
            <w:pPr>
              <w:pStyle w:val="18"/>
              <w:bidi w:val="0"/>
              <w:rPr>
                <w:rFonts w:hint="eastAsia"/>
                <w:color w:val="auto"/>
                <w:lang w:val="en-US" w:eastAsia="zh-CN"/>
              </w:rPr>
            </w:pPr>
          </w:p>
          <w:p>
            <w:pPr>
              <w:pStyle w:val="18"/>
              <w:bidi w:val="0"/>
              <w:rPr>
                <w:rFonts w:hint="eastAsia"/>
                <w:color w:val="auto"/>
                <w:lang w:val="en-US" w:eastAsia="zh-CN"/>
              </w:rPr>
            </w:pPr>
          </w:p>
          <w:p>
            <w:pPr>
              <w:pStyle w:val="18"/>
              <w:bidi w:val="0"/>
              <w:rPr>
                <w:rFonts w:hint="eastAsia"/>
                <w:color w:val="auto"/>
                <w:lang w:val="en-US" w:eastAsia="zh-CN"/>
              </w:rPr>
            </w:pPr>
          </w:p>
          <w:p>
            <w:pPr>
              <w:pStyle w:val="18"/>
              <w:bidi w:val="0"/>
              <w:ind w:left="0" w:leftChars="0" w:firstLine="0" w:firstLineChars="0"/>
              <w:rPr>
                <w:rFonts w:hint="eastAsia"/>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46" w:hRule="atLeast"/>
          <w:jc w:val="center"/>
        </w:trPr>
        <w:tc>
          <w:tcPr>
            <w:tcW w:w="454" w:type="dxa"/>
            <w:tcBorders>
              <w:tl2br w:val="nil"/>
              <w:tr2bl w:val="nil"/>
            </w:tcBorders>
            <w:vAlign w:val="center"/>
          </w:tcPr>
          <w:p>
            <w:pPr>
              <w:numPr>
                <w:ilvl w:val="0"/>
                <w:numId w:val="0"/>
              </w:numPr>
              <w:jc w:val="center"/>
              <w:rPr>
                <w:rFonts w:hint="eastAsia"/>
                <w:color w:val="auto"/>
                <w:sz w:val="24"/>
                <w:szCs w:val="24"/>
                <w:vertAlign w:val="baseline"/>
                <w:lang w:eastAsia="zh-CN"/>
              </w:rPr>
            </w:pPr>
            <w:r>
              <w:rPr>
                <w:rFonts w:hint="eastAsia" w:cs="宋体"/>
                <w:color w:val="auto"/>
                <w:sz w:val="24"/>
                <w:szCs w:val="24"/>
              </w:rPr>
              <w:t>工艺流程和产排污环节</w:t>
            </w:r>
          </w:p>
        </w:tc>
        <w:tc>
          <w:tcPr>
            <w:tcW w:w="8068" w:type="dxa"/>
            <w:tcBorders>
              <w:tl2br w:val="nil"/>
              <w:tr2bl w:val="nil"/>
            </w:tcBorders>
          </w:tcPr>
          <w:p>
            <w:pPr>
              <w:pStyle w:val="5"/>
              <w:numPr>
                <w:ilvl w:val="0"/>
                <w:numId w:val="8"/>
              </w:numPr>
              <w:bidi w:val="0"/>
              <w:rPr>
                <w:rFonts w:hint="default"/>
                <w:color w:val="auto"/>
                <w:lang w:val="en-US" w:eastAsia="zh-CN"/>
              </w:rPr>
            </w:pPr>
            <w:r>
              <w:rPr>
                <w:rFonts w:hint="eastAsia"/>
                <w:color w:val="auto"/>
                <w:lang w:val="en-US" w:eastAsia="zh-CN"/>
              </w:rPr>
              <w:t>施工期</w:t>
            </w:r>
          </w:p>
          <w:p>
            <w:pPr>
              <w:pStyle w:val="6"/>
              <w:numPr>
                <w:ilvl w:val="1"/>
                <w:numId w:val="8"/>
              </w:numPr>
              <w:bidi w:val="0"/>
              <w:ind w:left="0" w:leftChars="0" w:firstLine="0" w:firstLineChars="0"/>
              <w:rPr>
                <w:rFonts w:hint="eastAsia"/>
                <w:color w:val="auto"/>
                <w:lang w:val="en-US" w:eastAsia="zh-CN"/>
              </w:rPr>
            </w:pPr>
            <w:r>
              <w:rPr>
                <w:rFonts w:hint="eastAsia"/>
                <w:color w:val="auto"/>
                <w:lang w:val="en-US" w:eastAsia="zh-CN"/>
              </w:rPr>
              <w:t>施工期工艺流程简述</w:t>
            </w:r>
          </w:p>
          <w:p>
            <w:pPr>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pPr>
            <w:r>
              <w:drawing>
                <wp:inline distT="0" distB="0" distL="114300" distR="114300">
                  <wp:extent cx="4782185" cy="1600200"/>
                  <wp:effectExtent l="0" t="0" r="1841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4782185" cy="1600200"/>
                          </a:xfrm>
                          <a:prstGeom prst="rect">
                            <a:avLst/>
                          </a:prstGeom>
                          <a:noFill/>
                          <a:ln>
                            <a:noFill/>
                          </a:ln>
                        </pic:spPr>
                      </pic:pic>
                    </a:graphicData>
                  </a:graphic>
                </wp:inline>
              </w:drawing>
            </w:r>
          </w:p>
          <w:p>
            <w:pPr>
              <w:pStyle w:val="9"/>
              <w:bidi w:val="0"/>
              <w:rPr>
                <w:rFonts w:hint="eastAsia"/>
                <w:color w:val="auto"/>
                <w:lang w:val="en-US" w:eastAsia="zh-CN"/>
              </w:rPr>
            </w:pPr>
            <w:r>
              <w:rPr>
                <w:rFonts w:hint="eastAsia"/>
                <w:color w:val="auto"/>
                <w:lang w:val="en-US" w:eastAsia="zh-CN"/>
              </w:rPr>
              <w:t>图 2    施工期工艺流程及产污环节图</w:t>
            </w:r>
          </w:p>
          <w:p>
            <w:pPr>
              <w:pStyle w:val="18"/>
              <w:bidi w:val="0"/>
              <w:rPr>
                <w:rFonts w:hint="eastAsia" w:eastAsia="宋体"/>
                <w:lang w:eastAsia="zh-CN"/>
              </w:rPr>
            </w:pPr>
            <w:r>
              <w:rPr>
                <w:rFonts w:hint="eastAsia"/>
                <w:lang w:val="en-US" w:eastAsia="zh-CN"/>
              </w:rPr>
              <w:t>本项目施工期先进行场地平整，场地平整主要是对场地进行开挖或填平场地，场地完成平整后开始开挖地基进行主体及附属设施工程建设，主体建设完成后对办公区内外进行设备安装。项目建设不同施工阶段的主要大气污染源和污染物有噪声、扬尘、建筑垃圾和施工废水产生。</w:t>
            </w:r>
            <w:r>
              <w:rPr>
                <w:rFonts w:hint="default" w:ascii="Times New Roman" w:hAnsi="Times New Roman" w:cs="Times New Roman"/>
                <w:color w:val="auto"/>
                <w:sz w:val="24"/>
              </w:rPr>
              <w:t>拟建项目施工期主要污染工序见表</w:t>
            </w:r>
            <w:r>
              <w:rPr>
                <w:rFonts w:hint="eastAsia" w:cs="Times New Roman"/>
                <w:color w:val="auto"/>
                <w:sz w:val="24"/>
                <w:lang w:val="en-US" w:eastAsia="zh-CN"/>
              </w:rPr>
              <w:t>2</w:t>
            </w:r>
            <w:r>
              <w:rPr>
                <w:rFonts w:hint="default" w:ascii="Times New Roman" w:hAnsi="Times New Roman" w:cs="Times New Roman"/>
                <w:color w:val="auto"/>
                <w:sz w:val="24"/>
              </w:rPr>
              <w:t>-</w:t>
            </w:r>
            <w:r>
              <w:rPr>
                <w:rFonts w:hint="eastAsia" w:cs="Times New Roman"/>
                <w:color w:val="auto"/>
                <w:sz w:val="24"/>
                <w:lang w:val="en-US" w:eastAsia="zh-CN"/>
              </w:rPr>
              <w:t>4</w:t>
            </w:r>
            <w:r>
              <w:rPr>
                <w:rFonts w:hint="eastAsia" w:ascii="Times New Roman" w:hAnsi="Times New Roman" w:cs="Times New Roman"/>
                <w:color w:val="auto"/>
                <w:sz w:val="24"/>
                <w:lang w:eastAsia="zh-CN"/>
              </w:rPr>
              <w:t>。</w:t>
            </w:r>
          </w:p>
          <w:p>
            <w:pPr>
              <w:pStyle w:val="28"/>
              <w:bidi w:val="0"/>
              <w:rPr>
                <w:rFonts w:hint="default"/>
                <w:color w:val="auto"/>
              </w:rPr>
            </w:pPr>
            <w:r>
              <w:rPr>
                <w:rFonts w:hint="default"/>
                <w:color w:val="auto"/>
              </w:rPr>
              <w:t>表</w:t>
            </w:r>
            <w:r>
              <w:rPr>
                <w:rFonts w:hint="eastAsia"/>
                <w:color w:val="auto"/>
                <w:lang w:val="en-US" w:eastAsia="zh-CN"/>
              </w:rPr>
              <w:t>2</w:t>
            </w:r>
            <w:r>
              <w:rPr>
                <w:rFonts w:hint="default"/>
                <w:color w:val="auto"/>
              </w:rPr>
              <w:t>-</w:t>
            </w:r>
            <w:r>
              <w:rPr>
                <w:rFonts w:hint="eastAsia"/>
                <w:color w:val="auto"/>
                <w:lang w:val="en-US" w:eastAsia="zh-CN"/>
              </w:rPr>
              <w:t>4</w:t>
            </w:r>
            <w:r>
              <w:rPr>
                <w:rFonts w:hint="default"/>
                <w:color w:val="auto"/>
              </w:rPr>
              <w:t xml:space="preserve">    施工期主要污染工序一览表</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028"/>
              <w:gridCol w:w="1851"/>
              <w:gridCol w:w="27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Borders>
                    <w:bottom w:val="single" w:color="000000" w:sz="12" w:space="0"/>
                    <w:tl2br w:val="nil"/>
                    <w:tr2bl w:val="nil"/>
                  </w:tcBorders>
                  <w:noWrap w:val="0"/>
                  <w:vAlign w:val="center"/>
                </w:tcPr>
                <w:p>
                  <w:pPr>
                    <w:pStyle w:val="29"/>
                    <w:bidi w:val="0"/>
                    <w:rPr>
                      <w:rFonts w:hint="default"/>
                      <w:b/>
                      <w:bCs/>
                    </w:rPr>
                  </w:pPr>
                  <w:r>
                    <w:rPr>
                      <w:rFonts w:hint="default"/>
                      <w:b/>
                      <w:bCs/>
                    </w:rPr>
                    <w:t>污染类别</w:t>
                  </w:r>
                </w:p>
              </w:tc>
              <w:tc>
                <w:tcPr>
                  <w:tcW w:w="1291" w:type="pct"/>
                  <w:tcBorders>
                    <w:bottom w:val="single" w:color="000000" w:sz="12" w:space="0"/>
                    <w:tl2br w:val="nil"/>
                    <w:tr2bl w:val="nil"/>
                  </w:tcBorders>
                  <w:noWrap w:val="0"/>
                  <w:vAlign w:val="center"/>
                </w:tcPr>
                <w:p>
                  <w:pPr>
                    <w:pStyle w:val="29"/>
                    <w:bidi w:val="0"/>
                    <w:rPr>
                      <w:rFonts w:hint="default"/>
                      <w:b/>
                      <w:bCs/>
                    </w:rPr>
                  </w:pPr>
                  <w:r>
                    <w:rPr>
                      <w:rFonts w:hint="default"/>
                      <w:b/>
                      <w:bCs/>
                    </w:rPr>
                    <w:t>污染源名称</w:t>
                  </w:r>
                </w:p>
              </w:tc>
              <w:tc>
                <w:tcPr>
                  <w:tcW w:w="1179" w:type="pct"/>
                  <w:tcBorders>
                    <w:bottom w:val="single" w:color="000000" w:sz="12" w:space="0"/>
                    <w:tl2br w:val="nil"/>
                    <w:tr2bl w:val="nil"/>
                  </w:tcBorders>
                  <w:noWrap w:val="0"/>
                  <w:vAlign w:val="center"/>
                </w:tcPr>
                <w:p>
                  <w:pPr>
                    <w:pStyle w:val="29"/>
                    <w:bidi w:val="0"/>
                    <w:rPr>
                      <w:rFonts w:hint="default"/>
                      <w:b/>
                      <w:bCs/>
                    </w:rPr>
                  </w:pPr>
                  <w:r>
                    <w:rPr>
                      <w:rFonts w:hint="default"/>
                      <w:b/>
                      <w:bCs/>
                    </w:rPr>
                    <w:t>产生工序</w:t>
                  </w:r>
                </w:p>
              </w:tc>
              <w:tc>
                <w:tcPr>
                  <w:tcW w:w="1773" w:type="pct"/>
                  <w:tcBorders>
                    <w:bottom w:val="single" w:color="000000" w:sz="12" w:space="0"/>
                    <w:tl2br w:val="nil"/>
                    <w:tr2bl w:val="nil"/>
                  </w:tcBorders>
                  <w:noWrap w:val="0"/>
                  <w:vAlign w:val="center"/>
                </w:tcPr>
                <w:p>
                  <w:pPr>
                    <w:pStyle w:val="29"/>
                    <w:bidi w:val="0"/>
                    <w:rPr>
                      <w:rFonts w:hint="default"/>
                      <w:b/>
                      <w:bCs/>
                    </w:rPr>
                  </w:pPr>
                  <w:r>
                    <w:rPr>
                      <w:rFonts w:hint="default"/>
                      <w:b/>
                      <w:bCs/>
                    </w:rPr>
                    <w:t>主要污染因子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Borders>
                    <w:top w:val="single" w:color="000000" w:sz="12" w:space="0"/>
                    <w:tl2br w:val="nil"/>
                    <w:tr2bl w:val="nil"/>
                  </w:tcBorders>
                  <w:noWrap w:val="0"/>
                  <w:vAlign w:val="center"/>
                </w:tcPr>
                <w:p>
                  <w:pPr>
                    <w:pStyle w:val="29"/>
                    <w:bidi w:val="0"/>
                    <w:rPr>
                      <w:rFonts w:hint="default"/>
                    </w:rPr>
                  </w:pPr>
                  <w:r>
                    <w:rPr>
                      <w:rFonts w:hint="default"/>
                    </w:rPr>
                    <w:t>废气</w:t>
                  </w:r>
                </w:p>
              </w:tc>
              <w:tc>
                <w:tcPr>
                  <w:tcW w:w="1291" w:type="pct"/>
                  <w:tcBorders>
                    <w:top w:val="single" w:color="000000" w:sz="12" w:space="0"/>
                    <w:tl2br w:val="nil"/>
                    <w:tr2bl w:val="nil"/>
                  </w:tcBorders>
                  <w:noWrap w:val="0"/>
                  <w:vAlign w:val="center"/>
                </w:tcPr>
                <w:p>
                  <w:pPr>
                    <w:pStyle w:val="29"/>
                    <w:bidi w:val="0"/>
                    <w:rPr>
                      <w:rFonts w:hint="default"/>
                    </w:rPr>
                  </w:pPr>
                  <w:r>
                    <w:rPr>
                      <w:rFonts w:hint="default"/>
                    </w:rPr>
                    <w:t>施工扬尘</w:t>
                  </w:r>
                </w:p>
              </w:tc>
              <w:tc>
                <w:tcPr>
                  <w:tcW w:w="1179" w:type="pct"/>
                  <w:tcBorders>
                    <w:top w:val="single" w:color="000000" w:sz="12" w:space="0"/>
                    <w:tl2br w:val="nil"/>
                    <w:tr2bl w:val="nil"/>
                  </w:tcBorders>
                  <w:noWrap w:val="0"/>
                  <w:vAlign w:val="center"/>
                </w:tcPr>
                <w:p>
                  <w:pPr>
                    <w:pStyle w:val="29"/>
                    <w:bidi w:val="0"/>
                    <w:rPr>
                      <w:rFonts w:hint="default"/>
                    </w:rPr>
                  </w:pPr>
                  <w:r>
                    <w:rPr>
                      <w:rFonts w:hint="default"/>
                    </w:rPr>
                    <w:t>施工过程</w:t>
                  </w:r>
                </w:p>
              </w:tc>
              <w:tc>
                <w:tcPr>
                  <w:tcW w:w="1773" w:type="pct"/>
                  <w:tcBorders>
                    <w:top w:val="single" w:color="000000" w:sz="12" w:space="0"/>
                    <w:tl2br w:val="nil"/>
                    <w:tr2bl w:val="nil"/>
                  </w:tcBorders>
                  <w:noWrap w:val="0"/>
                  <w:vAlign w:val="center"/>
                </w:tcPr>
                <w:p>
                  <w:pPr>
                    <w:pStyle w:val="29"/>
                    <w:bidi w:val="0"/>
                    <w:rPr>
                      <w:rFonts w:hint="default"/>
                    </w:rPr>
                  </w:pPr>
                  <w:r>
                    <w:rPr>
                      <w:rFonts w:hint="default"/>
                    </w:rPr>
                    <w:t>TSP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vMerge w:val="restart"/>
                  <w:tcBorders>
                    <w:tl2br w:val="nil"/>
                    <w:tr2bl w:val="nil"/>
                  </w:tcBorders>
                  <w:noWrap w:val="0"/>
                  <w:vAlign w:val="center"/>
                </w:tcPr>
                <w:p>
                  <w:pPr>
                    <w:pStyle w:val="29"/>
                    <w:bidi w:val="0"/>
                    <w:rPr>
                      <w:rFonts w:hint="default"/>
                    </w:rPr>
                  </w:pPr>
                  <w:r>
                    <w:rPr>
                      <w:rFonts w:hint="default"/>
                    </w:rPr>
                    <w:t>废水</w:t>
                  </w:r>
                </w:p>
              </w:tc>
              <w:tc>
                <w:tcPr>
                  <w:tcW w:w="1291" w:type="pct"/>
                  <w:tcBorders>
                    <w:tl2br w:val="nil"/>
                    <w:tr2bl w:val="nil"/>
                  </w:tcBorders>
                  <w:noWrap w:val="0"/>
                  <w:vAlign w:val="center"/>
                </w:tcPr>
                <w:p>
                  <w:pPr>
                    <w:pStyle w:val="29"/>
                    <w:bidi w:val="0"/>
                    <w:rPr>
                      <w:rFonts w:hint="default"/>
                    </w:rPr>
                  </w:pPr>
                  <w:r>
                    <w:rPr>
                      <w:rFonts w:hint="default"/>
                    </w:rPr>
                    <w:t>生活污水</w:t>
                  </w:r>
                </w:p>
              </w:tc>
              <w:tc>
                <w:tcPr>
                  <w:tcW w:w="1179" w:type="pct"/>
                  <w:tcBorders>
                    <w:tl2br w:val="nil"/>
                    <w:tr2bl w:val="nil"/>
                  </w:tcBorders>
                  <w:noWrap w:val="0"/>
                  <w:vAlign w:val="center"/>
                </w:tcPr>
                <w:p>
                  <w:pPr>
                    <w:pStyle w:val="29"/>
                    <w:bidi w:val="0"/>
                    <w:rPr>
                      <w:rFonts w:hint="default"/>
                    </w:rPr>
                  </w:pPr>
                  <w:r>
                    <w:rPr>
                      <w:rFonts w:hint="default"/>
                    </w:rPr>
                    <w:t>施工人员生活</w:t>
                  </w:r>
                </w:p>
              </w:tc>
              <w:tc>
                <w:tcPr>
                  <w:tcW w:w="1773" w:type="pct"/>
                  <w:tcBorders>
                    <w:tl2br w:val="nil"/>
                    <w:tr2bl w:val="nil"/>
                  </w:tcBorders>
                  <w:noWrap w:val="0"/>
                  <w:vAlign w:val="center"/>
                </w:tcPr>
                <w:p>
                  <w:pPr>
                    <w:pStyle w:val="29"/>
                    <w:bidi w:val="0"/>
                    <w:rPr>
                      <w:rFonts w:hint="default"/>
                    </w:rPr>
                  </w:pPr>
                  <w:r>
                    <w:rPr>
                      <w:rFonts w:hint="default"/>
                    </w:rPr>
                    <w:t>COD、NH</w:t>
                  </w:r>
                  <w:r>
                    <w:rPr>
                      <w:rFonts w:hint="default"/>
                      <w:vertAlign w:val="subscript"/>
                    </w:rPr>
                    <w:t>3</w:t>
                  </w:r>
                  <w:r>
                    <w:rPr>
                      <w:rFonts w:hint="default"/>
                    </w:rPr>
                    <w:t>-N</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vMerge w:val="continue"/>
                  <w:tcBorders>
                    <w:tl2br w:val="nil"/>
                    <w:tr2bl w:val="nil"/>
                  </w:tcBorders>
                  <w:noWrap w:val="0"/>
                  <w:vAlign w:val="center"/>
                </w:tcPr>
                <w:p>
                  <w:pPr>
                    <w:pStyle w:val="29"/>
                    <w:bidi w:val="0"/>
                    <w:rPr>
                      <w:rFonts w:hint="default"/>
                    </w:rPr>
                  </w:pPr>
                </w:p>
              </w:tc>
              <w:tc>
                <w:tcPr>
                  <w:tcW w:w="1291" w:type="pct"/>
                  <w:tcBorders>
                    <w:tl2br w:val="nil"/>
                    <w:tr2bl w:val="nil"/>
                  </w:tcBorders>
                  <w:noWrap w:val="0"/>
                  <w:vAlign w:val="center"/>
                </w:tcPr>
                <w:p>
                  <w:pPr>
                    <w:pStyle w:val="29"/>
                    <w:bidi w:val="0"/>
                    <w:rPr>
                      <w:rFonts w:hint="default"/>
                    </w:rPr>
                  </w:pPr>
                  <w:r>
                    <w:rPr>
                      <w:rFonts w:hint="default"/>
                    </w:rPr>
                    <w:t>工地污水</w:t>
                  </w:r>
                </w:p>
              </w:tc>
              <w:tc>
                <w:tcPr>
                  <w:tcW w:w="1179" w:type="pct"/>
                  <w:tcBorders>
                    <w:tl2br w:val="nil"/>
                    <w:tr2bl w:val="nil"/>
                  </w:tcBorders>
                  <w:noWrap w:val="0"/>
                  <w:vAlign w:val="center"/>
                </w:tcPr>
                <w:p>
                  <w:pPr>
                    <w:pStyle w:val="29"/>
                    <w:bidi w:val="0"/>
                    <w:rPr>
                      <w:rFonts w:hint="default"/>
                    </w:rPr>
                  </w:pPr>
                  <w:r>
                    <w:rPr>
                      <w:rFonts w:hint="default"/>
                    </w:rPr>
                    <w:t>施工过程</w:t>
                  </w:r>
                </w:p>
              </w:tc>
              <w:tc>
                <w:tcPr>
                  <w:tcW w:w="1773" w:type="pct"/>
                  <w:tcBorders>
                    <w:tl2br w:val="nil"/>
                    <w:tr2bl w:val="nil"/>
                  </w:tcBorders>
                  <w:noWrap w:val="0"/>
                  <w:vAlign w:val="center"/>
                </w:tcPr>
                <w:p>
                  <w:pPr>
                    <w:pStyle w:val="29"/>
                    <w:bidi w:val="0"/>
                    <w:rPr>
                      <w:rFonts w:hint="default"/>
                    </w:rPr>
                  </w:pPr>
                  <w:r>
                    <w:rPr>
                      <w:rFonts w:hint="default"/>
                    </w:rPr>
                    <w:t>SS</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tcBorders>
                    <w:tl2br w:val="nil"/>
                    <w:tr2bl w:val="nil"/>
                  </w:tcBorders>
                  <w:noWrap w:val="0"/>
                  <w:vAlign w:val="center"/>
                </w:tcPr>
                <w:p>
                  <w:pPr>
                    <w:pStyle w:val="29"/>
                    <w:bidi w:val="0"/>
                    <w:rPr>
                      <w:rFonts w:hint="default"/>
                    </w:rPr>
                  </w:pPr>
                  <w:r>
                    <w:rPr>
                      <w:rFonts w:hint="default"/>
                    </w:rPr>
                    <w:t>噪声</w:t>
                  </w:r>
                </w:p>
              </w:tc>
              <w:tc>
                <w:tcPr>
                  <w:tcW w:w="1291" w:type="pct"/>
                  <w:tcBorders>
                    <w:tl2br w:val="nil"/>
                    <w:tr2bl w:val="nil"/>
                  </w:tcBorders>
                  <w:noWrap w:val="0"/>
                  <w:vAlign w:val="center"/>
                </w:tcPr>
                <w:p>
                  <w:pPr>
                    <w:pStyle w:val="29"/>
                    <w:bidi w:val="0"/>
                    <w:rPr>
                      <w:rFonts w:hint="default"/>
                    </w:rPr>
                  </w:pPr>
                  <w:r>
                    <w:rPr>
                      <w:rFonts w:hint="default"/>
                    </w:rPr>
                    <w:t>生产设备噪声</w:t>
                  </w:r>
                </w:p>
              </w:tc>
              <w:tc>
                <w:tcPr>
                  <w:tcW w:w="1179" w:type="pct"/>
                  <w:tcBorders>
                    <w:tl2br w:val="nil"/>
                    <w:tr2bl w:val="nil"/>
                  </w:tcBorders>
                  <w:noWrap w:val="0"/>
                  <w:vAlign w:val="center"/>
                </w:tcPr>
                <w:p>
                  <w:pPr>
                    <w:pStyle w:val="29"/>
                    <w:bidi w:val="0"/>
                    <w:rPr>
                      <w:rFonts w:hint="default"/>
                    </w:rPr>
                  </w:pPr>
                  <w:r>
                    <w:rPr>
                      <w:rFonts w:hint="default"/>
                    </w:rPr>
                    <w:t>施工过程</w:t>
                  </w:r>
                </w:p>
              </w:tc>
              <w:tc>
                <w:tcPr>
                  <w:tcW w:w="1773" w:type="pct"/>
                  <w:tcBorders>
                    <w:tl2br w:val="nil"/>
                    <w:tr2bl w:val="nil"/>
                  </w:tcBorders>
                  <w:noWrap w:val="0"/>
                  <w:vAlign w:val="center"/>
                </w:tcPr>
                <w:p>
                  <w:pPr>
                    <w:pStyle w:val="29"/>
                    <w:bidi w:val="0"/>
                    <w:rPr>
                      <w:rFonts w:hint="default"/>
                    </w:rPr>
                  </w:pPr>
                  <w:r>
                    <w:rPr>
                      <w:rFonts w:hint="default"/>
                    </w:rPr>
                    <w:t>噪声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vMerge w:val="restart"/>
                  <w:tcBorders>
                    <w:tl2br w:val="nil"/>
                    <w:tr2bl w:val="nil"/>
                  </w:tcBorders>
                  <w:noWrap w:val="0"/>
                  <w:vAlign w:val="center"/>
                </w:tcPr>
                <w:p>
                  <w:pPr>
                    <w:pStyle w:val="29"/>
                    <w:bidi w:val="0"/>
                    <w:rPr>
                      <w:rFonts w:hint="default"/>
                    </w:rPr>
                  </w:pPr>
                  <w:r>
                    <w:rPr>
                      <w:rFonts w:hint="default"/>
                    </w:rPr>
                    <w:t>固废</w:t>
                  </w:r>
                </w:p>
              </w:tc>
              <w:tc>
                <w:tcPr>
                  <w:tcW w:w="1291" w:type="pct"/>
                  <w:tcBorders>
                    <w:tl2br w:val="nil"/>
                    <w:tr2bl w:val="nil"/>
                  </w:tcBorders>
                  <w:noWrap w:val="0"/>
                  <w:vAlign w:val="center"/>
                </w:tcPr>
                <w:p>
                  <w:pPr>
                    <w:pStyle w:val="29"/>
                    <w:bidi w:val="0"/>
                    <w:rPr>
                      <w:rFonts w:hint="default"/>
                    </w:rPr>
                  </w:pPr>
                  <w:r>
                    <w:rPr>
                      <w:rFonts w:hint="default"/>
                    </w:rPr>
                    <w:t>生活固废</w:t>
                  </w:r>
                </w:p>
              </w:tc>
              <w:tc>
                <w:tcPr>
                  <w:tcW w:w="1179" w:type="pct"/>
                  <w:tcBorders>
                    <w:tl2br w:val="nil"/>
                    <w:tr2bl w:val="nil"/>
                  </w:tcBorders>
                  <w:noWrap w:val="0"/>
                  <w:vAlign w:val="center"/>
                </w:tcPr>
                <w:p>
                  <w:pPr>
                    <w:pStyle w:val="29"/>
                    <w:bidi w:val="0"/>
                    <w:rPr>
                      <w:rFonts w:hint="default"/>
                    </w:rPr>
                  </w:pPr>
                  <w:r>
                    <w:rPr>
                      <w:rFonts w:hint="default"/>
                    </w:rPr>
                    <w:t>施工人员生活</w:t>
                  </w:r>
                </w:p>
              </w:tc>
              <w:tc>
                <w:tcPr>
                  <w:tcW w:w="1773" w:type="pct"/>
                  <w:tcBorders>
                    <w:tl2br w:val="nil"/>
                    <w:tr2bl w:val="nil"/>
                  </w:tcBorders>
                  <w:noWrap w:val="0"/>
                  <w:vAlign w:val="center"/>
                </w:tcPr>
                <w:p>
                  <w:pPr>
                    <w:pStyle w:val="29"/>
                    <w:bidi w:val="0"/>
                    <w:rPr>
                      <w:rFonts w:hint="default"/>
                    </w:rPr>
                  </w:pPr>
                  <w:r>
                    <w:rPr>
                      <w:rFonts w:hint="default"/>
                    </w:rPr>
                    <w:t>生活垃圾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55" w:type="pct"/>
                  <w:vMerge w:val="continue"/>
                  <w:tcBorders>
                    <w:tl2br w:val="nil"/>
                    <w:tr2bl w:val="nil"/>
                  </w:tcBorders>
                  <w:noWrap w:val="0"/>
                  <w:vAlign w:val="center"/>
                </w:tcPr>
                <w:p>
                  <w:pPr>
                    <w:pStyle w:val="29"/>
                    <w:bidi w:val="0"/>
                    <w:rPr>
                      <w:rFonts w:hint="default"/>
                    </w:rPr>
                  </w:pPr>
                </w:p>
              </w:tc>
              <w:tc>
                <w:tcPr>
                  <w:tcW w:w="1291" w:type="pct"/>
                  <w:tcBorders>
                    <w:tl2br w:val="nil"/>
                    <w:tr2bl w:val="nil"/>
                  </w:tcBorders>
                  <w:noWrap w:val="0"/>
                  <w:vAlign w:val="center"/>
                </w:tcPr>
                <w:p>
                  <w:pPr>
                    <w:pStyle w:val="29"/>
                    <w:bidi w:val="0"/>
                    <w:rPr>
                      <w:rFonts w:hint="default"/>
                    </w:rPr>
                  </w:pPr>
                  <w:r>
                    <w:rPr>
                      <w:rFonts w:hint="default"/>
                    </w:rPr>
                    <w:t>建筑垃圾</w:t>
                  </w:r>
                </w:p>
              </w:tc>
              <w:tc>
                <w:tcPr>
                  <w:tcW w:w="1179" w:type="pct"/>
                  <w:tcBorders>
                    <w:tl2br w:val="nil"/>
                    <w:tr2bl w:val="nil"/>
                  </w:tcBorders>
                  <w:noWrap w:val="0"/>
                  <w:vAlign w:val="center"/>
                </w:tcPr>
                <w:p>
                  <w:pPr>
                    <w:pStyle w:val="29"/>
                    <w:bidi w:val="0"/>
                    <w:rPr>
                      <w:rFonts w:hint="default"/>
                    </w:rPr>
                  </w:pPr>
                  <w:r>
                    <w:rPr>
                      <w:rFonts w:hint="default"/>
                    </w:rPr>
                    <w:t>施工过程</w:t>
                  </w:r>
                </w:p>
              </w:tc>
              <w:tc>
                <w:tcPr>
                  <w:tcW w:w="1773" w:type="pct"/>
                  <w:tcBorders>
                    <w:tl2br w:val="nil"/>
                    <w:tr2bl w:val="nil"/>
                  </w:tcBorders>
                  <w:noWrap w:val="0"/>
                  <w:vAlign w:val="center"/>
                </w:tcPr>
                <w:p>
                  <w:pPr>
                    <w:pStyle w:val="29"/>
                    <w:bidi w:val="0"/>
                    <w:rPr>
                      <w:rFonts w:hint="default"/>
                    </w:rPr>
                  </w:pPr>
                  <w:r>
                    <w:rPr>
                      <w:rFonts w:hint="default"/>
                    </w:rPr>
                    <w:t>废土石方、建材等</w:t>
                  </w:r>
                </w:p>
              </w:tc>
            </w:tr>
          </w:tbl>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18"/>
              <w:bidi w:val="0"/>
              <w:ind w:left="0" w:leftChars="0" w:firstLine="0" w:firstLineChars="0"/>
              <w:rPr>
                <w:rFonts w:hint="eastAsia"/>
                <w:color w:val="auto"/>
                <w:lang w:val="en-US" w:eastAsia="zh-CN"/>
              </w:rPr>
            </w:pPr>
          </w:p>
          <w:p>
            <w:pPr>
              <w:pStyle w:val="5"/>
              <w:numPr>
                <w:ilvl w:val="0"/>
                <w:numId w:val="8"/>
              </w:numPr>
              <w:bidi w:val="0"/>
              <w:rPr>
                <w:rFonts w:hint="eastAsia"/>
                <w:color w:val="auto"/>
                <w:lang w:val="en-US" w:eastAsia="zh-CN"/>
              </w:rPr>
            </w:pPr>
            <w:r>
              <w:rPr>
                <w:rFonts w:hint="eastAsia"/>
                <w:color w:val="auto"/>
                <w:lang w:val="en-US" w:eastAsia="zh-CN"/>
              </w:rPr>
              <w:t>营运期工艺流程简述</w:t>
            </w:r>
          </w:p>
          <w:p>
            <w:pPr>
              <w:pStyle w:val="6"/>
              <w:numPr>
                <w:ilvl w:val="1"/>
                <w:numId w:val="8"/>
              </w:numPr>
              <w:bidi w:val="0"/>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生产工艺流程图</w:t>
            </w:r>
          </w:p>
          <w:p>
            <w:pPr>
              <w:pStyle w:val="18"/>
              <w:bidi w:val="0"/>
              <w:rPr>
                <w:rFonts w:hint="eastAsia"/>
                <w:color w:val="auto"/>
                <w:lang w:val="en-US" w:eastAsia="zh-CN"/>
              </w:rPr>
            </w:pPr>
            <w:r>
              <w:rPr>
                <w:rFonts w:hint="eastAsia"/>
                <w:color w:val="auto"/>
                <w:lang w:val="en-US" w:eastAsia="zh-CN"/>
              </w:rPr>
              <w:t>本项目生活垃圾采用定点收集＋垃圾转运站收运模式，水平压缩工艺，项目工艺流程详见下图。</w:t>
            </w:r>
          </w:p>
          <w:p>
            <w:pPr>
              <w:pStyle w:val="18"/>
              <w:keepNext w:val="0"/>
              <w:keepLines w:val="0"/>
              <w:pageBreakBefore w:val="0"/>
              <w:widowControl w:val="0"/>
              <w:kinsoku/>
              <w:wordWrap/>
              <w:overflowPunct/>
              <w:topLinePunct w:val="0"/>
              <w:autoSpaceDE/>
              <w:autoSpaceDN/>
              <w:bidi w:val="0"/>
              <w:adjustRightInd/>
              <w:snapToGrid/>
              <w:ind w:firstLine="0" w:firstLineChars="0"/>
              <w:jc w:val="center"/>
              <w:textAlignment w:val="auto"/>
            </w:pPr>
            <w:r>
              <w:drawing>
                <wp:inline distT="0" distB="0" distL="114300" distR="114300">
                  <wp:extent cx="4764405" cy="2107565"/>
                  <wp:effectExtent l="9525" t="9525" r="13970" b="1651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4764405" cy="2107565"/>
                          </a:xfrm>
                          <a:prstGeom prst="rect">
                            <a:avLst/>
                          </a:prstGeom>
                          <a:noFill/>
                          <a:ln>
                            <a:solidFill>
                              <a:schemeClr val="tx1"/>
                            </a:solidFill>
                          </a:ln>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drawing>
                <wp:inline distT="0" distB="0" distL="114300" distR="114300">
                  <wp:extent cx="4800600" cy="3083560"/>
                  <wp:effectExtent l="9525" t="9525" r="15875" b="1841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4800600" cy="3083560"/>
                          </a:xfrm>
                          <a:prstGeom prst="rect">
                            <a:avLst/>
                          </a:prstGeom>
                          <a:noFill/>
                          <a:ln>
                            <a:solidFill>
                              <a:schemeClr val="tx1"/>
                            </a:solidFill>
                          </a:ln>
                        </pic:spPr>
                      </pic:pic>
                    </a:graphicData>
                  </a:graphic>
                </wp:inline>
              </w:drawing>
            </w:r>
          </w:p>
          <w:p>
            <w:pPr>
              <w:pStyle w:val="9"/>
              <w:bidi w:val="0"/>
              <w:rPr>
                <w:rFonts w:hint="eastAsia"/>
                <w:color w:val="auto"/>
                <w:lang w:val="en-US" w:eastAsia="zh-CN"/>
              </w:rPr>
            </w:pPr>
            <w:r>
              <w:rPr>
                <w:rFonts w:hint="eastAsia"/>
                <w:color w:val="auto"/>
                <w:lang w:val="en-US" w:eastAsia="zh-CN"/>
              </w:rPr>
              <w:t>图3    工艺流程图</w:t>
            </w:r>
          </w:p>
          <w:p>
            <w:pPr>
              <w:pStyle w:val="18"/>
              <w:bidi w:val="0"/>
              <w:ind w:left="0" w:leftChars="0" w:firstLine="0" w:firstLineChars="0"/>
              <w:rPr>
                <w:rFonts w:hint="default"/>
                <w:b/>
                <w:bCs/>
                <w:color w:val="auto"/>
                <w:lang w:val="en-US" w:eastAsia="zh-CN"/>
              </w:rPr>
            </w:pPr>
            <w:r>
              <w:rPr>
                <w:rFonts w:hint="eastAsia"/>
                <w:b/>
                <w:bCs/>
                <w:color w:val="auto"/>
                <w:lang w:val="en-US" w:eastAsia="zh-CN"/>
              </w:rPr>
              <w:t>生产工艺流程简述：</w:t>
            </w:r>
          </w:p>
          <w:p>
            <w:pPr>
              <w:pStyle w:val="18"/>
              <w:numPr>
                <w:ilvl w:val="0"/>
                <w:numId w:val="9"/>
              </w:numPr>
              <w:bidi w:val="0"/>
              <w:rPr>
                <w:rFonts w:hint="eastAsia"/>
              </w:rPr>
            </w:pPr>
            <w:r>
              <w:rPr>
                <w:rFonts w:hint="eastAsia"/>
              </w:rPr>
              <w:t>垃圾车收集进站</w:t>
            </w:r>
          </w:p>
          <w:p>
            <w:pPr>
              <w:pStyle w:val="18"/>
              <w:bidi w:val="0"/>
              <w:rPr>
                <w:rFonts w:hint="eastAsia"/>
              </w:rPr>
            </w:pPr>
            <w:r>
              <w:rPr>
                <w:rFonts w:hint="eastAsia"/>
                <w:lang w:val="en-US" w:eastAsia="zh-CN"/>
              </w:rPr>
              <w:t>垃圾车进站称重，</w:t>
            </w:r>
            <w:r>
              <w:rPr>
                <w:rFonts w:hint="eastAsia"/>
              </w:rPr>
              <w:t>垃圾车进入卸料区域并靠近指定卸料车位。</w:t>
            </w:r>
          </w:p>
          <w:p>
            <w:pPr>
              <w:pStyle w:val="18"/>
              <w:numPr>
                <w:ilvl w:val="0"/>
                <w:numId w:val="9"/>
              </w:numPr>
              <w:bidi w:val="0"/>
              <w:ind w:left="0" w:leftChars="0" w:firstLine="480" w:firstLineChars="200"/>
              <w:rPr>
                <w:rFonts w:hint="eastAsia"/>
              </w:rPr>
            </w:pPr>
            <w:r>
              <w:rPr>
                <w:rFonts w:hint="eastAsia"/>
              </w:rPr>
              <w:t>除尘除臭</w:t>
            </w:r>
          </w:p>
          <w:p>
            <w:pPr>
              <w:pStyle w:val="18"/>
              <w:bidi w:val="0"/>
            </w:pPr>
            <w:r>
              <w:rPr>
                <w:rFonts w:hint="eastAsia"/>
              </w:rPr>
              <w:t>卸料间的高速卷帘门自动感应到收集车，门快速打开，当车辆停稳后，设计在卸料槽侧面的喷雾降尘和除尘除臭系统自动感应开始工作，将收集车卸料时产生扬起的灰尘和臭气抑制并抽进除尘除臭系统，二次处理达标后排放</w:t>
            </w:r>
            <w:r>
              <w:rPr>
                <w:rFonts w:hint="eastAsia"/>
                <w:lang w:eastAsia="zh-CN"/>
              </w:rPr>
              <w:t>，</w:t>
            </w:r>
            <w:r>
              <w:rPr>
                <w:rFonts w:hint="eastAsia"/>
              </w:rPr>
              <w:t>采用天然植物提取除臭液除臭，由于天然植物液除味剂与异味分子反应后不产生任何副产品，因此不存在二次污染等问题。对主要恶臭污染物NH</w:t>
            </w:r>
            <w:r>
              <w:rPr>
                <w:rFonts w:hint="eastAsia"/>
                <w:vertAlign w:val="subscript"/>
              </w:rPr>
              <w:t>3</w:t>
            </w:r>
            <w:r>
              <w:rPr>
                <w:rFonts w:hint="eastAsia"/>
              </w:rPr>
              <w:t>、H</w:t>
            </w:r>
            <w:r>
              <w:rPr>
                <w:rFonts w:hint="eastAsia"/>
                <w:vertAlign w:val="subscript"/>
              </w:rPr>
              <w:t>2</w:t>
            </w:r>
            <w:r>
              <w:rPr>
                <w:rFonts w:hint="eastAsia"/>
              </w:rPr>
              <w:t>S脱臭效率可达到</w:t>
            </w:r>
            <w:r>
              <w:rPr>
                <w:rFonts w:hint="eastAsia"/>
                <w:lang w:val="en-US" w:eastAsia="zh-CN"/>
              </w:rPr>
              <w:t>9</w:t>
            </w:r>
            <w:r>
              <w:rPr>
                <w:rFonts w:hint="eastAsia"/>
              </w:rPr>
              <w:t>0%。</w:t>
            </w:r>
          </w:p>
          <w:p>
            <w:pPr>
              <w:pStyle w:val="18"/>
              <w:bidi w:val="0"/>
              <w:rPr>
                <w:rFonts w:hint="eastAsia"/>
                <w:lang w:val="en-US" w:eastAsia="zh-CN"/>
              </w:rPr>
            </w:pPr>
            <w:r>
              <w:rPr>
                <w:rFonts w:hint="eastAsia"/>
              </w:rPr>
              <w:t>通过压缩转运车间内</w:t>
            </w:r>
            <w:r>
              <w:rPr>
                <w:rFonts w:hint="eastAsia"/>
                <w:lang w:val="en-US" w:eastAsia="zh-CN"/>
              </w:rPr>
              <w:t>空间雾化除臭系统</w:t>
            </w:r>
            <w:r>
              <w:rPr>
                <w:rFonts w:hint="eastAsia"/>
              </w:rPr>
              <w:t>除臭除尘后，再采用负压除尘除臭设备进行收集</w:t>
            </w:r>
            <w:r>
              <w:rPr>
                <w:rFonts w:hint="eastAsia"/>
                <w:lang w:eastAsia="zh-CN"/>
              </w:rPr>
              <w:t>，（</w:t>
            </w:r>
            <w:r>
              <w:rPr>
                <w:rFonts w:hint="eastAsia"/>
              </w:rPr>
              <w:t>收集效率</w:t>
            </w:r>
            <w:r>
              <w:rPr>
                <w:rFonts w:hint="eastAsia"/>
                <w:lang w:val="en-US" w:eastAsia="zh-CN"/>
              </w:rPr>
              <w:t>99</w:t>
            </w:r>
            <w:r>
              <w:rPr>
                <w:rFonts w:hint="eastAsia"/>
              </w:rPr>
              <w:t>%，</w:t>
            </w:r>
            <w:r>
              <w:rPr>
                <w:rFonts w:hint="eastAsia"/>
                <w:lang w:val="en-US" w:eastAsia="zh-CN"/>
              </w:rPr>
              <w:t>根据设计文件</w:t>
            </w:r>
            <w:r>
              <w:rPr>
                <w:rFonts w:hint="eastAsia"/>
                <w:lang w:eastAsia="zh-CN"/>
              </w:rPr>
              <w:t>，</w:t>
            </w:r>
            <w:r>
              <w:rPr>
                <w:rFonts w:hint="eastAsia"/>
                <w:color w:val="auto"/>
              </w:rPr>
              <w:t>采用</w:t>
            </w:r>
            <w:r>
              <w:rPr>
                <w:rFonts w:hint="eastAsia"/>
                <w:color w:val="auto"/>
                <w:lang w:val="en-US" w:eastAsia="zh-CN"/>
              </w:rPr>
              <w:t>喷雾</w:t>
            </w:r>
            <w:r>
              <w:rPr>
                <w:rFonts w:hint="eastAsia"/>
                <w:color w:val="auto"/>
              </w:rPr>
              <w:t>除尘法，除尘效率达99%</w:t>
            </w:r>
            <w:r>
              <w:rPr>
                <w:rFonts w:hint="eastAsia"/>
                <w:color w:val="auto"/>
                <w:lang w:eastAsia="zh-CN"/>
              </w:rPr>
              <w:t>；氨氮、H</w:t>
            </w:r>
            <w:r>
              <w:rPr>
                <w:rFonts w:hint="eastAsia"/>
                <w:color w:val="auto"/>
                <w:vertAlign w:val="subscript"/>
                <w:lang w:eastAsia="zh-CN"/>
              </w:rPr>
              <w:t>2</w:t>
            </w:r>
            <w:r>
              <w:rPr>
                <w:rFonts w:hint="eastAsia"/>
                <w:color w:val="auto"/>
                <w:lang w:eastAsia="zh-CN"/>
              </w:rPr>
              <w:t>S处理效率可达</w:t>
            </w:r>
            <w:r>
              <w:rPr>
                <w:rFonts w:hint="eastAsia"/>
                <w:color w:val="auto"/>
                <w:lang w:val="en-US" w:eastAsia="zh-CN"/>
              </w:rPr>
              <w:t>90</w:t>
            </w:r>
            <w:r>
              <w:rPr>
                <w:rFonts w:hint="eastAsia"/>
                <w:color w:val="auto"/>
                <w:lang w:eastAsia="zh-CN"/>
              </w:rPr>
              <w:t>%，</w:t>
            </w:r>
            <w:r>
              <w:rPr>
                <w:rFonts w:hint="eastAsia"/>
                <w:color w:val="auto"/>
              </w:rPr>
              <w:t>总风量2</w:t>
            </w:r>
            <w:r>
              <w:rPr>
                <w:rFonts w:hint="eastAsia"/>
                <w:color w:val="auto"/>
                <w:lang w:val="en-US" w:eastAsia="zh-CN"/>
              </w:rPr>
              <w:t>0</w:t>
            </w:r>
            <w:r>
              <w:rPr>
                <w:rFonts w:hint="eastAsia"/>
                <w:color w:val="auto"/>
              </w:rPr>
              <w:t>000m</w:t>
            </w:r>
            <w:r>
              <w:rPr>
                <w:rFonts w:hint="eastAsia"/>
                <w:color w:val="auto"/>
                <w:vertAlign w:val="superscript"/>
              </w:rPr>
              <w:t>3</w:t>
            </w:r>
            <w:r>
              <w:rPr>
                <w:rFonts w:hint="eastAsia"/>
                <w:color w:val="auto"/>
              </w:rPr>
              <w:t>/h</w:t>
            </w:r>
            <w:r>
              <w:rPr>
                <w:rFonts w:hint="eastAsia"/>
                <w:color w:val="auto"/>
                <w:lang w:eastAsia="zh-CN"/>
              </w:rPr>
              <w:t>）</w:t>
            </w:r>
            <w:r>
              <w:rPr>
                <w:rFonts w:hint="eastAsia"/>
              </w:rPr>
              <w:t>，最后通过15m高排气筒排放，未被收集的废气，通过车间无组织排放。</w:t>
            </w:r>
          </w:p>
          <w:p>
            <w:pPr>
              <w:pStyle w:val="18"/>
              <w:numPr>
                <w:ilvl w:val="0"/>
                <w:numId w:val="9"/>
              </w:numPr>
              <w:bidi w:val="0"/>
              <w:ind w:left="0" w:leftChars="0" w:firstLine="480" w:firstLineChars="200"/>
              <w:rPr>
                <w:rFonts w:hint="eastAsia"/>
              </w:rPr>
            </w:pPr>
            <w:r>
              <w:rPr>
                <w:rFonts w:hint="eastAsia"/>
              </w:rPr>
              <w:t>压缩</w:t>
            </w:r>
          </w:p>
          <w:p>
            <w:pPr>
              <w:pStyle w:val="18"/>
              <w:bidi w:val="0"/>
              <w:rPr>
                <w:rFonts w:hint="eastAsia"/>
              </w:rPr>
            </w:pPr>
            <w:r>
              <w:rPr>
                <w:rFonts w:hint="eastAsia"/>
              </w:rPr>
              <w:t>收集车辆离开后，操作人员对压缩设备进行操作，压缩设备开始工作。垃圾卸入料斗后，通过信号传输启动压缩机，压缩推头落入压缩腔内，将垃圾压进与压缩机对接好的垃圾箱内，压缩推头将连续进行多次循环，直至垃圾全部压入垃圾箱中，垃圾压缩设备停止运行，等待下一次工作。</w:t>
            </w:r>
          </w:p>
          <w:p>
            <w:pPr>
              <w:pStyle w:val="18"/>
              <w:bidi w:val="0"/>
              <w:ind w:left="0" w:leftChars="0" w:firstLine="0" w:firstLineChars="0"/>
              <w:rPr>
                <w:rFonts w:hint="eastAsia"/>
                <w:b/>
                <w:bCs/>
                <w:lang w:val="en-US" w:eastAsia="zh-CN"/>
              </w:rPr>
            </w:pPr>
            <w:r>
              <w:rPr>
                <w:rFonts w:hint="eastAsia"/>
                <w:b/>
                <w:bCs/>
                <w:lang w:val="en-US" w:eastAsia="zh-CN"/>
              </w:rPr>
              <w:t>注：</w:t>
            </w:r>
          </w:p>
          <w:p>
            <w:pPr>
              <w:pStyle w:val="18"/>
              <w:bidi w:val="0"/>
              <w:rPr>
                <w:rFonts w:hint="eastAsia"/>
                <w:lang w:val="en-US" w:eastAsia="zh-CN"/>
              </w:rPr>
            </w:pPr>
            <w:r>
              <w:rPr>
                <w:rFonts w:hint="eastAsia"/>
                <w:lang w:val="en-US" w:eastAsia="zh-CN"/>
              </w:rPr>
              <w:t>本项目转运站收纳的所有垃圾，仅在站内完成装卸、压缩、打包、外运，</w:t>
            </w:r>
            <w:r>
              <w:rPr>
                <w:lang w:val="en-US" w:eastAsia="zh-CN"/>
              </w:rPr>
              <w:t>生活垃圾按照</w:t>
            </w:r>
            <w:r>
              <w:rPr>
                <w:rFonts w:hint="default"/>
                <w:lang w:val="en-US" w:eastAsia="zh-CN"/>
              </w:rPr>
              <w:t>“</w:t>
            </w:r>
            <w:r>
              <w:rPr>
                <w:lang w:val="en-US" w:eastAsia="zh-CN"/>
              </w:rPr>
              <w:t>户分类、村收集、镇转运</w:t>
            </w:r>
            <w:r>
              <w:rPr>
                <w:rFonts w:hint="default"/>
                <w:lang w:val="en-US" w:eastAsia="zh-CN"/>
              </w:rPr>
              <w:t>”</w:t>
            </w:r>
            <w:r>
              <w:rPr>
                <w:lang w:val="en-US" w:eastAsia="zh-CN"/>
              </w:rPr>
              <w:t>的方式处理</w:t>
            </w:r>
            <w:r>
              <w:rPr>
                <w:rFonts w:hint="eastAsia"/>
                <w:lang w:val="en-US" w:eastAsia="zh-CN"/>
              </w:rPr>
              <w:t>。</w:t>
            </w:r>
          </w:p>
          <w:p>
            <w:pPr>
              <w:pStyle w:val="6"/>
              <w:bidi w:val="0"/>
              <w:rPr>
                <w:rFonts w:hint="eastAsia"/>
                <w:lang w:val="en-US" w:eastAsia="zh-CN"/>
              </w:rPr>
            </w:pPr>
            <w:r>
              <w:rPr>
                <w:rFonts w:hint="eastAsia"/>
                <w:lang w:val="en-US" w:eastAsia="zh-CN"/>
              </w:rPr>
              <w:t>垃圾处置流程图如下图：</w:t>
            </w:r>
          </w:p>
          <w:p>
            <w:pPr>
              <w:pStyle w:val="18"/>
              <w:bidi w:val="0"/>
              <w:jc w:val="both"/>
              <w:rPr>
                <w:rFonts w:hint="eastAsia"/>
                <w:lang w:val="en-US" w:eastAsia="zh-CN"/>
              </w:rPr>
            </w:pPr>
            <w:r>
              <w:rPr>
                <w:rFonts w:hint="eastAsia"/>
                <w:lang w:val="en-US" w:eastAsia="zh-CN"/>
              </w:rPr>
              <w:t>本项目收集的垃圾，主要包括大件垃圾、厨余垃圾和其他生活垃圾，其中大件垃圾经收集到站后，直接运至昌吉市生活垃圾填埋场进行破碎后处理；厨余垃圾经压缩处理后，运至昌吉市生活垃圾填埋场，渗滤液运至昌吉市生活垃圾填埋场污水处理系统，处理达标后部分用于绿化，尾水回喷；其他生活垃圾经压缩后，直接运至昌吉市生活垃圾填埋场处理。</w:t>
            </w:r>
          </w:p>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default"/>
                <w:lang w:val="en-US" w:eastAsia="zh-CN"/>
              </w:rPr>
            </w:pPr>
            <w:r>
              <w:drawing>
                <wp:inline distT="0" distB="0" distL="114300" distR="114300">
                  <wp:extent cx="4982845" cy="1459865"/>
                  <wp:effectExtent l="0" t="0" r="8255" b="63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3"/>
                          <a:srcRect t="5718"/>
                          <a:stretch>
                            <a:fillRect/>
                          </a:stretch>
                        </pic:blipFill>
                        <pic:spPr>
                          <a:xfrm>
                            <a:off x="0" y="0"/>
                            <a:ext cx="4982845" cy="1459865"/>
                          </a:xfrm>
                          <a:prstGeom prst="rect">
                            <a:avLst/>
                          </a:prstGeom>
                          <a:noFill/>
                          <a:ln>
                            <a:noFill/>
                          </a:ln>
                        </pic:spPr>
                      </pic:pic>
                    </a:graphicData>
                  </a:graphic>
                </wp:inline>
              </w:drawing>
            </w:r>
          </w:p>
          <w:p>
            <w:pPr>
              <w:pStyle w:val="9"/>
              <w:bidi w:val="0"/>
              <w:rPr>
                <w:rFonts w:hint="eastAsia"/>
                <w:color w:val="auto"/>
                <w:lang w:val="en-US" w:eastAsia="zh-CN"/>
              </w:rPr>
            </w:pPr>
            <w:r>
              <w:rPr>
                <w:rFonts w:hint="eastAsia"/>
                <w:color w:val="auto"/>
                <w:lang w:val="en-US" w:eastAsia="zh-CN"/>
              </w:rPr>
              <w:t xml:space="preserve">图4    </w:t>
            </w:r>
            <w:r>
              <w:rPr>
                <w:rFonts w:hint="eastAsia"/>
                <w:lang w:val="en-US" w:eastAsia="zh-CN"/>
              </w:rPr>
              <w:t>垃圾处置流程图</w:t>
            </w:r>
          </w:p>
          <w:p>
            <w:pPr>
              <w:pStyle w:val="6"/>
              <w:bidi w:val="0"/>
              <w:rPr>
                <w:rFonts w:hint="default"/>
                <w:color w:val="auto"/>
                <w:lang w:val="en-US" w:eastAsia="zh-CN"/>
              </w:rPr>
            </w:pPr>
            <w:r>
              <w:rPr>
                <w:rFonts w:hint="eastAsia"/>
                <w:color w:val="auto"/>
                <w:lang w:val="en-US" w:eastAsia="zh-CN"/>
              </w:rPr>
              <w:t>2.2 产排污环节</w:t>
            </w:r>
          </w:p>
          <w:p>
            <w:pPr>
              <w:pStyle w:val="18"/>
              <w:bidi w:val="0"/>
              <w:rPr>
                <w:rFonts w:hint="eastAsia"/>
                <w:color w:val="auto"/>
              </w:rPr>
            </w:pPr>
            <w:r>
              <w:rPr>
                <w:rFonts w:hint="eastAsia"/>
                <w:color w:val="auto"/>
                <w:lang w:eastAsia="zh-CN"/>
              </w:rPr>
              <w:t>（</w:t>
            </w:r>
            <w:r>
              <w:rPr>
                <w:rFonts w:hint="eastAsia"/>
                <w:color w:val="auto"/>
                <w:lang w:val="en-US" w:eastAsia="zh-CN"/>
              </w:rPr>
              <w:t>1</w:t>
            </w:r>
            <w:r>
              <w:rPr>
                <w:rFonts w:hint="eastAsia"/>
                <w:color w:val="auto"/>
                <w:lang w:eastAsia="zh-CN"/>
              </w:rPr>
              <w:t>）</w:t>
            </w:r>
            <w:r>
              <w:rPr>
                <w:rFonts w:hint="eastAsia"/>
                <w:color w:val="auto"/>
                <w:lang w:val="en-US" w:eastAsia="zh-CN"/>
              </w:rPr>
              <w:t xml:space="preserve"> </w:t>
            </w:r>
            <w:r>
              <w:rPr>
                <w:rFonts w:hint="eastAsia"/>
                <w:color w:val="auto"/>
              </w:rPr>
              <w:t>大气污染物</w:t>
            </w:r>
          </w:p>
          <w:p>
            <w:pPr>
              <w:pStyle w:val="18"/>
              <w:bidi w:val="0"/>
              <w:rPr>
                <w:rFonts w:hint="eastAsia"/>
                <w:color w:val="auto"/>
              </w:rPr>
            </w:pPr>
            <w:r>
              <w:rPr>
                <w:rFonts w:hint="eastAsia"/>
                <w:color w:val="auto"/>
              </w:rPr>
              <w:t>主要有粉尘、NH</w:t>
            </w:r>
            <w:r>
              <w:rPr>
                <w:rFonts w:hint="eastAsia"/>
                <w:color w:val="auto"/>
                <w:vertAlign w:val="subscript"/>
              </w:rPr>
              <w:t>3</w:t>
            </w:r>
            <w:r>
              <w:rPr>
                <w:rFonts w:hint="eastAsia"/>
                <w:color w:val="auto"/>
              </w:rPr>
              <w:t xml:space="preserve"> 、H</w:t>
            </w:r>
            <w:r>
              <w:rPr>
                <w:rFonts w:hint="eastAsia"/>
                <w:color w:val="auto"/>
                <w:vertAlign w:val="subscript"/>
              </w:rPr>
              <w:t>2</w:t>
            </w:r>
            <w:r>
              <w:rPr>
                <w:rFonts w:hint="eastAsia"/>
                <w:color w:val="auto"/>
              </w:rPr>
              <w:t>S、臭气浓度</w:t>
            </w:r>
            <w:r>
              <w:rPr>
                <w:rFonts w:hint="eastAsia"/>
                <w:color w:val="auto"/>
                <w:lang w:eastAsia="zh-CN"/>
              </w:rPr>
              <w:t>、</w:t>
            </w:r>
            <w:r>
              <w:rPr>
                <w:rFonts w:hint="eastAsia"/>
                <w:color w:val="auto"/>
                <w:lang w:val="en-US" w:eastAsia="zh-CN"/>
              </w:rPr>
              <w:t>食堂油烟</w:t>
            </w:r>
            <w:r>
              <w:rPr>
                <w:rFonts w:hint="eastAsia"/>
                <w:color w:val="auto"/>
              </w:rPr>
              <w:t>。</w:t>
            </w:r>
          </w:p>
          <w:p>
            <w:pPr>
              <w:pStyle w:val="18"/>
              <w:numPr>
                <w:ilvl w:val="0"/>
                <w:numId w:val="10"/>
              </w:numPr>
              <w:bidi w:val="0"/>
              <w:ind w:left="0" w:leftChars="0" w:firstLine="480" w:firstLineChars="200"/>
              <w:rPr>
                <w:rFonts w:hint="eastAsia"/>
                <w:color w:val="auto"/>
              </w:rPr>
            </w:pPr>
            <w:r>
              <w:rPr>
                <w:rFonts w:hint="eastAsia"/>
                <w:color w:val="auto"/>
              </w:rPr>
              <w:t>废水</w:t>
            </w:r>
          </w:p>
          <w:p>
            <w:pPr>
              <w:pStyle w:val="18"/>
              <w:bidi w:val="0"/>
              <w:rPr>
                <w:rFonts w:hint="eastAsia"/>
                <w:color w:val="auto"/>
              </w:rPr>
            </w:pPr>
            <w:r>
              <w:rPr>
                <w:rFonts w:hint="eastAsia"/>
                <w:color w:val="auto"/>
              </w:rPr>
              <w:t>项目营运期</w:t>
            </w:r>
            <w:r>
              <w:rPr>
                <w:rFonts w:hint="eastAsia" w:ascii="Times New Roman" w:hAnsi="Times New Roman"/>
                <w:color w:val="000000"/>
                <w:sz w:val="24"/>
              </w:rPr>
              <w:t>为垃圾压装时产生的渗滤液、</w:t>
            </w:r>
            <w:r>
              <w:rPr>
                <w:rFonts w:hint="eastAsia"/>
                <w:color w:val="000000"/>
                <w:sz w:val="24"/>
                <w:lang w:val="en-US" w:eastAsia="zh-CN"/>
              </w:rPr>
              <w:t>设备、</w:t>
            </w:r>
            <w:r>
              <w:rPr>
                <w:rFonts w:hint="eastAsia" w:ascii="Times New Roman" w:hAnsi="Times New Roman"/>
                <w:color w:val="000000"/>
                <w:sz w:val="24"/>
              </w:rPr>
              <w:t>地面及车辆冲洗水、喷淋废水、生活</w:t>
            </w:r>
            <w:r>
              <w:rPr>
                <w:rFonts w:hint="eastAsia" w:ascii="Times New Roman" w:hAnsi="Times New Roman"/>
                <w:color w:val="000000"/>
                <w:sz w:val="24"/>
                <w:lang w:eastAsia="zh-CN"/>
              </w:rPr>
              <w:t>污</w:t>
            </w:r>
            <w:r>
              <w:rPr>
                <w:rFonts w:hint="eastAsia" w:ascii="Times New Roman" w:hAnsi="Times New Roman"/>
                <w:color w:val="000000"/>
                <w:sz w:val="24"/>
              </w:rPr>
              <w:t>水等</w:t>
            </w:r>
            <w:r>
              <w:rPr>
                <w:rFonts w:hint="eastAsia"/>
                <w:color w:val="auto"/>
              </w:rPr>
              <w:t>。</w:t>
            </w:r>
          </w:p>
          <w:p>
            <w:pPr>
              <w:pStyle w:val="18"/>
              <w:bidi w:val="0"/>
              <w:rPr>
                <w:rFonts w:hint="eastAsia"/>
                <w:color w:val="auto"/>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 xml:space="preserve"> </w:t>
            </w:r>
            <w:r>
              <w:rPr>
                <w:rFonts w:hint="eastAsia"/>
                <w:color w:val="auto"/>
              </w:rPr>
              <w:t>噪声</w:t>
            </w:r>
          </w:p>
          <w:p>
            <w:pPr>
              <w:pStyle w:val="18"/>
              <w:bidi w:val="0"/>
              <w:rPr>
                <w:rFonts w:hint="eastAsia"/>
                <w:color w:val="auto"/>
              </w:rPr>
            </w:pPr>
            <w:r>
              <w:rPr>
                <w:rFonts w:hint="eastAsia"/>
                <w:color w:val="auto"/>
              </w:rPr>
              <w:t>噪声主要来源于</w:t>
            </w:r>
            <w:r>
              <w:rPr>
                <w:rFonts w:hint="eastAsia" w:ascii="Times New Roman" w:hAnsi="Times New Roman"/>
                <w:color w:val="000000"/>
                <w:sz w:val="24"/>
              </w:rPr>
              <w:t>垃圾压缩机、降尘除臭系统、垃圾运输车辆交通噪声等</w:t>
            </w:r>
            <w:r>
              <w:rPr>
                <w:rFonts w:hint="eastAsia"/>
                <w:color w:val="auto"/>
              </w:rPr>
              <w:t>。</w:t>
            </w:r>
          </w:p>
          <w:p>
            <w:pPr>
              <w:pStyle w:val="18"/>
              <w:bidi w:val="0"/>
              <w:rPr>
                <w:rFonts w:hint="eastAsia"/>
                <w:color w:val="auto"/>
              </w:rPr>
            </w:pPr>
            <w:r>
              <w:rPr>
                <w:rFonts w:hint="eastAsia"/>
                <w:color w:val="auto"/>
                <w:lang w:eastAsia="zh-CN"/>
              </w:rPr>
              <w:t>（</w:t>
            </w:r>
            <w:r>
              <w:rPr>
                <w:rFonts w:hint="eastAsia"/>
                <w:color w:val="auto"/>
                <w:lang w:val="en-US" w:eastAsia="zh-CN"/>
              </w:rPr>
              <w:t>4</w:t>
            </w:r>
            <w:r>
              <w:rPr>
                <w:rFonts w:hint="eastAsia"/>
                <w:color w:val="auto"/>
                <w:lang w:eastAsia="zh-CN"/>
              </w:rPr>
              <w:t>）</w:t>
            </w:r>
            <w:r>
              <w:rPr>
                <w:rFonts w:hint="eastAsia"/>
                <w:color w:val="auto"/>
                <w:lang w:val="en-US" w:eastAsia="zh-CN"/>
              </w:rPr>
              <w:t xml:space="preserve"> </w:t>
            </w:r>
            <w:r>
              <w:rPr>
                <w:rFonts w:hint="eastAsia"/>
                <w:color w:val="auto"/>
              </w:rPr>
              <w:t>固体废物</w:t>
            </w:r>
          </w:p>
          <w:p>
            <w:pPr>
              <w:pStyle w:val="18"/>
              <w:bidi w:val="0"/>
              <w:rPr>
                <w:rFonts w:hint="default" w:ascii="Times New Roman" w:hAnsi="Times New Roman" w:eastAsia="宋体" w:cstheme="minorBidi"/>
                <w:b/>
                <w:color w:val="auto"/>
                <w:kern w:val="2"/>
                <w:sz w:val="21"/>
                <w:szCs w:val="24"/>
                <w:lang w:val="en-US" w:eastAsia="zh-CN" w:bidi="ar-SA"/>
              </w:rPr>
            </w:pPr>
            <w:r>
              <w:rPr>
                <w:rFonts w:hint="eastAsia"/>
                <w:color w:val="auto"/>
              </w:rPr>
              <w:t>营运期固体废物主要</w:t>
            </w:r>
            <w:r>
              <w:rPr>
                <w:rFonts w:hint="eastAsia"/>
                <w:color w:val="auto"/>
                <w:lang w:val="en-US" w:eastAsia="zh-CN"/>
              </w:rPr>
              <w:t>为</w:t>
            </w:r>
            <w:r>
              <w:rPr>
                <w:rFonts w:hint="eastAsia" w:ascii="Times New Roman" w:hAnsi="Times New Roman"/>
                <w:color w:val="000000"/>
                <w:sz w:val="24"/>
              </w:rPr>
              <w:t>生活垃圾、废除臭剂</w:t>
            </w:r>
            <w:r>
              <w:rPr>
                <w:rFonts w:hint="eastAsia" w:ascii="Times New Roman" w:hAnsi="Times New Roman"/>
                <w:color w:val="000000"/>
                <w:sz w:val="24"/>
                <w:lang w:eastAsia="zh-CN"/>
              </w:rPr>
              <w:t>桶、</w:t>
            </w:r>
            <w:r>
              <w:rPr>
                <w:rFonts w:hint="eastAsia"/>
                <w:color w:val="000000"/>
                <w:sz w:val="24"/>
                <w:lang w:val="en-US" w:eastAsia="zh-CN"/>
              </w:rPr>
              <w:t>污水</w:t>
            </w:r>
            <w:r>
              <w:rPr>
                <w:rFonts w:hint="eastAsia" w:ascii="Times New Roman" w:hAnsi="Times New Roman"/>
                <w:color w:val="000000"/>
                <w:sz w:val="24"/>
                <w:lang w:val="en-US" w:eastAsia="zh-CN"/>
              </w:rPr>
              <w:t>收集</w:t>
            </w:r>
            <w:r>
              <w:rPr>
                <w:rFonts w:hint="eastAsia" w:ascii="Times New Roman" w:hAnsi="Times New Roman"/>
                <w:color w:val="000000"/>
                <w:sz w:val="24"/>
                <w:lang w:eastAsia="zh-CN"/>
              </w:rPr>
              <w:t>池污泥</w:t>
            </w:r>
            <w:r>
              <w:rPr>
                <w:rFonts w:hint="eastAsia"/>
                <w:color w:val="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0" w:hRule="atLeast"/>
          <w:jc w:val="center"/>
        </w:trPr>
        <w:tc>
          <w:tcPr>
            <w:tcW w:w="454" w:type="dxa"/>
            <w:tcBorders>
              <w:tl2br w:val="nil"/>
              <w:tr2bl w:val="nil"/>
            </w:tcBorders>
            <w:vAlign w:val="center"/>
          </w:tcPr>
          <w:p>
            <w:pPr>
              <w:numPr>
                <w:ilvl w:val="0"/>
                <w:numId w:val="0"/>
              </w:numPr>
              <w:spacing w:line="240" w:lineRule="auto"/>
              <w:jc w:val="center"/>
              <w:rPr>
                <w:rFonts w:hint="eastAsia"/>
                <w:color w:val="auto"/>
                <w:vertAlign w:val="baseline"/>
                <w:lang w:eastAsia="zh-CN"/>
              </w:rPr>
            </w:pPr>
            <w:r>
              <w:rPr>
                <w:rFonts w:hint="eastAsia" w:cs="宋体"/>
                <w:bCs/>
                <w:color w:val="auto"/>
                <w:kern w:val="2"/>
                <w:sz w:val="24"/>
                <w:szCs w:val="24"/>
              </w:rPr>
              <w:t>与项目有关的原有环境污染问题</w:t>
            </w:r>
          </w:p>
        </w:tc>
        <w:tc>
          <w:tcPr>
            <w:tcW w:w="8068" w:type="dxa"/>
            <w:tcBorders>
              <w:tl2br w:val="nil"/>
              <w:tr2bl w:val="nil"/>
            </w:tcBorders>
            <w:vAlign w:val="center"/>
          </w:tcPr>
          <w:p>
            <w:pPr>
              <w:pStyle w:val="18"/>
              <w:bidi w:val="0"/>
              <w:jc w:val="center"/>
              <w:rPr>
                <w:rFonts w:hint="eastAsia"/>
                <w:color w:val="auto"/>
                <w:vertAlign w:val="baseline"/>
                <w:lang w:eastAsia="zh-CN"/>
              </w:rPr>
            </w:pPr>
            <w:r>
              <w:rPr>
                <w:color w:val="auto"/>
              </w:rPr>
              <w:t>本项目为</w:t>
            </w:r>
            <w:r>
              <w:rPr>
                <w:rFonts w:hint="eastAsia"/>
                <w:color w:val="auto"/>
              </w:rPr>
              <w:t>新建</w:t>
            </w:r>
            <w:r>
              <w:rPr>
                <w:color w:val="auto"/>
              </w:rPr>
              <w:t>项目，不存在原有</w:t>
            </w:r>
            <w:r>
              <w:rPr>
                <w:rFonts w:hint="eastAsia"/>
                <w:color w:val="auto"/>
                <w:lang w:val="en-US" w:eastAsia="zh-CN"/>
              </w:rPr>
              <w:t>环境</w:t>
            </w:r>
            <w:r>
              <w:rPr>
                <w:color w:val="auto"/>
              </w:rPr>
              <w:t>污染问题。</w:t>
            </w:r>
          </w:p>
        </w:tc>
      </w:tr>
    </w:tbl>
    <w:p>
      <w:pPr>
        <w:numPr>
          <w:ilvl w:val="0"/>
          <w:numId w:val="0"/>
        </w:numPr>
        <w:ind w:leftChars="0"/>
        <w:jc w:val="both"/>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numPr>
          <w:ilvl w:val="0"/>
          <w:numId w:val="2"/>
        </w:numPr>
        <w:bidi w:val="0"/>
        <w:rPr>
          <w:rFonts w:hint="eastAsia"/>
          <w:color w:val="auto"/>
        </w:rPr>
      </w:pPr>
      <w:r>
        <w:rPr>
          <w:rFonts w:hint="eastAsia"/>
          <w:color w:val="auto"/>
        </w:rPr>
        <w:t>区域环境质量现状、环境保护目标及评价标准</w:t>
      </w:r>
    </w:p>
    <w:tbl>
      <w:tblPr>
        <w:tblStyle w:val="22"/>
        <w:tblpPr w:leftFromText="180" w:rightFromText="180" w:vertAnchor="text" w:tblpXSpec="center" w:tblpY="1"/>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9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区域</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环境</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质量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kern w:val="2"/>
                <w:lang w:eastAsia="zh-CN"/>
              </w:rPr>
            </w:pPr>
            <w:r>
              <w:rPr>
                <w:rFonts w:hint="eastAsia"/>
                <w:b/>
                <w:color w:val="auto"/>
                <w:kern w:val="2"/>
              </w:rPr>
              <w:t>现状</w:t>
            </w:r>
          </w:p>
        </w:tc>
        <w:tc>
          <w:tcPr>
            <w:tcW w:w="7900" w:type="dxa"/>
            <w:tcBorders>
              <w:tl2br w:val="nil"/>
              <w:tr2bl w:val="nil"/>
            </w:tcBorders>
            <w:vAlign w:val="top"/>
          </w:tcPr>
          <w:p>
            <w:pPr>
              <w:pStyle w:val="5"/>
              <w:numPr>
                <w:ilvl w:val="0"/>
                <w:numId w:val="11"/>
              </w:numPr>
              <w:bidi w:val="0"/>
              <w:rPr>
                <w:color w:val="auto"/>
              </w:rPr>
            </w:pPr>
            <w:r>
              <w:rPr>
                <w:rFonts w:hint="eastAsia"/>
                <w:color w:val="auto"/>
              </w:rPr>
              <w:t>大气环境质量现状</w:t>
            </w:r>
            <w:r>
              <w:rPr>
                <w:rFonts w:hint="default"/>
                <w:color w:val="auto"/>
              </w:rPr>
              <w:t>与评价</w:t>
            </w:r>
          </w:p>
          <w:p>
            <w:pPr>
              <w:pStyle w:val="6"/>
              <w:bidi w:val="0"/>
              <w:rPr>
                <w:rFonts w:hint="eastAsia"/>
                <w:lang w:val="en-US" w:eastAsia="zh-CN"/>
              </w:rPr>
            </w:pPr>
            <w:r>
              <w:rPr>
                <w:rFonts w:hint="eastAsia"/>
                <w:lang w:val="en-US" w:eastAsia="zh-CN"/>
              </w:rPr>
              <w:t>1.1 项目所在区域达标性</w:t>
            </w:r>
          </w:p>
          <w:p>
            <w:pPr>
              <w:pStyle w:val="18"/>
              <w:bidi w:val="0"/>
              <w:rPr>
                <w:color w:val="auto"/>
              </w:rPr>
            </w:pPr>
            <w:r>
              <w:rPr>
                <w:rFonts w:hint="eastAsia"/>
                <w:color w:val="auto"/>
              </w:rPr>
              <w:t>根据</w:t>
            </w:r>
            <w:r>
              <w:rPr>
                <w:color w:val="auto"/>
              </w:rPr>
              <w:t>《环境影响评价技术导则 大气环境》（H.J</w:t>
            </w:r>
            <w:r>
              <w:rPr>
                <w:rFonts w:hint="eastAsia"/>
                <w:color w:val="auto"/>
              </w:rPr>
              <w:t xml:space="preserve"> </w:t>
            </w:r>
            <w:r>
              <w:rPr>
                <w:color w:val="auto"/>
              </w:rPr>
              <w:t>2.2-2018）对环境质量现状数据的要求，选取距离本项目最近的</w:t>
            </w:r>
            <w:r>
              <w:rPr>
                <w:rFonts w:hint="eastAsia"/>
                <w:color w:val="auto"/>
                <w:lang w:val="en-US" w:eastAsia="zh-CN"/>
              </w:rPr>
              <w:t>昌吉州</w:t>
            </w:r>
            <w:r>
              <w:rPr>
                <w:color w:val="auto"/>
              </w:rPr>
              <w:t>监测站20</w:t>
            </w:r>
            <w:r>
              <w:rPr>
                <w:rFonts w:hint="eastAsia"/>
                <w:color w:val="auto"/>
                <w:lang w:val="en-US" w:eastAsia="zh-CN"/>
              </w:rPr>
              <w:t>20</w:t>
            </w:r>
            <w:r>
              <w:rPr>
                <w:color w:val="auto"/>
              </w:rPr>
              <w:t>年的监测数据</w:t>
            </w:r>
            <w:r>
              <w:rPr>
                <w:rFonts w:hint="eastAsia"/>
                <w:color w:val="auto"/>
              </w:rPr>
              <w:t>，</w:t>
            </w:r>
            <w:r>
              <w:rPr>
                <w:color w:val="auto"/>
              </w:rPr>
              <w:t>作为本项目环境空气现状评价</w:t>
            </w:r>
            <w:bookmarkStart w:id="7" w:name="OLE_LINK65"/>
            <w:bookmarkStart w:id="8" w:name="OLE_LINK75"/>
            <w:bookmarkStart w:id="9" w:name="OLE_LINK78"/>
            <w:r>
              <w:rPr>
                <w:color w:val="auto"/>
              </w:rPr>
              <w:t>基本污染物SO</w:t>
            </w:r>
            <w:r>
              <w:rPr>
                <w:color w:val="auto"/>
                <w:vertAlign w:val="subscript"/>
              </w:rPr>
              <w:t>2</w:t>
            </w:r>
            <w:r>
              <w:rPr>
                <w:color w:val="auto"/>
              </w:rPr>
              <w:t>、NO</w:t>
            </w:r>
            <w:r>
              <w:rPr>
                <w:color w:val="auto"/>
                <w:vertAlign w:val="subscript"/>
              </w:rPr>
              <w:t>2</w:t>
            </w:r>
            <w:r>
              <w:rPr>
                <w:color w:val="auto"/>
              </w:rPr>
              <w:t>、PM</w:t>
            </w:r>
            <w:r>
              <w:rPr>
                <w:color w:val="auto"/>
                <w:vertAlign w:val="subscript"/>
              </w:rPr>
              <w:t>10</w:t>
            </w:r>
            <w:r>
              <w:rPr>
                <w:color w:val="auto"/>
              </w:rPr>
              <w:t>、PM</w:t>
            </w:r>
            <w:r>
              <w:rPr>
                <w:color w:val="auto"/>
                <w:vertAlign w:val="subscript"/>
              </w:rPr>
              <w:t>2.5</w:t>
            </w:r>
            <w:r>
              <w:rPr>
                <w:color w:val="auto"/>
              </w:rPr>
              <w:t>、CO和O</w:t>
            </w:r>
            <w:r>
              <w:rPr>
                <w:color w:val="auto"/>
                <w:vertAlign w:val="subscript"/>
              </w:rPr>
              <w:t>3</w:t>
            </w:r>
            <w:r>
              <w:rPr>
                <w:color w:val="auto"/>
              </w:rPr>
              <w:t>的数据</w:t>
            </w:r>
            <w:bookmarkEnd w:id="7"/>
            <w:bookmarkEnd w:id="8"/>
            <w:bookmarkEnd w:id="9"/>
            <w:r>
              <w:rPr>
                <w:color w:val="auto"/>
              </w:rPr>
              <w:t>来源。</w:t>
            </w:r>
          </w:p>
          <w:p>
            <w:pPr>
              <w:pStyle w:val="18"/>
              <w:numPr>
                <w:ilvl w:val="0"/>
                <w:numId w:val="12"/>
              </w:numPr>
              <w:bidi w:val="0"/>
              <w:rPr>
                <w:rFonts w:hint="default"/>
                <w:color w:val="auto"/>
              </w:rPr>
            </w:pPr>
            <w:r>
              <w:rPr>
                <w:rFonts w:hint="default"/>
                <w:color w:val="auto"/>
              </w:rPr>
              <w:t xml:space="preserve">评价标准 </w:t>
            </w:r>
          </w:p>
          <w:p>
            <w:pPr>
              <w:pStyle w:val="18"/>
              <w:bidi w:val="0"/>
              <w:rPr>
                <w:rFonts w:hint="default"/>
                <w:color w:val="auto"/>
              </w:rPr>
            </w:pPr>
            <w:r>
              <w:rPr>
                <w:rFonts w:hint="default"/>
                <w:color w:val="auto"/>
              </w:rPr>
              <w:t>本次评价基本污染物执行《环境空气质量标准》（GB3095-2012）中的二级标准。</w:t>
            </w:r>
          </w:p>
          <w:p>
            <w:pPr>
              <w:pStyle w:val="18"/>
              <w:numPr>
                <w:ilvl w:val="0"/>
                <w:numId w:val="12"/>
              </w:numPr>
              <w:bidi w:val="0"/>
              <w:rPr>
                <w:rFonts w:hint="default"/>
                <w:color w:val="auto"/>
              </w:rPr>
            </w:pPr>
            <w:r>
              <w:rPr>
                <w:rFonts w:hint="default"/>
                <w:color w:val="auto"/>
              </w:rPr>
              <w:t xml:space="preserve">评价方法 </w:t>
            </w:r>
          </w:p>
          <w:p>
            <w:pPr>
              <w:pStyle w:val="18"/>
              <w:bidi w:val="0"/>
              <w:rPr>
                <w:rFonts w:hint="default"/>
                <w:color w:val="auto"/>
              </w:rPr>
            </w:pPr>
            <w:r>
              <w:rPr>
                <w:rFonts w:hint="default"/>
                <w:color w:val="auto"/>
              </w:rPr>
              <w:t>按照《环境空气质量评价技术规范（试行）》（HJ663-2013）中各评价项目的年评价指标进行判定。年评价指标中的年均浓度和相应百分位数24h 平均或8h平均质量浓度满足GB3095中浓度限值要求的即为达标。对于超标的污染物，计算其超标倍数和超标率。</w:t>
            </w:r>
          </w:p>
          <w:p>
            <w:pPr>
              <w:pStyle w:val="18"/>
              <w:numPr>
                <w:ilvl w:val="0"/>
                <w:numId w:val="12"/>
              </w:numPr>
              <w:bidi w:val="0"/>
              <w:rPr>
                <w:rFonts w:hint="default"/>
                <w:color w:val="auto"/>
              </w:rPr>
            </w:pPr>
            <w:r>
              <w:rPr>
                <w:rFonts w:hint="default"/>
                <w:color w:val="auto"/>
              </w:rPr>
              <w:t xml:space="preserve">空气质量达标区判定 </w:t>
            </w:r>
          </w:p>
          <w:p>
            <w:pPr>
              <w:pStyle w:val="18"/>
              <w:bidi w:val="0"/>
              <w:rPr>
                <w:rFonts w:hint="default"/>
                <w:color w:val="auto"/>
              </w:rPr>
            </w:pPr>
            <w:r>
              <w:rPr>
                <w:rFonts w:hint="default"/>
                <w:color w:val="auto"/>
              </w:rPr>
              <w:t>本项目所在区域空气质量现状评价结果一览表，见</w:t>
            </w:r>
            <w:r>
              <w:rPr>
                <w:rFonts w:hint="default"/>
                <w:color w:val="auto"/>
              </w:rPr>
              <w:fldChar w:fldCharType="begin"/>
            </w:r>
            <w:r>
              <w:rPr>
                <w:rFonts w:hint="default"/>
                <w:color w:val="auto"/>
              </w:rPr>
              <w:instrText xml:space="preserve"> REF _Ref66457959 \h  \* MERGEFORMAT </w:instrText>
            </w:r>
            <w:r>
              <w:rPr>
                <w:rFonts w:hint="default"/>
                <w:color w:val="auto"/>
              </w:rPr>
              <w:fldChar w:fldCharType="separate"/>
            </w:r>
            <w:r>
              <w:rPr>
                <w:rFonts w:hint="default"/>
                <w:color w:val="auto"/>
              </w:rPr>
              <w:t>表 3–1</w:t>
            </w:r>
            <w:r>
              <w:rPr>
                <w:rFonts w:hint="default"/>
                <w:color w:val="auto"/>
              </w:rPr>
              <w:fldChar w:fldCharType="end"/>
            </w:r>
            <w:r>
              <w:rPr>
                <w:rFonts w:hint="default"/>
                <w:color w:val="auto"/>
              </w:rPr>
              <w:t>。</w:t>
            </w:r>
          </w:p>
          <w:p>
            <w:pPr>
              <w:pStyle w:val="28"/>
              <w:bidi w:val="0"/>
              <w:rPr>
                <w:color w:val="auto"/>
              </w:rPr>
            </w:pPr>
            <w:r>
              <w:rPr>
                <w:rFonts w:hint="default"/>
                <w:color w:val="auto"/>
              </w:rPr>
              <w:fldChar w:fldCharType="begin"/>
            </w:r>
            <w:r>
              <w:rPr>
                <w:rFonts w:hint="default"/>
                <w:color w:val="auto"/>
              </w:rPr>
              <w:instrText xml:space="preserve"> REF _Ref66457959 \h  \* MERGEFORMAT </w:instrText>
            </w:r>
            <w:r>
              <w:rPr>
                <w:rFonts w:hint="default"/>
                <w:color w:val="auto"/>
              </w:rPr>
              <w:fldChar w:fldCharType="separate"/>
            </w:r>
            <w:r>
              <w:rPr>
                <w:rFonts w:hint="default"/>
                <w:color w:val="auto"/>
              </w:rPr>
              <w:t>表 3–1</w:t>
            </w:r>
            <w:r>
              <w:rPr>
                <w:rFonts w:hint="default"/>
                <w:color w:val="auto"/>
              </w:rPr>
              <w:fldChar w:fldCharType="end"/>
            </w:r>
            <w:r>
              <w:rPr>
                <w:rFonts w:hint="eastAsia"/>
                <w:color w:val="auto"/>
                <w:lang w:val="en-US" w:eastAsia="zh-CN"/>
              </w:rPr>
              <w:t xml:space="preserve">    </w:t>
            </w:r>
            <w:r>
              <w:rPr>
                <w:color w:val="auto"/>
              </w:rPr>
              <w:t>区域空气质量现状评价结果一览表</w:t>
            </w:r>
          </w:p>
          <w:tbl>
            <w:tblPr>
              <w:tblStyle w:val="2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922"/>
              <w:gridCol w:w="2485"/>
              <w:gridCol w:w="1185"/>
              <w:gridCol w:w="1185"/>
              <w:gridCol w:w="942"/>
              <w:gridCol w:w="9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tblHeader/>
                <w:jc w:val="center"/>
              </w:trPr>
              <w:tc>
                <w:tcPr>
                  <w:tcW w:w="947" w:type="dxa"/>
                  <w:tcBorders>
                    <w:bottom w:val="single" w:color="000000" w:sz="12" w:space="0"/>
                    <w:tl2br w:val="nil"/>
                    <w:tr2bl w:val="nil"/>
                  </w:tcBorders>
                  <w:vAlign w:val="center"/>
                </w:tcPr>
                <w:p>
                  <w:pPr>
                    <w:pStyle w:val="29"/>
                    <w:widowControl w:val="0"/>
                    <w:bidi w:val="0"/>
                    <w:rPr>
                      <w:b/>
                      <w:bCs/>
                      <w:color w:val="auto"/>
                    </w:rPr>
                  </w:pPr>
                  <w:r>
                    <w:rPr>
                      <w:b/>
                      <w:bCs/>
                      <w:color w:val="auto"/>
                    </w:rPr>
                    <w:t>污染物</w:t>
                  </w:r>
                </w:p>
              </w:tc>
              <w:tc>
                <w:tcPr>
                  <w:tcW w:w="2552" w:type="dxa"/>
                  <w:tcBorders>
                    <w:bottom w:val="single" w:color="000000" w:sz="12" w:space="0"/>
                    <w:tl2br w:val="nil"/>
                    <w:tr2bl w:val="nil"/>
                  </w:tcBorders>
                  <w:vAlign w:val="center"/>
                </w:tcPr>
                <w:p>
                  <w:pPr>
                    <w:pStyle w:val="29"/>
                    <w:widowControl w:val="0"/>
                    <w:bidi w:val="0"/>
                    <w:rPr>
                      <w:b/>
                      <w:bCs/>
                      <w:color w:val="auto"/>
                    </w:rPr>
                  </w:pPr>
                  <w:r>
                    <w:rPr>
                      <w:b/>
                      <w:bCs/>
                      <w:color w:val="auto"/>
                    </w:rPr>
                    <w:t>年评价指标</w:t>
                  </w:r>
                </w:p>
              </w:tc>
              <w:tc>
                <w:tcPr>
                  <w:tcW w:w="1217" w:type="dxa"/>
                  <w:tcBorders>
                    <w:bottom w:val="single" w:color="000000" w:sz="12" w:space="0"/>
                    <w:tl2br w:val="nil"/>
                    <w:tr2bl w:val="nil"/>
                  </w:tcBorders>
                  <w:vAlign w:val="center"/>
                </w:tcPr>
                <w:p>
                  <w:pPr>
                    <w:pStyle w:val="29"/>
                    <w:widowControl w:val="0"/>
                    <w:bidi w:val="0"/>
                    <w:rPr>
                      <w:b/>
                      <w:bCs/>
                      <w:color w:val="auto"/>
                    </w:rPr>
                  </w:pPr>
                  <w:r>
                    <w:rPr>
                      <w:b/>
                      <w:bCs/>
                      <w:color w:val="auto"/>
                    </w:rPr>
                    <w:t>现状浓度</w:t>
                  </w:r>
                </w:p>
                <w:p>
                  <w:pPr>
                    <w:pStyle w:val="29"/>
                    <w:widowControl w:val="0"/>
                    <w:bidi w:val="0"/>
                    <w:rPr>
                      <w:b/>
                      <w:bCs/>
                      <w:color w:val="auto"/>
                    </w:rPr>
                  </w:pPr>
                  <w:r>
                    <w:rPr>
                      <w:b/>
                      <w:bCs/>
                      <w:color w:val="auto"/>
                    </w:rPr>
                    <w:t>（μg/m</w:t>
                  </w:r>
                  <w:r>
                    <w:rPr>
                      <w:b/>
                      <w:bCs/>
                      <w:color w:val="auto"/>
                      <w:vertAlign w:val="superscript"/>
                    </w:rPr>
                    <w:t>3</w:t>
                  </w:r>
                  <w:r>
                    <w:rPr>
                      <w:b/>
                      <w:bCs/>
                      <w:color w:val="auto"/>
                    </w:rPr>
                    <w:t>）</w:t>
                  </w:r>
                </w:p>
              </w:tc>
              <w:tc>
                <w:tcPr>
                  <w:tcW w:w="1217" w:type="dxa"/>
                  <w:tcBorders>
                    <w:bottom w:val="single" w:color="000000" w:sz="12" w:space="0"/>
                    <w:tl2br w:val="nil"/>
                    <w:tr2bl w:val="nil"/>
                  </w:tcBorders>
                  <w:vAlign w:val="center"/>
                </w:tcPr>
                <w:p>
                  <w:pPr>
                    <w:pStyle w:val="29"/>
                    <w:widowControl w:val="0"/>
                    <w:bidi w:val="0"/>
                    <w:rPr>
                      <w:b/>
                      <w:bCs/>
                      <w:color w:val="auto"/>
                    </w:rPr>
                  </w:pPr>
                  <w:r>
                    <w:rPr>
                      <w:b/>
                      <w:bCs/>
                      <w:color w:val="auto"/>
                    </w:rPr>
                    <w:t>标准限值</w:t>
                  </w:r>
                </w:p>
                <w:p>
                  <w:pPr>
                    <w:pStyle w:val="29"/>
                    <w:widowControl w:val="0"/>
                    <w:bidi w:val="0"/>
                    <w:rPr>
                      <w:b/>
                      <w:bCs/>
                      <w:color w:val="auto"/>
                    </w:rPr>
                  </w:pPr>
                  <w:r>
                    <w:rPr>
                      <w:b/>
                      <w:bCs/>
                      <w:color w:val="auto"/>
                    </w:rPr>
                    <w:t>（μg/m</w:t>
                  </w:r>
                  <w:r>
                    <w:rPr>
                      <w:b/>
                      <w:bCs/>
                      <w:color w:val="auto"/>
                      <w:vertAlign w:val="superscript"/>
                    </w:rPr>
                    <w:t>3</w:t>
                  </w:r>
                  <w:r>
                    <w:rPr>
                      <w:b/>
                      <w:bCs/>
                      <w:color w:val="auto"/>
                    </w:rPr>
                    <w:t>）</w:t>
                  </w:r>
                </w:p>
              </w:tc>
              <w:tc>
                <w:tcPr>
                  <w:tcW w:w="967" w:type="dxa"/>
                  <w:tcBorders>
                    <w:bottom w:val="single" w:color="000000" w:sz="12" w:space="0"/>
                    <w:tl2br w:val="nil"/>
                    <w:tr2bl w:val="nil"/>
                  </w:tcBorders>
                  <w:vAlign w:val="center"/>
                </w:tcPr>
                <w:p>
                  <w:pPr>
                    <w:pStyle w:val="29"/>
                    <w:widowControl w:val="0"/>
                    <w:bidi w:val="0"/>
                    <w:rPr>
                      <w:b/>
                      <w:bCs/>
                      <w:color w:val="auto"/>
                    </w:rPr>
                  </w:pPr>
                  <w:r>
                    <w:rPr>
                      <w:b/>
                      <w:bCs/>
                      <w:color w:val="auto"/>
                    </w:rPr>
                    <w:t>占标率</w:t>
                  </w:r>
                </w:p>
                <w:p>
                  <w:pPr>
                    <w:pStyle w:val="29"/>
                    <w:widowControl w:val="0"/>
                    <w:bidi w:val="0"/>
                    <w:rPr>
                      <w:b/>
                      <w:bCs/>
                      <w:color w:val="auto"/>
                    </w:rPr>
                  </w:pPr>
                  <w:r>
                    <w:rPr>
                      <w:b/>
                      <w:bCs/>
                      <w:color w:val="auto"/>
                    </w:rPr>
                    <w:t>（%）</w:t>
                  </w:r>
                </w:p>
              </w:tc>
              <w:tc>
                <w:tcPr>
                  <w:tcW w:w="990" w:type="dxa"/>
                  <w:tcBorders>
                    <w:bottom w:val="single" w:color="000000" w:sz="12" w:space="0"/>
                    <w:tl2br w:val="nil"/>
                    <w:tr2bl w:val="nil"/>
                  </w:tcBorders>
                  <w:vAlign w:val="center"/>
                </w:tcPr>
                <w:p>
                  <w:pPr>
                    <w:pStyle w:val="29"/>
                    <w:widowControl w:val="0"/>
                    <w:bidi w:val="0"/>
                    <w:rPr>
                      <w:b/>
                      <w:bCs/>
                      <w:color w:val="auto"/>
                    </w:rPr>
                  </w:pPr>
                  <w:r>
                    <w:rPr>
                      <w:b/>
                      <w:bCs/>
                      <w:color w:val="auto"/>
                    </w:rPr>
                    <w:t>达标情况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op w:val="single" w:color="000000" w:sz="12" w:space="0"/>
                    <w:tl2br w:val="nil"/>
                    <w:tr2bl w:val="nil"/>
                  </w:tcBorders>
                  <w:vAlign w:val="center"/>
                </w:tcPr>
                <w:p>
                  <w:pPr>
                    <w:pStyle w:val="29"/>
                    <w:widowControl w:val="0"/>
                    <w:bidi w:val="0"/>
                    <w:rPr>
                      <w:color w:val="auto"/>
                    </w:rPr>
                  </w:pPr>
                  <w:r>
                    <w:rPr>
                      <w:color w:val="auto"/>
                    </w:rPr>
                    <w:t>SO</w:t>
                  </w:r>
                  <w:r>
                    <w:rPr>
                      <w:color w:val="auto"/>
                      <w:vertAlign w:val="subscript"/>
                    </w:rPr>
                    <w:t>2</w:t>
                  </w:r>
                </w:p>
              </w:tc>
              <w:tc>
                <w:tcPr>
                  <w:tcW w:w="2552" w:type="dxa"/>
                  <w:tcBorders>
                    <w:top w:val="single" w:color="000000" w:sz="12" w:space="0"/>
                    <w:tl2br w:val="nil"/>
                    <w:tr2bl w:val="nil"/>
                  </w:tcBorders>
                  <w:vAlign w:val="center"/>
                </w:tcPr>
                <w:p>
                  <w:pPr>
                    <w:pStyle w:val="29"/>
                    <w:widowControl w:val="0"/>
                    <w:bidi w:val="0"/>
                    <w:rPr>
                      <w:color w:val="auto"/>
                    </w:rPr>
                  </w:pPr>
                  <w:r>
                    <w:rPr>
                      <w:color w:val="auto"/>
                    </w:rPr>
                    <w:t>年平均质量浓度</w:t>
                  </w:r>
                </w:p>
              </w:tc>
              <w:tc>
                <w:tcPr>
                  <w:tcW w:w="1217" w:type="dxa"/>
                  <w:tcBorders>
                    <w:top w:val="single" w:color="000000" w:sz="12" w:space="0"/>
                    <w:tl2br w:val="nil"/>
                    <w:tr2bl w:val="nil"/>
                  </w:tcBorders>
                  <w:vAlign w:val="center"/>
                </w:tcPr>
                <w:p>
                  <w:pPr>
                    <w:pStyle w:val="29"/>
                    <w:widowControl w:val="0"/>
                    <w:bidi w:val="0"/>
                    <w:rPr>
                      <w:rFonts w:hint="eastAsia"/>
                      <w:color w:val="auto"/>
                      <w:lang w:eastAsia="zh-CN"/>
                    </w:rPr>
                  </w:pPr>
                  <w:r>
                    <w:rPr>
                      <w:rFonts w:hint="eastAsia"/>
                      <w:color w:val="auto"/>
                      <w:lang w:val="en-US" w:eastAsia="zh-CN"/>
                    </w:rPr>
                    <w:t>8</w:t>
                  </w:r>
                </w:p>
              </w:tc>
              <w:tc>
                <w:tcPr>
                  <w:tcW w:w="1217" w:type="dxa"/>
                  <w:tcBorders>
                    <w:top w:val="single" w:color="000000" w:sz="12" w:space="0"/>
                    <w:tl2br w:val="nil"/>
                    <w:tr2bl w:val="nil"/>
                  </w:tcBorders>
                  <w:vAlign w:val="center"/>
                </w:tcPr>
                <w:p>
                  <w:pPr>
                    <w:pStyle w:val="29"/>
                    <w:widowControl w:val="0"/>
                    <w:bidi w:val="0"/>
                    <w:rPr>
                      <w:color w:val="auto"/>
                    </w:rPr>
                  </w:pPr>
                  <w:r>
                    <w:rPr>
                      <w:color w:val="auto"/>
                    </w:rPr>
                    <w:t>60</w:t>
                  </w:r>
                </w:p>
              </w:tc>
              <w:tc>
                <w:tcPr>
                  <w:tcW w:w="967" w:type="dxa"/>
                  <w:tcBorders>
                    <w:top w:val="single" w:color="000000"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13.3</w:t>
                  </w:r>
                </w:p>
              </w:tc>
              <w:tc>
                <w:tcPr>
                  <w:tcW w:w="990" w:type="dxa"/>
                  <w:tcBorders>
                    <w:top w:val="single" w:color="000000" w:sz="12" w:space="0"/>
                    <w:tl2br w:val="nil"/>
                    <w:tr2bl w:val="nil"/>
                  </w:tcBorders>
                  <w:vAlign w:val="center"/>
                </w:tcPr>
                <w:p>
                  <w:pPr>
                    <w:pStyle w:val="29"/>
                    <w:widowControl w:val="0"/>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29"/>
                    <w:widowControl w:val="0"/>
                    <w:bidi w:val="0"/>
                    <w:rPr>
                      <w:color w:val="auto"/>
                    </w:rPr>
                  </w:pPr>
                  <w:r>
                    <w:rPr>
                      <w:color w:val="auto"/>
                    </w:rPr>
                    <w:t>NO</w:t>
                  </w:r>
                  <w:r>
                    <w:rPr>
                      <w:color w:val="auto"/>
                      <w:vertAlign w:val="subscript"/>
                    </w:rPr>
                    <w:t>2</w:t>
                  </w:r>
                </w:p>
              </w:tc>
              <w:tc>
                <w:tcPr>
                  <w:tcW w:w="2552" w:type="dxa"/>
                  <w:tcBorders>
                    <w:tl2br w:val="nil"/>
                    <w:tr2bl w:val="nil"/>
                  </w:tcBorders>
                  <w:vAlign w:val="center"/>
                </w:tcPr>
                <w:p>
                  <w:pPr>
                    <w:pStyle w:val="29"/>
                    <w:widowControl w:val="0"/>
                    <w:bidi w:val="0"/>
                    <w:rPr>
                      <w:color w:val="auto"/>
                    </w:rPr>
                  </w:pPr>
                  <w:r>
                    <w:rPr>
                      <w:color w:val="auto"/>
                    </w:rPr>
                    <w:t>年平均质量浓度</w:t>
                  </w:r>
                </w:p>
              </w:tc>
              <w:tc>
                <w:tcPr>
                  <w:tcW w:w="121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33</w:t>
                  </w:r>
                </w:p>
              </w:tc>
              <w:tc>
                <w:tcPr>
                  <w:tcW w:w="1217" w:type="dxa"/>
                  <w:tcBorders>
                    <w:tl2br w:val="nil"/>
                    <w:tr2bl w:val="nil"/>
                  </w:tcBorders>
                  <w:vAlign w:val="center"/>
                </w:tcPr>
                <w:p>
                  <w:pPr>
                    <w:pStyle w:val="29"/>
                    <w:widowControl w:val="0"/>
                    <w:bidi w:val="0"/>
                    <w:rPr>
                      <w:color w:val="auto"/>
                    </w:rPr>
                  </w:pPr>
                  <w:r>
                    <w:rPr>
                      <w:color w:val="auto"/>
                    </w:rPr>
                    <w:t>40</w:t>
                  </w:r>
                </w:p>
              </w:tc>
              <w:tc>
                <w:tcPr>
                  <w:tcW w:w="96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82.5</w:t>
                  </w:r>
                </w:p>
              </w:tc>
              <w:tc>
                <w:tcPr>
                  <w:tcW w:w="990" w:type="dxa"/>
                  <w:tcBorders>
                    <w:tl2br w:val="nil"/>
                    <w:tr2bl w:val="nil"/>
                  </w:tcBorders>
                  <w:vAlign w:val="center"/>
                </w:tcPr>
                <w:p>
                  <w:pPr>
                    <w:pStyle w:val="29"/>
                    <w:widowControl w:val="0"/>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29"/>
                    <w:widowControl w:val="0"/>
                    <w:bidi w:val="0"/>
                    <w:rPr>
                      <w:color w:val="auto"/>
                    </w:rPr>
                  </w:pPr>
                  <w:r>
                    <w:rPr>
                      <w:color w:val="auto"/>
                    </w:rPr>
                    <w:t>CO</w:t>
                  </w:r>
                </w:p>
              </w:tc>
              <w:tc>
                <w:tcPr>
                  <w:tcW w:w="2552" w:type="dxa"/>
                  <w:tcBorders>
                    <w:tl2br w:val="nil"/>
                    <w:tr2bl w:val="nil"/>
                  </w:tcBorders>
                  <w:vAlign w:val="center"/>
                </w:tcPr>
                <w:p>
                  <w:pPr>
                    <w:pStyle w:val="29"/>
                    <w:widowControl w:val="0"/>
                    <w:bidi w:val="0"/>
                    <w:rPr>
                      <w:color w:val="auto"/>
                    </w:rPr>
                  </w:pPr>
                  <w:r>
                    <w:rPr>
                      <w:color w:val="auto"/>
                    </w:rPr>
                    <w:t>第95百分位数日平均浓度</w:t>
                  </w:r>
                </w:p>
              </w:tc>
              <w:tc>
                <w:tcPr>
                  <w:tcW w:w="1217" w:type="dxa"/>
                  <w:tcBorders>
                    <w:tl2br w:val="nil"/>
                    <w:tr2bl w:val="nil"/>
                  </w:tcBorders>
                  <w:vAlign w:val="center"/>
                </w:tcPr>
                <w:p>
                  <w:pPr>
                    <w:pStyle w:val="29"/>
                    <w:widowControl w:val="0"/>
                    <w:bidi w:val="0"/>
                    <w:rPr>
                      <w:color w:val="auto"/>
                    </w:rPr>
                  </w:pPr>
                  <w:r>
                    <w:rPr>
                      <w:color w:val="auto"/>
                    </w:rPr>
                    <w:t>2</w:t>
                  </w:r>
                  <w:r>
                    <w:rPr>
                      <w:rFonts w:hint="eastAsia"/>
                      <w:color w:val="auto"/>
                      <w:lang w:val="en-US" w:eastAsia="zh-CN"/>
                    </w:rPr>
                    <w:t>5</w:t>
                  </w:r>
                  <w:r>
                    <w:rPr>
                      <w:color w:val="auto"/>
                    </w:rPr>
                    <w:t>00.00</w:t>
                  </w:r>
                </w:p>
              </w:tc>
              <w:tc>
                <w:tcPr>
                  <w:tcW w:w="1217" w:type="dxa"/>
                  <w:tcBorders>
                    <w:tl2br w:val="nil"/>
                    <w:tr2bl w:val="nil"/>
                  </w:tcBorders>
                  <w:vAlign w:val="center"/>
                </w:tcPr>
                <w:p>
                  <w:pPr>
                    <w:pStyle w:val="29"/>
                    <w:widowControl w:val="0"/>
                    <w:bidi w:val="0"/>
                    <w:rPr>
                      <w:color w:val="auto"/>
                    </w:rPr>
                  </w:pPr>
                  <w:r>
                    <w:rPr>
                      <w:color w:val="auto"/>
                    </w:rPr>
                    <w:t>4000</w:t>
                  </w:r>
                </w:p>
              </w:tc>
              <w:tc>
                <w:tcPr>
                  <w:tcW w:w="96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62.5</w:t>
                  </w:r>
                </w:p>
              </w:tc>
              <w:tc>
                <w:tcPr>
                  <w:tcW w:w="990" w:type="dxa"/>
                  <w:tcBorders>
                    <w:tl2br w:val="nil"/>
                    <w:tr2bl w:val="nil"/>
                  </w:tcBorders>
                  <w:vAlign w:val="center"/>
                </w:tcPr>
                <w:p>
                  <w:pPr>
                    <w:pStyle w:val="29"/>
                    <w:widowControl w:val="0"/>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29"/>
                    <w:widowControl w:val="0"/>
                    <w:bidi w:val="0"/>
                    <w:rPr>
                      <w:color w:val="auto"/>
                    </w:rPr>
                  </w:pPr>
                  <w:r>
                    <w:rPr>
                      <w:color w:val="auto"/>
                    </w:rPr>
                    <w:t>O</w:t>
                  </w:r>
                  <w:r>
                    <w:rPr>
                      <w:color w:val="auto"/>
                      <w:vertAlign w:val="subscript"/>
                    </w:rPr>
                    <w:t>3</w:t>
                  </w:r>
                </w:p>
              </w:tc>
              <w:tc>
                <w:tcPr>
                  <w:tcW w:w="2552" w:type="dxa"/>
                  <w:tcBorders>
                    <w:tl2br w:val="nil"/>
                    <w:tr2bl w:val="nil"/>
                  </w:tcBorders>
                  <w:vAlign w:val="center"/>
                </w:tcPr>
                <w:p>
                  <w:pPr>
                    <w:pStyle w:val="29"/>
                    <w:widowControl w:val="0"/>
                    <w:bidi w:val="0"/>
                    <w:rPr>
                      <w:color w:val="auto"/>
                    </w:rPr>
                  </w:pPr>
                  <w:r>
                    <w:rPr>
                      <w:color w:val="auto"/>
                    </w:rPr>
                    <w:t>第90百分位数</w:t>
                  </w:r>
                  <w:r>
                    <w:rPr>
                      <w:rFonts w:hint="eastAsia"/>
                      <w:color w:val="auto"/>
                      <w:lang w:val="en-US" w:eastAsia="zh-CN"/>
                    </w:rPr>
                    <w:t>8小时</w:t>
                  </w:r>
                  <w:r>
                    <w:rPr>
                      <w:color w:val="auto"/>
                    </w:rPr>
                    <w:t>日平均浓度</w:t>
                  </w:r>
                </w:p>
              </w:tc>
              <w:tc>
                <w:tcPr>
                  <w:tcW w:w="121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131</w:t>
                  </w:r>
                </w:p>
              </w:tc>
              <w:tc>
                <w:tcPr>
                  <w:tcW w:w="1217" w:type="dxa"/>
                  <w:tcBorders>
                    <w:tl2br w:val="nil"/>
                    <w:tr2bl w:val="nil"/>
                  </w:tcBorders>
                  <w:vAlign w:val="center"/>
                </w:tcPr>
                <w:p>
                  <w:pPr>
                    <w:pStyle w:val="29"/>
                    <w:widowControl w:val="0"/>
                    <w:bidi w:val="0"/>
                    <w:rPr>
                      <w:color w:val="auto"/>
                    </w:rPr>
                  </w:pPr>
                  <w:r>
                    <w:rPr>
                      <w:color w:val="auto"/>
                    </w:rPr>
                    <w:t>160</w:t>
                  </w:r>
                </w:p>
              </w:tc>
              <w:tc>
                <w:tcPr>
                  <w:tcW w:w="96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81.9</w:t>
                  </w:r>
                </w:p>
              </w:tc>
              <w:tc>
                <w:tcPr>
                  <w:tcW w:w="990" w:type="dxa"/>
                  <w:tcBorders>
                    <w:tl2br w:val="nil"/>
                    <w:tr2bl w:val="nil"/>
                  </w:tcBorders>
                  <w:vAlign w:val="center"/>
                </w:tcPr>
                <w:p>
                  <w:pPr>
                    <w:pStyle w:val="29"/>
                    <w:widowControl w:val="0"/>
                    <w:bidi w:val="0"/>
                    <w:rPr>
                      <w:color w:val="auto"/>
                    </w:rPr>
                  </w:pPr>
                  <w:r>
                    <w:rPr>
                      <w:color w:val="auto"/>
                    </w:rPr>
                    <w:t>达标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29"/>
                    <w:widowControl w:val="0"/>
                    <w:bidi w:val="0"/>
                    <w:rPr>
                      <w:color w:val="auto"/>
                    </w:rPr>
                  </w:pPr>
                  <w:r>
                    <w:rPr>
                      <w:color w:val="auto"/>
                    </w:rPr>
                    <w:t>PM</w:t>
                  </w:r>
                  <w:r>
                    <w:rPr>
                      <w:color w:val="auto"/>
                      <w:vertAlign w:val="subscript"/>
                    </w:rPr>
                    <w:t>10</w:t>
                  </w:r>
                </w:p>
              </w:tc>
              <w:tc>
                <w:tcPr>
                  <w:tcW w:w="2552" w:type="dxa"/>
                  <w:tcBorders>
                    <w:tl2br w:val="nil"/>
                    <w:tr2bl w:val="nil"/>
                  </w:tcBorders>
                  <w:vAlign w:val="center"/>
                </w:tcPr>
                <w:p>
                  <w:pPr>
                    <w:pStyle w:val="29"/>
                    <w:widowControl w:val="0"/>
                    <w:bidi w:val="0"/>
                    <w:rPr>
                      <w:color w:val="auto"/>
                    </w:rPr>
                  </w:pPr>
                  <w:r>
                    <w:rPr>
                      <w:color w:val="auto"/>
                    </w:rPr>
                    <w:t>年平均质量浓度</w:t>
                  </w:r>
                </w:p>
              </w:tc>
              <w:tc>
                <w:tcPr>
                  <w:tcW w:w="121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88</w:t>
                  </w:r>
                </w:p>
              </w:tc>
              <w:tc>
                <w:tcPr>
                  <w:tcW w:w="1217" w:type="dxa"/>
                  <w:tcBorders>
                    <w:tl2br w:val="nil"/>
                    <w:tr2bl w:val="nil"/>
                  </w:tcBorders>
                  <w:vAlign w:val="center"/>
                </w:tcPr>
                <w:p>
                  <w:pPr>
                    <w:pStyle w:val="29"/>
                    <w:widowControl w:val="0"/>
                    <w:bidi w:val="0"/>
                    <w:rPr>
                      <w:color w:val="auto"/>
                    </w:rPr>
                  </w:pPr>
                  <w:r>
                    <w:rPr>
                      <w:color w:val="auto"/>
                    </w:rPr>
                    <w:t>70</w:t>
                  </w:r>
                </w:p>
              </w:tc>
              <w:tc>
                <w:tcPr>
                  <w:tcW w:w="96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125.7</w:t>
                  </w:r>
                </w:p>
              </w:tc>
              <w:tc>
                <w:tcPr>
                  <w:tcW w:w="990" w:type="dxa"/>
                  <w:tcBorders>
                    <w:tl2br w:val="nil"/>
                    <w:tr2bl w:val="nil"/>
                  </w:tcBorders>
                  <w:vAlign w:val="center"/>
                </w:tcPr>
                <w:p>
                  <w:pPr>
                    <w:pStyle w:val="29"/>
                    <w:widowControl w:val="0"/>
                    <w:bidi w:val="0"/>
                    <w:rPr>
                      <w:color w:val="auto"/>
                    </w:rPr>
                  </w:pPr>
                  <w:r>
                    <w:rPr>
                      <w:color w:val="auto"/>
                    </w:rPr>
                    <w:t>超标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7" w:type="dxa"/>
                  <w:tcBorders>
                    <w:tl2br w:val="nil"/>
                    <w:tr2bl w:val="nil"/>
                  </w:tcBorders>
                  <w:vAlign w:val="center"/>
                </w:tcPr>
                <w:p>
                  <w:pPr>
                    <w:pStyle w:val="29"/>
                    <w:widowControl w:val="0"/>
                    <w:bidi w:val="0"/>
                    <w:rPr>
                      <w:color w:val="auto"/>
                    </w:rPr>
                  </w:pPr>
                  <w:r>
                    <w:rPr>
                      <w:color w:val="auto"/>
                    </w:rPr>
                    <w:t>PM</w:t>
                  </w:r>
                  <w:r>
                    <w:rPr>
                      <w:color w:val="auto"/>
                      <w:vertAlign w:val="subscript"/>
                    </w:rPr>
                    <w:t>2.5</w:t>
                  </w:r>
                </w:p>
              </w:tc>
              <w:tc>
                <w:tcPr>
                  <w:tcW w:w="2552" w:type="dxa"/>
                  <w:tcBorders>
                    <w:tl2br w:val="nil"/>
                    <w:tr2bl w:val="nil"/>
                  </w:tcBorders>
                  <w:vAlign w:val="center"/>
                </w:tcPr>
                <w:p>
                  <w:pPr>
                    <w:pStyle w:val="29"/>
                    <w:widowControl w:val="0"/>
                    <w:bidi w:val="0"/>
                    <w:rPr>
                      <w:color w:val="auto"/>
                    </w:rPr>
                  </w:pPr>
                  <w:r>
                    <w:rPr>
                      <w:color w:val="auto"/>
                    </w:rPr>
                    <w:t>年平均质量浓度</w:t>
                  </w:r>
                </w:p>
              </w:tc>
              <w:tc>
                <w:tcPr>
                  <w:tcW w:w="121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53</w:t>
                  </w:r>
                </w:p>
              </w:tc>
              <w:tc>
                <w:tcPr>
                  <w:tcW w:w="1217" w:type="dxa"/>
                  <w:tcBorders>
                    <w:tl2br w:val="nil"/>
                    <w:tr2bl w:val="nil"/>
                  </w:tcBorders>
                  <w:vAlign w:val="center"/>
                </w:tcPr>
                <w:p>
                  <w:pPr>
                    <w:pStyle w:val="29"/>
                    <w:widowControl w:val="0"/>
                    <w:bidi w:val="0"/>
                    <w:rPr>
                      <w:color w:val="auto"/>
                    </w:rPr>
                  </w:pPr>
                  <w:r>
                    <w:rPr>
                      <w:color w:val="auto"/>
                    </w:rPr>
                    <w:t>35</w:t>
                  </w:r>
                </w:p>
              </w:tc>
              <w:tc>
                <w:tcPr>
                  <w:tcW w:w="96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151.4</w:t>
                  </w:r>
                </w:p>
              </w:tc>
              <w:tc>
                <w:tcPr>
                  <w:tcW w:w="990" w:type="dxa"/>
                  <w:tcBorders>
                    <w:tl2br w:val="nil"/>
                    <w:tr2bl w:val="nil"/>
                  </w:tcBorders>
                  <w:vAlign w:val="center"/>
                </w:tcPr>
                <w:p>
                  <w:pPr>
                    <w:pStyle w:val="29"/>
                    <w:widowControl w:val="0"/>
                    <w:bidi w:val="0"/>
                    <w:rPr>
                      <w:color w:val="auto"/>
                    </w:rPr>
                  </w:pPr>
                  <w:r>
                    <w:rPr>
                      <w:color w:val="auto"/>
                    </w:rPr>
                    <w:t>超标</w:t>
                  </w:r>
                </w:p>
              </w:tc>
            </w:tr>
          </w:tbl>
          <w:p>
            <w:pPr>
              <w:pStyle w:val="18"/>
              <w:bidi w:val="0"/>
              <w:rPr>
                <w:bCs/>
                <w:color w:val="auto"/>
              </w:rPr>
            </w:pPr>
            <w:r>
              <w:rPr>
                <w:bCs/>
                <w:color w:val="auto"/>
              </w:rPr>
              <w:t>由</w:t>
            </w:r>
            <w:r>
              <w:rPr>
                <w:rFonts w:hint="eastAsia"/>
                <w:bCs/>
                <w:color w:val="auto"/>
                <w:lang w:val="en-US" w:eastAsia="zh-CN"/>
              </w:rPr>
              <w:t>表3-1</w:t>
            </w:r>
            <w:r>
              <w:rPr>
                <w:bCs/>
                <w:color w:val="auto"/>
              </w:rPr>
              <w:t>可知，项目所在区域SO</w:t>
            </w:r>
            <w:r>
              <w:rPr>
                <w:bCs/>
                <w:color w:val="auto"/>
                <w:vertAlign w:val="subscript"/>
              </w:rPr>
              <w:t>2</w:t>
            </w:r>
            <w:r>
              <w:rPr>
                <w:bCs/>
                <w:color w:val="auto"/>
              </w:rPr>
              <w:t>、NO</w:t>
            </w:r>
            <w:r>
              <w:rPr>
                <w:bCs/>
                <w:color w:val="auto"/>
                <w:vertAlign w:val="subscript"/>
              </w:rPr>
              <w:t>2</w:t>
            </w:r>
            <w:r>
              <w:rPr>
                <w:bCs/>
                <w:color w:val="auto"/>
              </w:rPr>
              <w:t>、O</w:t>
            </w:r>
            <w:r>
              <w:rPr>
                <w:bCs/>
                <w:color w:val="auto"/>
                <w:vertAlign w:val="subscript"/>
              </w:rPr>
              <w:t>3</w:t>
            </w:r>
            <w:r>
              <w:rPr>
                <w:bCs/>
                <w:color w:val="auto"/>
              </w:rPr>
              <w:t>、CO的年均浓度和日均浓度</w:t>
            </w:r>
            <w:r>
              <w:rPr>
                <w:rFonts w:hint="eastAsia"/>
                <w:bCs/>
                <w:color w:val="auto"/>
              </w:rPr>
              <w:t>均满足</w:t>
            </w:r>
            <w:r>
              <w:rPr>
                <w:color w:val="auto"/>
                <w:lang w:bidi="en-US"/>
              </w:rPr>
              <w:t>《环境空气质量标准》（GB3095-2012）的二级标准要求</w:t>
            </w:r>
            <w:r>
              <w:rPr>
                <w:bCs/>
                <w:color w:val="auto"/>
              </w:rPr>
              <w:t>；PM</w:t>
            </w:r>
            <w:r>
              <w:rPr>
                <w:bCs/>
                <w:color w:val="auto"/>
                <w:vertAlign w:val="subscript"/>
              </w:rPr>
              <w:t>10</w:t>
            </w:r>
            <w:r>
              <w:rPr>
                <w:bCs/>
                <w:color w:val="auto"/>
              </w:rPr>
              <w:t>和PM</w:t>
            </w:r>
            <w:r>
              <w:rPr>
                <w:rFonts w:hint="eastAsia"/>
                <w:bCs/>
                <w:color w:val="auto"/>
                <w:vertAlign w:val="subscript"/>
              </w:rPr>
              <w:t>2.5</w:t>
            </w:r>
            <w:r>
              <w:rPr>
                <w:bCs/>
                <w:color w:val="auto"/>
              </w:rPr>
              <w:t>年均浓度和日均浓度均</w:t>
            </w:r>
            <w:r>
              <w:rPr>
                <w:color w:val="auto"/>
                <w:lang w:bidi="en-US"/>
              </w:rPr>
              <w:t>超过《环境空气质量标准》（GB3095-2012）的二级标准要求，</w:t>
            </w:r>
            <w:r>
              <w:rPr>
                <w:color w:val="auto"/>
              </w:rPr>
              <w:t>超标原因主要是因为新疆气候干燥</w:t>
            </w:r>
            <w:r>
              <w:rPr>
                <w:rFonts w:hint="eastAsia"/>
                <w:color w:val="auto"/>
              </w:rPr>
              <w:t>，浮尘天气</w:t>
            </w:r>
            <w:r>
              <w:rPr>
                <w:color w:val="auto"/>
              </w:rPr>
              <w:t>等因素影响。</w:t>
            </w:r>
            <w:r>
              <w:rPr>
                <w:bCs/>
                <w:color w:val="auto"/>
              </w:rPr>
              <w:t>因此，项目所在区域为不达标区。</w:t>
            </w:r>
          </w:p>
          <w:p>
            <w:pPr>
              <w:pStyle w:val="6"/>
              <w:bidi w:val="0"/>
              <w:rPr>
                <w:rFonts w:hint="eastAsia"/>
                <w:lang w:val="en-US" w:eastAsia="zh-CN"/>
              </w:rPr>
            </w:pPr>
            <w:r>
              <w:rPr>
                <w:rFonts w:hint="eastAsia"/>
                <w:lang w:val="en-US" w:eastAsia="zh-CN"/>
              </w:rPr>
              <w:t>1.2 补充监测</w:t>
            </w:r>
          </w:p>
          <w:p>
            <w:pPr>
              <w:pStyle w:val="18"/>
              <w:bidi w:val="0"/>
              <w:rPr>
                <w:rFonts w:hint="eastAsia"/>
                <w:lang w:val="en-US" w:eastAsia="zh-CN"/>
              </w:rPr>
            </w:pPr>
            <w:r>
              <w:rPr>
                <w:rFonts w:hint="eastAsia"/>
                <w:lang w:val="en-US" w:eastAsia="zh-CN"/>
              </w:rPr>
              <w:t>本次评价选取硫化氢、氨作为特征因子。</w:t>
            </w:r>
            <w:r>
              <w:rPr>
                <w:rFonts w:hint="eastAsia"/>
                <w:lang w:eastAsia="zh-CN"/>
              </w:rPr>
              <w:t>根据</w:t>
            </w:r>
            <w:r>
              <w:rPr>
                <w:rFonts w:hint="default"/>
              </w:rPr>
              <w:t>《环境影响评价技术导则 大气环境》（HJ/T2.2-2018），本次环境空气特征因子现状监测委托新疆绿格洁瑞环境检测技术有限公司于</w:t>
            </w:r>
            <w:r>
              <w:rPr>
                <w:rFonts w:hint="default"/>
                <w:lang w:val="en-US" w:eastAsia="zh-CN"/>
              </w:rPr>
              <w:t>202</w:t>
            </w:r>
            <w:r>
              <w:rPr>
                <w:rFonts w:hint="eastAsia"/>
                <w:lang w:val="en-US" w:eastAsia="zh-CN"/>
              </w:rPr>
              <w:t>1</w:t>
            </w:r>
            <w:r>
              <w:rPr>
                <w:rFonts w:hint="default"/>
              </w:rPr>
              <w:t>年</w:t>
            </w:r>
            <w:r>
              <w:rPr>
                <w:rFonts w:hint="eastAsia"/>
                <w:lang w:val="en-US" w:eastAsia="zh-CN"/>
              </w:rPr>
              <w:t>8</w:t>
            </w:r>
            <w:r>
              <w:rPr>
                <w:rFonts w:hint="default"/>
              </w:rPr>
              <w:t>月</w:t>
            </w:r>
            <w:r>
              <w:rPr>
                <w:rFonts w:hint="eastAsia"/>
                <w:lang w:val="en-US" w:eastAsia="zh-CN"/>
              </w:rPr>
              <w:t>18</w:t>
            </w:r>
            <w:r>
              <w:rPr>
                <w:rFonts w:hint="default"/>
                <w:lang w:val="en-US" w:eastAsia="zh-CN"/>
              </w:rPr>
              <w:t>日-</w:t>
            </w:r>
            <w:r>
              <w:rPr>
                <w:rFonts w:hint="eastAsia"/>
                <w:lang w:val="en-US" w:eastAsia="zh-CN"/>
              </w:rPr>
              <w:t>20</w:t>
            </w:r>
            <w:r>
              <w:rPr>
                <w:rFonts w:hint="default"/>
              </w:rPr>
              <w:t>日</w:t>
            </w:r>
            <w:r>
              <w:rPr>
                <w:rFonts w:hint="default"/>
                <w:lang w:eastAsia="zh-CN"/>
              </w:rPr>
              <w:t>在</w:t>
            </w:r>
            <w:r>
              <w:rPr>
                <w:rFonts w:hint="default"/>
              </w:rPr>
              <w:t>项目区下风向</w:t>
            </w:r>
            <w:r>
              <w:rPr>
                <w:rFonts w:hint="eastAsia"/>
                <w:lang w:val="en-US" w:eastAsia="zh-CN"/>
              </w:rPr>
              <w:t>15m处，</w:t>
            </w:r>
            <w:r>
              <w:rPr>
                <w:rFonts w:hint="default"/>
                <w:lang w:eastAsia="zh-CN"/>
              </w:rPr>
              <w:t>设</w:t>
            </w:r>
            <w:r>
              <w:rPr>
                <w:rFonts w:hint="eastAsia"/>
                <w:lang w:val="en-US" w:eastAsia="zh-CN"/>
              </w:rPr>
              <w:t>1个监测</w:t>
            </w:r>
            <w:r>
              <w:rPr>
                <w:rFonts w:hint="default"/>
                <w:lang w:eastAsia="zh-CN"/>
              </w:rPr>
              <w:t>点进行监测，</w:t>
            </w:r>
            <w:r>
              <w:rPr>
                <w:rFonts w:hint="default"/>
                <w:lang w:val="en-US" w:eastAsia="zh-CN"/>
              </w:rPr>
              <w:t>其</w:t>
            </w:r>
            <w:r>
              <w:rPr>
                <w:rFonts w:hint="eastAsia"/>
                <w:lang w:val="en-US" w:eastAsia="zh-CN"/>
              </w:rPr>
              <w:t>监测</w:t>
            </w:r>
            <w:r>
              <w:rPr>
                <w:rFonts w:hint="default"/>
                <w:lang w:val="en-US" w:eastAsia="zh-CN"/>
              </w:rPr>
              <w:t>数据作为本次特征污染物质量现状的评价依据</w:t>
            </w:r>
            <w:r>
              <w:rPr>
                <w:rFonts w:hint="eastAsia"/>
                <w:lang w:val="en-US" w:eastAsia="zh-CN"/>
              </w:rPr>
              <w:t>：</w:t>
            </w:r>
          </w:p>
          <w:p>
            <w:pPr>
              <w:pStyle w:val="18"/>
              <w:numPr>
                <w:ilvl w:val="0"/>
                <w:numId w:val="13"/>
              </w:numPr>
              <w:bidi w:val="0"/>
              <w:rPr>
                <w:rFonts w:hint="default"/>
                <w:lang w:val="en-US" w:eastAsia="zh-CN"/>
              </w:rPr>
            </w:pPr>
            <w:r>
              <w:rPr>
                <w:rFonts w:hint="eastAsia"/>
                <w:lang w:val="en-US" w:eastAsia="zh-CN"/>
              </w:rPr>
              <w:t>评价标准</w:t>
            </w:r>
          </w:p>
          <w:p>
            <w:pPr>
              <w:pStyle w:val="18"/>
              <w:bidi w:val="0"/>
              <w:rPr>
                <w:rStyle w:val="48"/>
                <w:rFonts w:hint="default"/>
                <w:lang w:val="en-US" w:eastAsia="zh-CN"/>
              </w:rPr>
            </w:pPr>
            <w:r>
              <w:rPr>
                <w:rFonts w:hint="eastAsia"/>
                <w:lang w:val="en-US" w:eastAsia="zh-CN"/>
              </w:rPr>
              <w:t>评价标准：执行</w:t>
            </w:r>
            <w:r>
              <w:rPr>
                <w:rFonts w:hint="default" w:ascii="Times New Roman" w:hAnsi="Times New Roman" w:cs="Times New Roman"/>
                <w:color w:val="auto"/>
                <w:kern w:val="0"/>
                <w:sz w:val="24"/>
                <w:lang w:bidi="ar"/>
              </w:rPr>
              <w:t>《环境</w:t>
            </w:r>
            <w:r>
              <w:rPr>
                <w:rFonts w:hint="eastAsia" w:ascii="Times New Roman" w:hAnsi="Times New Roman" w:cs="Times New Roman"/>
                <w:color w:val="auto"/>
                <w:kern w:val="0"/>
                <w:sz w:val="24"/>
                <w:lang w:val="en-US" w:eastAsia="zh-CN" w:bidi="ar"/>
              </w:rPr>
              <w:t>影响评价技术导则-大气环境</w:t>
            </w:r>
            <w:r>
              <w:rPr>
                <w:rFonts w:hint="default" w:ascii="Times New Roman" w:hAnsi="Times New Roman" w:cs="Times New Roman"/>
                <w:color w:val="auto"/>
                <w:kern w:val="0"/>
                <w:sz w:val="24"/>
                <w:lang w:bidi="ar"/>
              </w:rPr>
              <w:t>》（</w:t>
            </w:r>
            <w:r>
              <w:rPr>
                <w:rFonts w:hint="eastAsia" w:ascii="Times New Roman" w:hAnsi="Times New Roman" w:cs="Times New Roman"/>
                <w:color w:val="auto"/>
                <w:kern w:val="0"/>
                <w:sz w:val="24"/>
                <w:lang w:val="en-US" w:eastAsia="zh-CN" w:bidi="ar"/>
              </w:rPr>
              <w:t>HJ2.2</w:t>
            </w:r>
            <w:r>
              <w:rPr>
                <w:rFonts w:hint="default" w:ascii="Times New Roman" w:hAnsi="Times New Roman" w:cs="Times New Roman"/>
                <w:color w:val="auto"/>
                <w:kern w:val="0"/>
                <w:sz w:val="24"/>
                <w:lang w:bidi="ar"/>
              </w:rPr>
              <w:t>-201</w:t>
            </w:r>
            <w:r>
              <w:rPr>
                <w:rFonts w:hint="eastAsia" w:ascii="Times New Roman" w:hAnsi="Times New Roman" w:cs="Times New Roman"/>
                <w:color w:val="auto"/>
                <w:kern w:val="0"/>
                <w:sz w:val="24"/>
                <w:lang w:val="en-US" w:eastAsia="zh-CN" w:bidi="ar"/>
              </w:rPr>
              <w:t>8</w:t>
            </w:r>
            <w:r>
              <w:rPr>
                <w:rFonts w:hint="default" w:ascii="Times New Roman" w:hAnsi="Times New Roman" w:cs="Times New Roman"/>
                <w:color w:val="auto"/>
                <w:kern w:val="0"/>
                <w:sz w:val="24"/>
                <w:lang w:bidi="ar"/>
              </w:rPr>
              <w:t>）</w:t>
            </w:r>
            <w:r>
              <w:rPr>
                <w:rFonts w:hint="eastAsia" w:ascii="Times New Roman" w:hAnsi="Times New Roman" w:cs="Times New Roman"/>
                <w:color w:val="auto"/>
                <w:kern w:val="0"/>
                <w:sz w:val="24"/>
                <w:lang w:val="en-US" w:eastAsia="zh-CN" w:bidi="ar"/>
              </w:rPr>
              <w:t>附录D.1，</w:t>
            </w:r>
            <w:r>
              <w:rPr>
                <w:rStyle w:val="48"/>
                <w:rFonts w:hint="eastAsia"/>
                <w:lang w:val="en-US" w:eastAsia="zh-CN"/>
              </w:rPr>
              <w:t>氨1h平均200</w:t>
            </w:r>
            <w:r>
              <w:rPr>
                <w:rStyle w:val="48"/>
              </w:rPr>
              <w:t>μg/m</w:t>
            </w:r>
            <w:r>
              <w:rPr>
                <w:rStyle w:val="48"/>
                <w:vertAlign w:val="superscript"/>
              </w:rPr>
              <w:t>3</w:t>
            </w:r>
            <w:r>
              <w:rPr>
                <w:rStyle w:val="48"/>
                <w:rFonts w:hint="eastAsia"/>
                <w:lang w:eastAsia="zh-CN"/>
              </w:rPr>
              <w:t>，</w:t>
            </w:r>
            <w:r>
              <w:rPr>
                <w:rStyle w:val="48"/>
                <w:rFonts w:hint="eastAsia"/>
                <w:lang w:val="en-US" w:eastAsia="zh-CN"/>
              </w:rPr>
              <w:t>硫化氢1h平均10</w:t>
            </w:r>
            <w:r>
              <w:rPr>
                <w:rStyle w:val="48"/>
              </w:rPr>
              <w:t>μg/m</w:t>
            </w:r>
            <w:r>
              <w:rPr>
                <w:rStyle w:val="48"/>
                <w:vertAlign w:val="superscript"/>
              </w:rPr>
              <w:t>3</w:t>
            </w:r>
            <w:r>
              <w:rPr>
                <w:rStyle w:val="48"/>
                <w:rFonts w:hint="eastAsia"/>
                <w:lang w:val="en-US" w:eastAsia="zh-CN"/>
              </w:rPr>
              <w:t>；</w:t>
            </w:r>
          </w:p>
          <w:p>
            <w:pPr>
              <w:pStyle w:val="18"/>
              <w:numPr>
                <w:ilvl w:val="0"/>
                <w:numId w:val="13"/>
              </w:numPr>
              <w:bidi w:val="0"/>
              <w:rPr>
                <w:rFonts w:hint="default"/>
                <w:lang w:val="en-US" w:eastAsia="zh-CN"/>
              </w:rPr>
            </w:pPr>
            <w:r>
              <w:rPr>
                <w:rFonts w:hint="eastAsia"/>
                <w:lang w:val="en-US" w:eastAsia="zh-CN"/>
              </w:rPr>
              <w:t>评价方法</w:t>
            </w:r>
          </w:p>
          <w:p>
            <w:pPr>
              <w:pStyle w:val="18"/>
              <w:bidi w:val="0"/>
              <w:rPr>
                <w:rFonts w:hint="default"/>
              </w:rPr>
            </w:pPr>
            <w:r>
              <w:rPr>
                <w:rFonts w:hint="default"/>
              </w:rPr>
              <w:t>环境空气质量现状采用单因子污染指数法进行评价。</w:t>
            </w:r>
          </w:p>
          <w:p>
            <w:pPr>
              <w:pStyle w:val="18"/>
              <w:bidi w:val="0"/>
              <w:rPr>
                <w:rFonts w:hint="default"/>
              </w:rPr>
            </w:pPr>
            <w:r>
              <w:rPr>
                <w:rFonts w:hint="default"/>
              </w:rPr>
              <w:t>计算公式为：</w:t>
            </w:r>
          </w:p>
          <w:p>
            <w:pPr>
              <w:pStyle w:val="18"/>
              <w:bidi w:val="0"/>
              <w:jc w:val="center"/>
              <w:rPr>
                <w:rFonts w:hint="default"/>
              </w:rPr>
            </w:pPr>
            <w:r>
              <w:rPr>
                <w:rFonts w:hint="default" w:ascii="Times New Roman" w:hAnsi="Times New Roman" w:cs="Times New Roman"/>
                <w:color w:val="auto"/>
                <w:position w:val="-30"/>
              </w:rPr>
              <w:object>
                <v:shape id="_x0000_i1026" o:spt="75" type="#_x0000_t75" style="height:34pt;width:70pt;" o:ole="t" filled="f" o:preferrelative="t" stroked="f" coordsize="21600,21600">
                  <v:path/>
                  <v:fill on="f" focussize="0,0"/>
                  <v:stroke on="f"/>
                  <v:imagedata r:id="rId15" o:title=""/>
                  <o:lock v:ext="edit" aspectratio="t"/>
                  <w10:wrap type="none"/>
                  <w10:anchorlock/>
                </v:shape>
                <o:OLEObject Type="Embed" ProgID="Equation.KSEE3" ShapeID="_x0000_i1026" DrawAspect="Content" ObjectID="_1468075726" r:id="rId14">
                  <o:LockedField>false</o:LockedField>
                </o:OLEObject>
              </w:object>
            </w:r>
          </w:p>
          <w:p>
            <w:pPr>
              <w:pStyle w:val="18"/>
              <w:bidi w:val="0"/>
              <w:rPr>
                <w:rFonts w:hint="default"/>
              </w:rPr>
            </w:pPr>
            <w:r>
              <w:rPr>
                <w:rFonts w:hint="default"/>
              </w:rPr>
              <w:t>式中：P</w:t>
            </w:r>
            <w:r>
              <w:rPr>
                <w:rFonts w:hint="default"/>
                <w:vertAlign w:val="subscript"/>
              </w:rPr>
              <w:t>i</w:t>
            </w:r>
            <w:r>
              <w:rPr>
                <w:rFonts w:hint="default"/>
              </w:rPr>
              <w:t>——污染物i的单项污染指数；</w:t>
            </w:r>
          </w:p>
          <w:p>
            <w:pPr>
              <w:pStyle w:val="18"/>
              <w:bidi w:val="0"/>
              <w:rPr>
                <w:rFonts w:hint="default"/>
              </w:rPr>
            </w:pPr>
            <w:r>
              <w:rPr>
                <w:rFonts w:hint="default"/>
              </w:rPr>
              <w:t xml:space="preserve">      C</w:t>
            </w:r>
            <w:r>
              <w:rPr>
                <w:rFonts w:hint="default"/>
                <w:vertAlign w:val="subscript"/>
              </w:rPr>
              <w:t>i</w:t>
            </w:r>
            <w:r>
              <w:rPr>
                <w:rFonts w:hint="default"/>
              </w:rPr>
              <w:t>——污染物i的实测浓度值（mg/m</w:t>
            </w:r>
            <w:r>
              <w:rPr>
                <w:rFonts w:hint="default"/>
                <w:vertAlign w:val="superscript"/>
              </w:rPr>
              <w:t>3</w:t>
            </w:r>
            <w:r>
              <w:rPr>
                <w:rFonts w:hint="default"/>
              </w:rPr>
              <w:t>）；</w:t>
            </w:r>
          </w:p>
          <w:p>
            <w:pPr>
              <w:pStyle w:val="18"/>
              <w:bidi w:val="0"/>
              <w:rPr>
                <w:rFonts w:hint="default"/>
                <w:lang w:val="en-US" w:eastAsia="zh-CN"/>
              </w:rPr>
            </w:pPr>
            <w:r>
              <w:rPr>
                <w:rFonts w:hint="default"/>
              </w:rPr>
              <w:t xml:space="preserve">      C</w:t>
            </w:r>
            <w:r>
              <w:rPr>
                <w:rFonts w:hint="default"/>
                <w:vertAlign w:val="subscript"/>
              </w:rPr>
              <w:t>oi</w:t>
            </w:r>
            <w:r>
              <w:rPr>
                <w:rFonts w:hint="default"/>
              </w:rPr>
              <w:t>——污染物i的评价标准（mg/m</w:t>
            </w:r>
            <w:r>
              <w:rPr>
                <w:rFonts w:hint="default"/>
                <w:vertAlign w:val="superscript"/>
              </w:rPr>
              <w:t>3</w:t>
            </w:r>
            <w:r>
              <w:rPr>
                <w:rFonts w:hint="default"/>
              </w:rPr>
              <w:t>）。</w:t>
            </w:r>
          </w:p>
          <w:p>
            <w:pPr>
              <w:pStyle w:val="18"/>
              <w:numPr>
                <w:ilvl w:val="0"/>
                <w:numId w:val="13"/>
              </w:numPr>
              <w:bidi w:val="0"/>
              <w:ind w:left="0" w:leftChars="0" w:firstLine="480" w:firstLineChars="200"/>
              <w:rPr>
                <w:rFonts w:hint="default"/>
                <w:lang w:val="en-US" w:eastAsia="zh-CN"/>
              </w:rPr>
            </w:pPr>
            <w:r>
              <w:rPr>
                <w:rFonts w:hint="default"/>
                <w:lang w:val="en-US" w:eastAsia="zh-CN"/>
              </w:rPr>
              <w:t>特征污染因子监测结果见表</w:t>
            </w:r>
            <w:r>
              <w:rPr>
                <w:rFonts w:hint="eastAsia"/>
                <w:lang w:val="en-US" w:eastAsia="zh-CN"/>
              </w:rPr>
              <w:t>3-2</w:t>
            </w:r>
            <w:r>
              <w:rPr>
                <w:rFonts w:hint="default"/>
                <w:lang w:val="en-US" w:eastAsia="zh-CN"/>
              </w:rPr>
              <w:t>。</w:t>
            </w:r>
          </w:p>
          <w:p>
            <w:pPr>
              <w:pStyle w:val="28"/>
              <w:bidi w:val="0"/>
              <w:rPr>
                <w:rFonts w:hint="default"/>
                <w:lang w:val="en-US" w:eastAsia="zh-CN"/>
              </w:rPr>
            </w:pPr>
            <w:r>
              <w:rPr>
                <w:rFonts w:hint="eastAsia" w:ascii="Times New Roman" w:hAnsi="Times New Roman"/>
                <w:lang w:val="en-US" w:eastAsia="zh-CN"/>
              </w:rPr>
              <w:t>表3-2    特征污染因子监测结果一览表</w:t>
            </w:r>
          </w:p>
          <w:tbl>
            <w:tblPr>
              <w:tblStyle w:val="22"/>
              <w:tblW w:w="5000"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182"/>
              <w:gridCol w:w="1191"/>
              <w:gridCol w:w="1154"/>
              <w:gridCol w:w="1518"/>
              <w:gridCol w:w="10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tcBorders>
                    <w:bottom w:val="single" w:color="000000" w:sz="12" w:space="0"/>
                  </w:tcBorders>
                  <w:noWrap w:val="0"/>
                  <w:vAlign w:val="center"/>
                </w:tcPr>
                <w:p>
                  <w:pPr>
                    <w:pStyle w:val="29"/>
                    <w:widowControl w:val="0"/>
                    <w:bidi w:val="0"/>
                    <w:rPr>
                      <w:rFonts w:hint="default"/>
                      <w:b/>
                      <w:bCs/>
                    </w:rPr>
                  </w:pPr>
                  <w:r>
                    <w:rPr>
                      <w:rFonts w:hint="default"/>
                      <w:b/>
                      <w:bCs/>
                    </w:rPr>
                    <w:t>监测点位</w:t>
                  </w:r>
                </w:p>
              </w:tc>
              <w:tc>
                <w:tcPr>
                  <w:tcW w:w="769" w:type="pct"/>
                  <w:tcBorders>
                    <w:bottom w:val="single" w:color="000000" w:sz="12" w:space="0"/>
                  </w:tcBorders>
                  <w:noWrap w:val="0"/>
                  <w:vAlign w:val="center"/>
                </w:tcPr>
                <w:p>
                  <w:pPr>
                    <w:pStyle w:val="29"/>
                    <w:widowControl w:val="0"/>
                    <w:bidi w:val="0"/>
                    <w:rPr>
                      <w:rFonts w:hint="default"/>
                      <w:b/>
                      <w:bCs/>
                    </w:rPr>
                  </w:pPr>
                  <w:r>
                    <w:rPr>
                      <w:rFonts w:hint="default"/>
                      <w:b/>
                      <w:bCs/>
                    </w:rPr>
                    <w:t>采样日期</w:t>
                  </w:r>
                </w:p>
              </w:tc>
              <w:tc>
                <w:tcPr>
                  <w:tcW w:w="774" w:type="pct"/>
                  <w:tcBorders>
                    <w:bottom w:val="single" w:color="000000" w:sz="12" w:space="0"/>
                  </w:tcBorders>
                  <w:noWrap w:val="0"/>
                  <w:vAlign w:val="center"/>
                </w:tcPr>
                <w:p>
                  <w:pPr>
                    <w:pStyle w:val="29"/>
                    <w:widowControl w:val="0"/>
                    <w:bidi w:val="0"/>
                    <w:rPr>
                      <w:rFonts w:hint="eastAsia" w:eastAsia="宋体"/>
                      <w:b/>
                      <w:bCs/>
                      <w:lang w:eastAsia="zh-CN"/>
                    </w:rPr>
                  </w:pPr>
                  <w:r>
                    <w:rPr>
                      <w:rFonts w:hint="eastAsia"/>
                      <w:b/>
                      <w:bCs/>
                      <w:lang w:val="en-US" w:eastAsia="zh-CN"/>
                    </w:rPr>
                    <w:t>氨（mg/m</w:t>
                  </w:r>
                  <w:r>
                    <w:rPr>
                      <w:rFonts w:hint="eastAsia"/>
                      <w:b/>
                      <w:bCs/>
                      <w:vertAlign w:val="superscript"/>
                      <w:lang w:val="en-US" w:eastAsia="zh-CN"/>
                    </w:rPr>
                    <w:t>3</w:t>
                  </w:r>
                  <w:r>
                    <w:rPr>
                      <w:rFonts w:hint="eastAsia"/>
                      <w:b/>
                      <w:bCs/>
                      <w:lang w:val="en-US" w:eastAsia="zh-CN"/>
                    </w:rPr>
                    <w:t>）</w:t>
                  </w:r>
                </w:p>
              </w:tc>
              <w:tc>
                <w:tcPr>
                  <w:tcW w:w="750" w:type="pct"/>
                  <w:tcBorders>
                    <w:bottom w:val="single" w:color="000000" w:sz="12" w:space="0"/>
                  </w:tcBorders>
                  <w:noWrap w:val="0"/>
                  <w:vAlign w:val="center"/>
                </w:tcPr>
                <w:p>
                  <w:pPr>
                    <w:pStyle w:val="29"/>
                    <w:widowControl w:val="0"/>
                    <w:bidi w:val="0"/>
                    <w:rPr>
                      <w:rFonts w:hint="default"/>
                      <w:b/>
                      <w:bCs/>
                    </w:rPr>
                  </w:pPr>
                  <w:r>
                    <w:rPr>
                      <w:rFonts w:hint="default"/>
                      <w:b/>
                      <w:bCs/>
                    </w:rPr>
                    <w:t>最大占标率（%）</w:t>
                  </w:r>
                </w:p>
              </w:tc>
              <w:tc>
                <w:tcPr>
                  <w:tcW w:w="987" w:type="pct"/>
                  <w:tcBorders>
                    <w:bottom w:val="single" w:color="000000" w:sz="12" w:space="0"/>
                  </w:tcBorders>
                  <w:noWrap w:val="0"/>
                  <w:vAlign w:val="center"/>
                </w:tcPr>
                <w:p>
                  <w:pPr>
                    <w:pStyle w:val="29"/>
                    <w:widowControl w:val="0"/>
                    <w:bidi w:val="0"/>
                    <w:rPr>
                      <w:rFonts w:hint="eastAsia" w:eastAsia="宋体"/>
                      <w:b/>
                      <w:bCs/>
                      <w:lang w:val="en-US" w:eastAsia="zh-CN"/>
                    </w:rPr>
                  </w:pPr>
                  <w:r>
                    <w:rPr>
                      <w:rFonts w:hint="eastAsia"/>
                      <w:b/>
                      <w:bCs/>
                      <w:lang w:val="en-US" w:eastAsia="zh-CN"/>
                    </w:rPr>
                    <w:t>硫化氢（mg/m</w:t>
                  </w:r>
                  <w:r>
                    <w:rPr>
                      <w:rFonts w:hint="eastAsia"/>
                      <w:b/>
                      <w:bCs/>
                      <w:vertAlign w:val="superscript"/>
                      <w:lang w:val="en-US" w:eastAsia="zh-CN"/>
                    </w:rPr>
                    <w:t>3</w:t>
                  </w:r>
                  <w:r>
                    <w:rPr>
                      <w:rFonts w:hint="eastAsia"/>
                      <w:b/>
                      <w:bCs/>
                      <w:lang w:val="en-US" w:eastAsia="zh-CN"/>
                    </w:rPr>
                    <w:t>）</w:t>
                  </w:r>
                </w:p>
              </w:tc>
              <w:tc>
                <w:tcPr>
                  <w:tcW w:w="696" w:type="pct"/>
                  <w:tcBorders>
                    <w:bottom w:val="single" w:color="000000" w:sz="12" w:space="0"/>
                  </w:tcBorders>
                  <w:noWrap w:val="0"/>
                  <w:vAlign w:val="center"/>
                </w:tcPr>
                <w:p>
                  <w:pPr>
                    <w:pStyle w:val="29"/>
                    <w:widowControl w:val="0"/>
                    <w:bidi w:val="0"/>
                    <w:rPr>
                      <w:rFonts w:hint="default"/>
                      <w:b/>
                      <w:bCs/>
                    </w:rPr>
                  </w:pPr>
                  <w:r>
                    <w:rPr>
                      <w:rFonts w:hint="default"/>
                      <w:b/>
                      <w:bCs/>
                    </w:rPr>
                    <w:t>最大占标率（%）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restart"/>
                  <w:tcBorders>
                    <w:top w:val="single" w:color="000000" w:sz="12" w:space="0"/>
                  </w:tcBorders>
                  <w:noWrap w:val="0"/>
                  <w:vAlign w:val="center"/>
                </w:tcPr>
                <w:p>
                  <w:pPr>
                    <w:pStyle w:val="29"/>
                    <w:widowControl w:val="0"/>
                    <w:bidi w:val="0"/>
                    <w:rPr>
                      <w:rFonts w:hint="default"/>
                      <w:lang w:val="en-US" w:eastAsia="zh-CN"/>
                    </w:rPr>
                  </w:pPr>
                  <w:r>
                    <w:rPr>
                      <w:rFonts w:hint="eastAsia"/>
                      <w:lang w:val="en-US" w:eastAsia="zh-CN"/>
                    </w:rPr>
                    <w:t>项目区东侧（下风向）N44°12′19.61″E87°20′56.71″</w:t>
                  </w:r>
                </w:p>
              </w:tc>
              <w:tc>
                <w:tcPr>
                  <w:tcW w:w="769" w:type="pct"/>
                  <w:vMerge w:val="restart"/>
                  <w:tcBorders>
                    <w:top w:val="single" w:color="000000" w:sz="12" w:space="0"/>
                  </w:tcBorders>
                  <w:noWrap w:val="0"/>
                  <w:vAlign w:val="center"/>
                </w:tcPr>
                <w:p>
                  <w:pPr>
                    <w:pStyle w:val="29"/>
                    <w:widowControl w:val="0"/>
                    <w:bidi w:val="0"/>
                    <w:rPr>
                      <w:rFonts w:hint="default"/>
                      <w:lang w:val="en-US" w:eastAsia="zh-CN"/>
                    </w:rPr>
                  </w:pPr>
                  <w:r>
                    <w:rPr>
                      <w:rFonts w:hint="eastAsia"/>
                      <w:lang w:val="en-US" w:eastAsia="zh-CN"/>
                    </w:rPr>
                    <w:t>8月18日</w:t>
                  </w:r>
                </w:p>
              </w:tc>
              <w:tc>
                <w:tcPr>
                  <w:tcW w:w="774" w:type="pct"/>
                  <w:tcBorders>
                    <w:top w:val="single" w:color="000000" w:sz="12" w:space="0"/>
                    <w:bottom w:val="single" w:color="000000" w:sz="4" w:space="0"/>
                  </w:tcBorders>
                  <w:noWrap w:val="0"/>
                  <w:vAlign w:val="center"/>
                </w:tcPr>
                <w:p>
                  <w:pPr>
                    <w:pStyle w:val="29"/>
                    <w:widowControl w:val="0"/>
                    <w:bidi w:val="0"/>
                    <w:rPr>
                      <w:rFonts w:hint="default"/>
                      <w:lang w:val="en-US" w:eastAsia="zh-CN"/>
                    </w:rPr>
                  </w:pPr>
                  <w:r>
                    <w:rPr>
                      <w:rFonts w:hint="eastAsia"/>
                      <w:lang w:val="en-US" w:eastAsia="zh-CN"/>
                    </w:rPr>
                    <w:t>0.03</w:t>
                  </w:r>
                </w:p>
              </w:tc>
              <w:tc>
                <w:tcPr>
                  <w:tcW w:w="750" w:type="pct"/>
                  <w:tcBorders>
                    <w:top w:val="single" w:color="000000" w:sz="12" w:space="0"/>
                    <w:bottom w:val="single" w:color="000000" w:sz="4" w:space="0"/>
                  </w:tcBorders>
                  <w:noWrap w:val="0"/>
                  <w:vAlign w:val="center"/>
                </w:tcPr>
                <w:p>
                  <w:pPr>
                    <w:pStyle w:val="29"/>
                    <w:widowControl w:val="0"/>
                    <w:bidi w:val="0"/>
                    <w:rPr>
                      <w:rFonts w:hint="default" w:eastAsia="宋体"/>
                      <w:lang w:val="en-US" w:eastAsia="zh-CN"/>
                    </w:rPr>
                  </w:pPr>
                  <w:r>
                    <w:rPr>
                      <w:rFonts w:hint="eastAsia"/>
                      <w:lang w:val="en-US" w:eastAsia="zh-CN"/>
                    </w:rPr>
                    <w:t>0.15</w:t>
                  </w:r>
                </w:p>
              </w:tc>
              <w:tc>
                <w:tcPr>
                  <w:tcW w:w="987" w:type="pct"/>
                  <w:tcBorders>
                    <w:top w:val="single" w:color="000000" w:sz="12" w:space="0"/>
                    <w:bottom w:val="single" w:color="000000" w:sz="4" w:space="0"/>
                  </w:tcBorders>
                  <w:noWrap w:val="0"/>
                  <w:vAlign w:val="center"/>
                </w:tcPr>
                <w:p>
                  <w:pPr>
                    <w:pStyle w:val="29"/>
                    <w:widowControl w:val="0"/>
                    <w:bidi w:val="0"/>
                    <w:rPr>
                      <w:rFonts w:hint="default"/>
                      <w:lang w:val="en-US" w:eastAsia="zh-CN"/>
                    </w:rPr>
                  </w:pPr>
                  <w:r>
                    <w:rPr>
                      <w:rFonts w:hint="eastAsia"/>
                      <w:lang w:val="en-US" w:eastAsia="zh-CN"/>
                    </w:rPr>
                    <w:t>＜0.005</w:t>
                  </w:r>
                </w:p>
              </w:tc>
              <w:tc>
                <w:tcPr>
                  <w:tcW w:w="696" w:type="pct"/>
                  <w:tcBorders>
                    <w:top w:val="single" w:color="000000" w:sz="12" w:space="0"/>
                    <w:bottom w:val="single" w:color="000000" w:sz="4" w:space="0"/>
                  </w:tcBorders>
                  <w:noWrap w:val="0"/>
                  <w:vAlign w:val="center"/>
                </w:tcPr>
                <w:p>
                  <w:pPr>
                    <w:pStyle w:val="29"/>
                    <w:widowControl w:val="0"/>
                    <w:bidi w:val="0"/>
                    <w:rPr>
                      <w:rFonts w:hint="default" w:eastAsia="宋体"/>
                      <w:lang w:val="en-US" w:eastAsia="zh-CN"/>
                    </w:rPr>
                  </w:pPr>
                  <w:r>
                    <w:rPr>
                      <w:rFonts w:hint="eastAsia"/>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020" w:type="pct"/>
                  <w:vMerge w:val="continue"/>
                  <w:noWrap w:val="0"/>
                  <w:vAlign w:val="center"/>
                </w:tcPr>
                <w:p>
                  <w:pPr>
                    <w:pStyle w:val="29"/>
                    <w:widowControl w:val="0"/>
                    <w:bidi w:val="0"/>
                    <w:rPr>
                      <w:rFonts w:hint="eastAsia"/>
                      <w:lang w:val="en-US" w:eastAsia="zh-CN"/>
                    </w:rPr>
                  </w:pPr>
                </w:p>
              </w:tc>
              <w:tc>
                <w:tcPr>
                  <w:tcW w:w="769" w:type="pct"/>
                  <w:vMerge w:val="continue"/>
                  <w:noWrap w:val="0"/>
                  <w:vAlign w:val="center"/>
                </w:tcPr>
                <w:p>
                  <w:pPr>
                    <w:pStyle w:val="29"/>
                    <w:widowControl w:val="0"/>
                    <w:bidi w:val="0"/>
                    <w:rPr>
                      <w:rFonts w:hint="default"/>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noWrap w:val="0"/>
                  <w:vAlign w:val="center"/>
                </w:tcPr>
                <w:p>
                  <w:pPr>
                    <w:pStyle w:val="29"/>
                    <w:widowControl w:val="0"/>
                    <w:bidi w:val="0"/>
                    <w:rPr>
                      <w:rFonts w:hint="default"/>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eastAsia" w:eastAsia="宋体"/>
                      <w:lang w:val="en-US" w:eastAsia="zh-CN"/>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tcBorders>
                    <w:bottom w:val="single" w:color="000000" w:sz="4" w:space="0"/>
                  </w:tcBorders>
                  <w:noWrap w:val="0"/>
                  <w:vAlign w:val="center"/>
                </w:tcPr>
                <w:p>
                  <w:pPr>
                    <w:pStyle w:val="29"/>
                    <w:widowControl w:val="0"/>
                    <w:bidi w:val="0"/>
                    <w:rPr>
                      <w:rFonts w:hint="eastAsia"/>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restart"/>
                  <w:tcBorders>
                    <w:top w:val="single" w:color="000000" w:sz="4" w:space="0"/>
                  </w:tcBorders>
                  <w:noWrap w:val="0"/>
                  <w:vAlign w:val="center"/>
                </w:tcPr>
                <w:p>
                  <w:pPr>
                    <w:pStyle w:val="29"/>
                    <w:widowControl w:val="0"/>
                    <w:bidi w:val="0"/>
                    <w:rPr>
                      <w:rFonts w:hint="eastAsia"/>
                      <w:lang w:val="en-US" w:eastAsia="zh-CN"/>
                    </w:rPr>
                  </w:pPr>
                  <w:r>
                    <w:rPr>
                      <w:rFonts w:hint="eastAsia"/>
                      <w:lang w:val="en-US" w:eastAsia="zh-CN"/>
                    </w:rPr>
                    <w:t>8月19日</w:t>
                  </w: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noWrap w:val="0"/>
                  <w:vAlign w:val="center"/>
                </w:tcPr>
                <w:p>
                  <w:pPr>
                    <w:pStyle w:val="29"/>
                    <w:widowControl w:val="0"/>
                    <w:bidi w:val="0"/>
                    <w:rPr>
                      <w:rFonts w:hint="eastAsia"/>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noWrap w:val="0"/>
                  <w:vAlign w:val="center"/>
                </w:tcPr>
                <w:p>
                  <w:pPr>
                    <w:pStyle w:val="29"/>
                    <w:widowControl w:val="0"/>
                    <w:bidi w:val="0"/>
                    <w:rPr>
                      <w:rFonts w:hint="eastAsia"/>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tcBorders>
                    <w:bottom w:val="single" w:color="000000" w:sz="4" w:space="0"/>
                  </w:tcBorders>
                  <w:noWrap w:val="0"/>
                  <w:vAlign w:val="center"/>
                </w:tcPr>
                <w:p>
                  <w:pPr>
                    <w:pStyle w:val="29"/>
                    <w:widowControl w:val="0"/>
                    <w:bidi w:val="0"/>
                    <w:rPr>
                      <w:rFonts w:hint="eastAsia"/>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restart"/>
                  <w:tcBorders>
                    <w:top w:val="single" w:color="000000" w:sz="4" w:space="0"/>
                  </w:tcBorders>
                  <w:noWrap w:val="0"/>
                  <w:vAlign w:val="center"/>
                </w:tcPr>
                <w:p>
                  <w:pPr>
                    <w:pStyle w:val="29"/>
                    <w:widowControl w:val="0"/>
                    <w:bidi w:val="0"/>
                    <w:rPr>
                      <w:rFonts w:hint="eastAsia"/>
                      <w:lang w:val="en-US" w:eastAsia="zh-CN"/>
                    </w:rPr>
                  </w:pPr>
                  <w:r>
                    <w:rPr>
                      <w:rFonts w:hint="eastAsia"/>
                      <w:lang w:val="en-US" w:eastAsia="zh-CN"/>
                    </w:rPr>
                    <w:t>8月20日</w:t>
                  </w: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noWrap w:val="0"/>
                  <w:vAlign w:val="center"/>
                </w:tcPr>
                <w:p>
                  <w:pPr>
                    <w:pStyle w:val="29"/>
                    <w:widowControl w:val="0"/>
                    <w:bidi w:val="0"/>
                    <w:rPr>
                      <w:rFonts w:hint="eastAsia"/>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noWrap w:val="0"/>
                  <w:vAlign w:val="center"/>
                </w:tcPr>
                <w:p>
                  <w:pPr>
                    <w:pStyle w:val="29"/>
                    <w:widowControl w:val="0"/>
                    <w:bidi w:val="0"/>
                    <w:rPr>
                      <w:rFonts w:hint="eastAsia"/>
                      <w:lang w:val="en-US" w:eastAsia="zh-CN"/>
                    </w:rPr>
                  </w:pPr>
                </w:p>
              </w:tc>
              <w:tc>
                <w:tcPr>
                  <w:tcW w:w="769" w:type="pct"/>
                  <w:vMerge w:val="continue"/>
                  <w:noWrap w:val="0"/>
                  <w:vAlign w:val="center"/>
                </w:tcPr>
                <w:p>
                  <w:pPr>
                    <w:pStyle w:val="29"/>
                    <w:widowControl w:val="0"/>
                    <w:bidi w:val="0"/>
                    <w:rPr>
                      <w:rFonts w:hint="eastAsia"/>
                      <w:lang w:val="en-US" w:eastAsia="zh-CN"/>
                    </w:rPr>
                  </w:pPr>
                </w:p>
              </w:tc>
              <w:tc>
                <w:tcPr>
                  <w:tcW w:w="774"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000000" w:sz="4" w:space="0"/>
                  </w:tcBorders>
                  <w:noWrap w:val="0"/>
                  <w:vAlign w:val="center"/>
                </w:tcPr>
                <w:p>
                  <w:pPr>
                    <w:pStyle w:val="29"/>
                    <w:widowControl w:val="0"/>
                    <w:bidi w:val="0"/>
                    <w:rPr>
                      <w:rFonts w:hint="default"/>
                    </w:rPr>
                  </w:pPr>
                  <w:r>
                    <w:rPr>
                      <w:rFonts w:hint="eastAsia"/>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020" w:type="pct"/>
                  <w:vMerge w:val="continue"/>
                  <w:tcBorders>
                    <w:bottom w:val="single" w:color="auto" w:sz="12" w:space="0"/>
                  </w:tcBorders>
                  <w:noWrap w:val="0"/>
                  <w:vAlign w:val="center"/>
                </w:tcPr>
                <w:p>
                  <w:pPr>
                    <w:pStyle w:val="29"/>
                    <w:widowControl w:val="0"/>
                    <w:bidi w:val="0"/>
                    <w:rPr>
                      <w:rFonts w:hint="eastAsia"/>
                      <w:lang w:val="en-US" w:eastAsia="zh-CN"/>
                    </w:rPr>
                  </w:pPr>
                </w:p>
              </w:tc>
              <w:tc>
                <w:tcPr>
                  <w:tcW w:w="769" w:type="pct"/>
                  <w:vMerge w:val="continue"/>
                  <w:tcBorders>
                    <w:bottom w:val="single" w:color="auto" w:sz="12" w:space="0"/>
                  </w:tcBorders>
                  <w:noWrap w:val="0"/>
                  <w:vAlign w:val="center"/>
                </w:tcPr>
                <w:p>
                  <w:pPr>
                    <w:pStyle w:val="29"/>
                    <w:widowControl w:val="0"/>
                    <w:bidi w:val="0"/>
                    <w:rPr>
                      <w:rFonts w:hint="eastAsia"/>
                      <w:lang w:val="en-US" w:eastAsia="zh-CN"/>
                    </w:rPr>
                  </w:pPr>
                </w:p>
              </w:tc>
              <w:tc>
                <w:tcPr>
                  <w:tcW w:w="774" w:type="pct"/>
                  <w:tcBorders>
                    <w:top w:val="single" w:color="000000" w:sz="4" w:space="0"/>
                    <w:bottom w:val="single" w:color="auto" w:sz="12" w:space="0"/>
                  </w:tcBorders>
                  <w:noWrap w:val="0"/>
                  <w:vAlign w:val="center"/>
                </w:tcPr>
                <w:p>
                  <w:pPr>
                    <w:pStyle w:val="29"/>
                    <w:widowControl w:val="0"/>
                    <w:bidi w:val="0"/>
                    <w:rPr>
                      <w:rFonts w:hint="default"/>
                    </w:rPr>
                  </w:pPr>
                  <w:r>
                    <w:rPr>
                      <w:rFonts w:hint="eastAsia"/>
                      <w:lang w:val="en-US" w:eastAsia="zh-CN"/>
                    </w:rPr>
                    <w:t>0.03</w:t>
                  </w:r>
                </w:p>
              </w:tc>
              <w:tc>
                <w:tcPr>
                  <w:tcW w:w="750" w:type="pct"/>
                  <w:tcBorders>
                    <w:top w:val="single" w:color="000000" w:sz="4" w:space="0"/>
                    <w:bottom w:val="single" w:color="auto" w:sz="12" w:space="0"/>
                  </w:tcBorders>
                  <w:noWrap w:val="0"/>
                  <w:vAlign w:val="center"/>
                </w:tcPr>
                <w:p>
                  <w:pPr>
                    <w:pStyle w:val="29"/>
                    <w:widowControl w:val="0"/>
                    <w:bidi w:val="0"/>
                    <w:rPr>
                      <w:rFonts w:hint="default"/>
                    </w:rPr>
                  </w:pPr>
                  <w:r>
                    <w:rPr>
                      <w:rFonts w:hint="eastAsia"/>
                      <w:lang w:val="en-US" w:eastAsia="zh-CN"/>
                    </w:rPr>
                    <w:t>0.15</w:t>
                  </w:r>
                </w:p>
              </w:tc>
              <w:tc>
                <w:tcPr>
                  <w:tcW w:w="987" w:type="pct"/>
                  <w:tcBorders>
                    <w:top w:val="single" w:color="000000" w:sz="4" w:space="0"/>
                    <w:bottom w:val="single" w:color="auto" w:sz="12" w:space="0"/>
                  </w:tcBorders>
                  <w:noWrap w:val="0"/>
                  <w:vAlign w:val="center"/>
                </w:tcPr>
                <w:p>
                  <w:pPr>
                    <w:pStyle w:val="29"/>
                    <w:widowControl w:val="0"/>
                    <w:bidi w:val="0"/>
                    <w:rPr>
                      <w:rFonts w:hint="default"/>
                    </w:rPr>
                  </w:pPr>
                  <w:r>
                    <w:rPr>
                      <w:rFonts w:hint="eastAsia"/>
                      <w:lang w:val="en-US" w:eastAsia="zh-CN"/>
                    </w:rPr>
                    <w:t>0.005</w:t>
                  </w:r>
                </w:p>
              </w:tc>
              <w:tc>
                <w:tcPr>
                  <w:tcW w:w="696" w:type="pct"/>
                  <w:tcBorders>
                    <w:top w:val="single" w:color="000000" w:sz="4" w:space="0"/>
                    <w:bottom w:val="single" w:color="auto" w:sz="12" w:space="0"/>
                  </w:tcBorders>
                  <w:noWrap w:val="0"/>
                  <w:vAlign w:val="center"/>
                </w:tcPr>
                <w:p>
                  <w:pPr>
                    <w:pStyle w:val="29"/>
                    <w:widowControl w:val="0"/>
                    <w:bidi w:val="0"/>
                    <w:rPr>
                      <w:rFonts w:hint="default"/>
                    </w:rPr>
                  </w:pPr>
                  <w:r>
                    <w:rPr>
                      <w:rFonts w:hint="eastAsia"/>
                      <w:lang w:val="en-US" w:eastAsia="zh-CN"/>
                    </w:rPr>
                    <w:t>0.5</w:t>
                  </w:r>
                </w:p>
              </w:tc>
            </w:tr>
          </w:tbl>
          <w:p>
            <w:pPr>
              <w:pStyle w:val="18"/>
              <w:bidi w:val="0"/>
              <w:rPr>
                <w:rFonts w:hint="default"/>
                <w:lang w:val="en-US" w:eastAsia="zh-CN"/>
              </w:rPr>
            </w:pPr>
            <w:r>
              <w:rPr>
                <w:rFonts w:hint="eastAsia"/>
                <w:lang w:val="en-US" w:eastAsia="zh-CN"/>
              </w:rPr>
              <w:t xml:space="preserve">由表 </w:t>
            </w:r>
            <w:r>
              <w:rPr>
                <w:rFonts w:hint="default"/>
                <w:lang w:val="en-US" w:eastAsia="zh-CN"/>
              </w:rPr>
              <w:t>3-</w:t>
            </w:r>
            <w:r>
              <w:rPr>
                <w:rFonts w:hint="eastAsia"/>
                <w:lang w:val="en-US" w:eastAsia="zh-CN"/>
              </w:rPr>
              <w:t>2</w:t>
            </w:r>
            <w:r>
              <w:rPr>
                <w:rFonts w:hint="default"/>
                <w:lang w:val="en-US" w:eastAsia="zh-CN"/>
              </w:rPr>
              <w:t xml:space="preserve"> </w:t>
            </w:r>
            <w:r>
              <w:rPr>
                <w:rFonts w:hint="eastAsia"/>
                <w:lang w:val="en-US" w:eastAsia="zh-CN"/>
              </w:rPr>
              <w:t xml:space="preserve">可见，项目厂址的 </w:t>
            </w:r>
            <w:r>
              <w:rPr>
                <w:rFonts w:hint="default"/>
                <w:lang w:val="en-US" w:eastAsia="zh-CN"/>
              </w:rPr>
              <w:t>H</w:t>
            </w:r>
            <w:r>
              <w:rPr>
                <w:rFonts w:hint="default"/>
                <w:vertAlign w:val="subscript"/>
                <w:lang w:val="en-US" w:eastAsia="zh-CN"/>
              </w:rPr>
              <w:t>2</w:t>
            </w:r>
            <w:r>
              <w:rPr>
                <w:rFonts w:hint="default"/>
                <w:lang w:val="en-US" w:eastAsia="zh-CN"/>
              </w:rPr>
              <w:t>S</w:t>
            </w:r>
            <w:r>
              <w:rPr>
                <w:rFonts w:hint="eastAsia"/>
                <w:lang w:val="en-US" w:eastAsia="zh-CN"/>
              </w:rPr>
              <w:t>、</w:t>
            </w:r>
            <w:r>
              <w:rPr>
                <w:rFonts w:hint="default"/>
                <w:lang w:val="en-US" w:eastAsia="zh-CN"/>
              </w:rPr>
              <w:t>NH</w:t>
            </w:r>
            <w:r>
              <w:rPr>
                <w:rFonts w:hint="default"/>
                <w:vertAlign w:val="subscript"/>
                <w:lang w:val="en-US" w:eastAsia="zh-CN"/>
              </w:rPr>
              <w:t>3</w:t>
            </w:r>
            <w:r>
              <w:rPr>
                <w:rFonts w:hint="default"/>
                <w:lang w:val="en-US" w:eastAsia="zh-CN"/>
              </w:rPr>
              <w:t xml:space="preserve"> </w:t>
            </w:r>
            <w:r>
              <w:rPr>
                <w:rFonts w:hint="eastAsia"/>
                <w:lang w:val="en-US" w:eastAsia="zh-CN"/>
              </w:rPr>
              <w:t>满足《环境影响评价技术导则大气环境》（</w:t>
            </w:r>
            <w:r>
              <w:rPr>
                <w:rFonts w:hint="default"/>
                <w:lang w:val="en-US" w:eastAsia="zh-CN"/>
              </w:rPr>
              <w:t>HJ2.2-2018</w:t>
            </w:r>
            <w:r>
              <w:rPr>
                <w:rFonts w:hint="eastAsia"/>
                <w:lang w:val="en-US" w:eastAsia="zh-CN"/>
              </w:rPr>
              <w:t xml:space="preserve">）附录 </w:t>
            </w:r>
            <w:r>
              <w:rPr>
                <w:rFonts w:hint="default"/>
                <w:lang w:val="en-US" w:eastAsia="zh-CN"/>
              </w:rPr>
              <w:t xml:space="preserve">D </w:t>
            </w:r>
            <w:r>
              <w:rPr>
                <w:rFonts w:hint="eastAsia"/>
                <w:lang w:val="en-US" w:eastAsia="zh-CN"/>
              </w:rPr>
              <w:t>中其他污染物空气质量浓度参考限制，因此，项目所在区域环境空气质量较好，满足环境空气功能区标准要求。</w:t>
            </w:r>
          </w:p>
          <w:p>
            <w:pPr>
              <w:pStyle w:val="5"/>
              <w:bidi w:val="0"/>
              <w:rPr>
                <w:rFonts w:hint="default"/>
                <w:color w:val="auto"/>
              </w:rPr>
            </w:pPr>
            <w:r>
              <w:rPr>
                <w:rFonts w:hint="default"/>
                <w:color w:val="auto"/>
              </w:rPr>
              <w:t>2</w:t>
            </w:r>
            <w:r>
              <w:rPr>
                <w:rFonts w:hint="default"/>
                <w:color w:val="auto"/>
                <w:lang w:eastAsia="zh-CN"/>
              </w:rPr>
              <w:t>.</w:t>
            </w:r>
            <w:r>
              <w:rPr>
                <w:rFonts w:hint="default"/>
                <w:color w:val="auto"/>
                <w:lang w:val="en-US" w:eastAsia="zh-CN"/>
              </w:rPr>
              <w:t xml:space="preserve"> </w:t>
            </w:r>
            <w:r>
              <w:rPr>
                <w:rFonts w:hint="default"/>
                <w:color w:val="auto"/>
              </w:rPr>
              <w:t>地表水环境质量现状调查与评价</w:t>
            </w:r>
          </w:p>
          <w:p>
            <w:pPr>
              <w:pStyle w:val="18"/>
              <w:bidi w:val="0"/>
              <w:rPr>
                <w:rFonts w:hint="eastAsia"/>
                <w:color w:val="auto"/>
              </w:rPr>
            </w:pPr>
            <w:r>
              <w:rPr>
                <w:rFonts w:hint="eastAsia"/>
                <w:color w:val="auto"/>
                <w:lang w:eastAsia="zh-CN"/>
              </w:rPr>
              <w:t>根据《环境影响评价技术导则</w:t>
            </w:r>
            <w:r>
              <w:rPr>
                <w:rFonts w:hint="eastAsia"/>
                <w:color w:val="auto"/>
                <w:lang w:val="en-US" w:eastAsia="zh-CN"/>
              </w:rPr>
              <w:t xml:space="preserve"> 地表水环境</w:t>
            </w:r>
            <w:r>
              <w:rPr>
                <w:rFonts w:hint="eastAsia"/>
                <w:color w:val="auto"/>
                <w:lang w:eastAsia="zh-CN"/>
              </w:rPr>
              <w:t>》（</w:t>
            </w:r>
            <w:r>
              <w:rPr>
                <w:rFonts w:hint="eastAsia"/>
                <w:color w:val="auto"/>
                <w:lang w:val="en-US" w:eastAsia="zh-CN"/>
              </w:rPr>
              <w:t>HJ2.3-2018</w:t>
            </w:r>
            <w:r>
              <w:rPr>
                <w:rFonts w:hint="eastAsia"/>
                <w:color w:val="auto"/>
                <w:lang w:eastAsia="zh-CN"/>
              </w:rPr>
              <w:t>）</w:t>
            </w:r>
            <w:r>
              <w:rPr>
                <w:rFonts w:hint="eastAsia"/>
                <w:color w:val="auto"/>
                <w:lang w:val="en-US" w:eastAsia="zh-CN"/>
              </w:rPr>
              <w:t>，本项目运营期生产废水与生活污水由吸污车拉运至昌吉市生活垃圾填埋场，评价等级为三级B，</w:t>
            </w:r>
            <w:r>
              <w:rPr>
                <w:rFonts w:hint="eastAsia"/>
                <w:color w:val="auto"/>
                <w:lang w:eastAsia="zh-CN"/>
              </w:rPr>
              <w:t>且本项目不与地表水直接接触，</w:t>
            </w:r>
            <w:r>
              <w:rPr>
                <w:rFonts w:hint="eastAsia"/>
                <w:color w:val="auto"/>
              </w:rPr>
              <w:t>不开展区域污染源调查，故本次评价不对地表水环境影响进行定量评价。</w:t>
            </w:r>
          </w:p>
          <w:p>
            <w:pPr>
              <w:pStyle w:val="5"/>
              <w:bidi w:val="0"/>
              <w:rPr>
                <w:rFonts w:hint="default"/>
                <w:color w:val="auto"/>
              </w:rPr>
            </w:pPr>
            <w:r>
              <w:rPr>
                <w:rFonts w:hint="eastAsia"/>
                <w:color w:val="auto"/>
                <w:lang w:val="en-US" w:eastAsia="zh-CN"/>
              </w:rPr>
              <w:t xml:space="preserve">3. </w:t>
            </w:r>
            <w:r>
              <w:rPr>
                <w:rFonts w:hint="default"/>
                <w:color w:val="auto"/>
              </w:rPr>
              <w:t>声环境质量现状及分析</w:t>
            </w:r>
          </w:p>
          <w:p>
            <w:pPr>
              <w:pStyle w:val="18"/>
              <w:bidi w:val="0"/>
              <w:rPr>
                <w:rFonts w:hint="default"/>
                <w:color w:val="auto"/>
                <w:lang w:val="en-US" w:eastAsia="zh-CN"/>
              </w:rPr>
            </w:pPr>
            <w:r>
              <w:rPr>
                <w:rFonts w:hint="eastAsia"/>
                <w:color w:val="auto"/>
                <w:lang w:val="en-US" w:eastAsia="zh-CN"/>
              </w:rPr>
              <w:t>本项目位于新疆昌吉市佃坝镇县道122西侧，</w:t>
            </w:r>
            <w:r>
              <w:rPr>
                <w:rFonts w:hint="default"/>
                <w:color w:val="auto"/>
                <w:lang w:val="en-US" w:eastAsia="zh-CN"/>
              </w:rPr>
              <w:t>项目区东侧为</w:t>
            </w:r>
            <w:r>
              <w:rPr>
                <w:rFonts w:hint="eastAsia"/>
                <w:color w:val="auto"/>
                <w:lang w:val="en-US" w:eastAsia="zh-CN"/>
              </w:rPr>
              <w:t>县道122</w:t>
            </w:r>
            <w:r>
              <w:rPr>
                <w:rFonts w:hint="default"/>
                <w:color w:val="auto"/>
                <w:lang w:val="en-US" w:eastAsia="zh-CN"/>
              </w:rPr>
              <w:t>，南侧为</w:t>
            </w:r>
            <w:r>
              <w:rPr>
                <w:rFonts w:hint="eastAsia"/>
                <w:color w:val="auto"/>
                <w:lang w:val="en-US" w:eastAsia="zh-CN"/>
              </w:rPr>
              <w:t>农田</w:t>
            </w:r>
            <w:r>
              <w:rPr>
                <w:rFonts w:hint="default"/>
                <w:color w:val="auto"/>
                <w:lang w:val="en-US" w:eastAsia="zh-CN"/>
              </w:rPr>
              <w:t>，西侧</w:t>
            </w:r>
            <w:r>
              <w:rPr>
                <w:rFonts w:hint="eastAsia"/>
                <w:color w:val="auto"/>
                <w:lang w:val="en-US" w:eastAsia="zh-CN"/>
              </w:rPr>
              <w:t>空地、</w:t>
            </w:r>
            <w:r>
              <w:rPr>
                <w:rFonts w:hint="default"/>
                <w:color w:val="auto"/>
                <w:lang w:val="en-US" w:eastAsia="zh-CN"/>
              </w:rPr>
              <w:t>北侧为</w:t>
            </w:r>
            <w:r>
              <w:rPr>
                <w:rFonts w:hint="eastAsia"/>
                <w:color w:val="auto"/>
                <w:lang w:val="en-US" w:eastAsia="zh-CN"/>
              </w:rPr>
              <w:t>农田</w:t>
            </w:r>
            <w:r>
              <w:rPr>
                <w:rFonts w:hint="default"/>
                <w:color w:val="auto"/>
                <w:lang w:val="en-US" w:eastAsia="zh-CN"/>
              </w:rPr>
              <w:t>。</w:t>
            </w:r>
            <w:r>
              <w:rPr>
                <w:rFonts w:hint="eastAsia"/>
                <w:color w:val="auto"/>
                <w:lang w:val="en-US" w:eastAsia="zh-CN"/>
              </w:rPr>
              <w:t>根据《建设项目环境影响报告表编制技术指南》（污染影响类）（试行）环办环评[2020]33号（1），且本项目厂界外周边50米范围内不存在声环境保护目标的建设项目，</w:t>
            </w:r>
            <w:r>
              <w:rPr>
                <w:rFonts w:hint="eastAsia"/>
                <w:color w:val="auto"/>
              </w:rPr>
              <w:t>故本次评价不对</w:t>
            </w:r>
            <w:r>
              <w:rPr>
                <w:rFonts w:hint="eastAsia"/>
                <w:color w:val="auto"/>
                <w:lang w:val="en-US" w:eastAsia="zh-CN"/>
              </w:rPr>
              <w:t>噪声</w:t>
            </w:r>
            <w:r>
              <w:rPr>
                <w:rFonts w:hint="eastAsia"/>
                <w:color w:val="auto"/>
              </w:rPr>
              <w:t>环境影响进行评价。</w:t>
            </w:r>
          </w:p>
          <w:p>
            <w:pPr>
              <w:pStyle w:val="5"/>
              <w:bidi w:val="0"/>
              <w:rPr>
                <w:rFonts w:hint="eastAsia" w:ascii="Times New Roman" w:hAnsi="Times New Roman" w:cs="Times New Roman"/>
                <w:b/>
                <w:bCs/>
                <w:color w:val="auto"/>
                <w:sz w:val="21"/>
                <w:szCs w:val="21"/>
                <w:lang w:val="en-US" w:eastAsia="zh-CN"/>
              </w:rPr>
            </w:pPr>
            <w:r>
              <w:rPr>
                <w:rFonts w:hint="eastAsia"/>
                <w:b/>
                <w:bCs/>
                <w:color w:val="auto"/>
                <w:lang w:val="en-US" w:eastAsia="zh-CN"/>
              </w:rPr>
              <w:t>4.</w:t>
            </w:r>
            <w:r>
              <w:rPr>
                <w:rFonts w:hint="eastAsia" w:ascii="Times New Roman" w:hAnsi="Times New Roman" w:eastAsia="宋体" w:cstheme="minorBidi"/>
                <w:b/>
                <w:color w:val="auto"/>
                <w:kern w:val="2"/>
                <w:sz w:val="28"/>
                <w:szCs w:val="24"/>
                <w:lang w:val="en-US" w:eastAsia="zh-CN" w:bidi="ar-SA"/>
              </w:rPr>
              <w:t xml:space="preserve"> 生态环境</w:t>
            </w:r>
          </w:p>
          <w:p>
            <w:pPr>
              <w:pStyle w:val="18"/>
              <w:bidi w:val="0"/>
              <w:rPr>
                <w:color w:val="auto"/>
              </w:rPr>
            </w:pPr>
            <w:r>
              <w:rPr>
                <w:rFonts w:hint="eastAsia"/>
                <w:color w:val="auto"/>
                <w:lang w:val="en-US" w:eastAsia="zh-CN"/>
              </w:rPr>
              <w:t>项目周边区域内植被较为单一，为自然植被，主要种类为梭梭，植被覆盖率为 30%。自然植物种类组成有藜科、菊科、十字花科、禾本科，主要为野生杂草；项目区自然植被较少，分布稀疏且不均匀，无国家和自治区重点保护野生动物。评价区域周边无风景名胜区、自然保护区及文化遗产等特殊保护目标，生态环境不属于敏感区，生态环境一般。</w:t>
            </w:r>
          </w:p>
          <w:p>
            <w:pPr>
              <w:pStyle w:val="5"/>
              <w:numPr>
                <w:ilvl w:val="0"/>
                <w:numId w:val="14"/>
              </w:numPr>
              <w:bidi w:val="0"/>
              <w:rPr>
                <w:color w:val="auto"/>
              </w:rPr>
            </w:pPr>
            <w:r>
              <w:rPr>
                <w:rFonts w:hint="eastAsia"/>
                <w:color w:val="auto"/>
              </w:rPr>
              <w:t>地下水环境</w:t>
            </w:r>
          </w:p>
          <w:p>
            <w:pPr>
              <w:pStyle w:val="18"/>
              <w:bidi w:val="0"/>
              <w:rPr>
                <w:color w:val="auto"/>
              </w:rPr>
            </w:pPr>
            <w:r>
              <w:rPr>
                <w:rFonts w:hint="eastAsia"/>
                <w:color w:val="auto"/>
              </w:rPr>
              <w:t>根据《环境影响评价技术导则 地下水环境》（HJ610-2016）</w:t>
            </w:r>
            <w:r>
              <w:rPr>
                <w:rFonts w:hint="eastAsia"/>
                <w:color w:val="auto"/>
                <w:lang w:val="en-US" w:eastAsia="zh-CN"/>
              </w:rPr>
              <w:t>附录A，</w:t>
            </w:r>
            <w:r>
              <w:rPr>
                <w:rFonts w:hint="eastAsia"/>
                <w:color w:val="auto"/>
              </w:rPr>
              <w:t>本项目</w:t>
            </w:r>
            <w:r>
              <w:rPr>
                <w:rFonts w:hint="eastAsia"/>
                <w:color w:val="auto"/>
                <w:lang w:val="en-US" w:eastAsia="zh-CN"/>
              </w:rPr>
              <w:t>行业类别为生活垃圾转运站，</w:t>
            </w:r>
            <w:r>
              <w:rPr>
                <w:rFonts w:hint="eastAsia"/>
                <w:color w:val="auto"/>
              </w:rPr>
              <w:t>属于地下水IV类评价项目，不进行地下水环境影响评价。</w:t>
            </w:r>
          </w:p>
          <w:p>
            <w:pPr>
              <w:pStyle w:val="5"/>
              <w:numPr>
                <w:ilvl w:val="0"/>
                <w:numId w:val="14"/>
              </w:numPr>
              <w:bidi w:val="0"/>
              <w:rPr>
                <w:color w:val="auto"/>
              </w:rPr>
            </w:pPr>
            <w:r>
              <w:rPr>
                <w:rFonts w:hint="eastAsia"/>
                <w:color w:val="auto"/>
              </w:rPr>
              <w:t>土壤环境</w:t>
            </w:r>
          </w:p>
          <w:p>
            <w:pPr>
              <w:pStyle w:val="18"/>
              <w:bidi w:val="0"/>
              <w:rPr>
                <w:rFonts w:hint="eastAsia" w:eastAsia="宋体"/>
                <w:color w:val="auto"/>
                <w:lang w:eastAsia="zh-CN"/>
              </w:rPr>
            </w:pPr>
            <w:r>
              <w:rPr>
                <w:rFonts w:hint="eastAsia"/>
                <w:color w:val="auto"/>
              </w:rPr>
              <w:t>根据行业特征、工业特点或规模大小等将建设项目类别分为I类、II类、III类、IV类，分类根据《</w:t>
            </w:r>
            <w:r>
              <w:rPr>
                <w:color w:val="auto"/>
              </w:rPr>
              <w:t>环境影响评价技术导则</w:t>
            </w:r>
            <w:r>
              <w:rPr>
                <w:rFonts w:hint="eastAsia"/>
                <w:color w:val="auto"/>
              </w:rPr>
              <w:t>-</w:t>
            </w:r>
            <w:r>
              <w:rPr>
                <w:color w:val="auto"/>
              </w:rPr>
              <w:t>土壤环境</w:t>
            </w:r>
            <w:r>
              <w:rPr>
                <w:rFonts w:hint="eastAsia"/>
                <w:color w:val="auto"/>
              </w:rPr>
              <w:t>（试行）</w:t>
            </w:r>
            <w:r>
              <w:rPr>
                <w:color w:val="auto"/>
              </w:rPr>
              <w:t>》</w:t>
            </w:r>
            <w:r>
              <w:rPr>
                <w:rFonts w:hint="eastAsia"/>
                <w:color w:val="auto"/>
              </w:rPr>
              <w:t>（</w:t>
            </w:r>
            <w:r>
              <w:rPr>
                <w:color w:val="auto"/>
              </w:rPr>
              <w:t>HJ964-2018</w:t>
            </w:r>
            <w:r>
              <w:rPr>
                <w:rFonts w:hint="eastAsia"/>
                <w:color w:val="auto"/>
              </w:rPr>
              <w:t>）附录A</w:t>
            </w:r>
            <w:r>
              <w:rPr>
                <w:rFonts w:hint="eastAsia"/>
                <w:color w:val="auto"/>
                <w:lang w:eastAsia="zh-CN"/>
              </w:rPr>
              <w:t>。</w:t>
            </w:r>
          </w:p>
          <w:p>
            <w:pPr>
              <w:pStyle w:val="6"/>
              <w:bidi w:val="0"/>
              <w:rPr>
                <w:color w:val="auto"/>
              </w:rPr>
            </w:pPr>
            <w:r>
              <w:rPr>
                <w:rFonts w:hint="eastAsia"/>
                <w:color w:val="auto"/>
                <w:lang w:val="en-US" w:eastAsia="zh-CN"/>
              </w:rPr>
              <w:t>6.1</w:t>
            </w:r>
            <w:r>
              <w:rPr>
                <w:rFonts w:hint="eastAsia"/>
                <w:color w:val="auto"/>
              </w:rPr>
              <w:t xml:space="preserve"> 评价等级</w:t>
            </w:r>
          </w:p>
          <w:p>
            <w:pPr>
              <w:pStyle w:val="18"/>
              <w:bidi w:val="0"/>
              <w:rPr>
                <w:rFonts w:hint="eastAsia"/>
                <w:color w:val="auto"/>
                <w:lang w:eastAsia="zh-CN"/>
              </w:rPr>
            </w:pPr>
            <w:r>
              <w:rPr>
                <w:rFonts w:hint="eastAsia"/>
                <w:color w:val="auto"/>
                <w:lang w:val="en-US" w:eastAsia="zh-CN"/>
              </w:rPr>
              <w:t>本项目属于垃圾转运项目，</w:t>
            </w:r>
            <w:r>
              <w:rPr>
                <w:rFonts w:hint="eastAsia"/>
                <w:color w:val="auto"/>
                <w:lang w:eastAsia="zh-CN"/>
              </w:rPr>
              <w:t>根据《环境影响评价技术导则</w:t>
            </w:r>
            <w:r>
              <w:rPr>
                <w:rFonts w:hint="eastAsia"/>
                <w:color w:val="auto"/>
                <w:lang w:val="en-US" w:eastAsia="zh-CN"/>
              </w:rPr>
              <w:t>-土壤环境（试行）</w:t>
            </w:r>
            <w:r>
              <w:rPr>
                <w:rFonts w:hint="eastAsia"/>
                <w:color w:val="auto"/>
                <w:lang w:eastAsia="zh-CN"/>
              </w:rPr>
              <w:t>》</w:t>
            </w:r>
            <w:r>
              <w:rPr>
                <w:rFonts w:hint="eastAsia"/>
                <w:color w:val="auto"/>
                <w:lang w:val="en-US" w:eastAsia="zh-CN"/>
              </w:rPr>
              <w:t>HJ964-2018，本项目属于“环境和公共设施管理业”中的其他，属于IV类建设项目，可不开展土壤环境影响评价。本项目</w:t>
            </w:r>
            <w:r>
              <w:rPr>
                <w:rFonts w:hint="eastAsia"/>
                <w:color w:val="auto"/>
                <w:lang w:eastAsia="zh-CN"/>
              </w:rPr>
              <w:t>做好</w:t>
            </w:r>
            <w:r>
              <w:rPr>
                <w:rFonts w:hint="eastAsia"/>
                <w:color w:val="auto"/>
                <w:lang w:val="en-US" w:eastAsia="zh-CN"/>
              </w:rPr>
              <w:t>相应的</w:t>
            </w:r>
            <w:r>
              <w:rPr>
                <w:rFonts w:hint="eastAsia"/>
                <w:color w:val="auto"/>
                <w:lang w:eastAsia="zh-CN"/>
              </w:rPr>
              <w:t>防渗处理，项目对土壤的环境影响较小。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环境</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保护</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kern w:val="2"/>
                <w:lang w:eastAsia="zh-CN"/>
              </w:rPr>
            </w:pPr>
            <w:r>
              <w:rPr>
                <w:rFonts w:hint="eastAsia"/>
                <w:b/>
                <w:color w:val="auto"/>
                <w:kern w:val="2"/>
              </w:rPr>
              <w:t>目标</w:t>
            </w:r>
          </w:p>
        </w:tc>
        <w:tc>
          <w:tcPr>
            <w:tcW w:w="7900" w:type="dxa"/>
            <w:tcBorders>
              <w:tl2br w:val="nil"/>
              <w:tr2bl w:val="nil"/>
            </w:tcBorders>
            <w:vAlign w:val="top"/>
          </w:tcPr>
          <w:p>
            <w:pPr>
              <w:pStyle w:val="5"/>
              <w:numPr>
                <w:ilvl w:val="0"/>
                <w:numId w:val="15"/>
              </w:numPr>
              <w:bidi w:val="0"/>
              <w:rPr>
                <w:rFonts w:hint="eastAsia"/>
                <w:color w:val="auto"/>
                <w:lang w:val="en-US" w:eastAsia="zh-CN"/>
              </w:rPr>
            </w:pPr>
            <w:r>
              <w:rPr>
                <w:rFonts w:hint="eastAsia"/>
                <w:color w:val="auto"/>
                <w:lang w:val="en-US" w:eastAsia="zh-CN"/>
              </w:rPr>
              <w:t>大气环境</w:t>
            </w:r>
          </w:p>
          <w:p>
            <w:pPr>
              <w:pStyle w:val="18"/>
              <w:bidi w:val="0"/>
              <w:rPr>
                <w:rFonts w:hint="eastAsia"/>
                <w:color w:val="auto"/>
                <w:lang w:val="en-US" w:eastAsia="zh-CN"/>
              </w:rPr>
            </w:pPr>
            <w:r>
              <w:rPr>
                <w:rFonts w:hint="eastAsia"/>
                <w:color w:val="auto"/>
                <w:lang w:val="en-US" w:eastAsia="zh-CN"/>
              </w:rPr>
              <w:t>本项目</w:t>
            </w:r>
            <w:r>
              <w:rPr>
                <w:rFonts w:hint="eastAsia"/>
                <w:color w:val="auto"/>
              </w:rPr>
              <w:t>厂界外 500 米范围内</w:t>
            </w:r>
            <w:r>
              <w:rPr>
                <w:rFonts w:hint="eastAsia"/>
                <w:color w:val="auto"/>
                <w:lang w:val="en-US" w:eastAsia="zh-CN"/>
              </w:rPr>
              <w:t>无</w:t>
            </w:r>
            <w:r>
              <w:rPr>
                <w:rFonts w:hint="eastAsia"/>
                <w:color w:val="auto"/>
              </w:rPr>
              <w:t>自然保护区、风景名胜区、居住区、文化区和农村地区中人群较集中的区域等保护目标</w:t>
            </w:r>
            <w:r>
              <w:rPr>
                <w:rFonts w:hint="eastAsia"/>
                <w:color w:val="auto"/>
                <w:lang w:eastAsia="zh-CN"/>
              </w:rPr>
              <w:t>。</w:t>
            </w:r>
          </w:p>
          <w:p>
            <w:pPr>
              <w:pStyle w:val="5"/>
              <w:numPr>
                <w:ilvl w:val="0"/>
                <w:numId w:val="15"/>
              </w:numPr>
              <w:bidi w:val="0"/>
              <w:rPr>
                <w:rFonts w:hint="eastAsia"/>
                <w:color w:val="auto"/>
                <w:lang w:val="en-US" w:eastAsia="zh-CN"/>
              </w:rPr>
            </w:pPr>
            <w:r>
              <w:rPr>
                <w:rFonts w:hint="eastAsia"/>
                <w:color w:val="auto"/>
                <w:lang w:val="en-US" w:eastAsia="zh-CN"/>
              </w:rPr>
              <w:t>声环境</w:t>
            </w:r>
          </w:p>
          <w:p>
            <w:pPr>
              <w:pStyle w:val="18"/>
              <w:bidi w:val="0"/>
              <w:rPr>
                <w:rFonts w:hint="eastAsia"/>
                <w:color w:val="auto"/>
                <w:lang w:val="en-US" w:eastAsia="zh-CN"/>
              </w:rPr>
            </w:pPr>
            <w:r>
              <w:rPr>
                <w:rFonts w:hint="eastAsia"/>
                <w:color w:val="auto"/>
                <w:lang w:val="en-US" w:eastAsia="zh-CN"/>
              </w:rPr>
              <w:t>本项目厂界外 50m 范围内无声环境保护目标。</w:t>
            </w:r>
          </w:p>
          <w:p>
            <w:pPr>
              <w:pStyle w:val="5"/>
              <w:numPr>
                <w:ilvl w:val="0"/>
                <w:numId w:val="15"/>
              </w:numPr>
              <w:bidi w:val="0"/>
              <w:rPr>
                <w:rFonts w:hint="eastAsia"/>
                <w:color w:val="auto"/>
                <w:lang w:val="en-US" w:eastAsia="zh-CN"/>
              </w:rPr>
            </w:pPr>
            <w:r>
              <w:rPr>
                <w:rFonts w:hint="eastAsia"/>
                <w:color w:val="auto"/>
                <w:lang w:val="en-US" w:eastAsia="zh-CN"/>
              </w:rPr>
              <w:t>地下水环境</w:t>
            </w:r>
          </w:p>
          <w:p>
            <w:pPr>
              <w:pStyle w:val="18"/>
              <w:bidi w:val="0"/>
              <w:rPr>
                <w:rFonts w:hint="eastAsia"/>
                <w:color w:val="auto"/>
                <w:lang w:val="en-US" w:eastAsia="zh-CN"/>
              </w:rPr>
            </w:pPr>
            <w:r>
              <w:rPr>
                <w:rFonts w:hint="eastAsia"/>
                <w:color w:val="auto"/>
                <w:lang w:val="en-US" w:eastAsia="zh-CN"/>
              </w:rPr>
              <w:t>本项目厂界外500米范围内无地下水集中式饮用水水源和热水、矿泉水、温泉等特殊地下水资源。</w:t>
            </w:r>
          </w:p>
          <w:p>
            <w:pPr>
              <w:pStyle w:val="5"/>
              <w:numPr>
                <w:ilvl w:val="0"/>
                <w:numId w:val="15"/>
              </w:numPr>
              <w:bidi w:val="0"/>
              <w:rPr>
                <w:rFonts w:hint="default"/>
                <w:color w:val="auto"/>
                <w:lang w:val="en-US" w:eastAsia="zh-CN"/>
              </w:rPr>
            </w:pPr>
            <w:r>
              <w:rPr>
                <w:rFonts w:hint="eastAsia"/>
                <w:color w:val="auto"/>
                <w:lang w:val="en-US" w:eastAsia="zh-CN"/>
              </w:rPr>
              <w:t>生态环境</w:t>
            </w:r>
          </w:p>
          <w:p>
            <w:pPr>
              <w:pStyle w:val="18"/>
              <w:bidi w:val="0"/>
              <w:rPr>
                <w:rFonts w:hint="default"/>
                <w:color w:val="auto"/>
                <w:lang w:val="en-US" w:eastAsia="zh-CN"/>
              </w:rPr>
            </w:pPr>
            <w:r>
              <w:rPr>
                <w:rFonts w:hint="default"/>
                <w:color w:val="auto"/>
                <w:lang w:val="en-US" w:eastAsia="zh-CN"/>
              </w:rPr>
              <w:t>本项目位于</w:t>
            </w:r>
            <w:r>
              <w:rPr>
                <w:rFonts w:hint="eastAsia"/>
                <w:color w:val="auto"/>
                <w:lang w:val="en-US" w:eastAsia="zh-CN"/>
              </w:rPr>
              <w:t>昌吉市佃坝镇西沟村</w:t>
            </w:r>
            <w:r>
              <w:rPr>
                <w:rFonts w:hint="default"/>
                <w:color w:val="auto"/>
                <w:lang w:val="en-US" w:eastAsia="zh-CN"/>
              </w:rPr>
              <w:t>，故不涉及生态环境保护目标。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污染</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物排</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放控</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制标</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kern w:val="2"/>
              </w:rPr>
            </w:pPr>
            <w:r>
              <w:rPr>
                <w:rFonts w:hint="eastAsia"/>
                <w:b/>
                <w:color w:val="auto"/>
                <w:kern w:val="2"/>
              </w:rPr>
              <w:t>准</w:t>
            </w:r>
          </w:p>
        </w:tc>
        <w:tc>
          <w:tcPr>
            <w:tcW w:w="7900" w:type="dxa"/>
            <w:tcBorders>
              <w:tl2br w:val="nil"/>
              <w:tr2bl w:val="nil"/>
            </w:tcBorders>
            <w:vAlign w:val="top"/>
          </w:tcPr>
          <w:p>
            <w:pPr>
              <w:pStyle w:val="5"/>
              <w:numPr>
                <w:ilvl w:val="0"/>
                <w:numId w:val="16"/>
              </w:numPr>
              <w:bidi w:val="0"/>
              <w:rPr>
                <w:rFonts w:hint="eastAsia"/>
                <w:color w:val="auto"/>
                <w:lang w:val="en-US" w:eastAsia="zh-CN"/>
              </w:rPr>
            </w:pPr>
            <w:r>
              <w:rPr>
                <w:rFonts w:hint="eastAsia"/>
                <w:color w:val="auto"/>
                <w:lang w:val="en-US" w:eastAsia="zh-CN"/>
              </w:rPr>
              <w:t>大气污染物排放标准</w:t>
            </w:r>
          </w:p>
          <w:p>
            <w:pPr>
              <w:pStyle w:val="28"/>
              <w:bidi w:val="0"/>
              <w:rPr>
                <w:rFonts w:hint="eastAsia"/>
                <w:color w:val="auto"/>
                <w:lang w:val="en-US" w:eastAsia="zh-CN"/>
              </w:rPr>
            </w:pPr>
            <w:r>
              <w:rPr>
                <w:rFonts w:hint="eastAsia"/>
                <w:color w:val="auto"/>
                <w:lang w:val="en-US" w:eastAsia="zh-CN"/>
              </w:rPr>
              <w:t>表3-3    《</w:t>
            </w:r>
            <w:r>
              <w:rPr>
                <w:rFonts w:hint="default" w:ascii="Times New Roman" w:hAnsi="Times New Roman" w:eastAsia="宋体" w:cs="Times New Roman"/>
                <w:b/>
                <w:bCs/>
                <w:snapToGrid w:val="0"/>
                <w:color w:val="auto"/>
                <w:kern w:val="0"/>
                <w:sz w:val="24"/>
                <w:highlight w:val="none"/>
              </w:rPr>
              <w:t>大气污染物综合排放标准</w:t>
            </w:r>
            <w:r>
              <w:rPr>
                <w:rFonts w:hint="eastAsia"/>
                <w:color w:val="auto"/>
                <w:lang w:val="en-US" w:eastAsia="zh-CN"/>
              </w:rPr>
              <w:t>》（GB16297-1996）</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039"/>
              <w:gridCol w:w="1680"/>
              <w:gridCol w:w="1929"/>
              <w:gridCol w:w="11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restart"/>
                  <w:tcBorders>
                    <w:tl2br w:val="nil"/>
                    <w:tr2bl w:val="nil"/>
                  </w:tcBorders>
                  <w:noWrap w:val="0"/>
                  <w:vAlign w:val="center"/>
                </w:tcPr>
                <w:p>
                  <w:pPr>
                    <w:pStyle w:val="29"/>
                    <w:bidi w:val="0"/>
                    <w:rPr>
                      <w:rFonts w:hint="default"/>
                      <w:b/>
                      <w:bCs/>
                    </w:rPr>
                  </w:pPr>
                  <w:r>
                    <w:rPr>
                      <w:rFonts w:hint="default"/>
                      <w:b/>
                      <w:bCs/>
                    </w:rPr>
                    <w:t>污染物</w:t>
                  </w:r>
                </w:p>
              </w:tc>
              <w:tc>
                <w:tcPr>
                  <w:tcW w:w="1326" w:type="pct"/>
                  <w:vMerge w:val="restart"/>
                  <w:tcBorders>
                    <w:tl2br w:val="nil"/>
                    <w:tr2bl w:val="nil"/>
                  </w:tcBorders>
                  <w:noWrap w:val="0"/>
                  <w:vAlign w:val="center"/>
                </w:tcPr>
                <w:p>
                  <w:pPr>
                    <w:pStyle w:val="29"/>
                    <w:bidi w:val="0"/>
                    <w:rPr>
                      <w:rFonts w:hint="default"/>
                      <w:b/>
                      <w:bCs/>
                    </w:rPr>
                  </w:pPr>
                  <w:r>
                    <w:rPr>
                      <w:rFonts w:hint="default"/>
                      <w:b/>
                      <w:bCs/>
                    </w:rPr>
                    <w:t>最高允许排放速率（kg/h）15m排气筒</w:t>
                  </w:r>
                </w:p>
              </w:tc>
              <w:tc>
                <w:tcPr>
                  <w:tcW w:w="1093" w:type="pct"/>
                  <w:vMerge w:val="restart"/>
                  <w:tcBorders>
                    <w:tl2br w:val="nil"/>
                    <w:tr2bl w:val="nil"/>
                  </w:tcBorders>
                  <w:noWrap w:val="0"/>
                  <w:vAlign w:val="center"/>
                </w:tcPr>
                <w:p>
                  <w:pPr>
                    <w:pStyle w:val="29"/>
                    <w:bidi w:val="0"/>
                    <w:rPr>
                      <w:rFonts w:hint="default"/>
                      <w:b/>
                      <w:bCs/>
                    </w:rPr>
                  </w:pPr>
                  <w:r>
                    <w:rPr>
                      <w:rFonts w:hint="default"/>
                      <w:b/>
                      <w:bCs/>
                    </w:rPr>
                    <w:t>最</w:t>
                  </w:r>
                  <w:bookmarkStart w:id="10" w:name="OLE_LINK17"/>
                  <w:r>
                    <w:rPr>
                      <w:rFonts w:hint="default"/>
                      <w:b/>
                      <w:bCs/>
                    </w:rPr>
                    <w:t>高允许排放浓度（mg/m</w:t>
                  </w:r>
                  <w:r>
                    <w:rPr>
                      <w:rFonts w:hint="default"/>
                      <w:b/>
                      <w:bCs/>
                      <w:vertAlign w:val="superscript"/>
                    </w:rPr>
                    <w:t>3</w:t>
                  </w:r>
                  <w:r>
                    <w:rPr>
                      <w:rFonts w:hint="default"/>
                      <w:b/>
                      <w:bCs/>
                    </w:rPr>
                    <w:t>）</w:t>
                  </w:r>
                  <w:bookmarkEnd w:id="10"/>
                </w:p>
              </w:tc>
              <w:tc>
                <w:tcPr>
                  <w:tcW w:w="1998" w:type="pct"/>
                  <w:gridSpan w:val="2"/>
                  <w:tcBorders>
                    <w:tl2br w:val="nil"/>
                    <w:tr2bl w:val="nil"/>
                  </w:tcBorders>
                  <w:noWrap w:val="0"/>
                  <w:vAlign w:val="center"/>
                </w:tcPr>
                <w:p>
                  <w:pPr>
                    <w:pStyle w:val="29"/>
                    <w:bidi w:val="0"/>
                    <w:rPr>
                      <w:rFonts w:hint="default"/>
                      <w:b/>
                      <w:bCs/>
                    </w:rPr>
                  </w:pPr>
                  <w:r>
                    <w:rPr>
                      <w:rFonts w:hint="default"/>
                      <w:b/>
                      <w:bCs/>
                    </w:rPr>
                    <w:t>无组织排放监控浓度限值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vMerge w:val="continue"/>
                  <w:tcBorders>
                    <w:bottom w:val="single" w:color="000000" w:sz="12" w:space="0"/>
                    <w:tl2br w:val="nil"/>
                    <w:tr2bl w:val="nil"/>
                  </w:tcBorders>
                  <w:noWrap w:val="0"/>
                  <w:vAlign w:val="center"/>
                </w:tcPr>
                <w:p>
                  <w:pPr>
                    <w:pStyle w:val="29"/>
                    <w:bidi w:val="0"/>
                    <w:rPr>
                      <w:rFonts w:hint="default"/>
                      <w:b/>
                      <w:bCs/>
                    </w:rPr>
                  </w:pPr>
                </w:p>
              </w:tc>
              <w:tc>
                <w:tcPr>
                  <w:tcW w:w="1326" w:type="pct"/>
                  <w:vMerge w:val="continue"/>
                  <w:tcBorders>
                    <w:bottom w:val="single" w:color="000000" w:sz="12" w:space="0"/>
                    <w:tl2br w:val="nil"/>
                    <w:tr2bl w:val="nil"/>
                  </w:tcBorders>
                  <w:noWrap w:val="0"/>
                  <w:vAlign w:val="center"/>
                </w:tcPr>
                <w:p>
                  <w:pPr>
                    <w:pStyle w:val="29"/>
                    <w:bidi w:val="0"/>
                    <w:rPr>
                      <w:rFonts w:hint="default"/>
                      <w:b/>
                      <w:bCs/>
                    </w:rPr>
                  </w:pPr>
                </w:p>
              </w:tc>
              <w:tc>
                <w:tcPr>
                  <w:tcW w:w="1093" w:type="pct"/>
                  <w:vMerge w:val="continue"/>
                  <w:tcBorders>
                    <w:bottom w:val="single" w:color="000000" w:sz="12" w:space="0"/>
                    <w:tl2br w:val="nil"/>
                    <w:tr2bl w:val="nil"/>
                  </w:tcBorders>
                  <w:noWrap w:val="0"/>
                  <w:vAlign w:val="center"/>
                </w:tcPr>
                <w:p>
                  <w:pPr>
                    <w:pStyle w:val="29"/>
                    <w:bidi w:val="0"/>
                    <w:rPr>
                      <w:rFonts w:hint="default"/>
                      <w:b/>
                      <w:bCs/>
                    </w:rPr>
                  </w:pPr>
                </w:p>
              </w:tc>
              <w:tc>
                <w:tcPr>
                  <w:tcW w:w="1255" w:type="pct"/>
                  <w:tcBorders>
                    <w:bottom w:val="single" w:color="000000" w:sz="12" w:space="0"/>
                    <w:tl2br w:val="nil"/>
                    <w:tr2bl w:val="nil"/>
                  </w:tcBorders>
                  <w:noWrap w:val="0"/>
                  <w:vAlign w:val="center"/>
                </w:tcPr>
                <w:p>
                  <w:pPr>
                    <w:pStyle w:val="29"/>
                    <w:bidi w:val="0"/>
                    <w:rPr>
                      <w:rFonts w:hint="default"/>
                      <w:b/>
                      <w:bCs/>
                    </w:rPr>
                  </w:pPr>
                  <w:r>
                    <w:rPr>
                      <w:rFonts w:hint="default"/>
                      <w:b/>
                      <w:bCs/>
                    </w:rPr>
                    <w:t>监控点</w:t>
                  </w:r>
                </w:p>
              </w:tc>
              <w:tc>
                <w:tcPr>
                  <w:tcW w:w="743" w:type="pct"/>
                  <w:tcBorders>
                    <w:bottom w:val="single" w:color="000000" w:sz="12" w:space="0"/>
                    <w:tl2br w:val="nil"/>
                    <w:tr2bl w:val="nil"/>
                  </w:tcBorders>
                  <w:noWrap w:val="0"/>
                  <w:vAlign w:val="center"/>
                </w:tcPr>
                <w:p>
                  <w:pPr>
                    <w:pStyle w:val="29"/>
                    <w:bidi w:val="0"/>
                    <w:rPr>
                      <w:rFonts w:hint="default"/>
                      <w:b/>
                      <w:bCs/>
                    </w:rPr>
                  </w:pPr>
                  <w:r>
                    <w:rPr>
                      <w:rFonts w:hint="default"/>
                      <w:b/>
                      <w:bCs/>
                    </w:rPr>
                    <w:t>浓度（mg/m</w:t>
                  </w:r>
                  <w:r>
                    <w:rPr>
                      <w:rFonts w:hint="default"/>
                      <w:b/>
                      <w:bCs/>
                      <w:vertAlign w:val="superscript"/>
                    </w:rPr>
                    <w:t>3</w:t>
                  </w:r>
                  <w:r>
                    <w:rPr>
                      <w:rFonts w:hint="default"/>
                      <w:b/>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81" w:type="pct"/>
                  <w:tcBorders>
                    <w:top w:val="single" w:color="000000" w:sz="12" w:space="0"/>
                    <w:tl2br w:val="nil"/>
                    <w:tr2bl w:val="nil"/>
                  </w:tcBorders>
                  <w:noWrap w:val="0"/>
                  <w:vAlign w:val="center"/>
                </w:tcPr>
                <w:p>
                  <w:pPr>
                    <w:pStyle w:val="29"/>
                    <w:bidi w:val="0"/>
                    <w:rPr>
                      <w:rFonts w:hint="default"/>
                    </w:rPr>
                  </w:pPr>
                  <w:r>
                    <w:rPr>
                      <w:rFonts w:hint="default"/>
                    </w:rPr>
                    <w:t>颗粒物</w:t>
                  </w:r>
                </w:p>
              </w:tc>
              <w:tc>
                <w:tcPr>
                  <w:tcW w:w="1326" w:type="pct"/>
                  <w:tcBorders>
                    <w:top w:val="single" w:color="000000" w:sz="12" w:space="0"/>
                    <w:tl2br w:val="nil"/>
                    <w:tr2bl w:val="nil"/>
                  </w:tcBorders>
                  <w:noWrap w:val="0"/>
                  <w:vAlign w:val="center"/>
                </w:tcPr>
                <w:p>
                  <w:pPr>
                    <w:pStyle w:val="29"/>
                    <w:bidi w:val="0"/>
                    <w:rPr>
                      <w:rFonts w:hint="default"/>
                    </w:rPr>
                  </w:pPr>
                  <w:r>
                    <w:rPr>
                      <w:rFonts w:hint="default"/>
                    </w:rPr>
                    <w:t>3.5</w:t>
                  </w:r>
                </w:p>
              </w:tc>
              <w:tc>
                <w:tcPr>
                  <w:tcW w:w="1093" w:type="pct"/>
                  <w:tcBorders>
                    <w:top w:val="single" w:color="000000" w:sz="12" w:space="0"/>
                    <w:tl2br w:val="nil"/>
                    <w:tr2bl w:val="nil"/>
                  </w:tcBorders>
                  <w:noWrap w:val="0"/>
                  <w:vAlign w:val="center"/>
                </w:tcPr>
                <w:p>
                  <w:pPr>
                    <w:pStyle w:val="29"/>
                    <w:bidi w:val="0"/>
                    <w:rPr>
                      <w:rFonts w:hint="default"/>
                    </w:rPr>
                  </w:pPr>
                  <w:r>
                    <w:rPr>
                      <w:rFonts w:hint="default"/>
                    </w:rPr>
                    <w:t>120</w:t>
                  </w:r>
                </w:p>
              </w:tc>
              <w:tc>
                <w:tcPr>
                  <w:tcW w:w="1255" w:type="pct"/>
                  <w:tcBorders>
                    <w:top w:val="single" w:color="000000" w:sz="12" w:space="0"/>
                    <w:tl2br w:val="nil"/>
                    <w:tr2bl w:val="nil"/>
                  </w:tcBorders>
                  <w:noWrap w:val="0"/>
                  <w:vAlign w:val="center"/>
                </w:tcPr>
                <w:p>
                  <w:pPr>
                    <w:pStyle w:val="29"/>
                    <w:bidi w:val="0"/>
                    <w:rPr>
                      <w:rFonts w:hint="default"/>
                    </w:rPr>
                  </w:pPr>
                  <w:r>
                    <w:rPr>
                      <w:rFonts w:hint="default"/>
                    </w:rPr>
                    <w:t>周界外浓度最高点</w:t>
                  </w:r>
                </w:p>
              </w:tc>
              <w:tc>
                <w:tcPr>
                  <w:tcW w:w="743" w:type="pct"/>
                  <w:tcBorders>
                    <w:top w:val="single" w:color="000000" w:sz="12" w:space="0"/>
                    <w:tl2br w:val="nil"/>
                    <w:tr2bl w:val="nil"/>
                  </w:tcBorders>
                  <w:noWrap w:val="0"/>
                  <w:vAlign w:val="center"/>
                </w:tcPr>
                <w:p>
                  <w:pPr>
                    <w:pStyle w:val="29"/>
                    <w:bidi w:val="0"/>
                    <w:rPr>
                      <w:rFonts w:hint="default"/>
                    </w:rPr>
                  </w:pPr>
                  <w:r>
                    <w:rPr>
                      <w:rFonts w:hint="default"/>
                    </w:rPr>
                    <w:t>1.0</w:t>
                  </w:r>
                </w:p>
              </w:tc>
            </w:tr>
          </w:tbl>
          <w:p>
            <w:pPr>
              <w:pStyle w:val="28"/>
              <w:bidi w:val="0"/>
              <w:rPr>
                <w:rFonts w:hint="eastAsia" w:ascii="Times New Roman" w:hAnsi="Times New Roman"/>
                <w:color w:val="auto"/>
                <w:lang w:val="en-US" w:eastAsia="zh-CN"/>
              </w:rPr>
            </w:pPr>
            <w:r>
              <w:rPr>
                <w:rFonts w:hint="eastAsia" w:ascii="Times New Roman" w:hAnsi="Times New Roman"/>
                <w:color w:val="auto"/>
                <w:lang w:val="en-US" w:eastAsia="zh-CN"/>
              </w:rPr>
              <w:t>表3-</w:t>
            </w:r>
            <w:r>
              <w:rPr>
                <w:rFonts w:hint="eastAsia"/>
                <w:color w:val="auto"/>
                <w:lang w:val="en-US" w:eastAsia="zh-CN"/>
              </w:rPr>
              <w:t>4</w:t>
            </w:r>
            <w:r>
              <w:rPr>
                <w:rFonts w:hint="eastAsia" w:ascii="Times New Roman" w:hAnsi="Times New Roman"/>
                <w:color w:val="auto"/>
                <w:lang w:val="en-US" w:eastAsia="zh-CN"/>
              </w:rPr>
              <w:t xml:space="preserve">    </w:t>
            </w:r>
            <w:r>
              <w:rPr>
                <w:rFonts w:hint="default" w:ascii="Times New Roman" w:hAnsi="Times New Roman"/>
                <w:color w:val="auto"/>
                <w:lang w:val="en-US" w:eastAsia="zh-CN"/>
              </w:rPr>
              <w:t>《恶臭污染物排放标准》（GB 1</w:t>
            </w:r>
            <w:r>
              <w:rPr>
                <w:rFonts w:hint="eastAsia"/>
                <w:color w:val="auto"/>
                <w:lang w:val="en-US" w:eastAsia="zh-CN"/>
              </w:rPr>
              <w:t>4</w:t>
            </w:r>
            <w:r>
              <w:rPr>
                <w:rFonts w:hint="default" w:ascii="Times New Roman" w:hAnsi="Times New Roman"/>
                <w:color w:val="auto"/>
                <w:lang w:val="en-US" w:eastAsia="zh-CN"/>
              </w:rPr>
              <w:t>554-93）</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3691"/>
              <w:gridCol w:w="1239"/>
              <w:gridCol w:w="1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pct"/>
                  <w:vMerge w:val="restart"/>
                  <w:tcBorders>
                    <w:tl2br w:val="nil"/>
                    <w:tr2bl w:val="nil"/>
                  </w:tcBorders>
                  <w:noWrap w:val="0"/>
                  <w:vAlign w:val="center"/>
                </w:tcPr>
                <w:p>
                  <w:pPr>
                    <w:pStyle w:val="29"/>
                    <w:bidi w:val="0"/>
                    <w:rPr>
                      <w:rFonts w:hint="default"/>
                      <w:b/>
                      <w:bCs/>
                    </w:rPr>
                  </w:pPr>
                  <w:r>
                    <w:rPr>
                      <w:rFonts w:hint="default"/>
                      <w:b/>
                      <w:bCs/>
                    </w:rPr>
                    <w:t>污染物</w:t>
                  </w:r>
                </w:p>
              </w:tc>
              <w:tc>
                <w:tcPr>
                  <w:tcW w:w="2401" w:type="pct"/>
                  <w:vMerge w:val="restart"/>
                  <w:tcBorders>
                    <w:tl2br w:val="nil"/>
                    <w:tr2bl w:val="nil"/>
                  </w:tcBorders>
                  <w:noWrap w:val="0"/>
                  <w:vAlign w:val="center"/>
                </w:tcPr>
                <w:p>
                  <w:pPr>
                    <w:pStyle w:val="29"/>
                    <w:bidi w:val="0"/>
                    <w:rPr>
                      <w:rFonts w:hint="default"/>
                      <w:b/>
                      <w:bCs/>
                    </w:rPr>
                  </w:pPr>
                  <w:r>
                    <w:rPr>
                      <w:rFonts w:hint="default"/>
                      <w:b/>
                      <w:bCs/>
                    </w:rPr>
                    <w:t>最高允许排放速率（kg/h）15m排气筒</w:t>
                  </w:r>
                </w:p>
              </w:tc>
              <w:tc>
                <w:tcPr>
                  <w:tcW w:w="1881" w:type="pct"/>
                  <w:gridSpan w:val="2"/>
                  <w:tcBorders>
                    <w:tl2br w:val="nil"/>
                    <w:tr2bl w:val="nil"/>
                  </w:tcBorders>
                  <w:noWrap w:val="0"/>
                  <w:vAlign w:val="center"/>
                </w:tcPr>
                <w:p>
                  <w:pPr>
                    <w:pStyle w:val="29"/>
                    <w:bidi w:val="0"/>
                    <w:rPr>
                      <w:rFonts w:hint="default"/>
                      <w:b/>
                      <w:bCs/>
                    </w:rPr>
                  </w:pPr>
                  <w:r>
                    <w:rPr>
                      <w:rFonts w:hint="default"/>
                      <w:b/>
                      <w:bCs/>
                      <w:lang w:eastAsia="zh-CN"/>
                    </w:rPr>
                    <w:t>厂界标准</w:t>
                  </w:r>
                  <w:r>
                    <w:rPr>
                      <w:rFonts w:hint="default"/>
                      <w:b/>
                      <w:bCs/>
                    </w:rPr>
                    <w:t>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pct"/>
                  <w:vMerge w:val="continue"/>
                  <w:tcBorders>
                    <w:bottom w:val="single" w:color="000000" w:sz="12" w:space="0"/>
                    <w:tl2br w:val="nil"/>
                    <w:tr2bl w:val="nil"/>
                  </w:tcBorders>
                  <w:noWrap w:val="0"/>
                  <w:vAlign w:val="center"/>
                </w:tcPr>
                <w:p>
                  <w:pPr>
                    <w:pStyle w:val="29"/>
                    <w:bidi w:val="0"/>
                    <w:rPr>
                      <w:rFonts w:hint="default"/>
                      <w:b/>
                      <w:bCs/>
                    </w:rPr>
                  </w:pPr>
                </w:p>
              </w:tc>
              <w:tc>
                <w:tcPr>
                  <w:tcW w:w="2401" w:type="pct"/>
                  <w:vMerge w:val="continue"/>
                  <w:tcBorders>
                    <w:bottom w:val="single" w:color="000000" w:sz="12" w:space="0"/>
                    <w:tl2br w:val="nil"/>
                    <w:tr2bl w:val="nil"/>
                  </w:tcBorders>
                  <w:noWrap w:val="0"/>
                  <w:vAlign w:val="center"/>
                </w:tcPr>
                <w:p>
                  <w:pPr>
                    <w:pStyle w:val="29"/>
                    <w:bidi w:val="0"/>
                    <w:rPr>
                      <w:rFonts w:hint="default"/>
                      <w:b/>
                      <w:bCs/>
                    </w:rPr>
                  </w:pPr>
                </w:p>
              </w:tc>
              <w:tc>
                <w:tcPr>
                  <w:tcW w:w="806" w:type="pct"/>
                  <w:tcBorders>
                    <w:bottom w:val="single" w:color="000000" w:sz="12" w:space="0"/>
                    <w:tl2br w:val="nil"/>
                    <w:tr2bl w:val="nil"/>
                  </w:tcBorders>
                  <w:noWrap w:val="0"/>
                  <w:vAlign w:val="center"/>
                </w:tcPr>
                <w:p>
                  <w:pPr>
                    <w:pStyle w:val="29"/>
                    <w:bidi w:val="0"/>
                    <w:rPr>
                      <w:rFonts w:hint="default"/>
                      <w:b/>
                      <w:bCs/>
                    </w:rPr>
                  </w:pPr>
                  <w:r>
                    <w:rPr>
                      <w:rFonts w:hint="default"/>
                      <w:b/>
                      <w:bCs/>
                    </w:rPr>
                    <w:t>监控点</w:t>
                  </w:r>
                </w:p>
              </w:tc>
              <w:tc>
                <w:tcPr>
                  <w:tcW w:w="1074" w:type="pct"/>
                  <w:tcBorders>
                    <w:bottom w:val="single" w:color="000000" w:sz="12" w:space="0"/>
                    <w:tl2br w:val="nil"/>
                    <w:tr2bl w:val="nil"/>
                  </w:tcBorders>
                  <w:noWrap w:val="0"/>
                  <w:vAlign w:val="center"/>
                </w:tcPr>
                <w:p>
                  <w:pPr>
                    <w:pStyle w:val="29"/>
                    <w:bidi w:val="0"/>
                    <w:rPr>
                      <w:rFonts w:hint="default"/>
                      <w:b/>
                      <w:bCs/>
                    </w:rPr>
                  </w:pPr>
                  <w:r>
                    <w:rPr>
                      <w:rFonts w:hint="default"/>
                      <w:b/>
                      <w:bCs/>
                    </w:rPr>
                    <w:t>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pct"/>
                  <w:tcBorders>
                    <w:top w:val="single" w:color="000000" w:sz="12" w:space="0"/>
                    <w:tl2br w:val="nil"/>
                    <w:tr2bl w:val="nil"/>
                  </w:tcBorders>
                  <w:noWrap w:val="0"/>
                  <w:vAlign w:val="center"/>
                </w:tcPr>
                <w:p>
                  <w:pPr>
                    <w:pStyle w:val="29"/>
                    <w:bidi w:val="0"/>
                    <w:rPr>
                      <w:rFonts w:hint="default"/>
                      <w:lang w:eastAsia="zh-CN"/>
                    </w:rPr>
                  </w:pPr>
                  <w:r>
                    <w:rPr>
                      <w:rFonts w:hint="default"/>
                      <w:lang w:eastAsia="zh-CN"/>
                    </w:rPr>
                    <w:t>硫化氢</w:t>
                  </w:r>
                </w:p>
              </w:tc>
              <w:tc>
                <w:tcPr>
                  <w:tcW w:w="2401" w:type="pct"/>
                  <w:tcBorders>
                    <w:top w:val="single" w:color="000000" w:sz="12" w:space="0"/>
                    <w:tl2br w:val="nil"/>
                    <w:tr2bl w:val="nil"/>
                  </w:tcBorders>
                  <w:noWrap w:val="0"/>
                  <w:vAlign w:val="center"/>
                </w:tcPr>
                <w:p>
                  <w:pPr>
                    <w:pStyle w:val="29"/>
                    <w:bidi w:val="0"/>
                    <w:rPr>
                      <w:rFonts w:hint="default"/>
                      <w:lang w:eastAsia="zh-CN"/>
                    </w:rPr>
                  </w:pPr>
                  <w:r>
                    <w:rPr>
                      <w:rFonts w:hint="default"/>
                      <w:lang w:val="en-US" w:eastAsia="zh-CN"/>
                    </w:rPr>
                    <w:t>0.33</w:t>
                  </w:r>
                </w:p>
              </w:tc>
              <w:tc>
                <w:tcPr>
                  <w:tcW w:w="806" w:type="pct"/>
                  <w:tcBorders>
                    <w:top w:val="single" w:color="000000" w:sz="12" w:space="0"/>
                    <w:tl2br w:val="nil"/>
                    <w:tr2bl w:val="nil"/>
                  </w:tcBorders>
                  <w:noWrap w:val="0"/>
                  <w:vAlign w:val="center"/>
                </w:tcPr>
                <w:p>
                  <w:pPr>
                    <w:pStyle w:val="29"/>
                    <w:bidi w:val="0"/>
                    <w:rPr>
                      <w:rFonts w:hint="default"/>
                      <w:lang w:eastAsia="zh-CN"/>
                    </w:rPr>
                  </w:pPr>
                  <w:r>
                    <w:rPr>
                      <w:rFonts w:hint="default"/>
                      <w:lang w:eastAsia="zh-CN"/>
                    </w:rPr>
                    <w:t>厂界</w:t>
                  </w:r>
                </w:p>
              </w:tc>
              <w:tc>
                <w:tcPr>
                  <w:tcW w:w="1074" w:type="pct"/>
                  <w:tcBorders>
                    <w:top w:val="single" w:color="000000" w:sz="12" w:space="0"/>
                    <w:tl2br w:val="nil"/>
                    <w:tr2bl w:val="nil"/>
                  </w:tcBorders>
                  <w:noWrap w:val="0"/>
                  <w:vAlign w:val="center"/>
                </w:tcPr>
                <w:p>
                  <w:pPr>
                    <w:pStyle w:val="29"/>
                    <w:bidi w:val="0"/>
                    <w:rPr>
                      <w:rFonts w:hint="default"/>
                      <w:lang w:eastAsia="zh-CN"/>
                    </w:rPr>
                  </w:pPr>
                  <w:r>
                    <w:rPr>
                      <w:rFonts w:hint="default"/>
                      <w:lang w:val="en-US" w:eastAsia="zh-CN"/>
                    </w:rPr>
                    <w:t>0.06</w:t>
                  </w:r>
                  <w:r>
                    <w:rPr>
                      <w:rFonts w:hint="default"/>
                    </w:rPr>
                    <w:t>mg/m</w:t>
                  </w:r>
                  <w:r>
                    <w:rPr>
                      <w:rFonts w:hint="default"/>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pct"/>
                  <w:tcBorders>
                    <w:tl2br w:val="nil"/>
                    <w:tr2bl w:val="nil"/>
                  </w:tcBorders>
                  <w:noWrap w:val="0"/>
                  <w:vAlign w:val="center"/>
                </w:tcPr>
                <w:p>
                  <w:pPr>
                    <w:pStyle w:val="29"/>
                    <w:bidi w:val="0"/>
                    <w:rPr>
                      <w:rFonts w:hint="default"/>
                      <w:lang w:eastAsia="zh-CN"/>
                    </w:rPr>
                  </w:pPr>
                  <w:r>
                    <w:rPr>
                      <w:rFonts w:hint="default"/>
                      <w:lang w:eastAsia="zh-CN"/>
                    </w:rPr>
                    <w:t>氨气</w:t>
                  </w:r>
                </w:p>
              </w:tc>
              <w:tc>
                <w:tcPr>
                  <w:tcW w:w="2401" w:type="pct"/>
                  <w:tcBorders>
                    <w:tl2br w:val="nil"/>
                    <w:tr2bl w:val="nil"/>
                  </w:tcBorders>
                  <w:noWrap w:val="0"/>
                  <w:vAlign w:val="center"/>
                </w:tcPr>
                <w:p>
                  <w:pPr>
                    <w:pStyle w:val="29"/>
                    <w:bidi w:val="0"/>
                    <w:rPr>
                      <w:rFonts w:hint="default"/>
                      <w:lang w:val="en-US" w:eastAsia="zh-CN"/>
                    </w:rPr>
                  </w:pPr>
                  <w:r>
                    <w:rPr>
                      <w:rFonts w:hint="default"/>
                      <w:lang w:val="en-US" w:eastAsia="zh-CN"/>
                    </w:rPr>
                    <w:t>4.9</w:t>
                  </w:r>
                </w:p>
              </w:tc>
              <w:tc>
                <w:tcPr>
                  <w:tcW w:w="806" w:type="pct"/>
                  <w:tcBorders>
                    <w:tl2br w:val="nil"/>
                    <w:tr2bl w:val="nil"/>
                  </w:tcBorders>
                  <w:noWrap w:val="0"/>
                  <w:vAlign w:val="center"/>
                </w:tcPr>
                <w:p>
                  <w:pPr>
                    <w:pStyle w:val="29"/>
                    <w:bidi w:val="0"/>
                    <w:rPr>
                      <w:rFonts w:hint="default"/>
                      <w:lang w:eastAsia="zh-CN"/>
                    </w:rPr>
                  </w:pPr>
                  <w:r>
                    <w:rPr>
                      <w:rFonts w:hint="default"/>
                      <w:lang w:eastAsia="zh-CN"/>
                    </w:rPr>
                    <w:t>厂界</w:t>
                  </w:r>
                </w:p>
              </w:tc>
              <w:tc>
                <w:tcPr>
                  <w:tcW w:w="1074" w:type="pct"/>
                  <w:tcBorders>
                    <w:tl2br w:val="nil"/>
                    <w:tr2bl w:val="nil"/>
                  </w:tcBorders>
                  <w:noWrap w:val="0"/>
                  <w:vAlign w:val="center"/>
                </w:tcPr>
                <w:p>
                  <w:pPr>
                    <w:pStyle w:val="29"/>
                    <w:bidi w:val="0"/>
                    <w:rPr>
                      <w:rFonts w:hint="default"/>
                      <w:lang w:val="en-US" w:eastAsia="zh-CN"/>
                    </w:rPr>
                  </w:pPr>
                  <w:r>
                    <w:rPr>
                      <w:rFonts w:hint="default"/>
                      <w:lang w:val="en-US" w:eastAsia="zh-CN"/>
                    </w:rPr>
                    <w:t>1.5</w:t>
                  </w:r>
                  <w:r>
                    <w:rPr>
                      <w:rFonts w:hint="default"/>
                    </w:rPr>
                    <w:t>mg/m</w:t>
                  </w:r>
                  <w:r>
                    <w:rPr>
                      <w:rFonts w:hint="default"/>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17" w:type="pct"/>
                  <w:tcBorders>
                    <w:tl2br w:val="nil"/>
                    <w:tr2bl w:val="nil"/>
                  </w:tcBorders>
                  <w:noWrap w:val="0"/>
                  <w:vAlign w:val="center"/>
                </w:tcPr>
                <w:p>
                  <w:pPr>
                    <w:pStyle w:val="29"/>
                    <w:bidi w:val="0"/>
                    <w:rPr>
                      <w:rFonts w:hint="default"/>
                      <w:lang w:eastAsia="zh-CN"/>
                    </w:rPr>
                  </w:pPr>
                  <w:r>
                    <w:rPr>
                      <w:rFonts w:hint="eastAsia"/>
                      <w:lang w:eastAsia="zh-CN"/>
                    </w:rPr>
                    <w:t>臭气浓度</w:t>
                  </w:r>
                </w:p>
              </w:tc>
              <w:tc>
                <w:tcPr>
                  <w:tcW w:w="2401" w:type="pct"/>
                  <w:tcBorders>
                    <w:tl2br w:val="nil"/>
                    <w:tr2bl w:val="nil"/>
                  </w:tcBorders>
                  <w:noWrap w:val="0"/>
                  <w:vAlign w:val="center"/>
                </w:tcPr>
                <w:p>
                  <w:pPr>
                    <w:pStyle w:val="29"/>
                    <w:bidi w:val="0"/>
                    <w:rPr>
                      <w:rFonts w:hint="default"/>
                      <w:lang w:val="en-US" w:eastAsia="zh-CN"/>
                    </w:rPr>
                  </w:pPr>
                  <w:r>
                    <w:rPr>
                      <w:rFonts w:hint="eastAsia"/>
                      <w:lang w:val="en-US" w:eastAsia="zh-CN"/>
                    </w:rPr>
                    <w:t>2000（无量纲）</w:t>
                  </w:r>
                </w:p>
              </w:tc>
              <w:tc>
                <w:tcPr>
                  <w:tcW w:w="806" w:type="pct"/>
                  <w:tcBorders>
                    <w:tl2br w:val="nil"/>
                    <w:tr2bl w:val="nil"/>
                  </w:tcBorders>
                  <w:noWrap w:val="0"/>
                  <w:vAlign w:val="center"/>
                </w:tcPr>
                <w:p>
                  <w:pPr>
                    <w:pStyle w:val="29"/>
                    <w:bidi w:val="0"/>
                    <w:rPr>
                      <w:rFonts w:hint="default"/>
                      <w:lang w:eastAsia="zh-CN"/>
                    </w:rPr>
                  </w:pPr>
                  <w:r>
                    <w:rPr>
                      <w:rFonts w:hint="eastAsia"/>
                      <w:lang w:eastAsia="zh-CN"/>
                    </w:rPr>
                    <w:t>厂界</w:t>
                  </w:r>
                </w:p>
              </w:tc>
              <w:tc>
                <w:tcPr>
                  <w:tcW w:w="1074" w:type="pct"/>
                  <w:tcBorders>
                    <w:tl2br w:val="nil"/>
                    <w:tr2bl w:val="nil"/>
                  </w:tcBorders>
                  <w:noWrap w:val="0"/>
                  <w:vAlign w:val="center"/>
                </w:tcPr>
                <w:p>
                  <w:pPr>
                    <w:pStyle w:val="29"/>
                    <w:bidi w:val="0"/>
                    <w:rPr>
                      <w:rFonts w:hint="default"/>
                      <w:lang w:val="en-US" w:eastAsia="zh-CN"/>
                    </w:rPr>
                  </w:pPr>
                  <w:r>
                    <w:rPr>
                      <w:rFonts w:hint="eastAsia"/>
                      <w:lang w:val="en-US" w:eastAsia="zh-CN"/>
                    </w:rPr>
                    <w:t>20（无量纲）</w:t>
                  </w:r>
                </w:p>
              </w:tc>
            </w:tr>
          </w:tbl>
          <w:p>
            <w:pPr>
              <w:pStyle w:val="28"/>
              <w:bidi w:val="0"/>
              <w:rPr>
                <w:rFonts w:hint="eastAsia"/>
                <w:color w:val="auto"/>
                <w:lang w:val="en-US" w:eastAsia="zh-CN"/>
              </w:rPr>
            </w:pPr>
            <w:r>
              <w:rPr>
                <w:rFonts w:hint="eastAsia"/>
                <w:color w:val="auto"/>
                <w:lang w:val="en-US" w:eastAsia="zh-CN"/>
              </w:rPr>
              <w:t>表3-5    饮食业油烟排放标准（试行）</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217"/>
              <w:gridCol w:w="3390"/>
              <w:gridCol w:w="14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noWrap w:val="0"/>
                  <w:vAlign w:val="center"/>
                </w:tcPr>
                <w:p>
                  <w:pPr>
                    <w:pStyle w:val="29"/>
                    <w:widowControl w:val="0"/>
                    <w:bidi w:val="0"/>
                    <w:rPr>
                      <w:rFonts w:hint="eastAsia"/>
                      <w:b/>
                      <w:bCs/>
                      <w:color w:val="auto"/>
                      <w:lang w:val="en-US" w:eastAsia="zh-CN"/>
                    </w:rPr>
                  </w:pPr>
                  <w:r>
                    <w:rPr>
                      <w:rFonts w:hint="eastAsia"/>
                      <w:b/>
                      <w:bCs/>
                      <w:color w:val="auto"/>
                      <w:lang w:val="en-US" w:eastAsia="zh-CN"/>
                    </w:rPr>
                    <w:t>污染物</w:t>
                  </w:r>
                </w:p>
              </w:tc>
              <w:tc>
                <w:tcPr>
                  <w:tcW w:w="792" w:type="pct"/>
                  <w:noWrap w:val="0"/>
                  <w:vAlign w:val="center"/>
                </w:tcPr>
                <w:p>
                  <w:pPr>
                    <w:pStyle w:val="29"/>
                    <w:widowControl w:val="0"/>
                    <w:bidi w:val="0"/>
                    <w:rPr>
                      <w:rFonts w:hint="default"/>
                      <w:b/>
                      <w:bCs/>
                      <w:color w:val="auto"/>
                      <w:lang w:val="en-US" w:eastAsia="zh-CN"/>
                    </w:rPr>
                  </w:pPr>
                  <w:r>
                    <w:rPr>
                      <w:rFonts w:hint="eastAsia"/>
                      <w:b/>
                      <w:bCs/>
                      <w:color w:val="auto"/>
                      <w:lang w:val="en-US" w:eastAsia="zh-CN"/>
                    </w:rPr>
                    <w:t>排放形式</w:t>
                  </w:r>
                </w:p>
              </w:tc>
              <w:tc>
                <w:tcPr>
                  <w:tcW w:w="2206" w:type="pct"/>
                  <w:noWrap w:val="0"/>
                  <w:vAlign w:val="center"/>
                </w:tcPr>
                <w:p>
                  <w:pPr>
                    <w:pStyle w:val="29"/>
                    <w:widowControl w:val="0"/>
                    <w:bidi w:val="0"/>
                    <w:rPr>
                      <w:rFonts w:hint="eastAsia"/>
                      <w:b/>
                      <w:bCs/>
                      <w:color w:val="auto"/>
                      <w:lang w:val="en-US" w:eastAsia="zh-CN"/>
                    </w:rPr>
                  </w:pPr>
                  <w:r>
                    <w:rPr>
                      <w:rFonts w:hint="eastAsia"/>
                      <w:b/>
                      <w:bCs/>
                      <w:color w:val="auto"/>
                      <w:lang w:val="en-US" w:eastAsia="zh-CN"/>
                    </w:rPr>
                    <w:t>标准</w:t>
                  </w:r>
                </w:p>
              </w:tc>
              <w:tc>
                <w:tcPr>
                  <w:tcW w:w="957" w:type="pct"/>
                  <w:noWrap w:val="0"/>
                  <w:vAlign w:val="center"/>
                </w:tcPr>
                <w:p>
                  <w:pPr>
                    <w:pStyle w:val="29"/>
                    <w:widowControl w:val="0"/>
                    <w:bidi w:val="0"/>
                    <w:rPr>
                      <w:rFonts w:hint="eastAsia"/>
                      <w:b/>
                      <w:bCs/>
                      <w:color w:val="auto"/>
                      <w:lang w:val="en-US" w:eastAsia="zh-CN"/>
                    </w:rPr>
                  </w:pPr>
                  <w:r>
                    <w:rPr>
                      <w:rFonts w:hint="eastAsia"/>
                      <w:b/>
                      <w:bCs/>
                      <w:color w:val="auto"/>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43" w:type="pct"/>
                  <w:tcBorders>
                    <w:bottom w:val="single" w:color="000000" w:sz="12" w:space="0"/>
                  </w:tcBorders>
                  <w:noWrap w:val="0"/>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食堂油烟</w:t>
                  </w:r>
                </w:p>
              </w:tc>
              <w:tc>
                <w:tcPr>
                  <w:tcW w:w="792" w:type="pct"/>
                  <w:tcBorders>
                    <w:bottom w:val="single" w:color="000000" w:sz="12" w:space="0"/>
                  </w:tcBorders>
                  <w:noWrap w:val="0"/>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有组织</w:t>
                  </w:r>
                </w:p>
              </w:tc>
              <w:tc>
                <w:tcPr>
                  <w:tcW w:w="2206" w:type="pct"/>
                  <w:tcBorders>
                    <w:bottom w:val="single" w:color="000000" w:sz="12" w:space="0"/>
                  </w:tcBorders>
                  <w:noWrap w:val="0"/>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《饮食业油烟排放标准（试行）》（GB18483－2001）</w:t>
                  </w:r>
                </w:p>
              </w:tc>
              <w:tc>
                <w:tcPr>
                  <w:tcW w:w="957" w:type="pct"/>
                  <w:tcBorders>
                    <w:bottom w:val="single" w:color="000000" w:sz="12" w:space="0"/>
                  </w:tcBorders>
                  <w:noWrap w:val="0"/>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2.0mg/m</w:t>
                  </w:r>
                  <w:r>
                    <w:rPr>
                      <w:rFonts w:hint="eastAsia"/>
                      <w:color w:val="auto"/>
                      <w:vertAlign w:val="superscript"/>
                      <w:lang w:val="en-US" w:eastAsia="zh-CN"/>
                    </w:rPr>
                    <w:t>3</w:t>
                  </w:r>
                </w:p>
              </w:tc>
            </w:tr>
          </w:tbl>
          <w:p>
            <w:pPr>
              <w:pStyle w:val="5"/>
              <w:numPr>
                <w:ilvl w:val="0"/>
                <w:numId w:val="16"/>
              </w:numPr>
              <w:bidi w:val="0"/>
              <w:ind w:left="0" w:leftChars="0" w:firstLine="0" w:firstLineChars="0"/>
              <w:rPr>
                <w:rFonts w:hint="default"/>
                <w:color w:val="auto"/>
                <w:lang w:val="en-US" w:eastAsia="zh-CN"/>
              </w:rPr>
            </w:pPr>
            <w:r>
              <w:rPr>
                <w:rFonts w:hint="eastAsia"/>
                <w:color w:val="auto"/>
                <w:lang w:val="en-US" w:eastAsia="zh-CN"/>
              </w:rPr>
              <w:t>水污染物排放标准</w:t>
            </w:r>
          </w:p>
          <w:p>
            <w:pPr>
              <w:pStyle w:val="18"/>
              <w:bidi w:val="0"/>
              <w:rPr>
                <w:rFonts w:hint="default"/>
                <w:lang w:val="en-US" w:eastAsia="zh-CN"/>
              </w:rPr>
            </w:pPr>
            <w:r>
              <w:rPr>
                <w:rFonts w:hint="eastAsia"/>
                <w:lang w:val="en-US" w:eastAsia="zh-CN"/>
              </w:rPr>
              <w:t>本项目废水经污水收集池收集后，由吸污罐车运至昌吉市生活垃圾填埋场集中处理；接水水质满足《污水综合排放标准》（GB8978-1996）表 4 中三级标准，具体标准详见表3-6：</w:t>
            </w:r>
          </w:p>
          <w:p>
            <w:pPr>
              <w:pStyle w:val="28"/>
              <w:bidi w:val="0"/>
              <w:rPr>
                <w:rFonts w:hint="eastAsia"/>
                <w:color w:val="auto"/>
                <w:lang w:val="en-US" w:eastAsia="zh-CN"/>
              </w:rPr>
            </w:pPr>
            <w:r>
              <w:rPr>
                <w:rFonts w:hint="eastAsia"/>
                <w:color w:val="auto"/>
                <w:lang w:val="en-US" w:eastAsia="zh-CN"/>
              </w:rPr>
              <w:t>表3-6    水污染物排放限值标准</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3622"/>
              <w:gridCol w:w="18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tcBorders>
                    <w:bottom w:val="single" w:color="000000"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污染物</w:t>
                  </w:r>
                </w:p>
              </w:tc>
              <w:tc>
                <w:tcPr>
                  <w:tcW w:w="2357" w:type="pct"/>
                  <w:tcBorders>
                    <w:bottom w:val="single" w:color="000000"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标准</w:t>
                  </w:r>
                </w:p>
              </w:tc>
              <w:tc>
                <w:tcPr>
                  <w:tcW w:w="1177" w:type="pct"/>
                  <w:tcBorders>
                    <w:bottom w:val="single" w:color="000000"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tcBorders>
                    <w:top w:val="single" w:color="000000" w:sz="12" w:space="0"/>
                    <w:bottom w:val="single" w:color="auto" w:sz="4" w:space="0"/>
                  </w:tcBorders>
                  <w:noWrap w:val="0"/>
                  <w:vAlign w:val="center"/>
                </w:tcPr>
                <w:p>
                  <w:pPr>
                    <w:pStyle w:val="29"/>
                    <w:widowControl w:val="0"/>
                    <w:bidi w:val="0"/>
                    <w:rPr>
                      <w:rFonts w:hint="default"/>
                      <w:lang w:val="en-US" w:eastAsia="zh-CN"/>
                    </w:rPr>
                  </w:pPr>
                  <w:r>
                    <w:rPr>
                      <w:rFonts w:hint="eastAsia"/>
                      <w:lang w:val="en-US" w:eastAsia="zh-CN"/>
                    </w:rPr>
                    <w:t>PH</w:t>
                  </w:r>
                </w:p>
              </w:tc>
              <w:tc>
                <w:tcPr>
                  <w:tcW w:w="2357" w:type="pct"/>
                  <w:vMerge w:val="restart"/>
                  <w:tcBorders>
                    <w:top w:val="single" w:color="000000" w:sz="12" w:space="0"/>
                  </w:tcBorders>
                  <w:noWrap w:val="0"/>
                  <w:vAlign w:val="center"/>
                </w:tcPr>
                <w:p>
                  <w:pPr>
                    <w:pStyle w:val="29"/>
                    <w:widowControl w:val="0"/>
                    <w:bidi w:val="0"/>
                    <w:rPr>
                      <w:rFonts w:hint="default"/>
                    </w:rPr>
                  </w:pPr>
                  <w:r>
                    <w:rPr>
                      <w:rFonts w:hint="eastAsia"/>
                      <w:color w:val="auto"/>
                      <w:lang w:val="en-US" w:eastAsia="zh-CN"/>
                    </w:rPr>
                    <w:t>《污水综合排放标准》（GB8978-1996）</w:t>
                  </w:r>
                </w:p>
              </w:tc>
              <w:tc>
                <w:tcPr>
                  <w:tcW w:w="1177" w:type="pct"/>
                  <w:tcBorders>
                    <w:top w:val="single" w:color="000000" w:sz="12" w:space="0"/>
                    <w:bottom w:val="single" w:color="auto" w:sz="4" w:space="0"/>
                  </w:tcBorders>
                  <w:noWrap w:val="0"/>
                  <w:vAlign w:val="center"/>
                </w:tcPr>
                <w:p>
                  <w:pPr>
                    <w:pStyle w:val="29"/>
                    <w:widowControl w:val="0"/>
                    <w:bidi w:val="0"/>
                    <w:rPr>
                      <w:rFonts w:hint="default"/>
                      <w:lang w:val="en-US" w:eastAsia="zh-CN"/>
                    </w:rPr>
                  </w:pPr>
                  <w:r>
                    <w:rPr>
                      <w:rFonts w:hint="eastAsia"/>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tcBorders>
                    <w:top w:val="single" w:color="auto" w:sz="4" w:space="0"/>
                    <w:bottom w:val="single" w:color="auto" w:sz="4" w:space="0"/>
                  </w:tcBorders>
                  <w:noWrap w:val="0"/>
                  <w:vAlign w:val="center"/>
                </w:tcPr>
                <w:p>
                  <w:pPr>
                    <w:pStyle w:val="29"/>
                    <w:widowControl w:val="0"/>
                    <w:bidi w:val="0"/>
                    <w:rPr>
                      <w:rFonts w:hint="default"/>
                      <w:lang w:val="en-US" w:eastAsia="zh-CN"/>
                    </w:rPr>
                  </w:pPr>
                  <w:r>
                    <w:rPr>
                      <w:rFonts w:hint="default"/>
                      <w:lang w:val="en-US" w:eastAsia="zh-CN"/>
                    </w:rPr>
                    <w:t>COD</w:t>
                  </w:r>
                  <w:r>
                    <w:rPr>
                      <w:rFonts w:hint="eastAsia"/>
                      <w:lang w:val="en-US" w:eastAsia="zh-CN"/>
                    </w:rPr>
                    <w:t>（</w:t>
                  </w:r>
                  <w:r>
                    <w:rPr>
                      <w:rFonts w:hint="default"/>
                      <w:lang w:val="en-US" w:eastAsia="zh-CN"/>
                    </w:rPr>
                    <w:t>mg/L</w:t>
                  </w:r>
                  <w:r>
                    <w:rPr>
                      <w:rFonts w:hint="eastAsia"/>
                      <w:lang w:val="en-US" w:eastAsia="zh-CN"/>
                    </w:rPr>
                    <w:t>）</w:t>
                  </w:r>
                </w:p>
              </w:tc>
              <w:tc>
                <w:tcPr>
                  <w:tcW w:w="2357" w:type="pct"/>
                  <w:vMerge w:val="continue"/>
                  <w:noWrap w:val="0"/>
                  <w:vAlign w:val="center"/>
                </w:tcPr>
                <w:p>
                  <w:pPr>
                    <w:pStyle w:val="29"/>
                    <w:widowControl w:val="0"/>
                    <w:bidi w:val="0"/>
                    <w:rPr>
                      <w:rFonts w:hint="default"/>
                      <w:lang w:val="en-US" w:eastAsia="zh-CN"/>
                    </w:rPr>
                  </w:pPr>
                </w:p>
              </w:tc>
              <w:tc>
                <w:tcPr>
                  <w:tcW w:w="1177" w:type="pct"/>
                  <w:tcBorders>
                    <w:top w:val="single" w:color="auto" w:sz="4" w:space="0"/>
                    <w:bottom w:val="single" w:color="auto" w:sz="4" w:space="0"/>
                  </w:tcBorders>
                  <w:noWrap w:val="0"/>
                  <w:vAlign w:val="center"/>
                </w:tcPr>
                <w:p>
                  <w:pPr>
                    <w:pStyle w:val="29"/>
                    <w:widowControl w:val="0"/>
                    <w:bidi w:val="0"/>
                    <w:rPr>
                      <w:rFonts w:hint="default"/>
                      <w:lang w:val="en-US" w:eastAsia="zh-CN"/>
                    </w:rPr>
                  </w:pPr>
                  <w:r>
                    <w:rPr>
                      <w:rFonts w:hint="eastAsia"/>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tcBorders>
                    <w:top w:val="single" w:color="auto" w:sz="4" w:space="0"/>
                    <w:bottom w:val="single" w:color="auto" w:sz="4" w:space="0"/>
                  </w:tcBorders>
                  <w:noWrap w:val="0"/>
                  <w:vAlign w:val="center"/>
                </w:tcPr>
                <w:p>
                  <w:pPr>
                    <w:pStyle w:val="29"/>
                    <w:widowControl w:val="0"/>
                    <w:bidi w:val="0"/>
                    <w:jc w:val="center"/>
                    <w:rPr>
                      <w:rFonts w:hint="default"/>
                      <w:lang w:val="en-US" w:eastAsia="zh-CN"/>
                    </w:rPr>
                  </w:pPr>
                  <w:r>
                    <w:rPr>
                      <w:rFonts w:hint="default"/>
                      <w:lang w:val="en-US" w:eastAsia="zh-CN"/>
                    </w:rPr>
                    <w:t>BOD</w:t>
                  </w:r>
                  <w:r>
                    <w:rPr>
                      <w:rFonts w:hint="default"/>
                      <w:vertAlign w:val="subscript"/>
                      <w:lang w:val="en-US" w:eastAsia="zh-CN"/>
                    </w:rPr>
                    <w:t>5</w:t>
                  </w:r>
                </w:p>
              </w:tc>
              <w:tc>
                <w:tcPr>
                  <w:tcW w:w="2357" w:type="pct"/>
                  <w:vMerge w:val="continue"/>
                  <w:noWrap w:val="0"/>
                  <w:vAlign w:val="center"/>
                </w:tcPr>
                <w:p>
                  <w:pPr>
                    <w:pStyle w:val="29"/>
                    <w:widowControl w:val="0"/>
                    <w:bidi w:val="0"/>
                    <w:rPr>
                      <w:rFonts w:hint="default"/>
                      <w:lang w:val="en-US" w:eastAsia="zh-CN"/>
                    </w:rPr>
                  </w:pPr>
                </w:p>
              </w:tc>
              <w:tc>
                <w:tcPr>
                  <w:tcW w:w="1177" w:type="pct"/>
                  <w:tcBorders>
                    <w:top w:val="single" w:color="auto" w:sz="4" w:space="0"/>
                    <w:bottom w:val="single" w:color="auto" w:sz="4" w:space="0"/>
                  </w:tcBorders>
                  <w:noWrap w:val="0"/>
                  <w:vAlign w:val="center"/>
                </w:tcPr>
                <w:p>
                  <w:pPr>
                    <w:pStyle w:val="29"/>
                    <w:widowControl w:val="0"/>
                    <w:bidi w:val="0"/>
                    <w:rPr>
                      <w:rFonts w:hint="default"/>
                      <w:lang w:val="en-US" w:eastAsia="zh-CN"/>
                    </w:rPr>
                  </w:pPr>
                  <w:r>
                    <w:rPr>
                      <w:rFonts w:hint="eastAsia"/>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464" w:type="pct"/>
                  <w:tcBorders>
                    <w:top w:val="single" w:color="auto" w:sz="4" w:space="0"/>
                    <w:bottom w:val="single" w:color="auto" w:sz="12" w:space="0"/>
                  </w:tcBorders>
                  <w:noWrap w:val="0"/>
                  <w:vAlign w:val="center"/>
                </w:tcPr>
                <w:p>
                  <w:pPr>
                    <w:pStyle w:val="29"/>
                    <w:widowControl w:val="0"/>
                    <w:bidi w:val="0"/>
                    <w:rPr>
                      <w:rFonts w:hint="default"/>
                      <w:lang w:val="en-US" w:eastAsia="zh-CN"/>
                    </w:rPr>
                  </w:pPr>
                  <w:r>
                    <w:rPr>
                      <w:rFonts w:hint="eastAsia"/>
                      <w:lang w:val="en-US" w:eastAsia="zh-CN"/>
                    </w:rPr>
                    <w:t>SS</w:t>
                  </w:r>
                </w:p>
              </w:tc>
              <w:tc>
                <w:tcPr>
                  <w:tcW w:w="2357" w:type="pct"/>
                  <w:vMerge w:val="continue"/>
                  <w:tcBorders>
                    <w:bottom w:val="single" w:color="auto" w:sz="12" w:space="0"/>
                  </w:tcBorders>
                  <w:noWrap w:val="0"/>
                  <w:vAlign w:val="center"/>
                </w:tcPr>
                <w:p>
                  <w:pPr>
                    <w:pStyle w:val="29"/>
                    <w:widowControl w:val="0"/>
                    <w:bidi w:val="0"/>
                    <w:rPr>
                      <w:rFonts w:hint="default"/>
                      <w:lang w:val="en-US" w:eastAsia="zh-CN"/>
                    </w:rPr>
                  </w:pPr>
                </w:p>
              </w:tc>
              <w:tc>
                <w:tcPr>
                  <w:tcW w:w="1177" w:type="pct"/>
                  <w:tcBorders>
                    <w:top w:val="single" w:color="auto" w:sz="4" w:space="0"/>
                    <w:bottom w:val="single" w:color="auto" w:sz="12" w:space="0"/>
                  </w:tcBorders>
                  <w:noWrap w:val="0"/>
                  <w:vAlign w:val="center"/>
                </w:tcPr>
                <w:p>
                  <w:pPr>
                    <w:pStyle w:val="29"/>
                    <w:widowControl w:val="0"/>
                    <w:bidi w:val="0"/>
                    <w:rPr>
                      <w:rFonts w:hint="default"/>
                      <w:lang w:val="en-US" w:eastAsia="zh-CN"/>
                    </w:rPr>
                  </w:pPr>
                  <w:r>
                    <w:rPr>
                      <w:rFonts w:hint="eastAsia"/>
                      <w:lang w:val="en-US" w:eastAsia="zh-CN"/>
                    </w:rPr>
                    <w:t>400</w:t>
                  </w:r>
                </w:p>
              </w:tc>
            </w:tr>
          </w:tbl>
          <w:p>
            <w:pPr>
              <w:pStyle w:val="5"/>
              <w:numPr>
                <w:ilvl w:val="0"/>
                <w:numId w:val="16"/>
              </w:numPr>
              <w:bidi w:val="0"/>
              <w:rPr>
                <w:rFonts w:hint="default"/>
                <w:color w:val="auto"/>
                <w:lang w:val="en-US" w:eastAsia="zh-CN"/>
              </w:rPr>
            </w:pPr>
            <w:r>
              <w:rPr>
                <w:rFonts w:hint="eastAsia"/>
                <w:color w:val="auto"/>
                <w:lang w:val="en-US" w:eastAsia="zh-CN"/>
              </w:rPr>
              <w:t>噪声排放标准</w:t>
            </w:r>
          </w:p>
          <w:p>
            <w:pPr>
              <w:pStyle w:val="18"/>
              <w:bidi w:val="0"/>
              <w:jc w:val="both"/>
              <w:rPr>
                <w:rFonts w:hint="default"/>
                <w:color w:val="auto"/>
                <w:lang w:val="en-US" w:eastAsia="zh-CN"/>
              </w:rPr>
            </w:pPr>
            <w:r>
              <w:rPr>
                <w:rFonts w:hint="default"/>
                <w:color w:val="auto"/>
                <w:lang w:val="en-US" w:eastAsia="zh-CN"/>
              </w:rPr>
              <w:t>施工期噪声执行《建筑施工场界环境噪声排放标准》（GB12523-2011）标准，运营期厂界噪声排放执行《工业企业厂界环境噪声排放标准》 （GB12348-2008）</w:t>
            </w:r>
            <w:r>
              <w:rPr>
                <w:rFonts w:hint="eastAsia"/>
                <w:color w:val="auto"/>
                <w:lang w:val="en-US" w:eastAsia="zh-CN"/>
              </w:rPr>
              <w:t>2</w:t>
            </w:r>
            <w:r>
              <w:rPr>
                <w:rFonts w:hint="default"/>
                <w:color w:val="auto"/>
                <w:lang w:val="en-US" w:eastAsia="zh-CN"/>
              </w:rPr>
              <w:t>类标准。噪声限值见表3-</w:t>
            </w:r>
            <w:r>
              <w:rPr>
                <w:rFonts w:hint="eastAsia"/>
                <w:color w:val="auto"/>
                <w:lang w:val="en-US" w:eastAsia="zh-CN"/>
              </w:rPr>
              <w:t>7</w:t>
            </w:r>
            <w:r>
              <w:rPr>
                <w:rFonts w:hint="default"/>
                <w:color w:val="auto"/>
                <w:lang w:val="en-US" w:eastAsia="zh-CN"/>
              </w:rPr>
              <w:t>。</w:t>
            </w:r>
          </w:p>
          <w:p>
            <w:pPr>
              <w:pStyle w:val="28"/>
              <w:bidi w:val="0"/>
              <w:rPr>
                <w:color w:val="auto"/>
              </w:rPr>
            </w:pPr>
            <w:r>
              <w:rPr>
                <w:rFonts w:hint="eastAsia"/>
                <w:color w:val="auto"/>
                <w:lang w:val="en-US" w:eastAsia="zh-CN"/>
              </w:rPr>
              <w:t xml:space="preserve">表3-7    </w:t>
            </w:r>
            <w:r>
              <w:rPr>
                <w:color w:val="auto"/>
                <w:lang w:val="en-US" w:eastAsia="zh-CN"/>
              </w:rPr>
              <w:t xml:space="preserve"> </w:t>
            </w:r>
            <w:r>
              <w:rPr>
                <w:rFonts w:hint="eastAsia"/>
                <w:color w:val="auto"/>
                <w:lang w:val="en-US" w:eastAsia="zh-CN"/>
              </w:rPr>
              <w:t>噪声排放限值标准</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4819"/>
              <w:gridCol w:w="163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801" w:type="pct"/>
                  <w:tcBorders>
                    <w:bottom w:val="single" w:color="auto" w:sz="12" w:space="0"/>
                  </w:tcBorders>
                  <w:noWrap w:val="0"/>
                  <w:vAlign w:val="center"/>
                </w:tcPr>
                <w:p>
                  <w:pPr>
                    <w:pStyle w:val="29"/>
                    <w:widowControl w:val="0"/>
                    <w:bidi w:val="0"/>
                    <w:rPr>
                      <w:rFonts w:hint="eastAsia"/>
                      <w:b/>
                      <w:bCs/>
                      <w:color w:val="auto"/>
                      <w:lang w:val="en-US" w:eastAsia="zh-CN"/>
                    </w:rPr>
                  </w:pPr>
                  <w:r>
                    <w:rPr>
                      <w:rFonts w:hint="eastAsia"/>
                      <w:b/>
                      <w:bCs/>
                      <w:color w:val="auto"/>
                      <w:lang w:val="en-US" w:eastAsia="zh-CN"/>
                    </w:rPr>
                    <w:t>时期</w:t>
                  </w:r>
                </w:p>
              </w:tc>
              <w:tc>
                <w:tcPr>
                  <w:tcW w:w="3136" w:type="pct"/>
                  <w:tcBorders>
                    <w:bottom w:val="single" w:color="auto" w:sz="12" w:space="0"/>
                  </w:tcBorders>
                  <w:noWrap w:val="0"/>
                  <w:vAlign w:val="center"/>
                </w:tcPr>
                <w:p>
                  <w:pPr>
                    <w:pStyle w:val="29"/>
                    <w:widowControl w:val="0"/>
                    <w:bidi w:val="0"/>
                    <w:rPr>
                      <w:rFonts w:hint="eastAsia"/>
                      <w:b/>
                      <w:bCs/>
                      <w:color w:val="auto"/>
                      <w:lang w:val="en-US" w:eastAsia="zh-CN"/>
                    </w:rPr>
                  </w:pPr>
                  <w:r>
                    <w:rPr>
                      <w:rFonts w:hint="eastAsia"/>
                      <w:b/>
                      <w:bCs/>
                      <w:color w:val="auto"/>
                      <w:lang w:val="en-US" w:eastAsia="zh-CN"/>
                    </w:rPr>
                    <w:t>标准</w:t>
                  </w:r>
                </w:p>
              </w:tc>
              <w:tc>
                <w:tcPr>
                  <w:tcW w:w="1062" w:type="pct"/>
                  <w:tcBorders>
                    <w:bottom w:val="single" w:color="auto" w:sz="12" w:space="0"/>
                  </w:tcBorders>
                  <w:noWrap w:val="0"/>
                  <w:vAlign w:val="center"/>
                </w:tcPr>
                <w:p>
                  <w:pPr>
                    <w:pStyle w:val="29"/>
                    <w:widowControl w:val="0"/>
                    <w:bidi w:val="0"/>
                    <w:rPr>
                      <w:rFonts w:hint="eastAsia"/>
                      <w:b/>
                      <w:bCs/>
                      <w:color w:val="auto"/>
                      <w:lang w:val="en-US" w:eastAsia="zh-CN"/>
                    </w:rPr>
                  </w:pPr>
                  <w:r>
                    <w:rPr>
                      <w:rFonts w:hint="eastAsia"/>
                      <w:b/>
                      <w:bCs/>
                      <w:color w:val="auto"/>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eastAsia"/>
                      <w:color w:val="auto"/>
                      <w:lang w:val="en-US" w:eastAsia="zh-CN"/>
                    </w:rPr>
                    <w:t>施工期</w:t>
                  </w:r>
                </w:p>
              </w:tc>
              <w:tc>
                <w:tcPr>
                  <w:tcW w:w="3136" w:type="pct"/>
                  <w:tcBorders>
                    <w:top w:val="single" w:color="auto" w:sz="12" w:space="0"/>
                    <w:bottom w:val="single" w:color="auto" w:sz="4" w:space="0"/>
                  </w:tcBorders>
                  <w:noWrap w:val="0"/>
                  <w:vAlign w:val="center"/>
                </w:tcPr>
                <w:p>
                  <w:pPr>
                    <w:pStyle w:val="29"/>
                    <w:widowControl w:val="0"/>
                    <w:bidi w:val="0"/>
                    <w:rPr>
                      <w:rFonts w:hint="eastAsia"/>
                      <w:color w:val="auto"/>
                      <w:lang w:val="en-US" w:eastAsia="zh-CN"/>
                    </w:rPr>
                  </w:pPr>
                  <w:r>
                    <w:rPr>
                      <w:rFonts w:hint="eastAsia"/>
                      <w:color w:val="auto"/>
                      <w:lang w:val="en-US" w:eastAsia="zh-CN"/>
                    </w:rPr>
                    <w:t>《建筑施工场界环境噪声排放标准》（GB12532-2011）</w:t>
                  </w:r>
                </w:p>
              </w:tc>
              <w:tc>
                <w:tcPr>
                  <w:tcW w:w="1062"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default"/>
                      <w:color w:val="auto"/>
                      <w:lang w:val="en-US" w:eastAsia="zh-CN"/>
                    </w:rPr>
                    <w:t>昼间70dB(A)、夜间55dB(A)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01" w:type="pct"/>
                  <w:tcBorders>
                    <w:top w:val="single" w:color="auto" w:sz="4" w:space="0"/>
                  </w:tcBorders>
                  <w:noWrap w:val="0"/>
                  <w:vAlign w:val="center"/>
                </w:tcPr>
                <w:p>
                  <w:pPr>
                    <w:pStyle w:val="29"/>
                    <w:widowControl w:val="0"/>
                    <w:bidi w:val="0"/>
                    <w:rPr>
                      <w:rFonts w:hint="default"/>
                      <w:color w:val="auto"/>
                      <w:lang w:val="en-US" w:eastAsia="zh-CN"/>
                    </w:rPr>
                  </w:pPr>
                  <w:r>
                    <w:rPr>
                      <w:rFonts w:hint="eastAsia"/>
                      <w:color w:val="auto"/>
                      <w:lang w:val="en-US" w:eastAsia="zh-CN"/>
                    </w:rPr>
                    <w:t>运营期</w:t>
                  </w:r>
                </w:p>
              </w:tc>
              <w:tc>
                <w:tcPr>
                  <w:tcW w:w="3136" w:type="pct"/>
                  <w:tcBorders>
                    <w:top w:val="single" w:color="auto" w:sz="4" w:space="0"/>
                  </w:tcBorders>
                  <w:noWrap w:val="0"/>
                  <w:vAlign w:val="center"/>
                </w:tcPr>
                <w:p>
                  <w:pPr>
                    <w:pStyle w:val="29"/>
                    <w:widowControl w:val="0"/>
                    <w:bidi w:val="0"/>
                    <w:rPr>
                      <w:rFonts w:hint="eastAsia"/>
                      <w:color w:val="auto"/>
                      <w:lang w:val="en-US" w:eastAsia="zh-CN"/>
                    </w:rPr>
                  </w:pPr>
                  <w:r>
                    <w:rPr>
                      <w:rFonts w:hint="eastAsia"/>
                      <w:color w:val="auto"/>
                      <w:lang w:val="en-US" w:eastAsia="zh-CN"/>
                    </w:rPr>
                    <w:t>《工业企业厂界环境噪声排放标准》（GB12348-2008）2</w:t>
                  </w:r>
                  <w:r>
                    <w:rPr>
                      <w:rFonts w:hint="default"/>
                      <w:color w:val="auto"/>
                      <w:lang w:val="en-US" w:eastAsia="zh-CN"/>
                    </w:rPr>
                    <w:t>类</w:t>
                  </w:r>
                </w:p>
              </w:tc>
              <w:tc>
                <w:tcPr>
                  <w:tcW w:w="1062" w:type="pct"/>
                  <w:tcBorders>
                    <w:top w:val="single" w:color="auto" w:sz="4" w:space="0"/>
                  </w:tcBorders>
                  <w:noWrap w:val="0"/>
                  <w:vAlign w:val="center"/>
                </w:tcPr>
                <w:p>
                  <w:pPr>
                    <w:pStyle w:val="29"/>
                    <w:widowControl w:val="0"/>
                    <w:bidi w:val="0"/>
                    <w:rPr>
                      <w:rFonts w:hint="eastAsia"/>
                      <w:color w:val="auto"/>
                      <w:lang w:val="en-US" w:eastAsia="zh-CN"/>
                    </w:rPr>
                  </w:pPr>
                  <w:r>
                    <w:rPr>
                      <w:rFonts w:hint="default"/>
                      <w:color w:val="auto"/>
                      <w:lang w:val="en-US" w:eastAsia="zh-CN"/>
                    </w:rPr>
                    <w:t>昼间</w:t>
                  </w:r>
                  <w:r>
                    <w:rPr>
                      <w:rFonts w:hint="eastAsia"/>
                      <w:color w:val="auto"/>
                      <w:lang w:val="en-US" w:eastAsia="zh-CN"/>
                    </w:rPr>
                    <w:t>60</w:t>
                  </w:r>
                  <w:r>
                    <w:rPr>
                      <w:rFonts w:hint="default"/>
                      <w:color w:val="auto"/>
                      <w:lang w:val="en-US" w:eastAsia="zh-CN"/>
                    </w:rPr>
                    <w:t>dB(A)、夜间5</w:t>
                  </w:r>
                  <w:r>
                    <w:rPr>
                      <w:rFonts w:hint="eastAsia"/>
                      <w:color w:val="auto"/>
                      <w:lang w:val="en-US" w:eastAsia="zh-CN"/>
                    </w:rPr>
                    <w:t>0</w:t>
                  </w:r>
                  <w:r>
                    <w:rPr>
                      <w:rFonts w:hint="default"/>
                      <w:color w:val="auto"/>
                      <w:lang w:val="en-US" w:eastAsia="zh-CN"/>
                    </w:rPr>
                    <w:t>dB(A)</w:t>
                  </w:r>
                </w:p>
              </w:tc>
            </w:tr>
          </w:tbl>
          <w:p>
            <w:pPr>
              <w:pStyle w:val="5"/>
              <w:numPr>
                <w:ilvl w:val="0"/>
                <w:numId w:val="16"/>
              </w:numPr>
              <w:bidi w:val="0"/>
              <w:rPr>
                <w:rFonts w:hint="default"/>
                <w:color w:val="auto"/>
                <w:lang w:val="en-US" w:eastAsia="zh-CN"/>
              </w:rPr>
            </w:pPr>
            <w:r>
              <w:rPr>
                <w:rFonts w:hint="eastAsia"/>
                <w:color w:val="auto"/>
                <w:lang w:val="en-US" w:eastAsia="zh-CN"/>
              </w:rPr>
              <w:t>固体废物控制标准</w:t>
            </w:r>
          </w:p>
          <w:p>
            <w:pPr>
              <w:pStyle w:val="18"/>
              <w:bidi w:val="0"/>
              <w:rPr>
                <w:rFonts w:hint="default"/>
                <w:lang w:val="en-US" w:eastAsia="zh-CN"/>
              </w:rPr>
            </w:pPr>
            <w:r>
              <w:rPr>
                <w:rFonts w:hint="eastAsia"/>
                <w:lang w:val="en-US" w:eastAsia="zh-CN"/>
              </w:rPr>
              <w:t>固体废弃物执行《一般工业固体废物贮存和填埋污染控制标准》（GB 18599-2020）中的相关规定。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4" w:hRule="atLeast"/>
          <w:jc w:val="center"/>
        </w:trPr>
        <w:tc>
          <w:tcPr>
            <w:tcW w:w="62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总量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kern w:val="2"/>
                <w:szCs w:val="21"/>
              </w:rPr>
            </w:pPr>
            <w:r>
              <w:rPr>
                <w:rFonts w:hint="eastAsia" w:ascii="宋体" w:hAnsi="宋体" w:cs="宋体"/>
                <w:b/>
                <w:color w:val="auto"/>
                <w:kern w:val="2"/>
                <w:szCs w:val="21"/>
              </w:rPr>
              <w:t>控制</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b/>
                <w:color w:val="auto"/>
                <w:kern w:val="2"/>
                <w:lang w:eastAsia="zh-CN"/>
              </w:rPr>
            </w:pPr>
            <w:r>
              <w:rPr>
                <w:rFonts w:hint="eastAsia"/>
                <w:b/>
                <w:color w:val="auto"/>
                <w:kern w:val="2"/>
              </w:rPr>
              <w:t>指标</w:t>
            </w:r>
          </w:p>
        </w:tc>
        <w:tc>
          <w:tcPr>
            <w:tcW w:w="7900" w:type="dxa"/>
            <w:tcBorders>
              <w:tl2br w:val="nil"/>
              <w:tr2bl w:val="nil"/>
            </w:tcBorders>
            <w:vAlign w:val="center"/>
          </w:tcPr>
          <w:p>
            <w:pPr>
              <w:pStyle w:val="18"/>
              <w:bidi w:val="0"/>
              <w:jc w:val="center"/>
              <w:rPr>
                <w:rFonts w:hint="eastAsia"/>
                <w:color w:val="auto"/>
                <w:vertAlign w:val="baseline"/>
                <w:lang w:eastAsia="zh-CN"/>
              </w:rPr>
            </w:pPr>
            <w:r>
              <w:rPr>
                <w:rFonts w:hint="eastAsia"/>
                <w:color w:val="auto"/>
                <w:vertAlign w:val="baseline"/>
                <w:lang w:val="en-US" w:eastAsia="zh-CN"/>
              </w:rPr>
              <w:t xml:space="preserve">结合本项目排污特点、所在区域环境质量现状等因素综合考虑，本项 </w:t>
            </w:r>
          </w:p>
          <w:p>
            <w:pPr>
              <w:pStyle w:val="18"/>
              <w:bidi w:val="0"/>
              <w:ind w:left="0" w:leftChars="0" w:firstLine="0" w:firstLineChars="0"/>
              <w:jc w:val="both"/>
              <w:rPr>
                <w:rFonts w:hint="eastAsia"/>
                <w:color w:val="auto"/>
                <w:vertAlign w:val="baseline"/>
                <w:lang w:eastAsia="zh-CN"/>
              </w:rPr>
            </w:pPr>
            <w:r>
              <w:rPr>
                <w:rFonts w:hint="eastAsia"/>
                <w:color w:val="auto"/>
                <w:vertAlign w:val="baseline"/>
                <w:lang w:val="en-US" w:eastAsia="zh-CN"/>
              </w:rPr>
              <w:t>目不设置总量控制指标。</w:t>
            </w:r>
          </w:p>
        </w:tc>
      </w:tr>
    </w:tbl>
    <w:p>
      <w:pPr>
        <w:numPr>
          <w:ilvl w:val="0"/>
          <w:numId w:val="0"/>
        </w:numPr>
        <w:ind w:leftChars="0"/>
        <w:jc w:val="both"/>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numPr>
          <w:ilvl w:val="0"/>
          <w:numId w:val="2"/>
        </w:numPr>
        <w:bidi w:val="0"/>
        <w:rPr>
          <w:rFonts w:hint="eastAsia"/>
          <w:color w:val="auto"/>
        </w:rPr>
      </w:pPr>
      <w:r>
        <w:rPr>
          <w:rFonts w:hint="eastAsia"/>
          <w:color w:val="auto"/>
        </w:rPr>
        <w:t>主要环境影响和保护措施</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65" w:hRule="atLeast"/>
        </w:trPr>
        <w:tc>
          <w:tcPr>
            <w:tcW w:w="437" w:type="dxa"/>
            <w:tcBorders>
              <w:tl2br w:val="nil"/>
              <w:tr2bl w:val="nil"/>
            </w:tcBorders>
            <w:vAlign w:val="center"/>
          </w:tcPr>
          <w:p>
            <w:pPr>
              <w:pStyle w:val="19"/>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施工</w:t>
            </w:r>
          </w:p>
          <w:p>
            <w:pPr>
              <w:pStyle w:val="19"/>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期环</w:t>
            </w:r>
          </w:p>
          <w:p>
            <w:pPr>
              <w:pStyle w:val="19"/>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境保</w:t>
            </w:r>
          </w:p>
          <w:p>
            <w:pPr>
              <w:pStyle w:val="19"/>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护措</w:t>
            </w:r>
          </w:p>
          <w:p>
            <w:pPr>
              <w:bidi w:val="0"/>
              <w:jc w:val="center"/>
              <w:rPr>
                <w:rFonts w:hint="eastAsia"/>
                <w:color w:val="auto"/>
                <w:lang w:eastAsia="zh-CN"/>
              </w:rPr>
            </w:pPr>
            <w:r>
              <w:rPr>
                <w:rFonts w:hint="eastAsia"/>
                <w:color w:val="auto"/>
                <w:sz w:val="24"/>
                <w:szCs w:val="24"/>
              </w:rPr>
              <w:t>施</w:t>
            </w:r>
          </w:p>
        </w:tc>
        <w:tc>
          <w:tcPr>
            <w:tcW w:w="8085" w:type="dxa"/>
            <w:tcBorders>
              <w:tl2br w:val="nil"/>
              <w:tr2bl w:val="nil"/>
            </w:tcBorders>
          </w:tcPr>
          <w:p>
            <w:pPr>
              <w:pStyle w:val="5"/>
              <w:numPr>
                <w:ilvl w:val="0"/>
                <w:numId w:val="17"/>
              </w:numPr>
              <w:bidi w:val="0"/>
              <w:rPr>
                <w:color w:val="auto"/>
              </w:rPr>
            </w:pPr>
            <w:r>
              <w:rPr>
                <w:rFonts w:hint="eastAsia"/>
                <w:color w:val="auto"/>
                <w:lang w:val="en-US" w:eastAsia="zh-CN"/>
              </w:rPr>
              <w:t>施工期水污染防治措施</w:t>
            </w:r>
          </w:p>
          <w:p>
            <w:pPr>
              <w:pStyle w:val="18"/>
              <w:numPr>
                <w:ilvl w:val="0"/>
                <w:numId w:val="18"/>
              </w:numPr>
              <w:bidi w:val="0"/>
              <w:rPr>
                <w:color w:val="auto"/>
              </w:rPr>
            </w:pPr>
            <w:r>
              <w:rPr>
                <w:rFonts w:hint="eastAsia"/>
                <w:color w:val="auto"/>
                <w:lang w:val="en-US" w:eastAsia="zh-CN"/>
              </w:rPr>
              <w:t>施工废水主要有泥浆废水，砂石料冲洗废水，施工临建场地清洗废水等，主要有悬浮物和泥沙等，施工场地修建容积2m</w:t>
            </w:r>
            <w:r>
              <w:rPr>
                <w:rFonts w:hint="eastAsia"/>
                <w:color w:val="auto"/>
                <w:vertAlign w:val="superscript"/>
                <w:lang w:val="en-US" w:eastAsia="zh-CN"/>
              </w:rPr>
              <w:t>3</w:t>
            </w:r>
            <w:r>
              <w:rPr>
                <w:rFonts w:hint="eastAsia"/>
                <w:color w:val="auto"/>
                <w:lang w:val="en-US" w:eastAsia="zh-CN"/>
              </w:rPr>
              <w:t>的沉淀池，生产废水经沉淀后循环利用，不外排。</w:t>
            </w:r>
          </w:p>
          <w:p>
            <w:pPr>
              <w:pStyle w:val="18"/>
              <w:numPr>
                <w:ilvl w:val="0"/>
                <w:numId w:val="18"/>
              </w:numPr>
              <w:bidi w:val="0"/>
              <w:rPr>
                <w:color w:val="auto"/>
              </w:rPr>
            </w:pPr>
            <w:r>
              <w:rPr>
                <w:color w:val="auto"/>
                <w:sz w:val="24"/>
              </w:rPr>
              <w:t>施工人员就近租用周边居民的房屋</w:t>
            </w:r>
            <w:r>
              <w:rPr>
                <w:rFonts w:hint="eastAsia"/>
                <w:color w:val="auto"/>
                <w:sz w:val="24"/>
              </w:rPr>
              <w:t>作为施工营地</w:t>
            </w:r>
            <w:r>
              <w:rPr>
                <w:color w:val="auto"/>
                <w:sz w:val="24"/>
              </w:rPr>
              <w:t>，其生活污水通过所租用民房既有的卫生设施</w:t>
            </w:r>
            <w:r>
              <w:rPr>
                <w:rFonts w:hint="eastAsia"/>
                <w:color w:val="auto"/>
                <w:sz w:val="24"/>
              </w:rPr>
              <w:t>收集处理</w:t>
            </w:r>
            <w:r>
              <w:rPr>
                <w:rFonts w:hint="eastAsia"/>
                <w:color w:val="auto"/>
                <w:lang w:val="en-US" w:eastAsia="zh-CN"/>
              </w:rPr>
              <w:t>，对周边水环境影响较小。</w:t>
            </w:r>
          </w:p>
          <w:p>
            <w:pPr>
              <w:pStyle w:val="5"/>
              <w:numPr>
                <w:ilvl w:val="0"/>
                <w:numId w:val="17"/>
              </w:numPr>
              <w:bidi w:val="0"/>
              <w:rPr>
                <w:rFonts w:hint="eastAsia"/>
                <w:color w:val="auto"/>
                <w:lang w:val="en-US" w:eastAsia="zh-CN"/>
              </w:rPr>
            </w:pPr>
            <w:r>
              <w:rPr>
                <w:rFonts w:hint="eastAsia"/>
                <w:color w:val="auto"/>
                <w:lang w:val="en-US" w:eastAsia="zh-CN"/>
              </w:rPr>
              <w:t>施工期废气污染防治措施</w:t>
            </w:r>
          </w:p>
          <w:p>
            <w:pPr>
              <w:pStyle w:val="18"/>
              <w:bidi w:val="0"/>
              <w:rPr>
                <w:color w:val="auto"/>
              </w:rPr>
            </w:pPr>
            <w:r>
              <w:rPr>
                <w:rFonts w:hint="eastAsia"/>
                <w:color w:val="auto"/>
                <w:lang w:val="en-US" w:eastAsia="zh-CN"/>
              </w:rPr>
              <w:t>（</w:t>
            </w:r>
            <w:r>
              <w:rPr>
                <w:rFonts w:hint="default"/>
                <w:color w:val="auto"/>
                <w:lang w:val="en-US" w:eastAsia="zh-CN"/>
              </w:rPr>
              <w:t>1</w:t>
            </w:r>
            <w:r>
              <w:rPr>
                <w:rFonts w:hint="eastAsia"/>
                <w:color w:val="auto"/>
                <w:lang w:val="en-US" w:eastAsia="zh-CN"/>
              </w:rPr>
              <w:t>） 项目施工场地及运输道路每日应经常洒水抑尘，特别在晴天应增加洒水次数以最大限度地降低扬尘对周边环境的影响。同时在施工场地出口设置浅水池，以减少扬尘的产生。</w:t>
            </w:r>
          </w:p>
          <w:p>
            <w:pPr>
              <w:pStyle w:val="18"/>
              <w:bidi w:val="0"/>
              <w:rPr>
                <w:color w:val="auto"/>
              </w:rPr>
            </w:pPr>
            <w:r>
              <w:rPr>
                <w:rFonts w:hint="eastAsia"/>
                <w:color w:val="auto"/>
                <w:lang w:val="en-US" w:eastAsia="zh-CN"/>
              </w:rPr>
              <w:t>（</w:t>
            </w:r>
            <w:r>
              <w:rPr>
                <w:rFonts w:hint="default"/>
                <w:color w:val="auto"/>
                <w:lang w:val="en-US" w:eastAsia="zh-CN"/>
              </w:rPr>
              <w:t>2</w:t>
            </w:r>
            <w:r>
              <w:rPr>
                <w:rFonts w:hint="eastAsia"/>
                <w:color w:val="auto"/>
                <w:lang w:val="en-US" w:eastAsia="zh-CN"/>
              </w:rPr>
              <w:t>） 运输车辆运输砂石料、水泥、渣土等易产生扬尘的车辆上应覆盖篷布；对运输过程中落在路面上的泥土要及时清扫，以减少运行过程中的扬尘。</w:t>
            </w:r>
          </w:p>
          <w:p>
            <w:pPr>
              <w:pStyle w:val="18"/>
              <w:bidi w:val="0"/>
              <w:rPr>
                <w:rFonts w:hint="default"/>
                <w:color w:val="auto"/>
                <w:lang w:val="en-US" w:eastAsia="zh-CN"/>
              </w:rPr>
            </w:pPr>
            <w:r>
              <w:rPr>
                <w:rFonts w:hint="eastAsia"/>
                <w:color w:val="auto"/>
                <w:lang w:val="en-US" w:eastAsia="zh-CN"/>
              </w:rPr>
              <w:t>（</w:t>
            </w:r>
            <w:r>
              <w:rPr>
                <w:rFonts w:hint="default"/>
                <w:color w:val="auto"/>
                <w:lang w:val="en-US" w:eastAsia="zh-CN"/>
              </w:rPr>
              <w:t>3</w:t>
            </w:r>
            <w:r>
              <w:rPr>
                <w:rFonts w:hint="eastAsia"/>
                <w:color w:val="auto"/>
                <w:lang w:val="en-US" w:eastAsia="zh-CN"/>
              </w:rPr>
              <w:t>） 应首选使用商品混凝土，因需要必须进行现场搅拌砂浆、混凝土时，应尽量做到不洒、不漏、不剩不倒；混凝土搅拌应设置在棚内，搅拌时要有喷雾降尘措施；</w:t>
            </w:r>
          </w:p>
          <w:p>
            <w:pPr>
              <w:pStyle w:val="18"/>
              <w:bidi w:val="0"/>
              <w:rPr>
                <w:rFonts w:hint="eastAsia"/>
                <w:color w:val="auto"/>
                <w:lang w:val="en-US" w:eastAsia="zh-CN"/>
              </w:rPr>
            </w:pPr>
            <w:r>
              <w:rPr>
                <w:rFonts w:hint="eastAsia"/>
                <w:color w:val="auto"/>
                <w:lang w:val="en-US" w:eastAsia="zh-CN"/>
              </w:rPr>
              <w:t>（4） 施工工地内的车行道路，应进行场地硬化，如：铺设钢板、铺设水泥等措施。</w:t>
            </w:r>
          </w:p>
          <w:p>
            <w:pPr>
              <w:pStyle w:val="18"/>
              <w:bidi w:val="0"/>
              <w:rPr>
                <w:rFonts w:hint="eastAsia"/>
                <w:color w:val="auto"/>
                <w:lang w:val="en-US" w:eastAsia="zh-CN"/>
              </w:rPr>
            </w:pPr>
            <w:r>
              <w:rPr>
                <w:rFonts w:hint="eastAsia"/>
                <w:color w:val="auto"/>
                <w:lang w:val="en-US" w:eastAsia="zh-CN"/>
              </w:rPr>
              <w:t>（5） 加强施工现场车辆管理，车辆严禁超载，装卸渣土时严禁凌空抛洒，同时，车辆必须有遮盖和防护措施，防止建筑材料和尘土飞扬、洒落和流溢。</w:t>
            </w:r>
          </w:p>
          <w:p>
            <w:pPr>
              <w:pStyle w:val="18"/>
              <w:bidi w:val="0"/>
              <w:rPr>
                <w:rFonts w:hint="eastAsia"/>
                <w:color w:val="auto"/>
                <w:lang w:val="en-US" w:eastAsia="zh-CN"/>
              </w:rPr>
            </w:pPr>
            <w:r>
              <w:rPr>
                <w:rFonts w:hint="eastAsia"/>
                <w:color w:val="auto"/>
                <w:lang w:val="en-US" w:eastAsia="zh-CN"/>
              </w:rPr>
              <w:t>（6） 注意施工期间堆料的保护，采用加盖蓬布等措施，避免造成大范围的空气污染。</w:t>
            </w:r>
          </w:p>
          <w:p>
            <w:pPr>
              <w:pStyle w:val="18"/>
              <w:bidi w:val="0"/>
              <w:rPr>
                <w:rFonts w:hint="eastAsia"/>
                <w:color w:val="auto"/>
                <w:lang w:val="en-US" w:eastAsia="zh-CN"/>
              </w:rPr>
            </w:pPr>
            <w:r>
              <w:rPr>
                <w:rFonts w:hint="eastAsia"/>
                <w:color w:val="auto"/>
                <w:lang w:val="en-US" w:eastAsia="zh-CN"/>
              </w:rPr>
              <w:t>（7） 一些容易产生粉尘的建筑材料的运输，要求采用散料运输专用车辆运输。临时存放，应采取防风遮挡措施，减少起尘量。</w:t>
            </w:r>
          </w:p>
          <w:p>
            <w:pPr>
              <w:pStyle w:val="18"/>
              <w:bidi w:val="0"/>
              <w:rPr>
                <w:color w:val="auto"/>
              </w:rPr>
            </w:pPr>
            <w:r>
              <w:rPr>
                <w:rFonts w:hint="eastAsia"/>
                <w:color w:val="auto"/>
                <w:lang w:val="en-US" w:eastAsia="zh-CN"/>
              </w:rPr>
              <w:t>（8） 建筑工地必须实行围挡封闭施工，围挡高度最少不能低于</w:t>
            </w:r>
            <w:r>
              <w:rPr>
                <w:rFonts w:hint="default"/>
                <w:color w:val="auto"/>
                <w:lang w:val="en-US" w:eastAsia="zh-CN"/>
              </w:rPr>
              <w:t>2m</w:t>
            </w:r>
            <w:r>
              <w:rPr>
                <w:rFonts w:hint="eastAsia"/>
                <w:color w:val="auto"/>
                <w:lang w:val="en-US" w:eastAsia="zh-CN"/>
              </w:rPr>
              <w:t>，且围挡要坚固、稳定、整洁、规范、美观；建筑工地必须用密目式安全网全封闭，封闭高度应高出作业面</w:t>
            </w:r>
            <w:r>
              <w:rPr>
                <w:rFonts w:hint="default"/>
                <w:color w:val="auto"/>
                <w:lang w:val="en-US" w:eastAsia="zh-CN"/>
              </w:rPr>
              <w:t>1.5m</w:t>
            </w:r>
            <w:r>
              <w:rPr>
                <w:rFonts w:hint="eastAsia"/>
                <w:color w:val="auto"/>
                <w:lang w:val="en-US" w:eastAsia="zh-CN"/>
              </w:rPr>
              <w:t>以上。</w:t>
            </w:r>
          </w:p>
          <w:p>
            <w:pPr>
              <w:pStyle w:val="5"/>
              <w:numPr>
                <w:ilvl w:val="0"/>
                <w:numId w:val="17"/>
              </w:numPr>
              <w:bidi w:val="0"/>
              <w:rPr>
                <w:rFonts w:hint="eastAsia"/>
                <w:color w:val="auto"/>
                <w:lang w:val="en-US" w:eastAsia="zh-CN"/>
              </w:rPr>
            </w:pPr>
            <w:r>
              <w:rPr>
                <w:rFonts w:hint="eastAsia"/>
                <w:color w:val="auto"/>
                <w:lang w:val="en-US" w:eastAsia="zh-CN"/>
              </w:rPr>
              <w:t>施工期噪声污染防治措施</w:t>
            </w:r>
          </w:p>
          <w:p>
            <w:pPr>
              <w:pStyle w:val="18"/>
              <w:bidi w:val="0"/>
              <w:rPr>
                <w:color w:val="auto"/>
              </w:rPr>
            </w:pPr>
            <w:r>
              <w:rPr>
                <w:rFonts w:hint="eastAsia"/>
                <w:color w:val="auto"/>
                <w:lang w:eastAsia="zh-CN"/>
              </w:rPr>
              <w:t>（</w:t>
            </w:r>
            <w:r>
              <w:rPr>
                <w:rFonts w:hint="eastAsia"/>
                <w:color w:val="auto"/>
                <w:lang w:val="en-US" w:eastAsia="zh-CN"/>
              </w:rPr>
              <w:t>1） 选用低噪声施工机械，加强设备的管理和维护保养，保证各类机械设备的高效运转。高噪声设备错开使用，避免高噪声设备同时作业</w:t>
            </w:r>
            <w:r>
              <w:rPr>
                <w:color w:val="auto"/>
              </w:rPr>
              <w:t>。</w:t>
            </w:r>
          </w:p>
          <w:p>
            <w:pPr>
              <w:pStyle w:val="18"/>
              <w:bidi w:val="0"/>
              <w:rPr>
                <w:color w:val="auto"/>
              </w:rPr>
            </w:pPr>
            <w:r>
              <w:rPr>
                <w:rFonts w:hint="eastAsia"/>
                <w:color w:val="auto"/>
                <w:lang w:eastAsia="zh-CN"/>
              </w:rPr>
              <w:t>（</w:t>
            </w:r>
            <w:r>
              <w:rPr>
                <w:rFonts w:hint="eastAsia"/>
                <w:color w:val="auto"/>
                <w:lang w:val="en-US" w:eastAsia="zh-CN"/>
              </w:rPr>
              <w:t xml:space="preserve">2） </w:t>
            </w:r>
            <w:r>
              <w:rPr>
                <w:color w:val="auto"/>
              </w:rPr>
              <w:t>施工期间避免在夜间以及中午休息的时间进行工作。</w:t>
            </w:r>
          </w:p>
          <w:p>
            <w:pPr>
              <w:pStyle w:val="18"/>
              <w:bidi w:val="0"/>
              <w:rPr>
                <w:rFonts w:hint="eastAsia"/>
                <w:color w:val="auto"/>
                <w:lang w:val="en-US" w:eastAsia="zh-CN"/>
              </w:rPr>
            </w:pPr>
            <w:r>
              <w:rPr>
                <w:rFonts w:hint="eastAsia"/>
                <w:color w:val="auto"/>
                <w:lang w:eastAsia="zh-CN"/>
              </w:rPr>
              <w:t>（</w:t>
            </w:r>
            <w:r>
              <w:rPr>
                <w:rFonts w:hint="eastAsia"/>
                <w:color w:val="auto"/>
                <w:lang w:val="en-US" w:eastAsia="zh-CN"/>
              </w:rPr>
              <w:t>3） 提高工作效率，加快施工进度，尽可能缩短施工建设对周围环境的影响。</w:t>
            </w:r>
          </w:p>
          <w:p>
            <w:pPr>
              <w:pStyle w:val="18"/>
              <w:bidi w:val="0"/>
              <w:rPr>
                <w:rFonts w:hint="eastAsia"/>
                <w:color w:val="auto"/>
                <w:lang w:val="en-US" w:eastAsia="zh-CN"/>
              </w:rPr>
            </w:pPr>
            <w:r>
              <w:rPr>
                <w:rFonts w:hint="eastAsia"/>
                <w:color w:val="auto"/>
                <w:lang w:val="en-US" w:eastAsia="zh-CN"/>
              </w:rPr>
              <w:t>（4）混凝土需要连续浇灌作业前，应做好各项准备工作，将搅拌机运行时间压到最低限度。</w:t>
            </w:r>
          </w:p>
          <w:p>
            <w:pPr>
              <w:pStyle w:val="5"/>
              <w:numPr>
                <w:ilvl w:val="0"/>
                <w:numId w:val="17"/>
              </w:numPr>
              <w:bidi w:val="0"/>
              <w:rPr>
                <w:rFonts w:hint="eastAsia"/>
                <w:color w:val="auto"/>
                <w:lang w:val="en-US" w:eastAsia="zh-CN"/>
              </w:rPr>
            </w:pPr>
            <w:r>
              <w:rPr>
                <w:rFonts w:hint="eastAsia"/>
                <w:color w:val="auto"/>
                <w:lang w:val="en-US" w:eastAsia="zh-CN"/>
              </w:rPr>
              <w:t>施工期固体废物污染防治措施</w:t>
            </w:r>
          </w:p>
          <w:p>
            <w:pPr>
              <w:pStyle w:val="18"/>
              <w:bidi w:val="0"/>
              <w:rPr>
                <w:color w:val="auto"/>
              </w:rPr>
            </w:pPr>
            <w:r>
              <w:rPr>
                <w:rFonts w:hint="eastAsia"/>
                <w:color w:val="auto"/>
                <w:lang w:val="en-US" w:eastAsia="zh-CN"/>
              </w:rPr>
              <w:t>施工期产生的固体废弃物主要是施工人员的生活垃圾及建筑垃圾。根据不同的成分采用不同的处理方式：</w:t>
            </w:r>
          </w:p>
          <w:p>
            <w:pPr>
              <w:pStyle w:val="18"/>
              <w:numPr>
                <w:ilvl w:val="0"/>
                <w:numId w:val="19"/>
              </w:numPr>
              <w:bidi w:val="0"/>
              <w:rPr>
                <w:color w:val="auto"/>
              </w:rPr>
            </w:pPr>
            <w:r>
              <w:rPr>
                <w:rFonts w:hint="eastAsia"/>
                <w:color w:val="auto"/>
                <w:lang w:val="en-US" w:eastAsia="zh-CN"/>
              </w:rPr>
              <w:t>施工场地应设临时垃圾桶和垃圾箱，对产生的的施工生活垃圾应及时收集，由当地环卫部门统一收集清运。</w:t>
            </w:r>
          </w:p>
          <w:p>
            <w:pPr>
              <w:pStyle w:val="18"/>
              <w:numPr>
                <w:ilvl w:val="0"/>
                <w:numId w:val="19"/>
              </w:numPr>
              <w:bidi w:val="0"/>
              <w:ind w:left="0" w:leftChars="0" w:firstLine="480" w:firstLineChars="200"/>
              <w:rPr>
                <w:rFonts w:hint="default"/>
                <w:color w:val="auto"/>
                <w:lang w:val="en-US" w:eastAsia="zh-CN"/>
              </w:rPr>
            </w:pPr>
            <w:r>
              <w:rPr>
                <w:rFonts w:hint="eastAsia"/>
                <w:color w:val="auto"/>
                <w:lang w:val="en-US" w:eastAsia="zh-CN"/>
              </w:rPr>
              <w:t>建筑垃圾及渣土应妥善处置。对于建筑垃圾中较为稳定的成分，如废碴土、废砖头等，可以与施工期间挖出的土石一起堆放或者回填，不能回填部分外送至指定的建筑垃圾堆放点存放。对于废钢筋、混凝土废碴、废木料、废砖头、废瓷砖（片）以及一些废弃的包装材料如废水泥袋、塑料袋、包装纸箱等应统一收集回收再利用。</w:t>
            </w: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eastAsia"/>
                <w:color w:val="auto"/>
                <w:lang w:val="en-US" w:eastAsia="zh-CN"/>
              </w:rPr>
            </w:pPr>
          </w:p>
          <w:p>
            <w:pPr>
              <w:pStyle w:val="18"/>
              <w:widowControl w:val="0"/>
              <w:numPr>
                <w:ilvl w:val="0"/>
                <w:numId w:val="0"/>
              </w:numPr>
              <w:bidi w:val="0"/>
              <w:spacing w:line="360" w:lineRule="auto"/>
              <w:jc w:val="left"/>
              <w:rPr>
                <w:rFonts w:hint="default"/>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5" w:hRule="atLeast"/>
        </w:trPr>
        <w:tc>
          <w:tcPr>
            <w:tcW w:w="437" w:type="dxa"/>
            <w:tcBorders>
              <w:tl2br w:val="nil"/>
              <w:tr2bl w:val="nil"/>
            </w:tcBorders>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bidi w:val="0"/>
              <w:jc w:val="center"/>
              <w:rPr>
                <w:rFonts w:hint="eastAsia"/>
                <w:color w:val="auto"/>
                <w:lang w:eastAsia="zh-CN"/>
              </w:rPr>
            </w:pPr>
            <w:r>
              <w:rPr>
                <w:rFonts w:hint="eastAsia"/>
                <w:color w:val="auto"/>
              </w:rPr>
              <w:t>措施</w:t>
            </w:r>
          </w:p>
        </w:tc>
        <w:tc>
          <w:tcPr>
            <w:tcW w:w="8085" w:type="dxa"/>
            <w:tcBorders>
              <w:tl2br w:val="nil"/>
              <w:tr2bl w:val="nil"/>
            </w:tcBorders>
          </w:tcPr>
          <w:p>
            <w:pPr>
              <w:pStyle w:val="5"/>
              <w:numPr>
                <w:ilvl w:val="0"/>
                <w:numId w:val="20"/>
              </w:numPr>
              <w:bidi w:val="0"/>
              <w:rPr>
                <w:rFonts w:hint="default"/>
                <w:color w:val="auto"/>
                <w:lang w:val="en-US" w:eastAsia="zh-CN"/>
              </w:rPr>
            </w:pPr>
            <w:r>
              <w:rPr>
                <w:rFonts w:hint="eastAsia"/>
                <w:color w:val="auto"/>
                <w:lang w:val="en-US" w:eastAsia="zh-CN"/>
              </w:rPr>
              <w:t>废水环境影响和保护措施</w:t>
            </w:r>
          </w:p>
          <w:p>
            <w:pPr>
              <w:pStyle w:val="18"/>
              <w:bidi w:val="0"/>
              <w:rPr>
                <w:rFonts w:hint="eastAsia"/>
                <w:color w:val="auto"/>
              </w:rPr>
            </w:pPr>
            <w:r>
              <w:rPr>
                <w:rFonts w:hint="eastAsia"/>
                <w:color w:val="auto"/>
              </w:rPr>
              <w:t>本项目营运期废水主要</w:t>
            </w:r>
            <w:r>
              <w:rPr>
                <w:rFonts w:hint="eastAsia" w:ascii="Times New Roman" w:hAnsi="Times New Roman"/>
                <w:color w:val="auto"/>
                <w:sz w:val="24"/>
                <w:szCs w:val="20"/>
              </w:rPr>
              <w:t>为地面、</w:t>
            </w:r>
            <w:r>
              <w:rPr>
                <w:rFonts w:hint="eastAsia"/>
                <w:color w:val="auto"/>
                <w:sz w:val="24"/>
                <w:szCs w:val="20"/>
                <w:lang w:val="en-US" w:eastAsia="zh-CN"/>
              </w:rPr>
              <w:t>设备、</w:t>
            </w:r>
            <w:r>
              <w:rPr>
                <w:rFonts w:hint="eastAsia" w:ascii="Times New Roman" w:hAnsi="Times New Roman"/>
                <w:color w:val="auto"/>
                <w:sz w:val="24"/>
                <w:szCs w:val="20"/>
              </w:rPr>
              <w:t>车辆冲洗废水</w:t>
            </w:r>
            <w:r>
              <w:rPr>
                <w:rFonts w:hint="eastAsia" w:ascii="Times New Roman" w:hAnsi="Times New Roman"/>
                <w:color w:val="auto"/>
                <w:sz w:val="24"/>
                <w:szCs w:val="20"/>
                <w:lang w:eastAsia="zh-CN"/>
              </w:rPr>
              <w:t>、</w:t>
            </w:r>
            <w:r>
              <w:rPr>
                <w:rFonts w:hint="eastAsia" w:ascii="Times New Roman" w:hAnsi="Times New Roman"/>
                <w:color w:val="auto"/>
                <w:sz w:val="24"/>
                <w:szCs w:val="20"/>
              </w:rPr>
              <w:t>垃圾渗滤液</w:t>
            </w:r>
            <w:r>
              <w:rPr>
                <w:rFonts w:hint="eastAsia" w:ascii="Times New Roman" w:hAnsi="Times New Roman"/>
                <w:color w:val="auto"/>
                <w:sz w:val="24"/>
                <w:szCs w:val="20"/>
                <w:lang w:eastAsia="zh-CN"/>
              </w:rPr>
              <w:t>、</w:t>
            </w:r>
            <w:r>
              <w:rPr>
                <w:rFonts w:hint="eastAsia"/>
                <w:color w:val="auto"/>
                <w:sz w:val="24"/>
                <w:szCs w:val="20"/>
                <w:lang w:eastAsia="zh-CN"/>
              </w:rPr>
              <w:t>除臭雾化喷淋废水、</w:t>
            </w:r>
            <w:r>
              <w:rPr>
                <w:rFonts w:hint="eastAsia" w:ascii="Times New Roman" w:hAnsi="Times New Roman"/>
                <w:color w:val="auto"/>
                <w:sz w:val="24"/>
                <w:szCs w:val="20"/>
              </w:rPr>
              <w:t>生活污水</w:t>
            </w:r>
            <w:r>
              <w:rPr>
                <w:rFonts w:hint="eastAsia"/>
                <w:color w:val="auto"/>
              </w:rPr>
              <w:t>。</w:t>
            </w:r>
          </w:p>
          <w:p>
            <w:pPr>
              <w:pStyle w:val="6"/>
              <w:bidi w:val="0"/>
              <w:rPr>
                <w:rFonts w:hint="default"/>
                <w:color w:val="auto"/>
                <w:lang w:val="en-US" w:eastAsia="zh-CN"/>
              </w:rPr>
            </w:pPr>
            <w:r>
              <w:rPr>
                <w:rFonts w:hint="eastAsia"/>
                <w:color w:val="auto"/>
                <w:lang w:val="en-US" w:eastAsia="zh-CN"/>
              </w:rPr>
              <w:t>1.1 生产</w:t>
            </w:r>
            <w:r>
              <w:rPr>
                <w:rFonts w:hint="eastAsia"/>
                <w:color w:val="auto"/>
                <w:lang w:eastAsia="zh-CN"/>
              </w:rPr>
              <w:t>废</w:t>
            </w:r>
            <w:r>
              <w:rPr>
                <w:rFonts w:hint="eastAsia"/>
                <w:color w:val="auto"/>
                <w:lang w:val="en-US" w:eastAsia="zh-CN"/>
              </w:rPr>
              <w:t>水</w:t>
            </w:r>
          </w:p>
          <w:p>
            <w:pPr>
              <w:pStyle w:val="18"/>
              <w:bidi w:val="0"/>
              <w:rPr>
                <w:rFonts w:hint="eastAsia"/>
                <w:color w:val="auto"/>
                <w:lang w:val="en-US" w:eastAsia="zh-CN"/>
              </w:rPr>
            </w:pPr>
            <w:r>
              <w:rPr>
                <w:rFonts w:hint="eastAsia"/>
                <w:color w:val="auto"/>
                <w:lang w:val="en-US" w:eastAsia="zh-CN"/>
              </w:rPr>
              <w:t xml:space="preserve">（1） </w:t>
            </w:r>
            <w:r>
              <w:rPr>
                <w:rFonts w:hint="eastAsia" w:ascii="Times New Roman" w:hAnsi="Times New Roman"/>
                <w:color w:val="auto"/>
                <w:sz w:val="24"/>
                <w:szCs w:val="20"/>
              </w:rPr>
              <w:t>冲洗废水</w:t>
            </w:r>
          </w:p>
          <w:p>
            <w:pPr>
              <w:pStyle w:val="18"/>
              <w:bidi w:val="0"/>
              <w:jc w:val="both"/>
              <w:rPr>
                <w:rFonts w:hint="eastAsia"/>
                <w:color w:val="auto"/>
                <w:lang w:val="en-US" w:eastAsia="zh-CN"/>
              </w:rPr>
            </w:pPr>
            <w:r>
              <w:rPr>
                <w:rFonts w:hint="eastAsia" w:ascii="Times New Roman" w:hAnsi="Times New Roman" w:eastAsia="宋体" w:cs="Times New Roman"/>
                <w:color w:val="auto"/>
                <w:highlight w:val="none"/>
                <w:lang w:eastAsia="zh-CN"/>
              </w:rPr>
              <w:t>车辆设备冲洗废水：每天作业完成后作业场地、车辆、设备均进行冲洗。项目车辆冲洗水用水</w:t>
            </w:r>
            <w:r>
              <w:rPr>
                <w:rFonts w:hint="eastAsia" w:cs="Times New Roman"/>
                <w:color w:val="auto"/>
                <w:highlight w:val="none"/>
                <w:lang w:val="en-US" w:eastAsia="zh-CN"/>
              </w:rPr>
              <w:t>4</w:t>
            </w:r>
            <w:r>
              <w:rPr>
                <w:rFonts w:hint="eastAsia" w:ascii="Times New Roman" w:hAnsi="Times New Roman" w:eastAsia="宋体" w:cs="Times New Roman"/>
                <w:color w:val="auto"/>
                <w:highlight w:val="none"/>
                <w:lang w:eastAsia="zh-CN"/>
              </w:rPr>
              <w:t>00L/车，</w:t>
            </w:r>
            <w:r>
              <w:rPr>
                <w:rFonts w:hint="eastAsia"/>
                <w:color w:val="auto"/>
                <w:lang w:val="en-US" w:eastAsia="zh-CN"/>
              </w:rPr>
              <w:t>每周冲洗一次计，则该项目4辆车，冲洗用水量83.2m</w:t>
            </w:r>
            <w:r>
              <w:rPr>
                <w:rFonts w:hint="eastAsia"/>
                <w:color w:val="auto"/>
                <w:vertAlign w:val="superscript"/>
                <w:lang w:val="en-US" w:eastAsia="zh-CN"/>
              </w:rPr>
              <w:t>3</w:t>
            </w:r>
            <w:r>
              <w:rPr>
                <w:rFonts w:hint="eastAsia"/>
                <w:color w:val="auto"/>
                <w:lang w:val="en-US" w:eastAsia="zh-CN"/>
              </w:rPr>
              <w:t>/a</w:t>
            </w:r>
            <w:r>
              <w:rPr>
                <w:rFonts w:hint="eastAsia" w:ascii="Times New Roman" w:hAnsi="Times New Roman" w:eastAsia="宋体" w:cs="Times New Roman"/>
                <w:color w:val="auto"/>
                <w:highlight w:val="none"/>
                <w:lang w:eastAsia="zh-CN"/>
              </w:rPr>
              <w:t>；</w:t>
            </w:r>
            <w:r>
              <w:rPr>
                <w:rFonts w:hint="eastAsia"/>
                <w:color w:val="auto"/>
                <w:lang w:val="en-US" w:eastAsia="zh-CN"/>
              </w:rPr>
              <w:t>设备冲洗水按每日清洗用水1200L/次，每周冲洗2次，则清洗用水量约为124.8m</w:t>
            </w:r>
            <w:r>
              <w:rPr>
                <w:rFonts w:hint="eastAsia"/>
                <w:color w:val="auto"/>
                <w:vertAlign w:val="superscript"/>
                <w:lang w:val="en-US" w:eastAsia="zh-CN"/>
              </w:rPr>
              <w:t>3</w:t>
            </w:r>
            <w:r>
              <w:rPr>
                <w:rFonts w:hint="eastAsia"/>
                <w:color w:val="auto"/>
                <w:lang w:val="en-US" w:eastAsia="zh-CN"/>
              </w:rPr>
              <w:t>/a；地面冲洗用水按0.5L/m</w:t>
            </w:r>
            <w:r>
              <w:rPr>
                <w:rFonts w:hint="eastAsia"/>
                <w:color w:val="auto"/>
                <w:vertAlign w:val="superscript"/>
                <w:lang w:val="en-US" w:eastAsia="zh-CN"/>
              </w:rPr>
              <w:t>2</w:t>
            </w:r>
            <w:r>
              <w:rPr>
                <w:rFonts w:hint="eastAsia"/>
                <w:color w:val="auto"/>
                <w:lang w:val="en-US" w:eastAsia="zh-CN"/>
              </w:rPr>
              <w:t>/次，每周冲洗2次，冲洗面积为1697.29m</w:t>
            </w:r>
            <w:r>
              <w:rPr>
                <w:rFonts w:hint="eastAsia"/>
                <w:color w:val="auto"/>
                <w:vertAlign w:val="superscript"/>
                <w:lang w:val="en-US" w:eastAsia="zh-CN"/>
              </w:rPr>
              <w:t>2</w:t>
            </w:r>
            <w:r>
              <w:rPr>
                <w:rFonts w:hint="eastAsia"/>
                <w:color w:val="auto"/>
                <w:lang w:val="en-US" w:eastAsia="zh-CN"/>
              </w:rPr>
              <w:t>，冲洗用水量882.59m</w:t>
            </w:r>
            <w:r>
              <w:rPr>
                <w:rFonts w:hint="eastAsia"/>
                <w:color w:val="auto"/>
                <w:vertAlign w:val="superscript"/>
                <w:lang w:val="en-US" w:eastAsia="zh-CN"/>
              </w:rPr>
              <w:t>3</w:t>
            </w:r>
            <w:r>
              <w:rPr>
                <w:rFonts w:hint="eastAsia"/>
                <w:color w:val="auto"/>
                <w:lang w:val="en-US" w:eastAsia="zh-CN"/>
              </w:rPr>
              <w:t>/a。则项目冲洗用水共计1090.59m</w:t>
            </w:r>
            <w:r>
              <w:rPr>
                <w:rFonts w:hint="eastAsia"/>
                <w:color w:val="auto"/>
                <w:vertAlign w:val="superscript"/>
                <w:lang w:val="en-US" w:eastAsia="zh-CN"/>
              </w:rPr>
              <w:t>3</w:t>
            </w:r>
            <w:r>
              <w:rPr>
                <w:rFonts w:hint="eastAsia"/>
                <w:color w:val="auto"/>
                <w:lang w:val="en-US" w:eastAsia="zh-CN"/>
              </w:rPr>
              <w:t>/a</w:t>
            </w:r>
            <w:r>
              <w:rPr>
                <w:rFonts w:hint="eastAsia" w:ascii="Times New Roman" w:hAnsi="Times New Roman" w:eastAsia="宋体" w:cs="Times New Roman"/>
                <w:color w:val="auto"/>
                <w:highlight w:val="none"/>
                <w:lang w:eastAsia="zh-CN"/>
              </w:rPr>
              <w:t>。冲洗废水产生量按用水量90%计，则冲洗废水为</w:t>
            </w:r>
            <w:r>
              <w:rPr>
                <w:rFonts w:hint="eastAsia" w:cs="Times New Roman"/>
                <w:color w:val="auto"/>
                <w:highlight w:val="none"/>
                <w:lang w:val="en-US" w:eastAsia="zh-CN"/>
              </w:rPr>
              <w:t>981.531</w:t>
            </w:r>
            <w:r>
              <w:rPr>
                <w:rFonts w:hint="eastAsia" w:ascii="Times New Roman" w:hAnsi="Times New Roman" w:eastAsia="宋体" w:cs="Times New Roman"/>
                <w:color w:val="auto"/>
                <w:highlight w:val="none"/>
                <w:lang w:eastAsia="zh-CN"/>
              </w:rPr>
              <w:t>t/a；冲洗废水主要污染物为</w:t>
            </w:r>
            <w:r>
              <w:rPr>
                <w:rFonts w:hint="eastAsia" w:ascii="Times New Roman" w:hAnsi="Times New Roman" w:eastAsia="宋体" w:cs="Times New Roman"/>
                <w:color w:val="auto"/>
                <w:highlight w:val="none"/>
                <w:lang w:val="en-US" w:eastAsia="zh-CN"/>
              </w:rPr>
              <w:t>SS，浓度约为300mg/L</w:t>
            </w:r>
            <w:r>
              <w:rPr>
                <w:rFonts w:hint="eastAsia"/>
                <w:color w:val="auto"/>
                <w:lang w:val="en-US" w:eastAsia="zh-CN"/>
              </w:rPr>
              <w:t>。</w:t>
            </w:r>
          </w:p>
          <w:p>
            <w:pPr>
              <w:pStyle w:val="18"/>
              <w:bidi w:val="0"/>
              <w:rPr>
                <w:rFonts w:hint="eastAsia"/>
                <w:color w:val="auto"/>
                <w:lang w:val="en-US" w:eastAsia="zh-CN"/>
              </w:rPr>
            </w:pPr>
            <w:r>
              <w:rPr>
                <w:rFonts w:hint="eastAsia"/>
                <w:color w:val="auto"/>
                <w:lang w:val="en-US" w:eastAsia="zh-CN"/>
              </w:rPr>
              <w:t xml:space="preserve">（2） </w:t>
            </w:r>
            <w:r>
              <w:rPr>
                <w:rFonts w:hint="eastAsia" w:ascii="Times New Roman" w:hAnsi="Times New Roman"/>
                <w:color w:val="auto"/>
                <w:sz w:val="24"/>
                <w:szCs w:val="20"/>
              </w:rPr>
              <w:t>垃圾渗滤液</w:t>
            </w:r>
          </w:p>
          <w:p>
            <w:pPr>
              <w:pStyle w:val="18"/>
              <w:bidi w:val="0"/>
              <w:rPr>
                <w:rFonts w:hint="default" w:ascii="Times New Roman" w:hAnsi="Times New Roman"/>
                <w:color w:val="auto"/>
                <w:lang w:eastAsia="zh-CN"/>
              </w:rPr>
            </w:pPr>
            <w:r>
              <w:rPr>
                <w:rFonts w:hint="eastAsia" w:ascii="Times New Roman" w:hAnsi="Times New Roman"/>
                <w:color w:val="auto"/>
                <w:lang w:eastAsia="zh-CN"/>
              </w:rPr>
              <w:t>垃圾压缩过程中产生垃圾渗滤液，根据国内同类型垃圾中转站实际运行经验，垃圾挤压出水量约为转运垃圾总量的</w:t>
            </w:r>
            <w:r>
              <w:rPr>
                <w:rFonts w:hint="eastAsia"/>
                <w:color w:val="auto"/>
                <w:lang w:val="en-US" w:eastAsia="zh-CN"/>
              </w:rPr>
              <w:t>5</w:t>
            </w:r>
            <w:r>
              <w:rPr>
                <w:rFonts w:hint="eastAsia" w:ascii="Times New Roman" w:hAnsi="Times New Roman"/>
                <w:color w:val="auto"/>
                <w:lang w:eastAsia="zh-CN"/>
              </w:rPr>
              <w:t>%，本项目垃圾中转站设计运转能力为</w:t>
            </w:r>
            <w:r>
              <w:rPr>
                <w:rFonts w:hint="eastAsia" w:ascii="Times New Roman" w:hAnsi="Times New Roman"/>
                <w:color w:val="auto"/>
                <w:lang w:val="en-US" w:eastAsia="zh-CN"/>
              </w:rPr>
              <w:t>200</w:t>
            </w:r>
            <w:r>
              <w:rPr>
                <w:rFonts w:hint="eastAsia" w:ascii="Times New Roman" w:hAnsi="Times New Roman"/>
                <w:color w:val="auto"/>
                <w:lang w:eastAsia="zh-CN"/>
              </w:rPr>
              <w:t>t/d，则垃圾渗滤液的产生量约为</w:t>
            </w:r>
            <w:r>
              <w:rPr>
                <w:rFonts w:hint="eastAsia"/>
                <w:color w:val="auto"/>
                <w:lang w:val="en-US" w:eastAsia="zh-CN"/>
              </w:rPr>
              <w:t>3650</w:t>
            </w:r>
            <w:r>
              <w:rPr>
                <w:color w:val="auto"/>
              </w:rPr>
              <w:t>m</w:t>
            </w:r>
            <w:r>
              <w:rPr>
                <w:color w:val="auto"/>
                <w:vertAlign w:val="superscript"/>
              </w:rPr>
              <w:t>3</w:t>
            </w:r>
            <w:r>
              <w:rPr>
                <w:color w:val="auto"/>
              </w:rPr>
              <w:t>/a</w:t>
            </w:r>
            <w:r>
              <w:rPr>
                <w:rFonts w:hint="eastAsia" w:ascii="Times New Roman" w:hAnsi="Times New Roman"/>
                <w:color w:val="auto"/>
                <w:lang w:eastAsia="zh-CN"/>
              </w:rPr>
              <w:t>。根据中钢集团武汉安环院华安设计工程有限公司李武、李鹏等《垃圾渗滤液的水质特性及处理技术》可知，生活垃圾渗滤液主要污染物为</w:t>
            </w:r>
            <w:r>
              <w:rPr>
                <w:rFonts w:hint="eastAsia" w:ascii="Times New Roman" w:hAnsi="Times New Roman"/>
                <w:color w:val="auto"/>
                <w:lang w:val="en-US" w:eastAsia="zh-CN"/>
              </w:rPr>
              <w:t>CODcr、BOD</w:t>
            </w:r>
            <w:r>
              <w:rPr>
                <w:rFonts w:hint="eastAsia" w:ascii="Times New Roman" w:hAnsi="Times New Roman"/>
                <w:color w:val="auto"/>
                <w:vertAlign w:val="subscript"/>
                <w:lang w:val="en-US" w:eastAsia="zh-CN"/>
              </w:rPr>
              <w:t>5</w:t>
            </w:r>
            <w:r>
              <w:rPr>
                <w:rFonts w:hint="eastAsia" w:ascii="Times New Roman" w:hAnsi="Times New Roman"/>
                <w:color w:val="auto"/>
                <w:lang w:val="en-US" w:eastAsia="zh-CN"/>
              </w:rPr>
              <w:t>、NH</w:t>
            </w:r>
            <w:r>
              <w:rPr>
                <w:rFonts w:hint="eastAsia" w:ascii="Times New Roman" w:hAnsi="Times New Roman"/>
                <w:color w:val="auto"/>
                <w:vertAlign w:val="subscript"/>
                <w:lang w:val="en-US" w:eastAsia="zh-CN"/>
              </w:rPr>
              <w:t>3</w:t>
            </w:r>
            <w:r>
              <w:rPr>
                <w:rFonts w:hint="eastAsia" w:ascii="Times New Roman" w:hAnsi="Times New Roman"/>
                <w:color w:val="auto"/>
                <w:lang w:val="en-US" w:eastAsia="zh-CN"/>
              </w:rPr>
              <w:t>-N、SS，其浓度约为：CODcr 10000mg/L、BOD</w:t>
            </w:r>
            <w:r>
              <w:rPr>
                <w:rFonts w:hint="eastAsia" w:ascii="Times New Roman" w:hAnsi="Times New Roman"/>
                <w:color w:val="auto"/>
                <w:vertAlign w:val="subscript"/>
                <w:lang w:val="en-US" w:eastAsia="zh-CN"/>
              </w:rPr>
              <w:t>5</w:t>
            </w:r>
            <w:r>
              <w:rPr>
                <w:rFonts w:hint="eastAsia" w:ascii="Times New Roman" w:hAnsi="Times New Roman"/>
                <w:color w:val="auto"/>
                <w:lang w:val="en-US" w:eastAsia="zh-CN"/>
              </w:rPr>
              <w:t xml:space="preserve"> 5000mg/L、NH</w:t>
            </w:r>
            <w:r>
              <w:rPr>
                <w:rFonts w:hint="eastAsia" w:ascii="Times New Roman" w:hAnsi="Times New Roman"/>
                <w:color w:val="auto"/>
                <w:vertAlign w:val="subscript"/>
                <w:lang w:val="en-US" w:eastAsia="zh-CN"/>
              </w:rPr>
              <w:t>3</w:t>
            </w:r>
            <w:r>
              <w:rPr>
                <w:rFonts w:hint="eastAsia" w:ascii="Times New Roman" w:hAnsi="Times New Roman"/>
                <w:color w:val="auto"/>
                <w:lang w:val="en-US" w:eastAsia="zh-CN"/>
              </w:rPr>
              <w:t>-N 500mg/L、SS 3000mg/L。</w:t>
            </w:r>
          </w:p>
          <w:p>
            <w:pPr>
              <w:pStyle w:val="18"/>
              <w:bidi w:val="0"/>
              <w:rPr>
                <w:rFonts w:hint="default"/>
                <w:color w:val="auto"/>
                <w:lang w:val="en-US" w:eastAsia="zh-CN"/>
              </w:rPr>
            </w:pPr>
            <w:r>
              <w:rPr>
                <w:rFonts w:hint="eastAsia"/>
                <w:color w:val="auto"/>
                <w:lang w:eastAsia="zh-CN"/>
              </w:rPr>
              <w:t>（</w:t>
            </w:r>
            <w:r>
              <w:rPr>
                <w:rFonts w:hint="eastAsia"/>
                <w:color w:val="auto"/>
                <w:lang w:val="en-US" w:eastAsia="zh-CN"/>
              </w:rPr>
              <w:t>3</w:t>
            </w:r>
            <w:r>
              <w:rPr>
                <w:rFonts w:hint="eastAsia"/>
                <w:color w:val="auto"/>
                <w:lang w:eastAsia="zh-CN"/>
              </w:rPr>
              <w:t>）</w:t>
            </w:r>
            <w:r>
              <w:rPr>
                <w:rFonts w:hint="eastAsia"/>
                <w:color w:val="auto"/>
                <w:lang w:val="en-US" w:eastAsia="zh-CN"/>
              </w:rPr>
              <w:t xml:space="preserve"> </w:t>
            </w:r>
            <w:r>
              <w:rPr>
                <w:rFonts w:hint="eastAsia"/>
                <w:color w:val="auto"/>
                <w:sz w:val="24"/>
                <w:szCs w:val="20"/>
                <w:lang w:eastAsia="zh-CN"/>
              </w:rPr>
              <w:t>除臭雾化喷淋废水</w:t>
            </w:r>
          </w:p>
          <w:p>
            <w:pPr>
              <w:pStyle w:val="18"/>
              <w:bidi w:val="0"/>
              <w:rPr>
                <w:rFonts w:hint="default"/>
                <w:color w:val="auto"/>
                <w:lang w:val="en-US" w:eastAsia="zh-CN"/>
              </w:rPr>
            </w:pPr>
            <w:r>
              <w:rPr>
                <w:rFonts w:hint="eastAsia"/>
                <w:color w:val="auto"/>
                <w:sz w:val="24"/>
                <w:szCs w:val="20"/>
                <w:lang w:eastAsia="zh-CN"/>
              </w:rPr>
              <w:t>除臭雾化喷淋废水：在垃圾压缩设备上设有植物液高压雾化除臭系统，</w:t>
            </w:r>
            <w:r>
              <w:rPr>
                <w:rFonts w:hint="eastAsia"/>
                <w:color w:val="auto"/>
                <w:sz w:val="24"/>
                <w:szCs w:val="20"/>
                <w:lang w:val="en-US" w:eastAsia="zh-CN"/>
              </w:rPr>
              <w:t>负压除尘除臭系统用水循环使用不外排。</w:t>
            </w:r>
          </w:p>
          <w:p>
            <w:pPr>
              <w:pStyle w:val="6"/>
              <w:bidi w:val="0"/>
              <w:rPr>
                <w:rFonts w:hint="eastAsia"/>
                <w:color w:val="auto"/>
                <w:lang w:val="en-US" w:eastAsia="zh-CN"/>
              </w:rPr>
            </w:pPr>
            <w:r>
              <w:rPr>
                <w:rFonts w:hint="eastAsia"/>
                <w:color w:val="auto"/>
                <w:lang w:val="en-US" w:eastAsia="zh-CN"/>
              </w:rPr>
              <w:t>1.2 生活污水</w:t>
            </w:r>
          </w:p>
          <w:p>
            <w:pPr>
              <w:pStyle w:val="18"/>
              <w:bidi w:val="0"/>
              <w:rPr>
                <w:rFonts w:hint="eastAsia"/>
                <w:color w:val="auto"/>
                <w:lang w:val="en-US" w:eastAsia="zh-CN"/>
              </w:rPr>
            </w:pPr>
            <w:r>
              <w:rPr>
                <w:rFonts w:hint="eastAsia"/>
                <w:color w:val="auto"/>
                <w:lang w:val="en-US" w:eastAsia="zh-CN"/>
              </w:rPr>
              <w:t>根据水量平衡分析，本项目营运期劳动定员10人，</w:t>
            </w:r>
            <w:r>
              <w:rPr>
                <w:rFonts w:hint="eastAsia"/>
                <w:color w:val="auto"/>
              </w:rPr>
              <w:t>生活污水</w:t>
            </w:r>
            <w:r>
              <w:rPr>
                <w:rFonts w:hint="eastAsia"/>
                <w:color w:val="auto"/>
                <w:lang w:val="en-US" w:eastAsia="zh-CN"/>
              </w:rPr>
              <w:t>主要污染物为COD、SS、BOD</w:t>
            </w:r>
            <w:r>
              <w:rPr>
                <w:rFonts w:hint="eastAsia"/>
                <w:color w:val="auto"/>
                <w:vertAlign w:val="subscript"/>
                <w:lang w:val="en-US" w:eastAsia="zh-CN"/>
              </w:rPr>
              <w:t>5</w:t>
            </w: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-N等。每人每天用水量按照50L/人.d计，则用水量为0.5</w:t>
            </w:r>
            <w:r>
              <w:rPr>
                <w:color w:val="auto"/>
              </w:rPr>
              <w:t>m</w:t>
            </w:r>
            <w:r>
              <w:rPr>
                <w:color w:val="auto"/>
                <w:vertAlign w:val="superscript"/>
              </w:rPr>
              <w:t>3</w:t>
            </w:r>
            <w:r>
              <w:rPr>
                <w:color w:val="auto"/>
              </w:rPr>
              <w:t>/d</w:t>
            </w:r>
            <w:r>
              <w:rPr>
                <w:rFonts w:hint="eastAsia"/>
                <w:color w:val="auto"/>
                <w:lang w:eastAsia="zh-CN"/>
              </w:rPr>
              <w:t>（</w:t>
            </w:r>
            <w:r>
              <w:rPr>
                <w:rFonts w:hint="eastAsia"/>
                <w:color w:val="auto"/>
                <w:lang w:val="en-US" w:eastAsia="zh-CN"/>
              </w:rPr>
              <w:t>182.5</w:t>
            </w:r>
            <w:r>
              <w:rPr>
                <w:color w:val="auto"/>
              </w:rPr>
              <w:t>m</w:t>
            </w:r>
            <w:r>
              <w:rPr>
                <w:color w:val="auto"/>
                <w:vertAlign w:val="superscript"/>
              </w:rPr>
              <w:t>3</w:t>
            </w:r>
            <w:r>
              <w:rPr>
                <w:color w:val="auto"/>
              </w:rPr>
              <w:t>/a</w:t>
            </w:r>
            <w:r>
              <w:rPr>
                <w:rFonts w:hint="eastAsia"/>
                <w:color w:val="auto"/>
                <w:lang w:eastAsia="zh-CN"/>
              </w:rPr>
              <w:t>）</w:t>
            </w:r>
            <w:r>
              <w:rPr>
                <w:rFonts w:hint="eastAsia"/>
                <w:color w:val="auto"/>
                <w:lang w:val="en-US" w:eastAsia="zh-CN"/>
              </w:rPr>
              <w:t>，排放的污水量按用水量的80%计，则排水量约为0.4m</w:t>
            </w:r>
            <w:r>
              <w:rPr>
                <w:rFonts w:hint="eastAsia"/>
                <w:color w:val="auto"/>
                <w:vertAlign w:val="superscript"/>
                <w:lang w:val="en-US" w:eastAsia="zh-CN"/>
              </w:rPr>
              <w:t>3</w:t>
            </w:r>
            <w:r>
              <w:rPr>
                <w:rFonts w:hint="eastAsia"/>
                <w:color w:val="auto"/>
                <w:lang w:val="en-US" w:eastAsia="zh-CN"/>
              </w:rPr>
              <w:t>/d（146m</w:t>
            </w:r>
            <w:r>
              <w:rPr>
                <w:rFonts w:hint="eastAsia"/>
                <w:color w:val="auto"/>
                <w:vertAlign w:val="superscript"/>
                <w:lang w:val="en-US" w:eastAsia="zh-CN"/>
              </w:rPr>
              <w:t>3</w:t>
            </w:r>
            <w:r>
              <w:rPr>
                <w:rFonts w:hint="eastAsia"/>
                <w:color w:val="auto"/>
                <w:lang w:val="en-US" w:eastAsia="zh-CN"/>
              </w:rPr>
              <w:t>/a）。</w:t>
            </w:r>
          </w:p>
          <w:p>
            <w:pPr>
              <w:pStyle w:val="28"/>
              <w:bidi w:val="0"/>
              <w:rPr>
                <w:rFonts w:hint="eastAsia"/>
                <w:color w:val="auto"/>
                <w:lang w:val="en-US" w:eastAsia="zh-CN"/>
              </w:rPr>
            </w:pPr>
          </w:p>
          <w:p>
            <w:pPr>
              <w:pStyle w:val="28"/>
              <w:bidi w:val="0"/>
              <w:rPr>
                <w:rFonts w:hint="eastAsia"/>
                <w:color w:val="auto"/>
                <w:lang w:val="en-US" w:eastAsia="zh-CN"/>
              </w:rPr>
            </w:pPr>
            <w:r>
              <w:rPr>
                <w:rFonts w:hint="eastAsia"/>
                <w:color w:val="auto"/>
                <w:lang w:val="en-US" w:eastAsia="zh-CN"/>
              </w:rPr>
              <w:t>表4-1    污水排放量及污染物浓度详情见。</w:t>
            </w:r>
          </w:p>
          <w:tbl>
            <w:tblPr>
              <w:tblStyle w:val="22"/>
              <w:tblW w:w="787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1"/>
              <w:gridCol w:w="955"/>
              <w:gridCol w:w="995"/>
              <w:gridCol w:w="1200"/>
              <w:gridCol w:w="846"/>
              <w:gridCol w:w="1172"/>
              <w:gridCol w:w="1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restart"/>
                  <w:tcBorders>
                    <w:bottom w:val="single" w:color="auto" w:sz="4"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污染源</w:t>
                  </w:r>
                </w:p>
              </w:tc>
              <w:tc>
                <w:tcPr>
                  <w:tcW w:w="955" w:type="dxa"/>
                  <w:vMerge w:val="restart"/>
                  <w:tcBorders>
                    <w:bottom w:val="single" w:color="auto" w:sz="4"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污染物</w:t>
                  </w:r>
                </w:p>
              </w:tc>
              <w:tc>
                <w:tcPr>
                  <w:tcW w:w="2195" w:type="dxa"/>
                  <w:gridSpan w:val="2"/>
                  <w:tcBorders>
                    <w:bottom w:val="single" w:color="auto" w:sz="4" w:space="0"/>
                  </w:tcBorders>
                  <w:vAlign w:val="center"/>
                </w:tcPr>
                <w:p>
                  <w:pPr>
                    <w:pStyle w:val="29"/>
                    <w:widowControl w:val="0"/>
                    <w:bidi w:val="0"/>
                    <w:rPr>
                      <w:rFonts w:hint="eastAsia"/>
                      <w:b/>
                      <w:bCs/>
                      <w:color w:val="auto"/>
                      <w:lang w:val="en-US" w:eastAsia="zh-CN"/>
                    </w:rPr>
                  </w:pPr>
                  <w:r>
                    <w:rPr>
                      <w:rFonts w:hint="eastAsia"/>
                      <w:b/>
                      <w:bCs/>
                      <w:color w:val="auto"/>
                      <w:lang w:val="en-US" w:eastAsia="zh-CN"/>
                    </w:rPr>
                    <w:t>产生情况</w:t>
                  </w:r>
                </w:p>
              </w:tc>
              <w:tc>
                <w:tcPr>
                  <w:tcW w:w="846" w:type="dxa"/>
                  <w:vMerge w:val="restart"/>
                  <w:tcBorders>
                    <w:bottom w:val="single" w:color="auto" w:sz="4"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排放去向</w:t>
                  </w:r>
                </w:p>
              </w:tc>
              <w:tc>
                <w:tcPr>
                  <w:tcW w:w="2436" w:type="dxa"/>
                  <w:gridSpan w:val="2"/>
                  <w:tcBorders>
                    <w:bottom w:val="single" w:color="auto" w:sz="4" w:space="0"/>
                  </w:tcBorders>
                  <w:vAlign w:val="center"/>
                </w:tcPr>
                <w:p>
                  <w:pPr>
                    <w:pStyle w:val="29"/>
                    <w:widowControl w:val="0"/>
                    <w:bidi w:val="0"/>
                    <w:rPr>
                      <w:rFonts w:hint="eastAsia"/>
                      <w:b/>
                      <w:bCs/>
                      <w:color w:val="auto"/>
                      <w:lang w:val="en-US" w:eastAsia="zh-CN"/>
                    </w:rPr>
                  </w:pPr>
                  <w:r>
                    <w:rPr>
                      <w:rFonts w:hint="eastAsia"/>
                      <w:b/>
                      <w:bCs/>
                      <w:color w:val="auto"/>
                      <w:lang w:val="en-US" w:eastAsia="zh-CN"/>
                    </w:rPr>
                    <w:t>排放情况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op w:val="single" w:color="auto" w:sz="4" w:space="0"/>
                    <w:bottom w:val="single" w:color="auto" w:sz="12" w:space="0"/>
                  </w:tcBorders>
                  <w:vAlign w:val="center"/>
                </w:tcPr>
                <w:p>
                  <w:pPr>
                    <w:pStyle w:val="29"/>
                    <w:widowControl w:val="0"/>
                    <w:bidi w:val="0"/>
                    <w:rPr>
                      <w:rFonts w:hint="default"/>
                      <w:b/>
                      <w:bCs/>
                      <w:color w:val="auto"/>
                      <w:lang w:val="en-US" w:eastAsia="zh-CN"/>
                    </w:rPr>
                  </w:pPr>
                </w:p>
              </w:tc>
              <w:tc>
                <w:tcPr>
                  <w:tcW w:w="955" w:type="dxa"/>
                  <w:vMerge w:val="continue"/>
                  <w:tcBorders>
                    <w:top w:val="single" w:color="auto" w:sz="4" w:space="0"/>
                    <w:bottom w:val="single" w:color="auto" w:sz="12" w:space="0"/>
                  </w:tcBorders>
                  <w:vAlign w:val="center"/>
                </w:tcPr>
                <w:p>
                  <w:pPr>
                    <w:pStyle w:val="29"/>
                    <w:widowControl w:val="0"/>
                    <w:bidi w:val="0"/>
                    <w:rPr>
                      <w:rFonts w:hint="eastAsia"/>
                      <w:b/>
                      <w:bCs/>
                      <w:color w:val="auto"/>
                      <w:lang w:val="en-US" w:eastAsia="zh-CN"/>
                    </w:rPr>
                  </w:pPr>
                </w:p>
              </w:tc>
              <w:tc>
                <w:tcPr>
                  <w:tcW w:w="995" w:type="dxa"/>
                  <w:tcBorders>
                    <w:top w:val="single" w:color="auto" w:sz="4" w:space="0"/>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产生量</w:t>
                  </w:r>
                </w:p>
              </w:tc>
              <w:tc>
                <w:tcPr>
                  <w:tcW w:w="1200" w:type="dxa"/>
                  <w:tcBorders>
                    <w:top w:val="single" w:color="auto" w:sz="4" w:space="0"/>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浓度</w:t>
                  </w:r>
                </w:p>
              </w:tc>
              <w:tc>
                <w:tcPr>
                  <w:tcW w:w="846" w:type="dxa"/>
                  <w:vMerge w:val="continue"/>
                  <w:tcBorders>
                    <w:top w:val="single" w:color="auto" w:sz="4" w:space="0"/>
                    <w:bottom w:val="single" w:color="auto" w:sz="12" w:space="0"/>
                  </w:tcBorders>
                  <w:vAlign w:val="center"/>
                </w:tcPr>
                <w:p>
                  <w:pPr>
                    <w:pStyle w:val="29"/>
                    <w:widowControl w:val="0"/>
                    <w:bidi w:val="0"/>
                    <w:rPr>
                      <w:rFonts w:hint="eastAsia"/>
                      <w:b/>
                      <w:bCs/>
                      <w:color w:val="auto"/>
                      <w:lang w:val="en-US" w:eastAsia="zh-CN"/>
                    </w:rPr>
                  </w:pPr>
                </w:p>
              </w:tc>
              <w:tc>
                <w:tcPr>
                  <w:tcW w:w="1172" w:type="dxa"/>
                  <w:tcBorders>
                    <w:top w:val="single" w:color="auto" w:sz="4" w:space="0"/>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排放量t/d</w:t>
                  </w:r>
                </w:p>
              </w:tc>
              <w:tc>
                <w:tcPr>
                  <w:tcW w:w="1264" w:type="dxa"/>
                  <w:tcBorders>
                    <w:top w:val="single" w:color="auto" w:sz="4" w:space="0"/>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浓度</w:t>
                  </w:r>
                  <w:r>
                    <w:rPr>
                      <w:rFonts w:hint="default"/>
                      <w:b/>
                      <w:bCs/>
                      <w:color w:val="auto"/>
                      <w:lang w:val="en-US" w:eastAsia="zh-CN"/>
                    </w:rPr>
                    <w:t>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restart"/>
                  <w:tcBorders>
                    <w:top w:val="single" w:color="auto" w:sz="12" w:space="0"/>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生活污水</w:t>
                  </w:r>
                </w:p>
                <w:p>
                  <w:pPr>
                    <w:pStyle w:val="29"/>
                    <w:widowControl w:val="0"/>
                    <w:bidi w:val="0"/>
                    <w:rPr>
                      <w:rFonts w:hint="default"/>
                      <w:color w:val="auto"/>
                      <w:lang w:val="en-US" w:eastAsia="zh-CN"/>
                    </w:rPr>
                  </w:pPr>
                  <w:r>
                    <w:rPr>
                      <w:rFonts w:hint="eastAsia"/>
                      <w:color w:val="auto"/>
                      <w:lang w:val="en-US" w:eastAsia="zh-CN"/>
                    </w:rPr>
                    <w:t>146</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/a</w:t>
                  </w:r>
                </w:p>
              </w:tc>
              <w:tc>
                <w:tcPr>
                  <w:tcW w:w="955" w:type="dxa"/>
                  <w:tcBorders>
                    <w:top w:val="single" w:color="auto" w:sz="12" w:space="0"/>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COD</w:t>
                  </w:r>
                </w:p>
              </w:tc>
              <w:tc>
                <w:tcPr>
                  <w:tcW w:w="995" w:type="dxa"/>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0.051</w:t>
                  </w:r>
                  <w:r>
                    <w:rPr>
                      <w:rFonts w:hint="default"/>
                      <w:color w:val="auto"/>
                      <w:lang w:val="en-US" w:eastAsia="zh-CN"/>
                    </w:rPr>
                    <w:t>t/a</w:t>
                  </w:r>
                </w:p>
              </w:tc>
              <w:tc>
                <w:tcPr>
                  <w:tcW w:w="1200" w:type="dxa"/>
                  <w:tcBorders>
                    <w:top w:val="single" w:color="auto" w:sz="12" w:space="0"/>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350mg/L</w:t>
                  </w:r>
                </w:p>
              </w:tc>
              <w:tc>
                <w:tcPr>
                  <w:tcW w:w="846" w:type="dxa"/>
                  <w:vMerge w:val="restar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昌吉市生活垃圾填埋场</w:t>
                  </w:r>
                </w:p>
              </w:tc>
              <w:tc>
                <w:tcPr>
                  <w:tcW w:w="1172" w:type="dxa"/>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0.051</w:t>
                  </w:r>
                  <w:r>
                    <w:rPr>
                      <w:rFonts w:hint="default"/>
                      <w:color w:val="auto"/>
                      <w:lang w:val="en-US" w:eastAsia="zh-CN"/>
                    </w:rPr>
                    <w:t>t/a</w:t>
                  </w:r>
                </w:p>
              </w:tc>
              <w:tc>
                <w:tcPr>
                  <w:tcW w:w="1264" w:type="dxa"/>
                  <w:tcBorders>
                    <w:top w:val="single" w:color="auto" w:sz="12" w:space="0"/>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350mg/L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l2br w:val="nil"/>
                    <w:tr2bl w:val="nil"/>
                  </w:tcBorders>
                  <w:vAlign w:val="center"/>
                </w:tcPr>
                <w:p>
                  <w:pPr>
                    <w:pStyle w:val="29"/>
                    <w:widowControl w:val="0"/>
                    <w:bidi w:val="0"/>
                    <w:rPr>
                      <w:rFonts w:hint="default"/>
                      <w:color w:val="auto"/>
                      <w:lang w:val="en-US" w:eastAsia="zh-CN"/>
                    </w:rPr>
                  </w:pPr>
                </w:p>
              </w:tc>
              <w:tc>
                <w:tcPr>
                  <w:tcW w:w="955" w:type="dxa"/>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SS</w:t>
                  </w:r>
                </w:p>
              </w:tc>
              <w:tc>
                <w:tcPr>
                  <w:tcW w:w="99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0.029</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200 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0.029</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200 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l2br w:val="nil"/>
                    <w:tr2bl w:val="nil"/>
                  </w:tcBorders>
                  <w:vAlign w:val="center"/>
                </w:tcPr>
                <w:p>
                  <w:pPr>
                    <w:pStyle w:val="29"/>
                    <w:widowControl w:val="0"/>
                    <w:bidi w:val="0"/>
                    <w:rPr>
                      <w:rFonts w:hint="eastAsia"/>
                      <w:color w:val="auto"/>
                      <w:lang w:val="en-US" w:eastAsia="zh-CN"/>
                    </w:rPr>
                  </w:pPr>
                </w:p>
              </w:tc>
              <w:tc>
                <w:tcPr>
                  <w:tcW w:w="955" w:type="dxa"/>
                  <w:tcBorders>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BOD</w:t>
                  </w:r>
                  <w:r>
                    <w:rPr>
                      <w:rFonts w:hint="default"/>
                      <w:color w:val="auto"/>
                      <w:vertAlign w:val="subscript"/>
                      <w:lang w:val="en-US" w:eastAsia="zh-CN"/>
                    </w:rPr>
                    <w:t>5</w:t>
                  </w:r>
                </w:p>
              </w:tc>
              <w:tc>
                <w:tcPr>
                  <w:tcW w:w="995" w:type="dxa"/>
                  <w:tcBorders>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0.037</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250 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0.037</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250 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l2br w:val="nil"/>
                    <w:tr2bl w:val="nil"/>
                  </w:tcBorders>
                  <w:vAlign w:val="center"/>
                </w:tcPr>
                <w:p>
                  <w:pPr>
                    <w:pStyle w:val="29"/>
                    <w:widowControl w:val="0"/>
                    <w:bidi w:val="0"/>
                    <w:rPr>
                      <w:rFonts w:hint="eastAsia"/>
                      <w:color w:val="auto"/>
                      <w:lang w:val="en-US" w:eastAsia="zh-CN"/>
                    </w:rPr>
                  </w:pPr>
                </w:p>
              </w:tc>
              <w:tc>
                <w:tcPr>
                  <w:tcW w:w="955" w:type="dxa"/>
                  <w:tcBorders>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NH</w:t>
                  </w:r>
                  <w:r>
                    <w:rPr>
                      <w:rFonts w:hint="default"/>
                      <w:color w:val="auto"/>
                      <w:vertAlign w:val="subscript"/>
                      <w:lang w:val="en-US" w:eastAsia="zh-CN"/>
                    </w:rPr>
                    <w:t>3</w:t>
                  </w:r>
                  <w:r>
                    <w:rPr>
                      <w:rFonts w:hint="default"/>
                      <w:color w:val="auto"/>
                      <w:lang w:val="en-US" w:eastAsia="zh-CN"/>
                    </w:rPr>
                    <w:t>-N</w:t>
                  </w:r>
                </w:p>
              </w:tc>
              <w:tc>
                <w:tcPr>
                  <w:tcW w:w="995" w:type="dxa"/>
                  <w:tcBorders>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0.006</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40 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0.006</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eastAsia"/>
                      <w:color w:val="auto"/>
                      <w:lang w:val="en-US" w:eastAsia="zh-CN"/>
                    </w:rPr>
                  </w:pPr>
                  <w:r>
                    <w:rPr>
                      <w:rFonts w:hint="default"/>
                      <w:color w:val="auto"/>
                      <w:lang w:val="en-US" w:eastAsia="zh-CN"/>
                    </w:rPr>
                    <w:t>40 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restart"/>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垃圾渗滤液3650</w:t>
                  </w:r>
                  <w:r>
                    <w:rPr>
                      <w:color w:val="auto"/>
                    </w:rPr>
                    <w:t>m</w:t>
                  </w:r>
                  <w:r>
                    <w:rPr>
                      <w:color w:val="auto"/>
                      <w:vertAlign w:val="superscript"/>
                    </w:rPr>
                    <w:t>3</w:t>
                  </w:r>
                  <w:r>
                    <w:rPr>
                      <w:color w:val="auto"/>
                    </w:rPr>
                    <w:t>/a</w:t>
                  </w:r>
                </w:p>
              </w:tc>
              <w:tc>
                <w:tcPr>
                  <w:tcW w:w="955"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COD</w:t>
                  </w:r>
                </w:p>
              </w:tc>
              <w:tc>
                <w:tcPr>
                  <w:tcW w:w="99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36.5</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default"/>
                      <w:color w:val="auto"/>
                      <w:lang w:val="en-US" w:eastAsia="zh-CN"/>
                    </w:rPr>
                  </w:pPr>
                  <w:r>
                    <w:rPr>
                      <w:rFonts w:hint="eastAsia" w:ascii="Times New Roman" w:hAnsi="Times New Roman"/>
                      <w:color w:val="auto"/>
                      <w:lang w:val="en-US" w:eastAsia="zh-CN"/>
                    </w:rPr>
                    <w:t>10000mg/L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36.5</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olor w:val="auto"/>
                      <w:lang w:val="en-US" w:eastAsia="zh-CN"/>
                    </w:rPr>
                    <w:t>10000mg/L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l2br w:val="nil"/>
                    <w:tr2bl w:val="nil"/>
                  </w:tcBorders>
                  <w:vAlign w:val="center"/>
                </w:tcPr>
                <w:p>
                  <w:pPr>
                    <w:pStyle w:val="29"/>
                    <w:widowControl w:val="0"/>
                    <w:bidi w:val="0"/>
                    <w:rPr>
                      <w:rFonts w:hint="default"/>
                      <w:color w:val="auto"/>
                      <w:lang w:val="en-US" w:eastAsia="zh-CN"/>
                    </w:rPr>
                  </w:pPr>
                </w:p>
              </w:tc>
              <w:tc>
                <w:tcPr>
                  <w:tcW w:w="955"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SS</w:t>
                  </w:r>
                </w:p>
              </w:tc>
              <w:tc>
                <w:tcPr>
                  <w:tcW w:w="99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10.95</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default"/>
                      <w:color w:val="auto"/>
                      <w:lang w:val="en-US" w:eastAsia="zh-CN"/>
                    </w:rPr>
                  </w:pPr>
                  <w:r>
                    <w:rPr>
                      <w:rFonts w:hint="eastAsia" w:ascii="Times New Roman" w:hAnsi="Times New Roman"/>
                      <w:color w:val="auto"/>
                      <w:lang w:val="en-US" w:eastAsia="zh-CN"/>
                    </w:rPr>
                    <w:t>3000mg/L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10.95</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olor w:val="auto"/>
                      <w:lang w:val="en-US" w:eastAsia="zh-CN"/>
                    </w:rPr>
                    <w:t>3000mg/L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l2br w:val="nil"/>
                    <w:tr2bl w:val="nil"/>
                  </w:tcBorders>
                  <w:vAlign w:val="center"/>
                </w:tcPr>
                <w:p>
                  <w:pPr>
                    <w:pStyle w:val="29"/>
                    <w:widowControl w:val="0"/>
                    <w:bidi w:val="0"/>
                    <w:rPr>
                      <w:rFonts w:hint="eastAsia"/>
                      <w:color w:val="auto"/>
                      <w:lang w:val="en-US" w:eastAsia="zh-CN"/>
                    </w:rPr>
                  </w:pPr>
                </w:p>
              </w:tc>
              <w:tc>
                <w:tcPr>
                  <w:tcW w:w="955"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BOD</w:t>
                  </w:r>
                  <w:r>
                    <w:rPr>
                      <w:rFonts w:hint="default"/>
                      <w:color w:val="auto"/>
                      <w:vertAlign w:val="subscript"/>
                      <w:lang w:val="en-US" w:eastAsia="zh-CN"/>
                    </w:rPr>
                    <w:t>5</w:t>
                  </w:r>
                </w:p>
              </w:tc>
              <w:tc>
                <w:tcPr>
                  <w:tcW w:w="99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18.25</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default"/>
                      <w:color w:val="auto"/>
                      <w:lang w:val="en-US" w:eastAsia="zh-CN"/>
                    </w:rPr>
                  </w:pPr>
                  <w:r>
                    <w:rPr>
                      <w:rFonts w:hint="eastAsia" w:ascii="Times New Roman" w:hAnsi="Times New Roman"/>
                      <w:color w:val="auto"/>
                      <w:lang w:val="en-US" w:eastAsia="zh-CN"/>
                    </w:rPr>
                    <w:t>5000mg/L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18.25</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olor w:val="auto"/>
                      <w:lang w:val="en-US" w:eastAsia="zh-CN"/>
                    </w:rPr>
                    <w:t>5000mg/L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41" w:type="dxa"/>
                  <w:vMerge w:val="continue"/>
                  <w:tcBorders>
                    <w:tl2br w:val="nil"/>
                    <w:tr2bl w:val="nil"/>
                  </w:tcBorders>
                  <w:vAlign w:val="center"/>
                </w:tcPr>
                <w:p>
                  <w:pPr>
                    <w:pStyle w:val="29"/>
                    <w:widowControl w:val="0"/>
                    <w:bidi w:val="0"/>
                    <w:rPr>
                      <w:rFonts w:hint="eastAsia"/>
                      <w:color w:val="auto"/>
                      <w:lang w:val="en-US" w:eastAsia="zh-CN"/>
                    </w:rPr>
                  </w:pPr>
                </w:p>
              </w:tc>
              <w:tc>
                <w:tcPr>
                  <w:tcW w:w="955"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NH</w:t>
                  </w:r>
                  <w:r>
                    <w:rPr>
                      <w:rFonts w:hint="default"/>
                      <w:color w:val="auto"/>
                      <w:vertAlign w:val="subscript"/>
                      <w:lang w:val="en-US" w:eastAsia="zh-CN"/>
                    </w:rPr>
                    <w:t>3</w:t>
                  </w:r>
                  <w:r>
                    <w:rPr>
                      <w:rFonts w:hint="default"/>
                      <w:color w:val="auto"/>
                      <w:lang w:val="en-US" w:eastAsia="zh-CN"/>
                    </w:rPr>
                    <w:t>-N</w:t>
                  </w:r>
                </w:p>
              </w:tc>
              <w:tc>
                <w:tcPr>
                  <w:tcW w:w="99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1.825</w:t>
                  </w:r>
                  <w:r>
                    <w:rPr>
                      <w:rFonts w:hint="default"/>
                      <w:color w:val="auto"/>
                      <w:lang w:val="en-US" w:eastAsia="zh-CN"/>
                    </w:rPr>
                    <w:t>t/a</w:t>
                  </w:r>
                </w:p>
              </w:tc>
              <w:tc>
                <w:tcPr>
                  <w:tcW w:w="1200" w:type="dxa"/>
                  <w:tcBorders>
                    <w:tl2br w:val="nil"/>
                    <w:tr2bl w:val="nil"/>
                  </w:tcBorders>
                  <w:vAlign w:val="center"/>
                </w:tcPr>
                <w:p>
                  <w:pPr>
                    <w:pStyle w:val="29"/>
                    <w:widowControl w:val="0"/>
                    <w:bidi w:val="0"/>
                    <w:rPr>
                      <w:rFonts w:hint="default"/>
                      <w:color w:val="auto"/>
                      <w:lang w:val="en-US" w:eastAsia="zh-CN"/>
                    </w:rPr>
                  </w:pPr>
                  <w:r>
                    <w:rPr>
                      <w:rFonts w:hint="eastAsia" w:ascii="Times New Roman" w:hAnsi="Times New Roman"/>
                      <w:color w:val="auto"/>
                      <w:lang w:val="en-US" w:eastAsia="zh-CN"/>
                    </w:rPr>
                    <w:t>500mg/L</w:t>
                  </w:r>
                </w:p>
              </w:tc>
              <w:tc>
                <w:tcPr>
                  <w:tcW w:w="846" w:type="dxa"/>
                  <w:vMerge w:val="continue"/>
                  <w:tcBorders>
                    <w:tl2br w:val="nil"/>
                    <w:tr2bl w:val="nil"/>
                  </w:tcBorders>
                  <w:vAlign w:val="center"/>
                </w:tcPr>
                <w:p>
                  <w:pPr>
                    <w:pStyle w:val="29"/>
                    <w:widowControl w:val="0"/>
                    <w:bidi w:val="0"/>
                    <w:rPr>
                      <w:rFonts w:hint="eastAsia"/>
                      <w:color w:val="auto"/>
                      <w:lang w:val="en-US" w:eastAsia="zh-CN"/>
                    </w:rPr>
                  </w:pPr>
                </w:p>
              </w:tc>
              <w:tc>
                <w:tcPr>
                  <w:tcW w:w="1172" w:type="dxa"/>
                  <w:tcBorders>
                    <w:tl2br w:val="nil"/>
                    <w:tr2bl w:val="nil"/>
                  </w:tcBorders>
                  <w:vAlign w:val="center"/>
                </w:tcPr>
                <w:p>
                  <w:pPr>
                    <w:pStyle w:val="29"/>
                    <w:widowControl w:val="0"/>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1.825</w:t>
                  </w:r>
                  <w:r>
                    <w:rPr>
                      <w:rFonts w:hint="default"/>
                      <w:color w:val="auto"/>
                      <w:lang w:val="en-US" w:eastAsia="zh-CN"/>
                    </w:rPr>
                    <w:t>t/a</w:t>
                  </w:r>
                </w:p>
              </w:tc>
              <w:tc>
                <w:tcPr>
                  <w:tcW w:w="1264" w:type="dxa"/>
                  <w:tcBorders>
                    <w:tl2br w:val="nil"/>
                    <w:tr2bl w:val="nil"/>
                  </w:tcBorders>
                  <w:vAlign w:val="center"/>
                </w:tcPr>
                <w:p>
                  <w:pPr>
                    <w:pStyle w:val="29"/>
                    <w:widowControl w:val="0"/>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olor w:val="auto"/>
                      <w:lang w:val="en-US" w:eastAsia="zh-CN"/>
                    </w:rPr>
                    <w:t>500mg/L</w:t>
                  </w:r>
                </w:p>
              </w:tc>
            </w:tr>
          </w:tbl>
          <w:p>
            <w:pPr>
              <w:pStyle w:val="18"/>
              <w:bidi w:val="0"/>
              <w:ind w:left="0" w:leftChars="0" w:firstLine="0" w:firstLineChars="0"/>
              <w:rPr>
                <w:rFonts w:hint="eastAsia"/>
                <w:b/>
                <w:bCs/>
                <w:color w:val="auto"/>
                <w:lang w:val="en-US" w:eastAsia="zh-CN"/>
              </w:rPr>
            </w:pPr>
            <w:r>
              <w:rPr>
                <w:rFonts w:hint="eastAsia"/>
                <w:b/>
                <w:bCs/>
                <w:color w:val="auto"/>
                <w:lang w:val="en-US" w:eastAsia="zh-CN"/>
              </w:rPr>
              <w:t>处理措施：</w:t>
            </w:r>
          </w:p>
          <w:p>
            <w:pPr>
              <w:pStyle w:val="18"/>
              <w:bidi w:val="0"/>
              <w:jc w:val="both"/>
              <w:rPr>
                <w:rFonts w:hint="default"/>
                <w:color w:val="auto"/>
                <w:lang w:val="en-US" w:eastAsia="zh-CN"/>
              </w:rPr>
            </w:pPr>
            <w:r>
              <w:rPr>
                <w:rFonts w:hint="eastAsia"/>
                <w:color w:val="auto"/>
                <w:lang w:val="en-US" w:eastAsia="zh-CN"/>
              </w:rPr>
              <w:t>项目拟建一个污水收集池（容积 3</w:t>
            </w:r>
            <w:r>
              <w:rPr>
                <w:rFonts w:hint="default"/>
                <w:color w:val="auto"/>
                <w:lang w:val="en-US" w:eastAsia="zh-CN"/>
              </w:rPr>
              <w:t>0m</w:t>
            </w:r>
            <w:r>
              <w:rPr>
                <w:rFonts w:hint="default"/>
                <w:color w:val="auto"/>
                <w:vertAlign w:val="superscript"/>
                <w:lang w:val="en-US" w:eastAsia="zh-CN"/>
              </w:rPr>
              <w:t>3</w:t>
            </w:r>
            <w:r>
              <w:rPr>
                <w:rFonts w:hint="eastAsia"/>
                <w:color w:val="auto"/>
                <w:lang w:val="en-US" w:eastAsia="zh-CN"/>
              </w:rPr>
              <w:t>），本项目垃圾渗滤液、冲洗废水、生活污水，产生量共计16.345</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w:t>
            </w:r>
            <w:r>
              <w:rPr>
                <w:rFonts w:hint="eastAsia"/>
                <w:color w:val="auto"/>
                <w:lang w:val="en-US" w:eastAsia="zh-CN"/>
              </w:rPr>
              <w:t xml:space="preserve">，通过管道进入污水收集池中暂存，暂存时间为 </w:t>
            </w:r>
            <w:r>
              <w:rPr>
                <w:rFonts w:hint="default"/>
                <w:color w:val="auto"/>
                <w:lang w:val="en-US" w:eastAsia="zh-CN"/>
              </w:rPr>
              <w:t xml:space="preserve">1 </w:t>
            </w:r>
            <w:r>
              <w:rPr>
                <w:rFonts w:hint="eastAsia"/>
                <w:color w:val="auto"/>
                <w:lang w:val="en-US" w:eastAsia="zh-CN"/>
              </w:rPr>
              <w:t>天（日产日清），最大暂存量为 16.345</w:t>
            </w:r>
            <w:r>
              <w:rPr>
                <w:rFonts w:hint="default"/>
                <w:color w:val="auto"/>
                <w:lang w:val="en-US" w:eastAsia="zh-CN"/>
              </w:rPr>
              <w:t>m</w:t>
            </w:r>
            <w:r>
              <w:rPr>
                <w:rFonts w:hint="default"/>
                <w:color w:val="auto"/>
                <w:vertAlign w:val="superscript"/>
                <w:lang w:val="en-US" w:eastAsia="zh-CN"/>
              </w:rPr>
              <w:t>3</w:t>
            </w:r>
            <w:r>
              <w:rPr>
                <w:rFonts w:hint="eastAsia"/>
                <w:color w:val="auto"/>
                <w:lang w:val="en-US" w:eastAsia="zh-CN"/>
              </w:rPr>
              <w:t>，小于渗滤液收集池容积（3</w:t>
            </w:r>
            <w:r>
              <w:rPr>
                <w:rFonts w:hint="default"/>
                <w:color w:val="auto"/>
                <w:lang w:val="en-US" w:eastAsia="zh-CN"/>
              </w:rPr>
              <w:t>0m</w:t>
            </w:r>
            <w:r>
              <w:rPr>
                <w:rFonts w:hint="default"/>
                <w:color w:val="auto"/>
                <w:vertAlign w:val="superscript"/>
                <w:lang w:val="en-US" w:eastAsia="zh-CN"/>
              </w:rPr>
              <w:t>3</w:t>
            </w:r>
            <w:r>
              <w:rPr>
                <w:rFonts w:hint="eastAsia"/>
                <w:color w:val="auto"/>
                <w:lang w:val="en-US" w:eastAsia="zh-CN"/>
              </w:rPr>
              <w:t>），满足暂存要求。经暂存的垃圾渗滤液、冲洗废水、生活污水经站内污水收集池收集后，经吸污罐车运至昌吉市垃圾填埋场处理集中处理。昌吉市垃圾填埋场</w:t>
            </w:r>
            <w:r>
              <w:rPr>
                <w:rFonts w:hint="default"/>
                <w:color w:val="auto"/>
                <w:lang w:val="en-US" w:eastAsia="zh-CN"/>
              </w:rPr>
              <w:t>污水处理厂尾水达到</w:t>
            </w:r>
            <w:r>
              <w:rPr>
                <w:rFonts w:hint="eastAsia"/>
                <w:color w:val="auto"/>
                <w:lang w:val="en-US" w:eastAsia="zh-CN"/>
              </w:rPr>
              <w:t>达到《生活垃圾填埋场污染控制标准》（GB16889-2008）及《城市污水再生利用 城市杂用水水质GBT18920-2002》浓度限值后用于绿化及回喷</w:t>
            </w:r>
            <w:r>
              <w:rPr>
                <w:rFonts w:hint="default"/>
                <w:color w:val="auto"/>
                <w:lang w:val="en-US" w:eastAsia="zh-CN"/>
              </w:rPr>
              <w:t>，对周围水环境影响较小。</w:t>
            </w:r>
          </w:p>
          <w:p>
            <w:pPr>
              <w:pStyle w:val="6"/>
              <w:bidi w:val="0"/>
              <w:rPr>
                <w:color w:val="auto"/>
              </w:rPr>
            </w:pPr>
            <w:r>
              <w:rPr>
                <w:rFonts w:hint="eastAsia"/>
                <w:color w:val="auto"/>
                <w:lang w:val="en-US" w:eastAsia="zh-CN"/>
              </w:rPr>
              <w:t xml:space="preserve">1.3 废水排放依托可行性： </w:t>
            </w:r>
          </w:p>
          <w:p>
            <w:pPr>
              <w:pStyle w:val="18"/>
              <w:bidi w:val="0"/>
              <w:rPr>
                <w:rFonts w:hint="eastAsia"/>
                <w:color w:val="auto"/>
                <w:lang w:val="en-US" w:eastAsia="zh-CN"/>
              </w:rPr>
            </w:pPr>
            <w:r>
              <w:rPr>
                <w:rFonts w:hint="eastAsia"/>
                <w:color w:val="auto"/>
                <w:lang w:val="en-US" w:eastAsia="zh-CN"/>
              </w:rPr>
              <w:t>昌吉市生活垃圾填埋场位于</w:t>
            </w:r>
            <w:r>
              <w:rPr>
                <w:rFonts w:hint="default" w:ascii="Times New Roman" w:hAnsi="Times New Roman" w:eastAsia="宋体" w:cs="Times New Roman"/>
                <w:color w:val="auto"/>
                <w:sz w:val="24"/>
                <w:szCs w:val="24"/>
                <w:lang w:eastAsia="zh-CN"/>
              </w:rPr>
              <w:t>昌吉市榆树沟镇312国道53</w:t>
            </w:r>
            <w:r>
              <w:rPr>
                <w:rFonts w:hint="default" w:ascii="Times New Roman" w:hAnsi="Times New Roman" w:eastAsia="宋体" w:cs="Times New Roman"/>
                <w:color w:val="auto"/>
                <w:sz w:val="24"/>
                <w:szCs w:val="24"/>
                <w:lang w:val="en-US" w:eastAsia="zh-CN"/>
              </w:rPr>
              <w:t>km</w:t>
            </w:r>
            <w:r>
              <w:rPr>
                <w:rFonts w:hint="default" w:ascii="Times New Roman" w:hAnsi="Times New Roman" w:eastAsia="宋体" w:cs="Times New Roman"/>
                <w:color w:val="auto"/>
                <w:sz w:val="24"/>
                <w:szCs w:val="24"/>
                <w:lang w:eastAsia="zh-CN"/>
              </w:rPr>
              <w:t>处</w:t>
            </w:r>
            <w:r>
              <w:rPr>
                <w:rFonts w:hint="eastAsia"/>
                <w:color w:val="auto"/>
                <w:lang w:val="en-US" w:eastAsia="zh-CN"/>
              </w:rPr>
              <w:t>，污水</w:t>
            </w:r>
            <w:r>
              <w:rPr>
                <w:rFonts w:hint="eastAsia"/>
                <w:snapToGrid w:val="0"/>
                <w:color w:val="auto"/>
                <w:kern w:val="0"/>
                <w:sz w:val="24"/>
                <w:lang w:val="en-US" w:eastAsia="zh-CN"/>
              </w:rPr>
              <w:t>日处理能力200m</w:t>
            </w:r>
            <w:r>
              <w:rPr>
                <w:rFonts w:hint="eastAsia"/>
                <w:snapToGrid w:val="0"/>
                <w:color w:val="auto"/>
                <w:kern w:val="0"/>
                <w:sz w:val="24"/>
                <w:vertAlign w:val="superscript"/>
                <w:lang w:val="en-US" w:eastAsia="zh-CN"/>
              </w:rPr>
              <w:t>3</w:t>
            </w:r>
            <w:r>
              <w:rPr>
                <w:rFonts w:hint="eastAsia"/>
                <w:color w:val="auto"/>
                <w:lang w:val="en-US" w:eastAsia="zh-CN"/>
              </w:rPr>
              <w:t>，处理工艺</w:t>
            </w:r>
            <w:r>
              <w:rPr>
                <w:rFonts w:hint="eastAsia" w:eastAsia="宋体"/>
                <w:bCs/>
                <w:snapToGrid/>
                <w:color w:val="auto"/>
                <w:kern w:val="2"/>
                <w:sz w:val="24"/>
                <w:szCs w:val="24"/>
                <w:lang w:val="en-US"/>
              </w:rPr>
              <w:t>ST-RO生物处理工艺</w:t>
            </w:r>
            <w:r>
              <w:rPr>
                <w:rFonts w:hint="eastAsia"/>
                <w:color w:val="auto"/>
                <w:lang w:val="en-US" w:eastAsia="zh-CN"/>
              </w:rPr>
              <w:t>，出水水质达到《生活垃圾填埋场污染控制标准》（GB16889-2008）及《城市污水再生利用 城市杂用水水质GBT18920-2002》浓度限值后用于绿化，处理后的尾水</w:t>
            </w:r>
            <w:r>
              <w:rPr>
                <w:rFonts w:hint="eastAsia" w:ascii="Times New Roman" w:hAnsi="Times New Roman"/>
                <w:color w:val="auto"/>
                <w:sz w:val="24"/>
                <w:szCs w:val="24"/>
                <w:lang w:val="en-US" w:eastAsia="zh-CN"/>
              </w:rPr>
              <w:t>用于垃圾填埋场现有绿地绿化，绿化面积为3000m</w:t>
            </w:r>
            <w:r>
              <w:rPr>
                <w:rFonts w:hint="eastAsia" w:ascii="Times New Roman" w:hAnsi="Times New Roman"/>
                <w:color w:val="auto"/>
                <w:sz w:val="24"/>
                <w:szCs w:val="24"/>
                <w:vertAlign w:val="superscript"/>
                <w:lang w:val="en-US" w:eastAsia="zh-CN"/>
              </w:rPr>
              <w:t>2</w:t>
            </w:r>
            <w:r>
              <w:rPr>
                <w:rFonts w:hint="eastAsia"/>
                <w:color w:val="auto"/>
                <w:lang w:val="en-US" w:eastAsia="zh-CN"/>
              </w:rPr>
              <w:t>，</w:t>
            </w:r>
            <w:r>
              <w:rPr>
                <w:rFonts w:hint="eastAsia" w:ascii="Times New Roman" w:hAnsi="Times New Roman"/>
                <w:color w:val="auto"/>
              </w:rPr>
              <w:t>渗滤液处理浓缩液</w:t>
            </w:r>
            <w:r>
              <w:rPr>
                <w:rFonts w:hint="eastAsia" w:ascii="Times New Roman" w:hAnsi="Times New Roman"/>
                <w:color w:val="auto"/>
                <w:lang w:val="en-US" w:eastAsia="zh-CN"/>
              </w:rPr>
              <w:t>回喷至</w:t>
            </w:r>
            <w:r>
              <w:rPr>
                <w:rFonts w:hint="eastAsia"/>
                <w:bCs/>
                <w:color w:val="auto"/>
              </w:rPr>
              <w:t>垃圾填埋场</w:t>
            </w:r>
            <w:r>
              <w:rPr>
                <w:rFonts w:hint="eastAsia"/>
                <w:bCs/>
                <w:color w:val="auto"/>
                <w:lang w:eastAsia="zh-CN"/>
              </w:rPr>
              <w:t>；</w:t>
            </w:r>
            <w:r>
              <w:rPr>
                <w:rFonts w:hint="eastAsia"/>
                <w:color w:val="auto"/>
                <w:lang w:val="en-US" w:eastAsia="zh-CN"/>
              </w:rPr>
              <w:t>本项目排水总量为16.345</w:t>
            </w:r>
            <w:r>
              <w:rPr>
                <w:rFonts w:hint="default"/>
                <w:color w:val="auto"/>
                <w:lang w:val="en-US" w:eastAsia="zh-CN"/>
              </w:rPr>
              <w:t>m</w:t>
            </w:r>
            <w:r>
              <w:rPr>
                <w:rFonts w:hint="default"/>
                <w:color w:val="auto"/>
                <w:vertAlign w:val="superscript"/>
                <w:lang w:val="en-US" w:eastAsia="zh-CN"/>
              </w:rPr>
              <w:t>3</w:t>
            </w:r>
            <w:r>
              <w:rPr>
                <w:rFonts w:hint="default"/>
                <w:color w:val="auto"/>
                <w:lang w:val="en-US" w:eastAsia="zh-CN"/>
              </w:rPr>
              <w:t>/d</w:t>
            </w:r>
            <w:r>
              <w:rPr>
                <w:rFonts w:hint="eastAsia"/>
                <w:color w:val="auto"/>
                <w:lang w:val="en-US" w:eastAsia="zh-CN"/>
              </w:rPr>
              <w:t>，污水排放对污水处理厂冲击较小。根据上述分析，本项目污水排入昌吉市城市生活垃圾综合处理场</w:t>
            </w:r>
            <w:r>
              <w:rPr>
                <w:rFonts w:hint="eastAsia"/>
                <w:color w:val="auto"/>
                <w:sz w:val="24"/>
              </w:rPr>
              <w:t>渗滤液处理站</w:t>
            </w:r>
            <w:r>
              <w:rPr>
                <w:rFonts w:hint="eastAsia"/>
                <w:color w:val="auto"/>
                <w:lang w:val="en-US" w:eastAsia="zh-CN"/>
              </w:rPr>
              <w:t>措施可行。</w:t>
            </w:r>
          </w:p>
          <w:p>
            <w:pPr>
              <w:pStyle w:val="5"/>
              <w:numPr>
                <w:ilvl w:val="0"/>
                <w:numId w:val="20"/>
              </w:numPr>
              <w:bidi w:val="0"/>
              <w:rPr>
                <w:rFonts w:hint="default"/>
                <w:color w:val="auto"/>
                <w:lang w:val="en-US" w:eastAsia="zh-CN"/>
              </w:rPr>
            </w:pPr>
            <w:r>
              <w:rPr>
                <w:rFonts w:hint="eastAsia"/>
                <w:color w:val="auto"/>
                <w:lang w:val="en-US" w:eastAsia="zh-CN"/>
              </w:rPr>
              <w:t>废气环境影响和保护措施</w:t>
            </w:r>
          </w:p>
          <w:p>
            <w:pPr>
              <w:pStyle w:val="6"/>
              <w:numPr>
                <w:ilvl w:val="1"/>
                <w:numId w:val="20"/>
              </w:numPr>
              <w:bidi w:val="0"/>
              <w:rPr>
                <w:rFonts w:hint="eastAsia"/>
                <w:color w:val="auto"/>
                <w:lang w:val="en-US" w:eastAsia="zh-CN"/>
              </w:rPr>
            </w:pPr>
            <w:r>
              <w:rPr>
                <w:rFonts w:hint="eastAsia"/>
                <w:color w:val="auto"/>
                <w:lang w:val="en-US" w:eastAsia="zh-CN"/>
              </w:rPr>
              <w:t>废气产排情况</w:t>
            </w:r>
          </w:p>
          <w:p>
            <w:pPr>
              <w:pStyle w:val="18"/>
              <w:bidi w:val="0"/>
              <w:rPr>
                <w:rFonts w:hint="default"/>
                <w:color w:val="auto"/>
                <w:lang w:val="en-US" w:eastAsia="zh-CN"/>
              </w:rPr>
            </w:pPr>
            <w:r>
              <w:rPr>
                <w:rFonts w:hint="eastAsia"/>
                <w:color w:val="auto"/>
                <w:lang w:eastAsia="zh-CN"/>
              </w:rPr>
              <w:t>本项目</w:t>
            </w:r>
            <w:r>
              <w:rPr>
                <w:rFonts w:hint="eastAsia"/>
                <w:color w:val="auto"/>
              </w:rPr>
              <w:t>主要来源有</w:t>
            </w:r>
            <w:r>
              <w:rPr>
                <w:rFonts w:hint="eastAsia"/>
                <w:color w:val="auto"/>
                <w:sz w:val="24"/>
                <w:lang w:eastAsia="zh-CN"/>
              </w:rPr>
              <w:t>垃圾中转站恶臭、粉尘</w:t>
            </w:r>
            <w:r>
              <w:rPr>
                <w:rFonts w:hint="eastAsia"/>
                <w:color w:val="auto"/>
                <w:sz w:val="24"/>
                <w:lang w:val="en-US" w:eastAsia="zh-CN"/>
              </w:rPr>
              <w:t>及污水收集池恶臭</w:t>
            </w:r>
            <w:r>
              <w:rPr>
                <w:rFonts w:hint="eastAsia"/>
                <w:color w:val="auto"/>
                <w:sz w:val="24"/>
                <w:lang w:eastAsia="zh-CN"/>
              </w:rPr>
              <w:t>和食堂油烟</w:t>
            </w:r>
            <w:r>
              <w:rPr>
                <w:rFonts w:hint="eastAsia"/>
                <w:color w:val="auto"/>
              </w:rPr>
              <w:t>。</w:t>
            </w:r>
          </w:p>
          <w:p>
            <w:pPr>
              <w:pStyle w:val="18"/>
              <w:bidi w:val="0"/>
              <w:rPr>
                <w:rFonts w:hint="default"/>
                <w:color w:val="auto"/>
                <w:lang w:val="en-US" w:eastAsia="zh-CN"/>
              </w:rPr>
            </w:pPr>
            <w:r>
              <w:rPr>
                <w:rFonts w:hint="default"/>
                <w:color w:val="auto"/>
                <w:lang w:val="en-US" w:eastAsia="zh-CN"/>
              </w:rPr>
              <w:t>由于生活垃圾中含有各类易发酵的有机物，尤其是在夏季气温较高时，生活垃圾在容器中堆存、压装、运输过程中会散发出较难闻的恶臭气体，这些恶臭物质主要包括氨、硫化氢、有机胺类等异味气体。</w:t>
            </w:r>
          </w:p>
          <w:p>
            <w:pPr>
              <w:pStyle w:val="18"/>
              <w:numPr>
                <w:ilvl w:val="0"/>
                <w:numId w:val="21"/>
              </w:numPr>
              <w:bidi w:val="0"/>
              <w:rPr>
                <w:rFonts w:hint="default"/>
                <w:color w:val="auto"/>
                <w:lang w:val="en-US" w:eastAsia="zh-CN"/>
              </w:rPr>
            </w:pPr>
            <w:r>
              <w:rPr>
                <w:rFonts w:hint="eastAsia"/>
                <w:color w:val="auto"/>
                <w:sz w:val="24"/>
                <w:lang w:val="en-US" w:eastAsia="zh-CN"/>
              </w:rPr>
              <w:t>垃圾转运站</w:t>
            </w:r>
            <w:r>
              <w:rPr>
                <w:rFonts w:hint="eastAsia"/>
                <w:color w:val="auto"/>
                <w:sz w:val="24"/>
                <w:lang w:eastAsia="zh-CN"/>
              </w:rPr>
              <w:t>恶臭</w:t>
            </w:r>
          </w:p>
          <w:p>
            <w:pPr>
              <w:pStyle w:val="18"/>
              <w:bidi w:val="0"/>
              <w:rPr>
                <w:rFonts w:hint="default"/>
                <w:color w:val="auto"/>
                <w:lang w:val="en-US" w:eastAsia="zh-CN"/>
              </w:rPr>
            </w:pPr>
            <w:r>
              <w:rPr>
                <w:rFonts w:hint="default"/>
                <w:color w:val="auto"/>
                <w:lang w:val="en-US" w:eastAsia="zh-CN"/>
              </w:rPr>
              <w:t>根据对国内现有垃圾转运站污染物排放情况调查，压缩转运站的废气主要来自于转运车间、垃圾倾倒和压缩过程，废气中主要污染物为扬尘、H</w:t>
            </w:r>
            <w:r>
              <w:rPr>
                <w:rFonts w:hint="default"/>
                <w:color w:val="auto"/>
                <w:vertAlign w:val="subscript"/>
                <w:lang w:val="en-US" w:eastAsia="zh-CN"/>
              </w:rPr>
              <w:t>2</w:t>
            </w:r>
            <w:r>
              <w:rPr>
                <w:rFonts w:hint="default"/>
                <w:color w:val="auto"/>
                <w:lang w:val="en-US" w:eastAsia="zh-CN"/>
              </w:rPr>
              <w:t>S 和 NH</w:t>
            </w:r>
            <w:r>
              <w:rPr>
                <w:rFonts w:hint="default"/>
                <w:color w:val="auto"/>
                <w:vertAlign w:val="subscript"/>
                <w:lang w:val="en-US" w:eastAsia="zh-CN"/>
              </w:rPr>
              <w:t>3</w:t>
            </w:r>
            <w:r>
              <w:rPr>
                <w:rFonts w:hint="default"/>
                <w:color w:val="auto"/>
                <w:lang w:val="en-US" w:eastAsia="zh-CN"/>
              </w:rPr>
              <w:t>。</w:t>
            </w:r>
          </w:p>
          <w:p>
            <w:pPr>
              <w:pStyle w:val="18"/>
              <w:bidi w:val="0"/>
              <w:rPr>
                <w:rFonts w:hint="default"/>
                <w:color w:val="auto"/>
                <w:lang w:val="en-US" w:eastAsia="zh-CN"/>
              </w:rPr>
            </w:pPr>
            <w:r>
              <w:rPr>
                <w:rFonts w:hint="default"/>
                <w:color w:val="auto"/>
                <w:lang w:val="en-US" w:eastAsia="zh-CN"/>
              </w:rPr>
              <w:t>由于国内尚无生活垃圾产生源强的实验数据，垃圾卸料过程恶臭气体浓度由于已受到环境稀释作用明显偏低，因此本评价主要利用现有的国外对生活垃圾处理过程中产生的恶臭气体的研究成果，类比估算垃圾转运过程产生的恶臭污染源强。</w:t>
            </w:r>
          </w:p>
          <w:p>
            <w:pPr>
              <w:pStyle w:val="18"/>
              <w:bidi w:val="0"/>
              <w:rPr>
                <w:rFonts w:hint="default"/>
                <w:color w:val="auto"/>
                <w:lang w:val="en-US" w:eastAsia="zh-CN"/>
              </w:rPr>
            </w:pPr>
            <w:r>
              <w:rPr>
                <w:rFonts w:hint="default"/>
                <w:color w:val="auto"/>
                <w:lang w:val="en-US" w:eastAsia="zh-CN"/>
              </w:rPr>
              <w:t>日本大阪环境科学研究所曾对 2000t/d 生活垃圾排放的恶臭污染物强度进行过实验研究，得到恶臭物质的源强为：H</w:t>
            </w:r>
            <w:r>
              <w:rPr>
                <w:rFonts w:hint="default"/>
                <w:color w:val="auto"/>
                <w:vertAlign w:val="subscript"/>
                <w:lang w:val="en-US" w:eastAsia="zh-CN"/>
              </w:rPr>
              <w:t>2</w:t>
            </w:r>
            <w:r>
              <w:rPr>
                <w:rFonts w:hint="default"/>
                <w:color w:val="auto"/>
                <w:lang w:val="en-US" w:eastAsia="zh-CN"/>
              </w:rPr>
              <w:t>S：9.2kg/d、NH</w:t>
            </w:r>
            <w:r>
              <w:rPr>
                <w:rFonts w:hint="default"/>
                <w:color w:val="auto"/>
                <w:vertAlign w:val="subscript"/>
                <w:lang w:val="en-US" w:eastAsia="zh-CN"/>
              </w:rPr>
              <w:t>3</w:t>
            </w:r>
            <w:r>
              <w:rPr>
                <w:rFonts w:hint="default"/>
                <w:color w:val="auto"/>
                <w:lang w:val="en-US" w:eastAsia="zh-CN"/>
              </w:rPr>
              <w:t>：68kg/d。本项目拟建垃圾中转</w:t>
            </w:r>
            <w:r>
              <w:rPr>
                <w:rFonts w:hint="eastAsia"/>
                <w:color w:val="auto"/>
                <w:lang w:val="en-US" w:eastAsia="zh-CN"/>
              </w:rPr>
              <w:t>站</w:t>
            </w:r>
            <w:r>
              <w:rPr>
                <w:rFonts w:hint="default"/>
                <w:color w:val="auto"/>
                <w:lang w:val="en-US" w:eastAsia="zh-CN"/>
              </w:rPr>
              <w:t xml:space="preserve">中转量为 </w:t>
            </w:r>
            <w:r>
              <w:rPr>
                <w:rFonts w:hint="eastAsia"/>
                <w:color w:val="auto"/>
                <w:lang w:val="en-US" w:eastAsia="zh-CN"/>
              </w:rPr>
              <w:t>2</w:t>
            </w:r>
            <w:r>
              <w:rPr>
                <w:rFonts w:hint="default"/>
                <w:color w:val="auto"/>
                <w:lang w:val="en-US" w:eastAsia="zh-CN"/>
              </w:rPr>
              <w:t>00t/d，各废气产生量见下表</w:t>
            </w:r>
          </w:p>
          <w:p>
            <w:pPr>
              <w:pStyle w:val="28"/>
              <w:bidi w:val="0"/>
              <w:rPr>
                <w:rFonts w:hint="default"/>
                <w:color w:val="auto"/>
                <w:lang w:val="en-US" w:eastAsia="zh-CN"/>
              </w:rPr>
            </w:pPr>
            <w:r>
              <w:rPr>
                <w:rFonts w:hint="eastAsia"/>
                <w:color w:val="auto"/>
                <w:lang w:val="en-US" w:eastAsia="zh-CN"/>
              </w:rPr>
              <w:t>表4-2   废气产生情况一览表</w:t>
            </w:r>
          </w:p>
          <w:tbl>
            <w:tblPr>
              <w:tblStyle w:val="22"/>
              <w:tblW w:w="4999"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616"/>
              <w:gridCol w:w="2617"/>
              <w:gridCol w:w="261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tcPr>
                <w:p>
                  <w:pPr>
                    <w:pStyle w:val="29"/>
                    <w:widowControl w:val="0"/>
                    <w:bidi w:val="0"/>
                    <w:rPr>
                      <w:rFonts w:hint="default"/>
                      <w:b/>
                      <w:bCs/>
                      <w:color w:val="auto"/>
                      <w:lang w:val="en-US" w:eastAsia="zh-CN"/>
                    </w:rPr>
                  </w:pPr>
                  <w:r>
                    <w:rPr>
                      <w:rFonts w:hint="eastAsia"/>
                      <w:b/>
                      <w:bCs/>
                      <w:color w:val="auto"/>
                      <w:lang w:val="en-US" w:eastAsia="zh-CN"/>
                    </w:rPr>
                    <w:t>污染物名称</w:t>
                  </w:r>
                </w:p>
              </w:tc>
              <w:tc>
                <w:tcPr>
                  <w:tcW w:w="1666" w:type="pct"/>
                  <w:tcBorders>
                    <w:tl2br w:val="nil"/>
                    <w:tr2bl w:val="nil"/>
                  </w:tcBorders>
                </w:tcPr>
                <w:p>
                  <w:pPr>
                    <w:pStyle w:val="29"/>
                    <w:widowControl w:val="0"/>
                    <w:bidi w:val="0"/>
                    <w:rPr>
                      <w:rFonts w:hint="default"/>
                      <w:b/>
                      <w:bCs/>
                      <w:color w:val="auto"/>
                      <w:lang w:val="en-US" w:eastAsia="zh-CN"/>
                    </w:rPr>
                  </w:pPr>
                  <w:r>
                    <w:rPr>
                      <w:rFonts w:hint="default"/>
                      <w:b/>
                      <w:bCs/>
                      <w:color w:val="auto"/>
                      <w:lang w:val="en-US" w:eastAsia="zh-CN"/>
                    </w:rPr>
                    <w:t>H</w:t>
                  </w:r>
                  <w:r>
                    <w:rPr>
                      <w:rFonts w:hint="default"/>
                      <w:b/>
                      <w:bCs/>
                      <w:color w:val="auto"/>
                      <w:vertAlign w:val="subscript"/>
                      <w:lang w:val="en-US" w:eastAsia="zh-CN"/>
                    </w:rPr>
                    <w:t>2</w:t>
                  </w:r>
                  <w:r>
                    <w:rPr>
                      <w:rFonts w:hint="default"/>
                      <w:b/>
                      <w:bCs/>
                      <w:color w:val="auto"/>
                      <w:lang w:val="en-US" w:eastAsia="zh-CN"/>
                    </w:rPr>
                    <w:t>S</w:t>
                  </w:r>
                </w:p>
              </w:tc>
              <w:tc>
                <w:tcPr>
                  <w:tcW w:w="1666" w:type="pct"/>
                  <w:tcBorders>
                    <w:tl2br w:val="nil"/>
                    <w:tr2bl w:val="nil"/>
                  </w:tcBorders>
                </w:tcPr>
                <w:p>
                  <w:pPr>
                    <w:pStyle w:val="29"/>
                    <w:widowControl w:val="0"/>
                    <w:bidi w:val="0"/>
                    <w:rPr>
                      <w:rFonts w:hint="default"/>
                      <w:b/>
                      <w:bCs/>
                      <w:color w:val="auto"/>
                      <w:lang w:val="en-US" w:eastAsia="zh-CN"/>
                    </w:rPr>
                  </w:pPr>
                  <w:r>
                    <w:rPr>
                      <w:rFonts w:hint="default"/>
                      <w:b/>
                      <w:bCs/>
                      <w:color w:val="auto"/>
                      <w:lang w:val="en-US" w:eastAsia="zh-CN"/>
                    </w:rPr>
                    <w:t>NH</w:t>
                  </w:r>
                  <w:r>
                    <w:rPr>
                      <w:rFonts w:hint="default"/>
                      <w:b/>
                      <w:bCs/>
                      <w:color w:val="auto"/>
                      <w:vertAlign w:val="subscript"/>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6" w:type="pct"/>
                  <w:tcBorders>
                    <w:tl2br w:val="nil"/>
                    <w:tr2bl w:val="nil"/>
                  </w:tcBorders>
                </w:tcPr>
                <w:p>
                  <w:pPr>
                    <w:pStyle w:val="29"/>
                    <w:widowControl w:val="0"/>
                    <w:bidi w:val="0"/>
                    <w:rPr>
                      <w:rFonts w:hint="default"/>
                      <w:color w:val="auto"/>
                      <w:lang w:val="en-US" w:eastAsia="zh-CN"/>
                    </w:rPr>
                  </w:pPr>
                  <w:r>
                    <w:rPr>
                      <w:rFonts w:hint="eastAsia"/>
                      <w:color w:val="auto"/>
                      <w:lang w:val="en-US" w:eastAsia="zh-CN"/>
                    </w:rPr>
                    <w:t>产生量</w:t>
                  </w:r>
                </w:p>
              </w:tc>
              <w:tc>
                <w:tcPr>
                  <w:tcW w:w="1666" w:type="pct"/>
                  <w:tcBorders>
                    <w:tl2br w:val="nil"/>
                    <w:tr2bl w:val="nil"/>
                  </w:tcBorders>
                </w:tcPr>
                <w:p>
                  <w:pPr>
                    <w:pStyle w:val="29"/>
                    <w:widowControl w:val="0"/>
                    <w:bidi w:val="0"/>
                    <w:rPr>
                      <w:rFonts w:hint="default"/>
                      <w:color w:val="auto"/>
                      <w:lang w:val="en-US" w:eastAsia="zh-CN"/>
                    </w:rPr>
                  </w:pPr>
                  <w:r>
                    <w:rPr>
                      <w:rFonts w:hint="eastAsia"/>
                      <w:color w:val="auto"/>
                      <w:lang w:val="en-US" w:eastAsia="zh-CN"/>
                    </w:rPr>
                    <w:t>0.115</w:t>
                  </w:r>
                  <w:r>
                    <w:rPr>
                      <w:rFonts w:hint="default"/>
                      <w:color w:val="auto"/>
                      <w:lang w:val="en-US" w:eastAsia="zh-CN"/>
                    </w:rPr>
                    <w:t>kg/h（</w:t>
                  </w:r>
                  <w:r>
                    <w:rPr>
                      <w:rFonts w:hint="eastAsia"/>
                      <w:color w:val="auto"/>
                      <w:lang w:val="en-US" w:eastAsia="zh-CN"/>
                    </w:rPr>
                    <w:t>0.3358</w:t>
                  </w:r>
                  <w:r>
                    <w:rPr>
                      <w:rFonts w:hint="default"/>
                      <w:color w:val="auto"/>
                      <w:lang w:val="en-US" w:eastAsia="zh-CN"/>
                    </w:rPr>
                    <w:t>t/a）</w:t>
                  </w:r>
                </w:p>
              </w:tc>
              <w:tc>
                <w:tcPr>
                  <w:tcW w:w="1666" w:type="pct"/>
                  <w:tcBorders>
                    <w:tl2br w:val="nil"/>
                    <w:tr2bl w:val="nil"/>
                  </w:tcBorders>
                </w:tcPr>
                <w:p>
                  <w:pPr>
                    <w:pStyle w:val="29"/>
                    <w:widowControl w:val="0"/>
                    <w:bidi w:val="0"/>
                    <w:rPr>
                      <w:rFonts w:hint="default"/>
                      <w:color w:val="auto"/>
                      <w:lang w:val="en-US" w:eastAsia="zh-CN"/>
                    </w:rPr>
                  </w:pPr>
                  <w:r>
                    <w:rPr>
                      <w:rFonts w:hint="eastAsia"/>
                      <w:color w:val="auto"/>
                      <w:lang w:val="en-US" w:eastAsia="zh-CN"/>
                    </w:rPr>
                    <w:t>0.85</w:t>
                  </w:r>
                  <w:r>
                    <w:rPr>
                      <w:rFonts w:hint="default"/>
                      <w:color w:val="auto"/>
                      <w:lang w:val="en-US" w:eastAsia="zh-CN"/>
                    </w:rPr>
                    <w:t>kg/h（</w:t>
                  </w:r>
                  <w:r>
                    <w:rPr>
                      <w:rFonts w:hint="eastAsia"/>
                      <w:color w:val="auto"/>
                      <w:lang w:val="en-US" w:eastAsia="zh-CN"/>
                    </w:rPr>
                    <w:t>2.482</w:t>
                  </w:r>
                  <w:r>
                    <w:rPr>
                      <w:rFonts w:hint="default"/>
                      <w:color w:val="auto"/>
                      <w:lang w:val="en-US" w:eastAsia="zh-CN"/>
                    </w:rPr>
                    <w:t xml:space="preserve">t/a) </w:t>
                  </w:r>
                </w:p>
              </w:tc>
            </w:tr>
          </w:tbl>
          <w:p>
            <w:pPr>
              <w:pStyle w:val="18"/>
              <w:numPr>
                <w:ilvl w:val="0"/>
                <w:numId w:val="21"/>
              </w:numPr>
              <w:bidi w:val="0"/>
              <w:rPr>
                <w:rFonts w:hint="eastAsia"/>
                <w:color w:val="auto"/>
                <w:lang w:eastAsia="zh-CN"/>
              </w:rPr>
            </w:pPr>
            <w:r>
              <w:rPr>
                <w:rFonts w:hint="eastAsia"/>
                <w:color w:val="auto"/>
                <w:lang w:val="en-US" w:eastAsia="zh-CN"/>
              </w:rPr>
              <w:t>粉尘</w:t>
            </w:r>
          </w:p>
          <w:p>
            <w:pPr>
              <w:pStyle w:val="18"/>
              <w:bidi w:val="0"/>
              <w:rPr>
                <w:rFonts w:hint="default"/>
                <w:color w:val="auto"/>
                <w:lang w:val="en-US" w:eastAsia="zh-CN"/>
              </w:rPr>
            </w:pPr>
            <w:r>
              <w:rPr>
                <w:rFonts w:hint="eastAsia"/>
                <w:color w:val="auto"/>
                <w:lang w:val="en-US" w:eastAsia="zh-CN"/>
              </w:rPr>
              <w:t xml:space="preserve">垃圾收集车在垃圾卸料倒入垃圾中转站的过程中会有少量扬尘产生，类比同类型项目，每吨垃圾产生颗粒物量约 </w:t>
            </w:r>
            <w:r>
              <w:rPr>
                <w:rFonts w:hint="default"/>
                <w:color w:val="auto"/>
                <w:lang w:val="en-US" w:eastAsia="zh-CN"/>
              </w:rPr>
              <w:t>0.02kg</w:t>
            </w:r>
            <w:r>
              <w:rPr>
                <w:rFonts w:hint="eastAsia"/>
                <w:color w:val="auto"/>
                <w:lang w:val="en-US" w:eastAsia="zh-CN"/>
              </w:rPr>
              <w:t xml:space="preserve">，则本项目每天产生的颗粒物量为 </w:t>
            </w:r>
            <w:r>
              <w:rPr>
                <w:rFonts w:hint="default"/>
                <w:color w:val="auto"/>
                <w:lang w:val="en-US" w:eastAsia="zh-CN"/>
              </w:rPr>
              <w:t>0.02×200=4kg</w:t>
            </w:r>
            <w:r>
              <w:rPr>
                <w:rFonts w:hint="eastAsia"/>
                <w:color w:val="auto"/>
                <w:lang w:val="en-US" w:eastAsia="zh-CN"/>
              </w:rPr>
              <w:t xml:space="preserve">，约 </w:t>
            </w:r>
            <w:r>
              <w:rPr>
                <w:rFonts w:hint="default"/>
                <w:color w:val="auto"/>
                <w:lang w:val="en-US" w:eastAsia="zh-CN"/>
              </w:rPr>
              <w:t>1.46t/a</w:t>
            </w:r>
            <w:r>
              <w:rPr>
                <w:rFonts w:hint="eastAsia"/>
                <w:color w:val="auto"/>
                <w:lang w:val="en-US" w:eastAsia="zh-CN"/>
              </w:rPr>
              <w:t>。</w:t>
            </w:r>
          </w:p>
          <w:p>
            <w:pPr>
              <w:pStyle w:val="18"/>
              <w:numPr>
                <w:ilvl w:val="0"/>
                <w:numId w:val="21"/>
              </w:numPr>
              <w:bidi w:val="0"/>
              <w:rPr>
                <w:color w:val="auto"/>
              </w:rPr>
            </w:pPr>
            <w:r>
              <w:rPr>
                <w:rFonts w:hint="eastAsia"/>
                <w:color w:val="auto"/>
                <w:lang w:val="en-US" w:eastAsia="zh-CN"/>
              </w:rPr>
              <w:t xml:space="preserve">污水收集池恶臭 </w:t>
            </w:r>
          </w:p>
          <w:p>
            <w:pPr>
              <w:pStyle w:val="18"/>
              <w:bidi w:val="0"/>
              <w:rPr>
                <w:rFonts w:hint="eastAsia"/>
                <w:color w:val="auto"/>
                <w:lang w:val="en-US" w:eastAsia="zh-CN"/>
              </w:rPr>
            </w:pPr>
            <w:r>
              <w:rPr>
                <w:rFonts w:hint="eastAsia"/>
                <w:color w:val="auto"/>
                <w:lang w:val="en-US" w:eastAsia="zh-CN"/>
              </w:rPr>
              <w:t xml:space="preserve">项目废水产生量为6.345t/d，对生活垃圾中转渗滤液而言，产生的恶臭气体以 </w:t>
            </w:r>
            <w:r>
              <w:rPr>
                <w:rFonts w:hint="default"/>
                <w:color w:val="auto"/>
                <w:lang w:val="en-US" w:eastAsia="zh-CN"/>
              </w:rPr>
              <w:t>NH</w:t>
            </w:r>
            <w:r>
              <w:rPr>
                <w:rFonts w:hint="default"/>
                <w:color w:val="auto"/>
                <w:vertAlign w:val="subscript"/>
                <w:lang w:val="en-US" w:eastAsia="zh-CN"/>
              </w:rPr>
              <w:t>3</w:t>
            </w:r>
            <w:r>
              <w:rPr>
                <w:rFonts w:hint="default"/>
                <w:color w:val="auto"/>
                <w:lang w:val="en-US" w:eastAsia="zh-CN"/>
              </w:rPr>
              <w:t xml:space="preserve"> </w:t>
            </w:r>
            <w:r>
              <w:rPr>
                <w:rFonts w:hint="eastAsia"/>
                <w:color w:val="auto"/>
                <w:lang w:val="en-US" w:eastAsia="zh-CN"/>
              </w:rPr>
              <w:t xml:space="preserve">和 </w:t>
            </w: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 xml:space="preserve">S </w:t>
            </w:r>
            <w:r>
              <w:rPr>
                <w:rFonts w:hint="eastAsia"/>
                <w:color w:val="auto"/>
                <w:lang w:val="en-US" w:eastAsia="zh-CN"/>
              </w:rPr>
              <w:t>为主。参照环境保护部工程评估中心编制的《环境影响评价案例分析》中</w:t>
            </w:r>
            <w:r>
              <w:rPr>
                <w:rFonts w:hint="default"/>
                <w:color w:val="auto"/>
                <w:lang w:val="en-US" w:eastAsia="zh-CN"/>
              </w:rPr>
              <w:t>"</w:t>
            </w:r>
            <w:r>
              <w:rPr>
                <w:rFonts w:hint="eastAsia"/>
                <w:color w:val="auto"/>
                <w:lang w:val="en-US" w:eastAsia="zh-CN"/>
              </w:rPr>
              <w:t>第六章、社会区域类建设项目环境影响评价</w:t>
            </w:r>
            <w:r>
              <w:rPr>
                <w:rFonts w:hint="default"/>
                <w:color w:val="auto"/>
                <w:lang w:val="en-US" w:eastAsia="zh-CN"/>
              </w:rPr>
              <w:t>"</w:t>
            </w:r>
            <w:r>
              <w:rPr>
                <w:rFonts w:hint="eastAsia"/>
                <w:color w:val="auto"/>
                <w:lang w:val="en-US" w:eastAsia="zh-CN"/>
              </w:rPr>
              <w:t xml:space="preserve">相关数据，每处理 </w:t>
            </w:r>
            <w:r>
              <w:rPr>
                <w:rFonts w:hint="default"/>
                <w:color w:val="auto"/>
                <w:lang w:val="en-US" w:eastAsia="zh-CN"/>
              </w:rPr>
              <w:t xml:space="preserve">1g </w:t>
            </w:r>
            <w:r>
              <w:rPr>
                <w:rFonts w:hint="eastAsia"/>
                <w:color w:val="auto"/>
                <w:lang w:val="en-US" w:eastAsia="zh-CN"/>
              </w:rPr>
              <w:t xml:space="preserve">的 </w:t>
            </w:r>
            <w:r>
              <w:rPr>
                <w:rFonts w:hint="default"/>
                <w:color w:val="auto"/>
                <w:lang w:val="en-US" w:eastAsia="zh-CN"/>
              </w:rPr>
              <w:t>BOD</w:t>
            </w:r>
            <w:r>
              <w:rPr>
                <w:rFonts w:hint="default"/>
                <w:color w:val="auto"/>
                <w:vertAlign w:val="subscript"/>
                <w:lang w:val="en-US" w:eastAsia="zh-CN"/>
              </w:rPr>
              <w:t>5</w:t>
            </w:r>
            <w:r>
              <w:rPr>
                <w:rFonts w:hint="default"/>
                <w:color w:val="auto"/>
                <w:lang w:val="en-US" w:eastAsia="zh-CN"/>
              </w:rPr>
              <w:t xml:space="preserve"> </w:t>
            </w:r>
            <w:r>
              <w:rPr>
                <w:rFonts w:hint="eastAsia"/>
                <w:color w:val="auto"/>
                <w:lang w:val="en-US" w:eastAsia="zh-CN"/>
              </w:rPr>
              <w:t xml:space="preserve">可产生 </w:t>
            </w:r>
            <w:r>
              <w:rPr>
                <w:rFonts w:hint="default"/>
                <w:color w:val="auto"/>
                <w:lang w:val="en-US" w:eastAsia="zh-CN"/>
              </w:rPr>
              <w:t xml:space="preserve">0.0031g </w:t>
            </w:r>
            <w:r>
              <w:rPr>
                <w:rFonts w:hint="eastAsia"/>
                <w:color w:val="auto"/>
                <w:lang w:val="en-US" w:eastAsia="zh-CN"/>
              </w:rPr>
              <w:t xml:space="preserve">的 </w:t>
            </w:r>
            <w:r>
              <w:rPr>
                <w:rFonts w:hint="default"/>
                <w:color w:val="auto"/>
                <w:lang w:val="en-US" w:eastAsia="zh-CN"/>
              </w:rPr>
              <w:t>NH</w:t>
            </w:r>
            <w:r>
              <w:rPr>
                <w:rFonts w:hint="default"/>
                <w:color w:val="auto"/>
                <w:vertAlign w:val="subscript"/>
                <w:lang w:val="en-US" w:eastAsia="zh-CN"/>
              </w:rPr>
              <w:t>3</w:t>
            </w:r>
            <w:r>
              <w:rPr>
                <w:rFonts w:hint="default"/>
                <w:color w:val="auto"/>
                <w:lang w:val="en-US" w:eastAsia="zh-CN"/>
              </w:rPr>
              <w:t xml:space="preserve"> </w:t>
            </w:r>
            <w:r>
              <w:rPr>
                <w:rFonts w:hint="eastAsia"/>
                <w:color w:val="auto"/>
                <w:lang w:val="en-US" w:eastAsia="zh-CN"/>
              </w:rPr>
              <w:t xml:space="preserve">和 </w:t>
            </w:r>
            <w:r>
              <w:rPr>
                <w:rFonts w:hint="default"/>
                <w:color w:val="auto"/>
                <w:lang w:val="en-US" w:eastAsia="zh-CN"/>
              </w:rPr>
              <w:t xml:space="preserve">0.00012g </w:t>
            </w:r>
            <w:r>
              <w:rPr>
                <w:rFonts w:hint="eastAsia"/>
                <w:color w:val="auto"/>
                <w:lang w:val="en-US" w:eastAsia="zh-CN"/>
              </w:rPr>
              <w:t>的</w:t>
            </w: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S</w:t>
            </w:r>
            <w:r>
              <w:rPr>
                <w:rFonts w:hint="eastAsia"/>
                <w:color w:val="auto"/>
                <w:lang w:val="en-US" w:eastAsia="zh-CN"/>
              </w:rPr>
              <w:t>。根据废水产生源强核算，则本项目</w:t>
            </w:r>
            <w:r>
              <w:rPr>
                <w:rFonts w:hint="default"/>
                <w:color w:val="auto"/>
                <w:lang w:val="en-US" w:eastAsia="zh-CN"/>
              </w:rPr>
              <w:t>BOD</w:t>
            </w:r>
            <w:r>
              <w:rPr>
                <w:rFonts w:hint="default"/>
                <w:color w:val="auto"/>
                <w:vertAlign w:val="subscript"/>
                <w:lang w:val="en-US" w:eastAsia="zh-CN"/>
              </w:rPr>
              <w:t>5</w:t>
            </w:r>
            <w:r>
              <w:rPr>
                <w:rFonts w:hint="eastAsia"/>
                <w:color w:val="auto"/>
                <w:lang w:val="en-US" w:eastAsia="zh-CN"/>
              </w:rPr>
              <w:t>产生量18</w:t>
            </w:r>
            <w:r>
              <w:rPr>
                <w:rFonts w:hint="default"/>
                <w:color w:val="auto"/>
                <w:lang w:val="en-US" w:eastAsia="zh-CN"/>
              </w:rPr>
              <w:t>.25t/a</w:t>
            </w:r>
            <w:r>
              <w:rPr>
                <w:rFonts w:hint="eastAsia"/>
                <w:color w:val="auto"/>
                <w:lang w:val="en-US" w:eastAsia="zh-CN"/>
              </w:rPr>
              <w:t xml:space="preserve">，则 </w:t>
            </w:r>
            <w:r>
              <w:rPr>
                <w:rFonts w:hint="default"/>
                <w:color w:val="auto"/>
                <w:lang w:val="en-US" w:eastAsia="zh-CN"/>
              </w:rPr>
              <w:t>NH</w:t>
            </w:r>
            <w:r>
              <w:rPr>
                <w:rFonts w:hint="default"/>
                <w:color w:val="auto"/>
                <w:vertAlign w:val="subscript"/>
                <w:lang w:val="en-US" w:eastAsia="zh-CN"/>
              </w:rPr>
              <w:t>3</w:t>
            </w:r>
            <w:r>
              <w:rPr>
                <w:rFonts w:hint="eastAsia"/>
                <w:color w:val="auto"/>
                <w:lang w:val="en-US" w:eastAsia="zh-CN"/>
              </w:rPr>
              <w:t>产生量为0.057</w:t>
            </w:r>
            <w:r>
              <w:rPr>
                <w:rFonts w:hint="default"/>
                <w:color w:val="auto"/>
                <w:lang w:val="en-US" w:eastAsia="zh-CN"/>
              </w:rPr>
              <w:t>t/a</w:t>
            </w:r>
            <w:r>
              <w:rPr>
                <w:rFonts w:hint="eastAsia"/>
                <w:color w:val="auto"/>
                <w:lang w:val="en-US" w:eastAsia="zh-CN"/>
              </w:rPr>
              <w:t>，</w:t>
            </w: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 xml:space="preserve">S </w:t>
            </w:r>
            <w:r>
              <w:rPr>
                <w:rFonts w:hint="eastAsia"/>
                <w:color w:val="auto"/>
                <w:lang w:val="en-US" w:eastAsia="zh-CN"/>
              </w:rPr>
              <w:t xml:space="preserve">为 </w:t>
            </w:r>
            <w:r>
              <w:rPr>
                <w:rFonts w:hint="default"/>
                <w:color w:val="auto"/>
                <w:lang w:val="en-US" w:eastAsia="zh-CN"/>
              </w:rPr>
              <w:t>0.00</w:t>
            </w:r>
            <w:r>
              <w:rPr>
                <w:rFonts w:hint="eastAsia"/>
                <w:color w:val="auto"/>
                <w:lang w:val="en-US" w:eastAsia="zh-CN"/>
              </w:rPr>
              <w:t>2</w:t>
            </w:r>
            <w:r>
              <w:rPr>
                <w:rFonts w:hint="default"/>
                <w:color w:val="auto"/>
                <w:lang w:val="en-US" w:eastAsia="zh-CN"/>
              </w:rPr>
              <w:t>t/a</w:t>
            </w:r>
            <w:r>
              <w:rPr>
                <w:rFonts w:hint="eastAsia"/>
                <w:color w:val="auto"/>
                <w:lang w:val="en-US" w:eastAsia="zh-CN"/>
              </w:rPr>
              <w:t>。</w:t>
            </w:r>
          </w:p>
          <w:p>
            <w:pPr>
              <w:pStyle w:val="18"/>
              <w:bidi w:val="0"/>
              <w:rPr>
                <w:rFonts w:hint="eastAsia"/>
                <w:color w:val="auto"/>
                <w:lang w:val="en-US" w:eastAsia="zh-CN"/>
              </w:rPr>
            </w:pPr>
            <w:r>
              <w:rPr>
                <w:rFonts w:hint="eastAsia"/>
                <w:color w:val="auto"/>
                <w:lang w:val="en-US" w:eastAsia="zh-CN"/>
              </w:rPr>
              <w:t>项目拟在垃圾卸料入口加装空气帘幕，防止臭气外泄并设置植物液雾化除臭。本次项目除生活垃圾卸料位于二层，生活垃圾中转所有设备均放置一层，垃圾中转站各臭源（生活垃圾卸料区、压缩区）进行负压密闭收集，废气收集效率可达 99%；污水收集池臭气通过管道收集，废气收集效率可达 90%。风量为20000m</w:t>
            </w:r>
            <w:r>
              <w:rPr>
                <w:rFonts w:hint="eastAsia"/>
                <w:color w:val="auto"/>
                <w:vertAlign w:val="superscript"/>
                <w:lang w:val="en-US" w:eastAsia="zh-CN"/>
              </w:rPr>
              <w:t>3</w:t>
            </w:r>
            <w:r>
              <w:rPr>
                <w:rFonts w:hint="eastAsia"/>
                <w:color w:val="auto"/>
                <w:lang w:val="en-US" w:eastAsia="zh-CN"/>
              </w:rPr>
              <w:t xml:space="preserve">/h，收集后废气经 </w:t>
            </w:r>
            <w:r>
              <w:rPr>
                <w:rFonts w:hint="default"/>
                <w:color w:val="auto"/>
                <w:lang w:val="en-US" w:eastAsia="zh-CN"/>
              </w:rPr>
              <w:t xml:space="preserve">1 </w:t>
            </w:r>
            <w:r>
              <w:rPr>
                <w:rFonts w:hint="eastAsia"/>
                <w:color w:val="auto"/>
                <w:lang w:val="en-US" w:eastAsia="zh-CN"/>
              </w:rPr>
              <w:t>套</w:t>
            </w:r>
            <w:r>
              <w:rPr>
                <w:rFonts w:hint="default"/>
                <w:color w:val="auto"/>
                <w:lang w:val="en-US" w:eastAsia="zh-CN"/>
              </w:rPr>
              <w:t>“</w:t>
            </w:r>
            <w:r>
              <w:rPr>
                <w:color w:val="auto"/>
                <w:kern w:val="0"/>
                <w:szCs w:val="21"/>
              </w:rPr>
              <w:t>喷雾除臭除尘</w:t>
            </w:r>
            <w:r>
              <w:rPr>
                <w:rFonts w:hint="eastAsia"/>
                <w:color w:val="auto"/>
                <w:kern w:val="0"/>
                <w:szCs w:val="21"/>
              </w:rPr>
              <w:t>装置</w:t>
            </w:r>
            <w:r>
              <w:rPr>
                <w:rFonts w:hint="default"/>
                <w:color w:val="auto"/>
                <w:lang w:val="en-US" w:eastAsia="zh-CN"/>
              </w:rPr>
              <w:t>”</w:t>
            </w:r>
            <w:r>
              <w:rPr>
                <w:rFonts w:hint="eastAsia"/>
                <w:color w:val="auto"/>
                <w:lang w:val="en-US" w:eastAsia="zh-CN"/>
              </w:rPr>
              <w:t xml:space="preserve">处理达标后通过 </w:t>
            </w:r>
            <w:r>
              <w:rPr>
                <w:rFonts w:hint="default"/>
                <w:color w:val="auto"/>
                <w:lang w:val="en-US" w:eastAsia="zh-CN"/>
              </w:rPr>
              <w:t xml:space="preserve">15 </w:t>
            </w:r>
            <w:r>
              <w:rPr>
                <w:rFonts w:hint="eastAsia"/>
                <w:color w:val="auto"/>
                <w:lang w:val="en-US" w:eastAsia="zh-CN"/>
              </w:rPr>
              <w:t>米排气筒（</w:t>
            </w:r>
            <w:r>
              <w:rPr>
                <w:rFonts w:hint="default"/>
                <w:color w:val="auto"/>
                <w:lang w:val="en-US" w:eastAsia="zh-CN"/>
              </w:rPr>
              <w:t>DA001</w:t>
            </w:r>
            <w:r>
              <w:rPr>
                <w:rFonts w:hint="eastAsia"/>
                <w:color w:val="auto"/>
                <w:lang w:val="en-US" w:eastAsia="zh-CN"/>
              </w:rPr>
              <w:t>）高空排放，处理效率90%。废气排放量见下表：</w:t>
            </w:r>
          </w:p>
          <w:p>
            <w:pPr>
              <w:pStyle w:val="28"/>
              <w:bidi w:val="0"/>
              <w:rPr>
                <w:rFonts w:hint="default"/>
                <w:color w:val="auto"/>
                <w:lang w:val="en-US" w:eastAsia="zh-CN"/>
              </w:rPr>
            </w:pPr>
            <w:r>
              <w:rPr>
                <w:rFonts w:hint="eastAsia"/>
                <w:color w:val="auto"/>
                <w:lang w:val="en-US" w:eastAsia="zh-CN"/>
              </w:rPr>
              <w:t>表4-3    废气排放情况一览表</w:t>
            </w:r>
          </w:p>
          <w:tbl>
            <w:tblPr>
              <w:tblStyle w:val="22"/>
              <w:tblW w:w="4996" w:type="pct"/>
              <w:tblInd w:w="0" w:type="dxa"/>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898"/>
              <w:gridCol w:w="1137"/>
              <w:gridCol w:w="1204"/>
              <w:gridCol w:w="1906"/>
              <w:gridCol w:w="1809"/>
            </w:tblGrid>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污染源</w:t>
                  </w:r>
                </w:p>
              </w:tc>
              <w:tc>
                <w:tcPr>
                  <w:tcW w:w="572" w:type="pct"/>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污染物</w:t>
                  </w:r>
                </w:p>
              </w:tc>
              <w:tc>
                <w:tcPr>
                  <w:tcW w:w="724" w:type="pct"/>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产生量</w:t>
                  </w:r>
                  <w:r>
                    <w:rPr>
                      <w:rFonts w:hint="default"/>
                      <w:b/>
                      <w:bCs/>
                      <w:color w:val="auto"/>
                      <w:lang w:val="en-US" w:eastAsia="zh-CN"/>
                    </w:rPr>
                    <w:t>t/a</w:t>
                  </w:r>
                </w:p>
              </w:tc>
              <w:tc>
                <w:tcPr>
                  <w:tcW w:w="767" w:type="pct"/>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排放量</w:t>
                  </w:r>
                  <w:r>
                    <w:rPr>
                      <w:rFonts w:hint="default"/>
                      <w:b/>
                      <w:bCs/>
                      <w:color w:val="auto"/>
                      <w:lang w:val="en-US" w:eastAsia="zh-CN"/>
                    </w:rPr>
                    <w:t>t/a</w:t>
                  </w:r>
                </w:p>
              </w:tc>
              <w:tc>
                <w:tcPr>
                  <w:tcW w:w="1214" w:type="pct"/>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排放速率</w:t>
                  </w:r>
                  <w:r>
                    <w:rPr>
                      <w:rFonts w:hint="default"/>
                      <w:b/>
                      <w:bCs/>
                      <w:color w:val="auto"/>
                      <w:lang w:val="en-US" w:eastAsia="zh-CN"/>
                    </w:rPr>
                    <w:t>kg/h</w:t>
                  </w:r>
                </w:p>
              </w:tc>
              <w:tc>
                <w:tcPr>
                  <w:tcW w:w="1152" w:type="pct"/>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排放浓度mg/m</w:t>
                  </w:r>
                  <w:r>
                    <w:rPr>
                      <w:rFonts w:hint="eastAsia"/>
                      <w:b/>
                      <w:bCs/>
                      <w:color w:val="auto"/>
                      <w:vertAlign w:val="superscript"/>
                      <w:lang w:val="en-US" w:eastAsia="zh-CN"/>
                    </w:rPr>
                    <w:t>3</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restart"/>
                  <w:tcBorders>
                    <w:top w:val="single" w:color="000000"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垃圾转运站</w:t>
                  </w:r>
                </w:p>
              </w:tc>
              <w:tc>
                <w:tcPr>
                  <w:tcW w:w="572" w:type="pct"/>
                  <w:tcBorders>
                    <w:top w:val="single" w:color="000000" w:sz="12" w:space="0"/>
                    <w:tl2br w:val="nil"/>
                    <w:tr2bl w:val="nil"/>
                  </w:tcBorders>
                  <w:vAlign w:val="center"/>
                </w:tcPr>
                <w:p>
                  <w:pPr>
                    <w:pStyle w:val="29"/>
                    <w:widowControl w:val="0"/>
                    <w:bidi w:val="0"/>
                    <w:jc w:val="center"/>
                    <w:rPr>
                      <w:rFonts w:hint="eastAsia"/>
                      <w:color w:val="auto"/>
                      <w:lang w:val="en-US" w:eastAsia="zh-CN"/>
                    </w:rPr>
                  </w:pP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S</w:t>
                  </w:r>
                </w:p>
              </w:tc>
              <w:tc>
                <w:tcPr>
                  <w:tcW w:w="724" w:type="pct"/>
                  <w:tcBorders>
                    <w:top w:val="single" w:color="000000" w:sz="12" w:space="0"/>
                    <w:tl2br w:val="nil"/>
                    <w:tr2bl w:val="nil"/>
                  </w:tcBorders>
                  <w:vAlign w:val="center"/>
                </w:tcPr>
                <w:p>
                  <w:pPr>
                    <w:pStyle w:val="29"/>
                    <w:widowControl w:val="0"/>
                    <w:bidi w:val="0"/>
                    <w:jc w:val="center"/>
                    <w:rPr>
                      <w:rFonts w:hint="eastAsia"/>
                      <w:color w:val="auto"/>
                      <w:lang w:val="en-US" w:eastAsia="zh-CN"/>
                    </w:rPr>
                  </w:pPr>
                  <w:r>
                    <w:rPr>
                      <w:rFonts w:hint="eastAsia"/>
                      <w:color w:val="auto"/>
                      <w:lang w:val="en-US" w:eastAsia="zh-CN"/>
                    </w:rPr>
                    <w:t>0.3358</w:t>
                  </w:r>
                </w:p>
              </w:tc>
              <w:tc>
                <w:tcPr>
                  <w:tcW w:w="767" w:type="pct"/>
                  <w:tcBorders>
                    <w:top w:val="single" w:color="000000"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0.0332</w:t>
                  </w:r>
                </w:p>
              </w:tc>
              <w:tc>
                <w:tcPr>
                  <w:tcW w:w="1214" w:type="pct"/>
                  <w:tcBorders>
                    <w:top w:val="single" w:color="000000"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0.0114</w:t>
                  </w:r>
                </w:p>
              </w:tc>
              <w:tc>
                <w:tcPr>
                  <w:tcW w:w="1152" w:type="pct"/>
                  <w:tcBorders>
                    <w:top w:val="single" w:color="000000" w:sz="12" w:space="0"/>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0.569</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572" w:type="pct"/>
                  <w:tcBorders>
                    <w:tl2br w:val="nil"/>
                    <w:tr2bl w:val="nil"/>
                  </w:tcBorders>
                  <w:vAlign w:val="center"/>
                </w:tcPr>
                <w:p>
                  <w:pPr>
                    <w:pStyle w:val="29"/>
                    <w:widowControl w:val="0"/>
                    <w:bidi w:val="0"/>
                    <w:jc w:val="center"/>
                    <w:rPr>
                      <w:rFonts w:hint="eastAsia"/>
                      <w:color w:val="auto"/>
                      <w:lang w:val="en-US" w:eastAsia="zh-CN"/>
                    </w:rPr>
                  </w:pPr>
                  <w:r>
                    <w:rPr>
                      <w:rFonts w:hint="default"/>
                      <w:color w:val="auto"/>
                      <w:lang w:val="en-US" w:eastAsia="zh-CN"/>
                    </w:rPr>
                    <w:t>NH</w:t>
                  </w:r>
                  <w:r>
                    <w:rPr>
                      <w:rFonts w:hint="default"/>
                      <w:color w:val="auto"/>
                      <w:vertAlign w:val="subscript"/>
                      <w:lang w:val="en-US" w:eastAsia="zh-CN"/>
                    </w:rPr>
                    <w:t>3</w:t>
                  </w:r>
                </w:p>
              </w:tc>
              <w:tc>
                <w:tcPr>
                  <w:tcW w:w="724" w:type="pct"/>
                  <w:tcBorders>
                    <w:tl2br w:val="nil"/>
                    <w:tr2bl w:val="nil"/>
                  </w:tcBorders>
                  <w:vAlign w:val="center"/>
                </w:tcPr>
                <w:p>
                  <w:pPr>
                    <w:pStyle w:val="29"/>
                    <w:widowControl w:val="0"/>
                    <w:bidi w:val="0"/>
                    <w:jc w:val="center"/>
                    <w:rPr>
                      <w:rFonts w:hint="eastAsia"/>
                      <w:color w:val="auto"/>
                      <w:lang w:val="en-US" w:eastAsia="zh-CN"/>
                    </w:rPr>
                  </w:pPr>
                  <w:r>
                    <w:rPr>
                      <w:rFonts w:hint="eastAsia"/>
                      <w:color w:val="auto"/>
                      <w:lang w:val="en-US" w:eastAsia="zh-CN"/>
                    </w:rPr>
                    <w:t>2.482</w:t>
                  </w:r>
                </w:p>
              </w:tc>
              <w:tc>
                <w:tcPr>
                  <w:tcW w:w="767"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0.2457</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0.08415</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4.2075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57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颗粒物</w:t>
                  </w:r>
                </w:p>
              </w:tc>
              <w:tc>
                <w:tcPr>
                  <w:tcW w:w="724" w:type="pct"/>
                  <w:tcBorders>
                    <w:tl2br w:val="nil"/>
                    <w:tr2bl w:val="nil"/>
                  </w:tcBorders>
                  <w:vAlign w:val="center"/>
                </w:tcPr>
                <w:p>
                  <w:pPr>
                    <w:pStyle w:val="29"/>
                    <w:widowControl w:val="0"/>
                    <w:bidi w:val="0"/>
                    <w:jc w:val="center"/>
                    <w:rPr>
                      <w:rFonts w:hint="eastAsia"/>
                      <w:color w:val="auto"/>
                      <w:lang w:val="en-US" w:eastAsia="zh-CN"/>
                    </w:rPr>
                  </w:pPr>
                  <w:r>
                    <w:rPr>
                      <w:rFonts w:hint="default"/>
                      <w:color w:val="auto"/>
                      <w:lang w:val="en-US" w:eastAsia="zh-CN"/>
                    </w:rPr>
                    <w:t>1.46</w:t>
                  </w:r>
                </w:p>
              </w:tc>
              <w:tc>
                <w:tcPr>
                  <w:tcW w:w="767"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0.1445</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0.0495</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2.475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restar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污水收集池</w:t>
                  </w:r>
                </w:p>
              </w:tc>
              <w:tc>
                <w:tcPr>
                  <w:tcW w:w="572"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S</w:t>
                  </w:r>
                </w:p>
              </w:tc>
              <w:tc>
                <w:tcPr>
                  <w:tcW w:w="724" w:type="pct"/>
                  <w:tcBorders>
                    <w:tl2br w:val="nil"/>
                    <w:tr2bl w:val="nil"/>
                  </w:tcBorders>
                  <w:vAlign w:val="center"/>
                </w:tcPr>
                <w:p>
                  <w:pPr>
                    <w:pStyle w:val="29"/>
                    <w:widowControl w:val="0"/>
                    <w:bidi w:val="0"/>
                    <w:jc w:val="center"/>
                    <w:rPr>
                      <w:rFonts w:hint="eastAsia"/>
                      <w:color w:val="auto"/>
                      <w:lang w:val="en-US" w:eastAsia="zh-CN"/>
                    </w:rPr>
                  </w:pPr>
                  <w:r>
                    <w:rPr>
                      <w:rFonts w:hint="default"/>
                      <w:color w:val="auto"/>
                      <w:lang w:val="en-US" w:eastAsia="zh-CN"/>
                    </w:rPr>
                    <w:t>0.00</w:t>
                  </w:r>
                  <w:r>
                    <w:rPr>
                      <w:rFonts w:hint="eastAsia"/>
                      <w:color w:val="auto"/>
                      <w:lang w:val="en-US" w:eastAsia="zh-CN"/>
                    </w:rPr>
                    <w:t>2</w:t>
                  </w:r>
                </w:p>
              </w:tc>
              <w:tc>
                <w:tcPr>
                  <w:tcW w:w="767"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0.00004</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0.00000456</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0.000228</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continue"/>
                  <w:tcBorders>
                    <w:tl2br w:val="nil"/>
                    <w:tr2bl w:val="nil"/>
                  </w:tcBorders>
                  <w:vAlign w:val="center"/>
                </w:tcPr>
                <w:p>
                  <w:pPr>
                    <w:pStyle w:val="29"/>
                    <w:widowControl w:val="0"/>
                    <w:bidi w:val="0"/>
                    <w:jc w:val="center"/>
                    <w:rPr>
                      <w:rFonts w:hint="default"/>
                      <w:color w:val="auto"/>
                      <w:lang w:val="en-US" w:eastAsia="zh-CN"/>
                    </w:rPr>
                  </w:pPr>
                </w:p>
              </w:tc>
              <w:tc>
                <w:tcPr>
                  <w:tcW w:w="572"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NH</w:t>
                  </w:r>
                  <w:r>
                    <w:rPr>
                      <w:rFonts w:hint="default"/>
                      <w:color w:val="auto"/>
                      <w:vertAlign w:val="subscript"/>
                      <w:lang w:val="en-US" w:eastAsia="zh-CN"/>
                    </w:rPr>
                    <w:t>3</w:t>
                  </w:r>
                </w:p>
              </w:tc>
              <w:tc>
                <w:tcPr>
                  <w:tcW w:w="724" w:type="pct"/>
                  <w:tcBorders>
                    <w:tl2br w:val="nil"/>
                    <w:tr2bl w:val="nil"/>
                  </w:tcBorders>
                  <w:vAlign w:val="center"/>
                </w:tcPr>
                <w:p>
                  <w:pPr>
                    <w:pStyle w:val="29"/>
                    <w:widowControl w:val="0"/>
                    <w:bidi w:val="0"/>
                    <w:jc w:val="center"/>
                    <w:rPr>
                      <w:rFonts w:hint="eastAsia"/>
                      <w:color w:val="auto"/>
                      <w:lang w:val="en-US" w:eastAsia="zh-CN"/>
                    </w:rPr>
                  </w:pPr>
                  <w:r>
                    <w:rPr>
                      <w:rFonts w:hint="eastAsia"/>
                      <w:color w:val="auto"/>
                      <w:lang w:val="en-US" w:eastAsia="zh-CN"/>
                    </w:rPr>
                    <w:t>0.057</w:t>
                  </w:r>
                </w:p>
              </w:tc>
              <w:tc>
                <w:tcPr>
                  <w:tcW w:w="767"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0.00114</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0.00013</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0.0065</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restar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厂界</w:t>
                  </w:r>
                </w:p>
              </w:tc>
              <w:tc>
                <w:tcPr>
                  <w:tcW w:w="572"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S</w:t>
                  </w:r>
                </w:p>
              </w:tc>
              <w:tc>
                <w:tcPr>
                  <w:tcW w:w="72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0.003378</w:t>
                  </w:r>
                </w:p>
              </w:tc>
              <w:tc>
                <w:tcPr>
                  <w:tcW w:w="767" w:type="pct"/>
                  <w:tcBorders>
                    <w:tl2br w:val="nil"/>
                    <w:tr2bl w:val="nil"/>
                  </w:tcBorders>
                  <w:vAlign w:val="center"/>
                </w:tcPr>
                <w:p>
                  <w:pPr>
                    <w:pStyle w:val="29"/>
                    <w:widowControl w:val="0"/>
                    <w:bidi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0.003378</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0.001</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continue"/>
                  <w:tcBorders>
                    <w:tl2br w:val="nil"/>
                    <w:tr2bl w:val="nil"/>
                  </w:tcBorders>
                  <w:vAlign w:val="center"/>
                </w:tcPr>
                <w:p>
                  <w:pPr>
                    <w:pStyle w:val="29"/>
                    <w:widowControl w:val="0"/>
                    <w:bidi w:val="0"/>
                    <w:jc w:val="center"/>
                    <w:rPr>
                      <w:rFonts w:hint="eastAsia"/>
                      <w:color w:val="auto"/>
                      <w:lang w:val="en-US" w:eastAsia="zh-CN"/>
                    </w:rPr>
                  </w:pPr>
                </w:p>
              </w:tc>
              <w:tc>
                <w:tcPr>
                  <w:tcW w:w="572"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default"/>
                      <w:color w:val="auto"/>
                      <w:lang w:val="en-US" w:eastAsia="zh-CN"/>
                    </w:rPr>
                    <w:t>NH</w:t>
                  </w:r>
                  <w:r>
                    <w:rPr>
                      <w:rFonts w:hint="default"/>
                      <w:color w:val="auto"/>
                      <w:vertAlign w:val="subscript"/>
                      <w:lang w:val="en-US" w:eastAsia="zh-CN"/>
                    </w:rPr>
                    <w:t>3</w:t>
                  </w:r>
                </w:p>
              </w:tc>
              <w:tc>
                <w:tcPr>
                  <w:tcW w:w="72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0.02539</w:t>
                  </w:r>
                </w:p>
              </w:tc>
              <w:tc>
                <w:tcPr>
                  <w:tcW w:w="767" w:type="pct"/>
                  <w:tcBorders>
                    <w:tl2br w:val="nil"/>
                    <w:tr2bl w:val="nil"/>
                  </w:tcBorders>
                  <w:vAlign w:val="center"/>
                </w:tcPr>
                <w:p>
                  <w:pPr>
                    <w:pStyle w:val="29"/>
                    <w:widowControl w:val="0"/>
                    <w:bidi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0.02539</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0.009</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w:t>
                  </w:r>
                </w:p>
              </w:tc>
            </w:tr>
            <w:tr>
              <w:tblPrEx>
                <w:tblBorders>
                  <w:top w:val="single" w:color="auto"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68" w:type="pct"/>
                  <w:vMerge w:val="continue"/>
                  <w:tcBorders>
                    <w:tl2br w:val="nil"/>
                    <w:tr2bl w:val="nil"/>
                  </w:tcBorders>
                  <w:vAlign w:val="center"/>
                </w:tcPr>
                <w:p>
                  <w:pPr>
                    <w:pStyle w:val="29"/>
                    <w:widowControl w:val="0"/>
                    <w:bidi w:val="0"/>
                    <w:jc w:val="center"/>
                    <w:rPr>
                      <w:rFonts w:hint="eastAsia"/>
                      <w:color w:val="auto"/>
                      <w:lang w:val="en-US" w:eastAsia="zh-CN"/>
                    </w:rPr>
                  </w:pPr>
                </w:p>
              </w:tc>
              <w:tc>
                <w:tcPr>
                  <w:tcW w:w="572" w:type="pct"/>
                  <w:tcBorders>
                    <w:tl2br w:val="nil"/>
                    <w:tr2bl w:val="nil"/>
                  </w:tcBorders>
                  <w:vAlign w:val="center"/>
                </w:tcPr>
                <w:p>
                  <w:pPr>
                    <w:pStyle w:val="29"/>
                    <w:widowControl w:val="0"/>
                    <w:bidi w:val="0"/>
                    <w:jc w:val="center"/>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颗粒物</w:t>
                  </w:r>
                </w:p>
              </w:tc>
              <w:tc>
                <w:tcPr>
                  <w:tcW w:w="72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0.0146</w:t>
                  </w:r>
                </w:p>
              </w:tc>
              <w:tc>
                <w:tcPr>
                  <w:tcW w:w="767" w:type="pct"/>
                  <w:tcBorders>
                    <w:tl2br w:val="nil"/>
                    <w:tr2bl w:val="nil"/>
                  </w:tcBorders>
                  <w:vAlign w:val="center"/>
                </w:tcPr>
                <w:p>
                  <w:pPr>
                    <w:pStyle w:val="29"/>
                    <w:widowControl w:val="0"/>
                    <w:bidi w:val="0"/>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0.0146</w:t>
                  </w:r>
                </w:p>
              </w:tc>
              <w:tc>
                <w:tcPr>
                  <w:tcW w:w="1214"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0.005</w:t>
                  </w:r>
                </w:p>
              </w:tc>
              <w:tc>
                <w:tcPr>
                  <w:tcW w:w="1152" w:type="pct"/>
                  <w:tcBorders>
                    <w:tl2br w:val="nil"/>
                    <w:tr2bl w:val="nil"/>
                  </w:tcBorders>
                  <w:vAlign w:val="center"/>
                </w:tcPr>
                <w:p>
                  <w:pPr>
                    <w:pStyle w:val="29"/>
                    <w:widowControl w:val="0"/>
                    <w:bidi w:val="0"/>
                    <w:jc w:val="center"/>
                    <w:rPr>
                      <w:rFonts w:hint="default"/>
                      <w:color w:val="auto"/>
                      <w:lang w:val="en-US" w:eastAsia="zh-CN"/>
                    </w:rPr>
                  </w:pPr>
                  <w:r>
                    <w:rPr>
                      <w:rFonts w:hint="eastAsia"/>
                      <w:color w:val="auto"/>
                      <w:lang w:val="en-US" w:eastAsia="zh-CN"/>
                    </w:rPr>
                    <w:t>/</w:t>
                  </w:r>
                </w:p>
              </w:tc>
            </w:tr>
          </w:tbl>
          <w:p>
            <w:pPr>
              <w:pStyle w:val="18"/>
              <w:numPr>
                <w:ilvl w:val="0"/>
                <w:numId w:val="21"/>
              </w:numPr>
              <w:bidi w:val="0"/>
              <w:ind w:left="0" w:leftChars="0" w:firstLine="480" w:firstLineChars="200"/>
              <w:rPr>
                <w:rFonts w:hint="eastAsia"/>
                <w:color w:val="auto"/>
                <w:lang w:val="en-US" w:eastAsia="zh-CN"/>
              </w:rPr>
            </w:pPr>
            <w:r>
              <w:rPr>
                <w:rFonts w:hint="eastAsia"/>
                <w:color w:val="auto"/>
                <w:lang w:val="en-US" w:eastAsia="zh-CN"/>
              </w:rPr>
              <w:t>食堂油烟</w:t>
            </w:r>
          </w:p>
          <w:p>
            <w:pPr>
              <w:pStyle w:val="18"/>
              <w:bidi w:val="0"/>
              <w:rPr>
                <w:rFonts w:hint="eastAsia"/>
                <w:color w:val="auto"/>
                <w:lang w:val="en-US" w:eastAsia="zh-CN"/>
              </w:rPr>
            </w:pPr>
            <w:r>
              <w:rPr>
                <w:rFonts w:hint="eastAsia"/>
                <w:color w:val="auto"/>
                <w:lang w:eastAsia="zh-CN"/>
              </w:rPr>
              <w:t>项目</w:t>
            </w:r>
            <w:r>
              <w:rPr>
                <w:rFonts w:hint="eastAsia"/>
                <w:color w:val="auto"/>
                <w:lang w:val="en-US" w:eastAsia="zh-CN"/>
              </w:rPr>
              <w:t>区设置员工食堂，用餐人数10人，食堂食用油耗系数按4kg/100人·d，则本项目食堂耗油量共计0.4kg/d，烹饪过程中的挥发损失约为2%，即油烟产生量为0.008kg/d（2.92kg/a）。</w:t>
            </w:r>
          </w:p>
          <w:p>
            <w:pPr>
              <w:pStyle w:val="18"/>
              <w:bidi w:val="0"/>
              <w:jc w:val="both"/>
              <w:rPr>
                <w:rFonts w:hint="default"/>
                <w:color w:val="auto"/>
                <w:lang w:val="en-US" w:eastAsia="zh-CN"/>
              </w:rPr>
            </w:pPr>
            <w:r>
              <w:rPr>
                <w:rFonts w:hint="eastAsia"/>
                <w:color w:val="auto"/>
                <w:lang w:val="en-US" w:eastAsia="zh-CN"/>
              </w:rPr>
              <w:t>项目食堂规模较小，风量按2000m</w:t>
            </w:r>
            <w:r>
              <w:rPr>
                <w:rFonts w:hint="eastAsia"/>
                <w:color w:val="auto"/>
                <w:vertAlign w:val="superscript"/>
                <w:lang w:val="en-US" w:eastAsia="zh-CN"/>
              </w:rPr>
              <w:t>3</w:t>
            </w:r>
            <w:r>
              <w:rPr>
                <w:rFonts w:hint="eastAsia"/>
                <w:color w:val="auto"/>
                <w:lang w:val="en-US" w:eastAsia="zh-CN"/>
              </w:rPr>
              <w:t>/h计，食堂每天使用时间按4h计，则风量为8000m</w:t>
            </w:r>
            <w:r>
              <w:rPr>
                <w:rFonts w:hint="eastAsia"/>
                <w:color w:val="auto"/>
                <w:vertAlign w:val="superscript"/>
                <w:lang w:val="en-US" w:eastAsia="zh-CN"/>
              </w:rPr>
              <w:t>3</w:t>
            </w:r>
            <w:r>
              <w:rPr>
                <w:rFonts w:hint="eastAsia"/>
                <w:color w:val="auto"/>
                <w:lang w:val="en-US" w:eastAsia="zh-CN"/>
              </w:rPr>
              <w:t>/d，则食堂油烟产生浓度为0.25mg/m</w:t>
            </w:r>
            <w:r>
              <w:rPr>
                <w:rFonts w:hint="eastAsia"/>
                <w:color w:val="auto"/>
                <w:vertAlign w:val="superscript"/>
                <w:lang w:val="en-US" w:eastAsia="zh-CN"/>
              </w:rPr>
              <w:t>3</w:t>
            </w:r>
            <w:r>
              <w:rPr>
                <w:rFonts w:hint="eastAsia"/>
                <w:color w:val="auto"/>
                <w:lang w:val="en-US" w:eastAsia="zh-CN"/>
              </w:rPr>
              <w:t>，食堂拟安装油烟净化器，经油烟净化装置处理，处理效率75%，排放量为0.73kg/a，排放浓度0.0625mg/m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则油烟排放浓度满足《饮食业油烟排放标准》（试行）（GB18483-2001）油烟最高允许排放浓度2.0mg/m</w:t>
            </w:r>
            <w:r>
              <w:rPr>
                <w:rFonts w:hint="eastAsia"/>
                <w:color w:val="auto"/>
                <w:vertAlign w:val="superscript"/>
                <w:lang w:val="en-US" w:eastAsia="zh-CN"/>
              </w:rPr>
              <w:t>3</w:t>
            </w:r>
            <w:r>
              <w:rPr>
                <w:rFonts w:hint="eastAsia"/>
                <w:color w:val="auto"/>
                <w:lang w:val="en-US" w:eastAsia="zh-CN"/>
              </w:rPr>
              <w:t>限制要求，油烟经处理后由屋顶排放。</w:t>
            </w:r>
          </w:p>
          <w:p>
            <w:pPr>
              <w:pStyle w:val="6"/>
              <w:numPr>
                <w:ilvl w:val="1"/>
                <w:numId w:val="20"/>
              </w:numPr>
              <w:bidi w:val="0"/>
              <w:rPr>
                <w:rFonts w:hint="eastAsia"/>
                <w:color w:val="auto"/>
                <w:lang w:val="en-US" w:eastAsia="zh-CN"/>
              </w:rPr>
            </w:pPr>
            <w:r>
              <w:rPr>
                <w:rFonts w:hint="eastAsia"/>
                <w:color w:val="auto"/>
                <w:lang w:val="en-US" w:eastAsia="zh-CN"/>
              </w:rPr>
              <w:t>废气治理设施的可行性分析</w:t>
            </w:r>
          </w:p>
          <w:p>
            <w:pPr>
              <w:pStyle w:val="18"/>
              <w:numPr>
                <w:ilvl w:val="0"/>
                <w:numId w:val="22"/>
              </w:numPr>
              <w:bidi w:val="0"/>
              <w:ind w:left="118" w:leftChars="0" w:firstLineChars="0"/>
              <w:rPr>
                <w:rFonts w:hint="eastAsia"/>
                <w:color w:val="auto"/>
                <w:lang w:val="en-US" w:eastAsia="zh-CN"/>
              </w:rPr>
            </w:pPr>
            <w:r>
              <w:rPr>
                <w:rFonts w:hint="eastAsia"/>
                <w:color w:val="auto"/>
                <w:lang w:val="en-US" w:eastAsia="zh-CN"/>
              </w:rPr>
              <w:t xml:space="preserve"> 有组织废气处理工艺的可行性分析</w:t>
            </w:r>
          </w:p>
          <w:p>
            <w:pPr>
              <w:pStyle w:val="18"/>
              <w:bidi w:val="0"/>
              <w:jc w:val="both"/>
              <w:rPr>
                <w:rStyle w:val="48"/>
                <w:rFonts w:hint="eastAsia"/>
                <w:color w:val="auto"/>
                <w:lang w:eastAsia="zh-CN"/>
              </w:rPr>
            </w:pPr>
            <w:r>
              <w:rPr>
                <w:rFonts w:hint="eastAsia"/>
                <w:color w:val="auto"/>
                <w:lang w:val="en-US" w:eastAsia="zh-CN"/>
              </w:rPr>
              <w:t>本项目废气主要为垃圾的卸料、压缩过程产生的废气、污水收集池产生的废气及食堂油烟，根据照《排污许可证申请与核发技术规范 环境卫生管理业》(HJ1106-2020）</w:t>
            </w:r>
            <w:r>
              <w:rPr>
                <w:color w:val="auto"/>
              </w:rPr>
              <w:t>相关规定</w:t>
            </w:r>
            <w:r>
              <w:rPr>
                <w:rFonts w:hint="eastAsia"/>
                <w:color w:val="auto"/>
                <w:lang w:eastAsia="zh-CN"/>
              </w:rPr>
              <w:t>，</w:t>
            </w:r>
            <w:r>
              <w:rPr>
                <w:rFonts w:hint="eastAsia"/>
                <w:color w:val="auto"/>
                <w:lang w:val="en-US" w:eastAsia="zh-CN"/>
              </w:rPr>
              <w:t>产生的卸料及压缩废气采用密闭负压收集（收集效率99%）+前端植物液雾化除臭后经 15 米排气筒排放。处理效率为90%。有组织废气经处理后，满足《大气污染物综合排放标准》（GB16297-1996）表2中颗粒物排放限值（120mg/m</w:t>
            </w:r>
            <w:r>
              <w:rPr>
                <w:rFonts w:hint="eastAsia"/>
                <w:color w:val="auto"/>
                <w:vertAlign w:val="superscript"/>
                <w:lang w:val="en-US" w:eastAsia="zh-CN"/>
              </w:rPr>
              <w:t>3</w:t>
            </w:r>
            <w:r>
              <w:rPr>
                <w:rFonts w:hint="eastAsia"/>
                <w:color w:val="auto"/>
                <w:lang w:val="en-US" w:eastAsia="zh-CN"/>
              </w:rPr>
              <w:t>），氨、硫化氢恶臭气体执行《恶臭污染物排放标准》（GB14554-93）中二级</w:t>
            </w:r>
            <w:r>
              <w:rPr>
                <w:rStyle w:val="48"/>
                <w:rFonts w:hint="eastAsia"/>
                <w:color w:val="auto"/>
                <w:lang w:val="en-US" w:eastAsia="zh-CN"/>
              </w:rPr>
              <w:t>标准氨（</w:t>
            </w:r>
            <w:r>
              <w:rPr>
                <w:rStyle w:val="48"/>
                <w:rFonts w:hint="default"/>
                <w:color w:val="auto"/>
                <w:lang w:val="en-US" w:eastAsia="zh-CN"/>
              </w:rPr>
              <w:t>1.5mg/m</w:t>
            </w:r>
            <w:r>
              <w:rPr>
                <w:rStyle w:val="48"/>
                <w:rFonts w:hint="default"/>
                <w:color w:val="auto"/>
                <w:vertAlign w:val="superscript"/>
                <w:lang w:val="en-US" w:eastAsia="zh-CN"/>
              </w:rPr>
              <w:t>3</w:t>
            </w:r>
            <w:r>
              <w:rPr>
                <w:rStyle w:val="48"/>
                <w:rFonts w:hint="eastAsia"/>
                <w:color w:val="auto"/>
                <w:lang w:val="en-US" w:eastAsia="zh-CN"/>
              </w:rPr>
              <w:t>）、硫化氢（</w:t>
            </w:r>
            <w:r>
              <w:rPr>
                <w:rStyle w:val="48"/>
                <w:rFonts w:hint="default"/>
                <w:color w:val="auto"/>
                <w:lang w:val="en-US" w:eastAsia="zh-CN"/>
              </w:rPr>
              <w:t>0.06mg/m</w:t>
            </w:r>
            <w:r>
              <w:rPr>
                <w:rStyle w:val="48"/>
                <w:rFonts w:hint="default"/>
                <w:color w:val="auto"/>
                <w:vertAlign w:val="superscript"/>
                <w:lang w:val="en-US" w:eastAsia="zh-CN"/>
              </w:rPr>
              <w:t>3</w:t>
            </w:r>
            <w:r>
              <w:rPr>
                <w:rStyle w:val="48"/>
                <w:rFonts w:hint="eastAsia"/>
                <w:color w:val="auto"/>
                <w:lang w:val="en-US" w:eastAsia="zh-CN"/>
              </w:rPr>
              <w:t>）</w:t>
            </w:r>
            <w:r>
              <w:rPr>
                <w:rStyle w:val="48"/>
                <w:rFonts w:hint="eastAsia"/>
                <w:color w:val="auto"/>
                <w:lang w:eastAsia="zh-CN"/>
              </w:rPr>
              <w:t>。</w:t>
            </w:r>
          </w:p>
          <w:p>
            <w:pPr>
              <w:pStyle w:val="6"/>
              <w:bidi w:val="0"/>
              <w:rPr>
                <w:rFonts w:hint="eastAsia"/>
                <w:color w:val="auto"/>
                <w:lang w:eastAsia="zh-CN"/>
              </w:rPr>
            </w:pPr>
            <w:r>
              <w:rPr>
                <w:rFonts w:hint="eastAsia"/>
                <w:color w:val="auto"/>
                <w:lang w:val="en-US" w:eastAsia="zh-CN"/>
              </w:rPr>
              <w:t>颗粒物、除臭净化原理：</w:t>
            </w:r>
          </w:p>
          <w:p>
            <w:pPr>
              <w:pStyle w:val="18"/>
              <w:bidi w:val="0"/>
              <w:rPr>
                <w:rFonts w:hint="eastAsia"/>
                <w:color w:val="auto"/>
                <w:lang w:val="en-US" w:eastAsia="zh-CN"/>
              </w:rPr>
            </w:pPr>
            <w:r>
              <w:rPr>
                <w:rFonts w:hint="eastAsia"/>
                <w:color w:val="auto"/>
                <w:lang w:val="en-US" w:eastAsia="zh-CN"/>
              </w:rPr>
              <w:t>① 负压抽风除尘除臭系统</w:t>
            </w:r>
          </w:p>
          <w:p>
            <w:pPr>
              <w:pStyle w:val="18"/>
              <w:bidi w:val="0"/>
              <w:rPr>
                <w:rFonts w:hint="eastAsia"/>
                <w:color w:val="auto"/>
                <w:lang w:val="zh-CN" w:eastAsia="zh-CN"/>
              </w:rPr>
            </w:pPr>
            <w:r>
              <w:rPr>
                <w:rFonts w:hint="eastAsia"/>
                <w:color w:val="auto"/>
                <w:lang w:val="zh-CN" w:eastAsia="zh-CN"/>
              </w:rPr>
              <w:t xml:space="preserve">项目配备 </w:t>
            </w:r>
            <w:r>
              <w:rPr>
                <w:rFonts w:hint="eastAsia"/>
                <w:color w:val="auto"/>
                <w:lang w:val="en-US" w:eastAsia="zh-CN"/>
              </w:rPr>
              <w:t>2</w:t>
            </w:r>
            <w:r>
              <w:rPr>
                <w:rFonts w:hint="eastAsia"/>
                <w:color w:val="auto"/>
                <w:lang w:val="zh-CN" w:eastAsia="zh-CN"/>
              </w:rPr>
              <w:t xml:space="preserve"> 套负压收集系统（</w:t>
            </w:r>
            <w:r>
              <w:rPr>
                <w:rFonts w:hint="eastAsia"/>
                <w:color w:val="auto"/>
                <w:lang w:val="en-US" w:eastAsia="zh-CN"/>
              </w:rPr>
              <w:t>2</w:t>
            </w:r>
            <w:r>
              <w:rPr>
                <w:rFonts w:hint="eastAsia"/>
                <w:color w:val="auto"/>
                <w:lang w:val="zh-CN" w:eastAsia="zh-CN"/>
              </w:rPr>
              <w:t>F 压缩机上方 1 套，</w:t>
            </w:r>
            <w:r>
              <w:rPr>
                <w:rFonts w:hint="eastAsia"/>
                <w:color w:val="auto"/>
                <w:lang w:val="en-US" w:eastAsia="zh-CN"/>
              </w:rPr>
              <w:t>1F污水收集池上方，</w:t>
            </w:r>
            <w:r>
              <w:rPr>
                <w:rFonts w:hint="eastAsia"/>
                <w:color w:val="auto"/>
                <w:lang w:val="zh-CN" w:eastAsia="zh-CN"/>
              </w:rPr>
              <w:t>收集卸料及压缩产生的废气），收集后废气通过 1 套除臭除尘系统处理后，经 15m 高排气筒达标外排。</w:t>
            </w:r>
          </w:p>
          <w:p>
            <w:pPr>
              <w:pStyle w:val="18"/>
              <w:bidi w:val="0"/>
              <w:rPr>
                <w:rFonts w:hint="eastAsia"/>
                <w:color w:val="auto"/>
                <w:lang w:eastAsia="zh-CN"/>
              </w:rPr>
            </w:pPr>
            <w:r>
              <w:rPr>
                <w:rFonts w:hint="eastAsia"/>
                <w:color w:val="auto"/>
                <w:lang w:val="zh-CN"/>
              </w:rPr>
              <w:t>废气通过风机抽吸进入收集管道进行收集，经收集的废气进入</w:t>
            </w:r>
            <w:r>
              <w:rPr>
                <w:rFonts w:hint="eastAsia"/>
                <w:color w:val="auto"/>
                <w:lang w:val="en-US" w:eastAsia="zh-CN"/>
              </w:rPr>
              <w:t>沉降室</w:t>
            </w:r>
            <w:r>
              <w:rPr>
                <w:rFonts w:hint="eastAsia"/>
                <w:color w:val="auto"/>
                <w:lang w:val="zh-CN"/>
              </w:rPr>
              <w:t>，废气</w:t>
            </w:r>
            <w:r>
              <w:rPr>
                <w:rFonts w:hint="eastAsia"/>
                <w:color w:val="auto"/>
                <w:lang w:val="en-US" w:eastAsia="zh-CN"/>
              </w:rPr>
              <w:t>通过沉降室</w:t>
            </w:r>
            <w:r>
              <w:rPr>
                <w:rFonts w:hint="eastAsia"/>
                <w:color w:val="auto"/>
                <w:lang w:val="zh-CN"/>
              </w:rPr>
              <w:t>作用将粉尘去除。接着通过</w:t>
            </w:r>
            <w:r>
              <w:rPr>
                <w:rFonts w:hint="eastAsia"/>
                <w:color w:val="auto"/>
                <w:lang w:val="en-US" w:eastAsia="zh-CN"/>
              </w:rPr>
              <w:t>植物液</w:t>
            </w:r>
            <w:r>
              <w:rPr>
                <w:rFonts w:hint="eastAsia"/>
                <w:color w:val="auto"/>
                <w:lang w:val="zh-CN"/>
              </w:rPr>
              <w:t>洗涤塔，在洗涤过程中通过洗涤剂的作用，能够去除一定的废气成分，主要是依靠吸收反应的作用，它几乎毫无选择的对废气中大量有机污染组分进行吸收；且整个吸收过程极快，只需要3～</w:t>
            </w:r>
            <w:r>
              <w:rPr>
                <w:rFonts w:hint="eastAsia"/>
                <w:color w:val="auto"/>
                <w:lang w:val="en-US" w:eastAsia="zh-CN"/>
              </w:rPr>
              <w:t>4</w:t>
            </w:r>
            <w:r>
              <w:rPr>
                <w:rFonts w:hint="eastAsia"/>
                <w:color w:val="auto"/>
                <w:lang w:val="zh-CN"/>
              </w:rPr>
              <w:t>秒的停留时间即可以吸附掉所有的有机污染组分</w:t>
            </w:r>
            <w:r>
              <w:rPr>
                <w:rFonts w:hint="eastAsia"/>
                <w:color w:val="auto"/>
                <w:lang w:val="en-US" w:eastAsia="zh-CN"/>
              </w:rPr>
              <w:t>有效的</w:t>
            </w:r>
            <w:r>
              <w:rPr>
                <w:rFonts w:hint="eastAsia"/>
                <w:color w:val="auto"/>
              </w:rPr>
              <w:t>去除恶臭气体中的硫化氢、氨等化合物</w:t>
            </w:r>
            <w:r>
              <w:rPr>
                <w:rFonts w:hint="eastAsia"/>
                <w:color w:val="auto"/>
                <w:lang w:eastAsia="zh-CN"/>
              </w:rPr>
              <w:t>。</w:t>
            </w:r>
            <w:r>
              <w:rPr>
                <w:rFonts w:hint="eastAsia"/>
                <w:color w:val="auto"/>
                <w:lang w:val="en-US" w:eastAsia="zh-CN"/>
              </w:rPr>
              <w:t>系统工艺流程如下：</w:t>
            </w:r>
          </w:p>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color w:val="auto"/>
                <w:lang w:eastAsia="zh-CN"/>
              </w:rPr>
            </w:pPr>
            <w:r>
              <w:rPr>
                <w:rFonts w:hint="eastAsia"/>
                <w:color w:val="auto"/>
                <w:lang w:eastAsia="zh-CN"/>
              </w:rPr>
              <w:drawing>
                <wp:inline distT="0" distB="0" distL="114300" distR="114300">
                  <wp:extent cx="4987290" cy="1852295"/>
                  <wp:effectExtent l="0" t="0" r="3810" b="1905"/>
                  <wp:docPr id="10" name="图片 10" descr="ccadabf685a20d909d909d0158e4d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cadabf685a20d909d909d0158e4df0"/>
                          <pic:cNvPicPr>
                            <a:picLocks noChangeAspect="1"/>
                          </pic:cNvPicPr>
                        </pic:nvPicPr>
                        <pic:blipFill>
                          <a:blip r:embed="rId16"/>
                          <a:stretch>
                            <a:fillRect/>
                          </a:stretch>
                        </pic:blipFill>
                        <pic:spPr>
                          <a:xfrm>
                            <a:off x="0" y="0"/>
                            <a:ext cx="4987290" cy="1852295"/>
                          </a:xfrm>
                          <a:prstGeom prst="rect">
                            <a:avLst/>
                          </a:prstGeom>
                        </pic:spPr>
                      </pic:pic>
                    </a:graphicData>
                  </a:graphic>
                </wp:inline>
              </w:drawing>
            </w:r>
          </w:p>
          <w:p>
            <w:pPr>
              <w:keepNext w:val="0"/>
              <w:keepLines w:val="0"/>
              <w:widowControl/>
              <w:suppressLineNumbers w:val="0"/>
              <w:jc w:val="center"/>
              <w:rPr>
                <w:rFonts w:hint="eastAsia"/>
                <w:color w:val="auto"/>
                <w:sz w:val="24"/>
                <w:szCs w:val="24"/>
                <w:lang w:eastAsia="zh-CN"/>
              </w:rPr>
            </w:pPr>
            <w:r>
              <w:rPr>
                <w:rFonts w:hint="eastAsia" w:ascii="宋体" w:hAnsi="宋体" w:eastAsia="宋体" w:cs="宋体"/>
                <w:b/>
                <w:bCs/>
                <w:color w:val="auto"/>
                <w:kern w:val="0"/>
                <w:sz w:val="24"/>
                <w:szCs w:val="24"/>
                <w:lang w:val="en-US" w:eastAsia="zh-CN" w:bidi="ar"/>
              </w:rPr>
              <w:t xml:space="preserve">图 </w:t>
            </w:r>
            <w:r>
              <w:rPr>
                <w:rFonts w:hint="eastAsia" w:cs="Times New Roman"/>
                <w:b/>
                <w:bCs/>
                <w:color w:val="auto"/>
                <w:kern w:val="0"/>
                <w:sz w:val="24"/>
                <w:szCs w:val="24"/>
                <w:lang w:val="en-US" w:eastAsia="zh-CN" w:bidi="ar"/>
              </w:rPr>
              <w:t xml:space="preserve">5   </w:t>
            </w:r>
            <w:r>
              <w:rPr>
                <w:rFonts w:hint="default" w:ascii="Times New Roman" w:hAnsi="Times New Roman" w:eastAsia="宋体" w:cs="Times New Roman"/>
                <w:b/>
                <w:bCs/>
                <w:color w:val="auto"/>
                <w:kern w:val="0"/>
                <w:sz w:val="24"/>
                <w:szCs w:val="24"/>
                <w:lang w:val="en-US" w:eastAsia="zh-CN" w:bidi="ar"/>
              </w:rPr>
              <w:t xml:space="preserve"> </w:t>
            </w:r>
            <w:r>
              <w:rPr>
                <w:rFonts w:hint="eastAsia" w:ascii="宋体" w:hAnsi="宋体" w:eastAsia="宋体" w:cs="宋体"/>
                <w:b/>
                <w:bCs/>
                <w:color w:val="auto"/>
                <w:kern w:val="0"/>
                <w:sz w:val="24"/>
                <w:szCs w:val="24"/>
                <w:lang w:val="en-US" w:eastAsia="zh-CN" w:bidi="ar"/>
              </w:rPr>
              <w:t>项目系统除尘除臭系统示意图</w:t>
            </w:r>
          </w:p>
          <w:p>
            <w:pPr>
              <w:pStyle w:val="6"/>
              <w:bidi w:val="0"/>
              <w:rPr>
                <w:rFonts w:hint="eastAsia"/>
                <w:color w:val="auto"/>
                <w:lang w:val="en-US" w:eastAsia="zh-CN"/>
              </w:rPr>
            </w:pPr>
            <w:r>
              <w:rPr>
                <w:rFonts w:hint="eastAsia"/>
                <w:color w:val="auto"/>
                <w:lang w:val="en-US" w:eastAsia="zh-CN"/>
              </w:rPr>
              <w:t>末端臭气净化工艺</w:t>
            </w:r>
          </w:p>
          <w:p>
            <w:pPr>
              <w:pStyle w:val="18"/>
              <w:bidi w:val="0"/>
              <w:rPr>
                <w:rFonts w:hint="eastAsia"/>
                <w:color w:val="auto"/>
                <w:lang w:val="zh-CN" w:eastAsia="zh-CN"/>
              </w:rPr>
            </w:pPr>
            <w:r>
              <w:rPr>
                <w:rFonts w:hint="eastAsia"/>
                <w:color w:val="auto"/>
                <w:lang w:val="en-US" w:eastAsia="zh-CN"/>
              </w:rPr>
              <w:t xml:space="preserve">② </w:t>
            </w:r>
            <w:r>
              <w:rPr>
                <w:rFonts w:hint="eastAsia"/>
                <w:color w:val="auto"/>
              </w:rPr>
              <w:t>植</w:t>
            </w:r>
            <w:r>
              <w:rPr>
                <w:rFonts w:hint="eastAsia"/>
                <w:color w:val="auto"/>
                <w:lang w:val="zh-CN" w:eastAsia="zh-CN"/>
              </w:rPr>
              <w:t>物液洗涤净化工艺</w:t>
            </w:r>
          </w:p>
          <w:p>
            <w:pPr>
              <w:pStyle w:val="18"/>
              <w:bidi w:val="0"/>
              <w:rPr>
                <w:rFonts w:hint="eastAsia"/>
                <w:color w:val="auto"/>
                <w:lang w:val="en-US" w:eastAsia="zh-CN"/>
              </w:rPr>
            </w:pPr>
            <w:r>
              <w:rPr>
                <w:rFonts w:hint="eastAsia"/>
                <w:color w:val="auto"/>
                <w:lang w:val="zh-CN" w:eastAsia="zh-CN"/>
              </w:rPr>
              <w:t>针对臭气源配置专用植物液药剂，由植物液药剂参与臭气净化过程中的洗涤（传质吸收），臭气在植物液洗涤设备中经过溶解、有机酸碱中和反应、加成反应、取代反应、酯化反应等，使恶臭污染物被吸收或转化为无毒无害物质，从而达到控制及消除异味的目</w:t>
            </w:r>
            <w:r>
              <w:rPr>
                <w:rFonts w:hint="eastAsia" w:ascii="Times New Roman" w:hAnsi="Times New Roman" w:eastAsia="宋体" w:cstheme="minorBidi"/>
                <w:b w:val="0"/>
                <w:color w:val="auto"/>
                <w:kern w:val="2"/>
                <w:szCs w:val="24"/>
                <w:lang w:val="zh-CN" w:eastAsia="zh-CN" w:bidi="ar-SA"/>
              </w:rPr>
              <w:t>的</w:t>
            </w:r>
            <w:r>
              <w:rPr>
                <w:rFonts w:hint="eastAsia" w:ascii="Times New Roman" w:hAnsi="Times New Roman" w:eastAsia="宋体" w:cstheme="minorBidi"/>
                <w:b w:val="0"/>
                <w:color w:val="auto"/>
                <w:kern w:val="2"/>
                <w:szCs w:val="24"/>
                <w:lang w:val="en-US" w:eastAsia="zh-CN" w:bidi="ar-SA"/>
              </w:rPr>
              <w:t>：</w:t>
            </w:r>
          </w:p>
          <w:p>
            <w:pPr>
              <w:pStyle w:val="18"/>
              <w:bidi w:val="0"/>
              <w:rPr>
                <w:rFonts w:hint="eastAsia"/>
                <w:color w:val="auto"/>
                <w:lang w:val="en-US" w:eastAsia="zh-CN"/>
              </w:rPr>
            </w:pPr>
            <w:r>
              <w:rPr>
                <w:rFonts w:hint="eastAsia"/>
                <w:color w:val="auto"/>
                <w:lang w:val="en-US" w:eastAsia="zh-CN"/>
              </w:rPr>
              <w:t>经过植物液作用，臭气分子将生成无味无毒的分子，如水、无机盐等，从而，消除臭气。反应的产物不会形成二次污染。植物液与臭气分子的反应过程：酸碱反应。植物液中含有生物碱，它可以与硫化氢等酸性臭气分子反应。与一般酸碱反应不同的是，一般的碱是有毒的，不可食用的，不能生物降解的。而天然植物液能进行生物降解，无毒。催化氧化反应。如硫化氢在一般情况下，不能与空气中的氧进行反应。但在天然植物液的催化作用下，可以与空气中的氧气发生反应。以硫化氢的反应为例：</w:t>
            </w:r>
          </w:p>
          <w:p>
            <w:pPr>
              <w:pStyle w:val="18"/>
              <w:bidi w:val="0"/>
              <w:rPr>
                <w:rFonts w:hint="eastAsia"/>
                <w:color w:val="auto"/>
                <w:lang w:val="en-US" w:eastAsia="zh-CN"/>
              </w:rPr>
            </w:pPr>
            <w:r>
              <w:rPr>
                <w:rFonts w:hint="eastAsia"/>
                <w:color w:val="auto"/>
                <w:lang w:val="en-US" w:eastAsia="zh-CN"/>
              </w:rPr>
              <w:t>R-NH</w:t>
            </w:r>
            <w:r>
              <w:rPr>
                <w:rFonts w:hint="eastAsia"/>
                <w:color w:val="auto"/>
                <w:vertAlign w:val="subscript"/>
                <w:lang w:val="en-US" w:eastAsia="zh-CN"/>
              </w:rPr>
              <w:t>2</w:t>
            </w:r>
            <w:r>
              <w:rPr>
                <w:rFonts w:hint="eastAsia"/>
                <w:color w:val="auto"/>
                <w:lang w:val="en-US" w:eastAsia="zh-CN"/>
              </w:rPr>
              <w:t>+H</w:t>
            </w:r>
            <w:r>
              <w:rPr>
                <w:rFonts w:hint="eastAsia"/>
                <w:color w:val="auto"/>
                <w:vertAlign w:val="subscript"/>
                <w:lang w:val="en-US" w:eastAsia="zh-CN"/>
              </w:rPr>
              <w:t>2</w:t>
            </w:r>
            <w:r>
              <w:rPr>
                <w:rFonts w:hint="eastAsia"/>
                <w:color w:val="auto"/>
                <w:lang w:val="en-US" w:eastAsia="zh-CN"/>
              </w:rPr>
              <w:t>S→R-NH</w:t>
            </w:r>
            <w:r>
              <w:rPr>
                <w:rFonts w:hint="eastAsia"/>
                <w:color w:val="auto"/>
                <w:vertAlign w:val="subscript"/>
                <w:lang w:val="en-US" w:eastAsia="zh-CN"/>
              </w:rPr>
              <w:t>3</w:t>
            </w:r>
            <w:r>
              <w:rPr>
                <w:rFonts w:hint="eastAsia"/>
                <w:color w:val="auto"/>
                <w:vertAlign w:val="superscript"/>
                <w:lang w:val="en-US" w:eastAsia="zh-CN"/>
              </w:rPr>
              <w:t>+</w:t>
            </w:r>
            <w:r>
              <w:rPr>
                <w:rFonts w:hint="eastAsia"/>
                <w:color w:val="auto"/>
                <w:lang w:val="en-US" w:eastAsia="zh-CN"/>
              </w:rPr>
              <w:t>+SHR-NH</w:t>
            </w:r>
            <w:r>
              <w:rPr>
                <w:rFonts w:hint="eastAsia"/>
                <w:color w:val="auto"/>
                <w:vertAlign w:val="superscript"/>
                <w:lang w:val="en-US" w:eastAsia="zh-CN"/>
              </w:rPr>
              <w:t>2</w:t>
            </w:r>
            <w:r>
              <w:rPr>
                <w:rFonts w:hint="eastAsia"/>
                <w:color w:val="auto"/>
                <w:lang w:val="en-US" w:eastAsia="zh-CN"/>
              </w:rPr>
              <w:t>+SH</w:t>
            </w:r>
            <w:r>
              <w:rPr>
                <w:rFonts w:hint="eastAsia"/>
                <w:color w:val="auto"/>
                <w:vertAlign w:val="superscript"/>
                <w:lang w:val="en-US" w:eastAsia="zh-CN"/>
              </w:rPr>
              <w:t xml:space="preserve">- </w:t>
            </w:r>
          </w:p>
          <w:p>
            <w:pPr>
              <w:pStyle w:val="18"/>
              <w:bidi w:val="0"/>
              <w:rPr>
                <w:rFonts w:hint="eastAsia"/>
                <w:color w:val="auto"/>
                <w:lang w:val="en-US" w:eastAsia="zh-CN"/>
              </w:rPr>
            </w:pPr>
            <w:r>
              <w:rPr>
                <w:rFonts w:hint="eastAsia"/>
                <w:color w:val="auto"/>
                <w:lang w:val="en-US" w:eastAsia="zh-CN"/>
              </w:rPr>
              <w:t>S</w:t>
            </w:r>
            <w:r>
              <w:rPr>
                <w:rFonts w:hint="eastAsia"/>
                <w:color w:val="auto"/>
                <w:vertAlign w:val="superscript"/>
                <w:lang w:val="en-US" w:eastAsia="zh-CN"/>
              </w:rPr>
              <w:t>-</w:t>
            </w:r>
            <w:r>
              <w:rPr>
                <w:rFonts w:hint="eastAsia"/>
                <w:color w:val="auto"/>
                <w:lang w:val="en-US" w:eastAsia="zh-CN"/>
              </w:rPr>
              <w:t>＋O</w:t>
            </w:r>
            <w:r>
              <w:rPr>
                <w:rFonts w:hint="eastAsia"/>
                <w:color w:val="auto"/>
                <w:vertAlign w:val="subscript"/>
                <w:lang w:val="en-US" w:eastAsia="zh-CN"/>
              </w:rPr>
              <w:t>2</w:t>
            </w:r>
            <w:r>
              <w:rPr>
                <w:rFonts w:hint="eastAsia"/>
                <w:color w:val="auto"/>
                <w:lang w:val="en-US" w:eastAsia="zh-CN"/>
              </w:rPr>
              <w:t>＋H</w:t>
            </w:r>
            <w:r>
              <w:rPr>
                <w:rFonts w:hint="eastAsia"/>
                <w:color w:val="auto"/>
                <w:vertAlign w:val="subscript"/>
                <w:lang w:val="en-US" w:eastAsia="zh-CN"/>
              </w:rPr>
              <w:t>2</w:t>
            </w:r>
            <w:r>
              <w:rPr>
                <w:rFonts w:hint="eastAsia"/>
                <w:color w:val="auto"/>
                <w:lang w:val="en-US" w:eastAsia="zh-CN"/>
              </w:rPr>
              <w:t>O→R-NH</w:t>
            </w:r>
            <w:r>
              <w:rPr>
                <w:rFonts w:hint="eastAsia"/>
                <w:color w:val="auto"/>
                <w:vertAlign w:val="subscript"/>
                <w:lang w:val="en-US" w:eastAsia="zh-CN"/>
              </w:rPr>
              <w:t>3</w:t>
            </w:r>
            <w:r>
              <w:rPr>
                <w:rFonts w:hint="eastAsia"/>
                <w:color w:val="auto"/>
                <w:lang w:val="en-US" w:eastAsia="zh-CN"/>
              </w:rPr>
              <w:t>+SO</w:t>
            </w:r>
            <w:r>
              <w:rPr>
                <w:rFonts w:hint="eastAsia"/>
                <w:color w:val="auto"/>
                <w:vertAlign w:val="subscript"/>
                <w:lang w:val="en-US" w:eastAsia="zh-CN"/>
              </w:rPr>
              <w:t>4</w:t>
            </w:r>
            <w:r>
              <w:rPr>
                <w:rFonts w:hint="eastAsia"/>
                <w:color w:val="auto"/>
                <w:vertAlign w:val="superscript"/>
                <w:lang w:val="en-US" w:eastAsia="zh-CN"/>
              </w:rPr>
              <w:t>2-</w:t>
            </w:r>
            <w:r>
              <w:rPr>
                <w:rFonts w:hint="eastAsia"/>
                <w:color w:val="auto"/>
                <w:lang w:val="en-US" w:eastAsia="zh-CN"/>
              </w:rPr>
              <w:t>+OHR-NH</w:t>
            </w:r>
            <w:r>
              <w:rPr>
                <w:rFonts w:hint="eastAsia"/>
                <w:color w:val="auto"/>
                <w:vertAlign w:val="subscript"/>
                <w:lang w:val="en-US" w:eastAsia="zh-CN"/>
              </w:rPr>
              <w:t>3</w:t>
            </w:r>
            <w:r>
              <w:rPr>
                <w:rFonts w:hint="eastAsia"/>
                <w:color w:val="auto"/>
                <w:lang w:val="en-US" w:eastAsia="zh-CN"/>
              </w:rPr>
              <w:t>+OH</w:t>
            </w:r>
            <w:r>
              <w:rPr>
                <w:rFonts w:hint="eastAsia"/>
                <w:color w:val="auto"/>
                <w:vertAlign w:val="superscript"/>
                <w:lang w:val="en-US" w:eastAsia="zh-CN"/>
              </w:rPr>
              <w:t>-</w:t>
            </w:r>
            <w:r>
              <w:rPr>
                <w:rFonts w:hint="eastAsia"/>
                <w:color w:val="auto"/>
                <w:lang w:val="en-US" w:eastAsia="zh-CN"/>
              </w:rPr>
              <w:t xml:space="preserve"> </w:t>
            </w:r>
          </w:p>
          <w:p>
            <w:pPr>
              <w:pStyle w:val="18"/>
              <w:bidi w:val="0"/>
              <w:rPr>
                <w:rFonts w:hint="eastAsia"/>
                <w:color w:val="auto"/>
                <w:lang w:val="en-US" w:eastAsia="zh-CN"/>
              </w:rPr>
            </w:pPr>
            <w:r>
              <w:rPr>
                <w:rFonts w:hint="eastAsia"/>
                <w:color w:val="auto"/>
                <w:lang w:val="en-US" w:eastAsia="zh-CN"/>
              </w:rPr>
              <w:t>R-NH</w:t>
            </w:r>
            <w:r>
              <w:rPr>
                <w:rFonts w:hint="eastAsia"/>
                <w:color w:val="auto"/>
                <w:vertAlign w:val="subscript"/>
                <w:lang w:val="en-US" w:eastAsia="zh-CN"/>
              </w:rPr>
              <w:t>2</w:t>
            </w:r>
            <w:r>
              <w:rPr>
                <w:rFonts w:hint="eastAsia"/>
                <w:color w:val="auto"/>
                <w:lang w:val="en-US" w:eastAsia="zh-CN"/>
              </w:rPr>
              <w:t>+H</w:t>
            </w:r>
            <w:r>
              <w:rPr>
                <w:rFonts w:hint="eastAsia"/>
                <w:color w:val="auto"/>
                <w:vertAlign w:val="subscript"/>
                <w:lang w:val="en-US" w:eastAsia="zh-CN"/>
              </w:rPr>
              <w:t>2</w:t>
            </w:r>
            <w:r>
              <w:rPr>
                <w:rFonts w:hint="eastAsia"/>
                <w:color w:val="auto"/>
                <w:lang w:val="en-US" w:eastAsia="zh-CN"/>
              </w:rPr>
              <w:t xml:space="preserve">O </w:t>
            </w:r>
          </w:p>
          <w:p>
            <w:pPr>
              <w:pStyle w:val="18"/>
              <w:keepNext w:val="0"/>
              <w:keepLines w:val="0"/>
              <w:pageBreakBefore w:val="0"/>
              <w:widowControl w:val="0"/>
              <w:kinsoku/>
              <w:wordWrap w:val="0"/>
              <w:overflowPunct/>
              <w:topLinePunct w:val="0"/>
              <w:autoSpaceDE/>
              <w:autoSpaceDN/>
              <w:bidi w:val="0"/>
              <w:adjustRightInd w:val="0"/>
              <w:snapToGrid w:val="0"/>
              <w:textAlignment w:val="auto"/>
              <w:rPr>
                <w:rFonts w:hint="eastAsia"/>
                <w:color w:val="auto"/>
                <w:lang w:val="en-US" w:eastAsia="zh-CN"/>
              </w:rPr>
            </w:pPr>
            <w:r>
              <w:rPr>
                <w:rFonts w:hint="eastAsia"/>
                <w:color w:val="auto"/>
                <w:lang w:val="en-US" w:eastAsia="zh-CN"/>
              </w:rPr>
              <w:t>又如，硫醇在空气的氧化化应：（空气）+O</w:t>
            </w:r>
            <w:r>
              <w:rPr>
                <w:rFonts w:hint="eastAsia"/>
                <w:color w:val="auto"/>
                <w:vertAlign w:val="subscript"/>
                <w:lang w:val="en-US" w:eastAsia="zh-CN"/>
              </w:rPr>
              <w:t>2</w:t>
            </w:r>
            <w:r>
              <w:rPr>
                <w:rFonts w:hint="eastAsia"/>
                <w:color w:val="auto"/>
                <w:lang w:val="en-US" w:eastAsia="zh-CN"/>
              </w:rPr>
              <w:t>→RSS-R（慢）R-SH+O</w:t>
            </w:r>
            <w:r>
              <w:rPr>
                <w:rFonts w:hint="eastAsia"/>
                <w:color w:val="auto"/>
                <w:vertAlign w:val="subscript"/>
                <w:lang w:val="en-US" w:eastAsia="zh-CN"/>
              </w:rPr>
              <w:t>2</w:t>
            </w:r>
            <w:r>
              <w:rPr>
                <w:rFonts w:hint="eastAsia"/>
                <w:color w:val="auto"/>
                <w:lang w:val="en-US" w:eastAsia="zh-CN"/>
              </w:rPr>
              <w:t>→RSS-R（快）路易斯酸碱反应。在有机化学中，能吸收电子云的分子或原子团称为路易斯酸，在有机硫的化合物中，硫原子的外层有空轨道，可以接受外来的电子云，因此可称这类有机物为路易斯酸。相反，能提供电子云的分子或原子团称为路易期碱。一般带负电荷的原子团，含氮的有机物属于路易期碱。例如，苯硫醚与天然植物液的反应，属于这一类。苯硫醚是一个路易期酸，而在其中的含氮化合物属路易斯碱。两者可以反应。从热力学的角度来讨论。经过雾化的天然植物液液滴，其直径在 0.04 毫米。在这种情况下，液滴的表面能已达到一些有机化合物键能的三分之一和四分之一。在这种情况下，是以破坏臭气分子中的键，使它们不稳定，易分解。氧化还原反应。例如，甲醛具有氧化性，在天然植物液中有的有效分子具有还原性。它们可以直接进行反应。与甲醛和氨的反应：</w:t>
            </w:r>
          </w:p>
          <w:p>
            <w:pPr>
              <w:pStyle w:val="18"/>
              <w:keepNext w:val="0"/>
              <w:keepLines w:val="0"/>
              <w:pageBreakBefore w:val="0"/>
              <w:widowControl w:val="0"/>
              <w:tabs>
                <w:tab w:val="center" w:pos="4003"/>
                <w:tab w:val="right" w:pos="7869"/>
              </w:tabs>
              <w:kinsoku/>
              <w:wordWrap w:val="0"/>
              <w:overflowPunct/>
              <w:topLinePunct w:val="0"/>
              <w:autoSpaceDE/>
              <w:autoSpaceDN/>
              <w:bidi w:val="0"/>
              <w:adjustRightInd/>
              <w:snapToGrid/>
              <w:ind w:firstLine="0" w:firstLineChars="0"/>
              <w:jc w:val="left"/>
              <w:textAlignment w:val="auto"/>
              <w:rPr>
                <w:rFonts w:hint="eastAsia"/>
                <w:color w:val="auto"/>
                <w:lang w:val="en-US" w:eastAsia="zh-CN"/>
              </w:rPr>
            </w:pPr>
            <w:r>
              <w:rPr>
                <w:rFonts w:hint="eastAsia"/>
                <w:color w:val="auto"/>
                <w:lang w:val="en-US" w:eastAsia="zh-CN"/>
              </w:rPr>
              <w:tab/>
            </w:r>
            <w:r>
              <w:rPr>
                <w:rFonts w:hint="eastAsia"/>
                <w:color w:val="auto"/>
                <w:lang w:val="en-US" w:eastAsia="zh-CN"/>
              </w:rPr>
              <w:t>R-NH</w:t>
            </w:r>
            <w:r>
              <w:rPr>
                <w:rFonts w:hint="eastAsia"/>
                <w:color w:val="auto"/>
                <w:vertAlign w:val="subscript"/>
                <w:lang w:val="en-US" w:eastAsia="zh-CN"/>
              </w:rPr>
              <w:t>2</w:t>
            </w:r>
            <w:r>
              <w:rPr>
                <w:rFonts w:hint="eastAsia"/>
                <w:color w:val="auto"/>
                <w:lang w:val="en-US" w:eastAsia="zh-CN"/>
              </w:rPr>
              <w:t>+HCHO→R-HN</w:t>
            </w:r>
            <w:r>
              <w:rPr>
                <w:rFonts w:hint="eastAsia"/>
                <w:color w:val="auto"/>
                <w:vertAlign w:val="subscript"/>
                <w:lang w:val="en-US" w:eastAsia="zh-CN"/>
              </w:rPr>
              <w:t>2</w:t>
            </w:r>
            <w:r>
              <w:rPr>
                <w:rFonts w:hint="eastAsia"/>
                <w:color w:val="auto"/>
                <w:lang w:val="en-US" w:eastAsia="zh-CN"/>
              </w:rPr>
              <w:t>+H-C=CO</w:t>
            </w:r>
            <w:r>
              <w:rPr>
                <w:rFonts w:hint="eastAsia"/>
                <w:color w:val="auto"/>
                <w:vertAlign w:val="subscript"/>
                <w:lang w:val="en-US" w:eastAsia="zh-CN"/>
              </w:rPr>
              <w:t>2</w:t>
            </w:r>
            <w:r>
              <w:rPr>
                <w:rFonts w:hint="eastAsia"/>
                <w:color w:val="auto"/>
                <w:lang w:val="en-US" w:eastAsia="zh-CN"/>
              </w:rPr>
              <w:t>+H</w:t>
            </w:r>
            <w:r>
              <w:rPr>
                <w:rFonts w:hint="eastAsia"/>
                <w:color w:val="auto"/>
                <w:vertAlign w:val="subscript"/>
                <w:lang w:val="en-US" w:eastAsia="zh-CN"/>
              </w:rPr>
              <w:t>2</w:t>
            </w:r>
            <w:r>
              <w:rPr>
                <w:rFonts w:hint="eastAsia"/>
                <w:color w:val="auto"/>
                <w:lang w:val="en-US" w:eastAsia="zh-CN"/>
              </w:rPr>
              <w:t>OR-NH</w:t>
            </w:r>
            <w:r>
              <w:rPr>
                <w:rFonts w:hint="eastAsia"/>
                <w:color w:val="auto"/>
                <w:vertAlign w:val="subscript"/>
                <w:lang w:val="en-US" w:eastAsia="zh-CN"/>
              </w:rPr>
              <w:t>2</w:t>
            </w:r>
            <w:r>
              <w:rPr>
                <w:rFonts w:hint="eastAsia"/>
                <w:color w:val="auto"/>
                <w:lang w:val="en-US" w:eastAsia="zh-CN"/>
              </w:rPr>
              <w:t>+NH</w:t>
            </w:r>
            <w:r>
              <w:rPr>
                <w:rFonts w:hint="eastAsia"/>
                <w:color w:val="auto"/>
                <w:vertAlign w:val="subscript"/>
                <w:lang w:val="en-US" w:eastAsia="zh-CN"/>
              </w:rPr>
              <w:t>3</w:t>
            </w:r>
            <w:r>
              <w:rPr>
                <w:rFonts w:hint="eastAsia"/>
                <w:color w:val="auto"/>
                <w:lang w:val="en-US" w:eastAsia="zh-CN"/>
              </w:rPr>
              <w:t>→R-NH</w:t>
            </w:r>
            <w:r>
              <w:rPr>
                <w:rFonts w:hint="eastAsia"/>
                <w:color w:val="auto"/>
                <w:vertAlign w:val="subscript"/>
                <w:lang w:val="en-US" w:eastAsia="zh-CN"/>
              </w:rPr>
              <w:t>2</w:t>
            </w:r>
            <w:r>
              <w:rPr>
                <w:rFonts w:hint="eastAsia"/>
                <w:color w:val="auto"/>
                <w:lang w:val="en-US" w:eastAsia="zh-CN"/>
              </w:rPr>
              <w:t>+N</w:t>
            </w:r>
            <w:r>
              <w:rPr>
                <w:rFonts w:hint="eastAsia"/>
                <w:color w:val="auto"/>
                <w:vertAlign w:val="subscript"/>
                <w:lang w:val="en-US" w:eastAsia="zh-CN"/>
              </w:rPr>
              <w:t>2</w:t>
            </w:r>
            <w:r>
              <w:rPr>
                <w:rFonts w:hint="eastAsia"/>
                <w:color w:val="auto"/>
                <w:lang w:val="en-US" w:eastAsia="zh-CN"/>
              </w:rPr>
              <w:t>+H</w:t>
            </w:r>
            <w:r>
              <w:rPr>
                <w:rFonts w:hint="eastAsia"/>
                <w:color w:val="auto"/>
                <w:vertAlign w:val="subscript"/>
                <w:lang w:val="en-US" w:eastAsia="zh-CN"/>
              </w:rPr>
              <w:t>2</w:t>
            </w:r>
            <w:r>
              <w:rPr>
                <w:rFonts w:hint="eastAsia"/>
                <w:color w:val="auto"/>
                <w:lang w:val="en-US" w:eastAsia="zh-CN"/>
              </w:rPr>
              <w:t>O</w:t>
            </w:r>
          </w:p>
          <w:p>
            <w:pPr>
              <w:pStyle w:val="18"/>
              <w:bidi w:val="0"/>
              <w:rPr>
                <w:rFonts w:hint="eastAsia"/>
                <w:color w:val="auto"/>
                <w:lang w:val="en-US" w:eastAsia="zh-CN"/>
              </w:rPr>
            </w:pPr>
            <w:r>
              <w:rPr>
                <w:rFonts w:hint="eastAsia"/>
                <w:color w:val="auto"/>
                <w:lang w:val="en-US" w:eastAsia="zh-CN"/>
              </w:rPr>
              <w:t>净化塔分三层：第一层植物液洗涤，第二层植物液洗涤，第三层除雾。</w:t>
            </w:r>
          </w:p>
          <w:p>
            <w:pPr>
              <w:pStyle w:val="18"/>
              <w:bidi w:val="0"/>
              <w:rPr>
                <w:rFonts w:hint="eastAsia"/>
                <w:color w:val="auto"/>
                <w:lang w:val="en-US" w:eastAsia="zh-CN"/>
              </w:rPr>
            </w:pPr>
            <w:r>
              <w:rPr>
                <w:rFonts w:hint="eastAsia"/>
                <w:color w:val="auto"/>
                <w:lang w:val="en-US" w:eastAsia="zh-CN"/>
              </w:rPr>
              <w:t>① 臭气收集卸料平台与压机受料斗有一定高差，垃圾车在转运站进行卸料作业时，大量塑料袋、废纸、灰尘及臭气成分被扬起并充满整个作业面，在压机卸料口对面设置集气罩对卸料作业时产生灰尘、臭气进行收集；在垃圾箱与压缩机对接位上方设置百叶吸风口对压缩时产生的臭气进行收集。为了防止塑料袋、废纸等体大质轻垃圾进入系统，在卸料口集风口和风机吸风口上分别设置过滤网。过滤网采用不锈钢制作，过滤网采用可拆卸式设计，方便拆洗。</w:t>
            </w:r>
          </w:p>
          <w:p>
            <w:pPr>
              <w:pStyle w:val="18"/>
              <w:bidi w:val="0"/>
              <w:rPr>
                <w:rFonts w:hint="eastAsia"/>
                <w:color w:val="auto"/>
                <w:lang w:val="en-US" w:eastAsia="zh-CN"/>
              </w:rPr>
            </w:pPr>
            <w:r>
              <w:rPr>
                <w:rFonts w:hint="eastAsia"/>
                <w:color w:val="auto"/>
                <w:lang w:val="en-US" w:eastAsia="zh-CN"/>
              </w:rPr>
              <w:t xml:space="preserve">在压缩受料区及垃圾箱对接位收集风管支管上设置电动风阀，通过控制电动阀开关和调整风机运行频率实现抽风位置和抽风量的调整，达到节约运行成本和提高收集效果的目的。在压缩车间对接位周边主要臭源区域设置过滤网对散发的臭气进行收集。 </w:t>
            </w:r>
          </w:p>
          <w:p>
            <w:pPr>
              <w:pStyle w:val="18"/>
              <w:bidi w:val="0"/>
              <w:rPr>
                <w:rFonts w:hint="eastAsia"/>
                <w:color w:val="auto"/>
                <w:lang w:val="en-US" w:eastAsia="zh-CN"/>
              </w:rPr>
            </w:pPr>
            <w:r>
              <w:rPr>
                <w:rFonts w:hint="eastAsia"/>
                <w:color w:val="auto"/>
                <w:lang w:val="en-US" w:eastAsia="zh-CN"/>
              </w:rPr>
              <w:t xml:space="preserve">② 收集风管为满足防腐、强度和美观要求，风管采用 PP 材料制作。 </w:t>
            </w:r>
          </w:p>
          <w:p>
            <w:pPr>
              <w:pStyle w:val="18"/>
              <w:bidi w:val="0"/>
              <w:rPr>
                <w:rFonts w:hint="eastAsia"/>
                <w:color w:val="auto"/>
                <w:lang w:val="en-US" w:eastAsia="zh-CN"/>
              </w:rPr>
            </w:pPr>
            <w:r>
              <w:rPr>
                <w:rFonts w:hint="eastAsia"/>
                <w:color w:val="auto"/>
                <w:lang w:val="en-US" w:eastAsia="zh-CN"/>
              </w:rPr>
              <w:t>③ 引风机采用卧式玻璃钢离心风机，具有高效、节能、防腐蚀、低噪声、寿命长的特点。采用变频调速方式，风量可调。风机风量与净化塔处理能力相匹配。风机额定风量以20℃、湿度为 65%为准，总绝对效率不低于 80%。风机风压与管道和设备压力损失相匹配，并留有一定富裕量。风机能在腐蚀性空气条件下的长期 24 小时连续运行。风机设置防振垫，隔振效率应≥80%。风机与进风阀应设置弹性接头（柔性连接），避免风机的正常震动影响风管及除臭设备。</w:t>
            </w:r>
          </w:p>
          <w:p>
            <w:pPr>
              <w:pStyle w:val="18"/>
              <w:bidi w:val="0"/>
              <w:rPr>
                <w:rFonts w:hint="eastAsia"/>
                <w:color w:val="auto"/>
                <w:lang w:val="en-US" w:eastAsia="zh-CN"/>
              </w:rPr>
            </w:pPr>
            <w:r>
              <w:rPr>
                <w:rFonts w:hint="eastAsia"/>
                <w:color w:val="auto"/>
                <w:lang w:val="en-US" w:eastAsia="zh-CN"/>
              </w:rPr>
              <w:t>④ 除尘除臭塔除尘除臭采用根据国外技术改进的专门用于垃圾臭气处理的填料塔。通过水浴除尘、生物降解吸收、雾滴收集、植物液分解等方式进行处理。该塔采用填料与喷淋相接合的方式，具有了结构简单、维护管理方便、净化效率高、运行稳定等诸多优点，其特点如下：</w:t>
            </w:r>
          </w:p>
          <w:p>
            <w:pPr>
              <w:pStyle w:val="18"/>
              <w:numPr>
                <w:ilvl w:val="0"/>
                <w:numId w:val="23"/>
              </w:numPr>
              <w:bidi w:val="0"/>
              <w:rPr>
                <w:rFonts w:hint="eastAsia"/>
                <w:color w:val="auto"/>
                <w:lang w:val="en-US" w:eastAsia="zh-CN"/>
              </w:rPr>
            </w:pPr>
            <w:r>
              <w:rPr>
                <w:rFonts w:hint="eastAsia"/>
                <w:color w:val="auto"/>
                <w:lang w:val="en-US" w:eastAsia="zh-CN"/>
              </w:rPr>
              <w:t>传质面积大，净化效率高。吸收塔采用填料与喷雾相结合，使塔具有很大 51 的接触面积。在填料层上部，有若干个雾化喷嘴，喷嘴喷出的液滴直径在 0.5～2mm 左右，覆盖整个塔截面，其雾滴产生的表面积相当大，是普通板式塔的数十倍，提高了吸收塔的传质效率。</w:t>
            </w:r>
          </w:p>
          <w:p>
            <w:pPr>
              <w:pStyle w:val="18"/>
              <w:numPr>
                <w:ilvl w:val="0"/>
                <w:numId w:val="23"/>
              </w:numPr>
              <w:bidi w:val="0"/>
              <w:rPr>
                <w:rFonts w:hint="eastAsia"/>
                <w:color w:val="auto"/>
                <w:lang w:val="en-US" w:eastAsia="zh-CN"/>
              </w:rPr>
            </w:pPr>
            <w:r>
              <w:rPr>
                <w:rFonts w:hint="eastAsia"/>
                <w:color w:val="auto"/>
                <w:lang w:val="en-US" w:eastAsia="zh-CN"/>
              </w:rPr>
              <w:t>喷雾布液与填料布气，使气液分布特别均匀。以雾化喷嘴在整个塔截面上均匀喷出，使吸收液分布很均匀。使用填料，可使塔截面上气相压力保持一致。填料层既增加了传质面积，又有很好的气相分布作用，弥补了普通喷淋塔因气相分布不均而造成气流短路使传质效率不高的缺陷。</w:t>
            </w:r>
          </w:p>
          <w:p>
            <w:pPr>
              <w:pStyle w:val="18"/>
              <w:numPr>
                <w:ilvl w:val="0"/>
                <w:numId w:val="23"/>
              </w:numPr>
              <w:bidi w:val="0"/>
              <w:rPr>
                <w:rFonts w:hint="eastAsia"/>
                <w:color w:val="auto"/>
                <w:lang w:val="en-US" w:eastAsia="zh-CN"/>
              </w:rPr>
            </w:pPr>
            <w:r>
              <w:rPr>
                <w:rFonts w:hint="eastAsia"/>
                <w:color w:val="auto"/>
                <w:lang w:val="en-US" w:eastAsia="zh-CN"/>
              </w:rPr>
              <w:t xml:space="preserve">气相阻力低，不存在堵塞问题。采用网格较大的专用填料，均匀布置，填料层的较大缝隙，使气流通过时阻力很低，且也不会因颗粒物的出现而堵塞填料层。 </w:t>
            </w:r>
          </w:p>
          <w:p>
            <w:pPr>
              <w:pStyle w:val="18"/>
              <w:numPr>
                <w:ilvl w:val="0"/>
                <w:numId w:val="23"/>
              </w:numPr>
              <w:bidi w:val="0"/>
              <w:ind w:left="0" w:leftChars="0" w:firstLine="480" w:firstLineChars="200"/>
              <w:rPr>
                <w:rFonts w:hint="eastAsia"/>
                <w:color w:val="auto"/>
                <w:lang w:val="en-US" w:eastAsia="zh-CN"/>
              </w:rPr>
            </w:pPr>
            <w:r>
              <w:rPr>
                <w:rFonts w:hint="eastAsia"/>
                <w:color w:val="auto"/>
                <w:lang w:val="en-US" w:eastAsia="zh-CN"/>
              </w:rPr>
              <w:t>结构简单、维修方便。吸收塔的结构简单，塔内除喷嘴和分块拼装的填料和除雾板外，没有其他构件。且填料和除雾板一般是不需要维修和更换的。因此吸收塔的维修一般只更换喷嘴。喷嘴选用特殊喷嘴，其雾化效果相当好，气液接触更加充分，是一般喷嘴无法相比的。且采用螺纹连接方式，维修、更换时十分方便。</w:t>
            </w:r>
          </w:p>
          <w:p>
            <w:pPr>
              <w:pStyle w:val="18"/>
              <w:numPr>
                <w:ilvl w:val="0"/>
                <w:numId w:val="23"/>
              </w:numPr>
              <w:bidi w:val="0"/>
              <w:ind w:left="0" w:leftChars="0" w:firstLine="480" w:firstLineChars="200"/>
              <w:rPr>
                <w:rFonts w:hint="eastAsia"/>
                <w:color w:val="auto"/>
                <w:lang w:val="en-US" w:eastAsia="zh-CN"/>
              </w:rPr>
            </w:pPr>
            <w:r>
              <w:rPr>
                <w:rFonts w:hint="eastAsia"/>
                <w:color w:val="auto"/>
                <w:lang w:val="en-US" w:eastAsia="zh-CN"/>
              </w:rPr>
              <w:t>自动化程度高、操作简单。系统采用全自动化控制。</w:t>
            </w:r>
          </w:p>
          <w:p>
            <w:pPr>
              <w:pStyle w:val="6"/>
              <w:bidi w:val="0"/>
              <w:rPr>
                <w:color w:val="auto"/>
              </w:rPr>
            </w:pPr>
            <w:r>
              <w:rPr>
                <w:rFonts w:hint="eastAsia"/>
                <w:color w:val="auto"/>
                <w:lang w:val="en-US" w:eastAsia="zh-CN"/>
              </w:rPr>
              <w:t xml:space="preserve">植物液喷淋除臭系统 </w:t>
            </w:r>
          </w:p>
          <w:p>
            <w:pPr>
              <w:pStyle w:val="18"/>
              <w:bidi w:val="0"/>
              <w:rPr>
                <w:color w:val="auto"/>
              </w:rPr>
            </w:pPr>
            <w:r>
              <w:rPr>
                <w:rFonts w:hint="eastAsia"/>
                <w:color w:val="auto"/>
                <w:lang w:val="en-US" w:eastAsia="zh-CN"/>
              </w:rPr>
              <w:t>由于不断有新的垃圾进入垃圾站，不可避免存在垃圾暴露和渗漏液滴落现象，垃圾和渗漏液会不断散发臭气到空气中。对于已经散发到空气中的臭气，本项目采用植物液雾化喷淋除臭装置进行处理。通过高压将植物液雾化到站内污染空间内分解臭气，改善站内空气质量。植物液雾化喷淋除臭系统由自动加药器、工作药箱、过滤器、高压泵、电磁阀、供液管件、雾化喷嘴和控制系统组成。系统工艺流程如下：</w:t>
            </w:r>
          </w:p>
          <w:p>
            <w:pPr>
              <w:pStyle w:val="1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color w:val="auto"/>
                <w:lang w:val="en-US" w:eastAsia="zh-CN"/>
              </w:rPr>
            </w:pPr>
            <w:r>
              <w:rPr>
                <w:color w:val="auto"/>
              </w:rPr>
              <w:drawing>
                <wp:inline distT="0" distB="0" distL="114300" distR="114300">
                  <wp:extent cx="5036820" cy="2359025"/>
                  <wp:effectExtent l="0" t="0" r="508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5036820" cy="2359025"/>
                          </a:xfrm>
                          <a:prstGeom prst="rect">
                            <a:avLst/>
                          </a:prstGeom>
                          <a:noFill/>
                          <a:ln>
                            <a:noFill/>
                          </a:ln>
                        </pic:spPr>
                      </pic:pic>
                    </a:graphicData>
                  </a:graphic>
                </wp:inline>
              </w:drawing>
            </w:r>
          </w:p>
          <w:p>
            <w:pPr>
              <w:pStyle w:val="18"/>
              <w:bidi w:val="0"/>
              <w:jc w:val="center"/>
              <w:rPr>
                <w:b/>
                <w:bCs/>
                <w:color w:val="auto"/>
              </w:rPr>
            </w:pPr>
            <w:r>
              <w:rPr>
                <w:rFonts w:hint="eastAsia"/>
                <w:b/>
                <w:bCs/>
                <w:color w:val="auto"/>
                <w:lang w:val="en-US" w:eastAsia="zh-CN"/>
              </w:rPr>
              <w:t>图 6</w:t>
            </w:r>
            <w:r>
              <w:rPr>
                <w:rFonts w:hint="default"/>
                <w:b/>
                <w:bCs/>
                <w:color w:val="auto"/>
                <w:lang w:val="en-US" w:eastAsia="zh-CN"/>
              </w:rPr>
              <w:t xml:space="preserve"> </w:t>
            </w:r>
            <w:r>
              <w:rPr>
                <w:rFonts w:hint="eastAsia"/>
                <w:b/>
                <w:bCs/>
                <w:color w:val="auto"/>
                <w:lang w:val="en-US" w:eastAsia="zh-CN"/>
              </w:rPr>
              <w:t xml:space="preserve">   植物液雾化喷淋除臭系统工艺框图</w:t>
            </w:r>
          </w:p>
          <w:p>
            <w:pPr>
              <w:pStyle w:val="6"/>
              <w:bidi w:val="0"/>
              <w:rPr>
                <w:rFonts w:hint="eastAsia"/>
                <w:color w:val="auto"/>
                <w:lang w:val="en-US" w:eastAsia="zh-CN"/>
              </w:rPr>
            </w:pPr>
            <w:r>
              <w:rPr>
                <w:rFonts w:hint="eastAsia"/>
                <w:color w:val="auto"/>
                <w:lang w:val="en-US" w:eastAsia="zh-CN"/>
              </w:rPr>
              <w:t>卸料口喷淋除臭系统</w:t>
            </w:r>
          </w:p>
          <w:p>
            <w:pPr>
              <w:pStyle w:val="18"/>
              <w:bidi w:val="0"/>
              <w:rPr>
                <w:rFonts w:hint="eastAsia"/>
                <w:color w:val="auto"/>
                <w:lang w:eastAsia="zh-CN"/>
              </w:rPr>
            </w:pPr>
            <w:r>
              <w:rPr>
                <w:rFonts w:hint="eastAsia"/>
                <w:color w:val="auto"/>
                <w:lang w:val="en-US" w:eastAsia="zh-CN"/>
              </w:rPr>
              <w:t>喷淋除臭系统的工作原理及布置方案喷淋除臭系统包括中央控制柜，软管网络及一些自净喷嘴。其工作原理为：用压缩空气使注入药液的自来水通过喷嘴或风扇产生极其细小的雾气，以增大除臭药剂与臭气的接触面积，进而去除臭味。中央控制柜中装有一个紫外线灯，一个定量供药泵，相关的开关，控制阀等元器件。此外还有一个电加热器，加热装置会在预定温度被激活，从而保证在寒冷地区控制柜内的管子不至冻坏。控制柜中还配有逻辑控制模块，通过逻辑控制模块即可以让系统按预设的要求定时，定量的喷撒雾气；也可通过采集外部信号，使系统根据外部实际情况做出反应。该设备采用了模块化的控制柜，将除臭药液的计量混合，自来水的消毒，水压，气压的调节，温度和时间的控制等都集中在一个控制柜中，既满足了多种功能的需求又优化了结构。这个系统可通过增加和减少喷嘴进行扩张和简化。喷嘴和风扇可安装在房间的各个位置，能覆盖一块较大的表面。同气体清洁或活性碳系统相比，不会产生大量废水，可节约大量成本。</w:t>
            </w:r>
          </w:p>
          <w:p>
            <w:pPr>
              <w:pStyle w:val="18"/>
              <w:bidi w:val="0"/>
              <w:rPr>
                <w:rFonts w:hint="eastAsia"/>
                <w:color w:val="auto"/>
                <w:lang w:val="en-US" w:eastAsia="zh-CN"/>
              </w:rPr>
            </w:pPr>
            <w:r>
              <w:rPr>
                <w:rFonts w:hint="eastAsia"/>
                <w:color w:val="auto"/>
                <w:kern w:val="0"/>
                <w:lang w:eastAsia="zh-CN"/>
              </w:rPr>
              <w:t>食堂油烟</w:t>
            </w:r>
            <w:r>
              <w:rPr>
                <w:rFonts w:hint="eastAsia"/>
                <w:color w:val="auto"/>
                <w:kern w:val="0"/>
                <w:lang w:val="en-US" w:eastAsia="zh-CN"/>
              </w:rPr>
              <w:t>经油烟净化器处理后，</w:t>
            </w:r>
            <w:r>
              <w:rPr>
                <w:rFonts w:hint="eastAsia"/>
                <w:color w:val="auto"/>
                <w:kern w:val="0"/>
                <w:lang w:eastAsia="zh-CN"/>
              </w:rPr>
              <w:t>经专用管道接至屋顶排放，</w:t>
            </w:r>
            <w:r>
              <w:rPr>
                <w:rFonts w:hint="eastAsia"/>
                <w:color w:val="auto"/>
                <w:lang w:val="en-US" w:eastAsia="zh-CN"/>
              </w:rPr>
              <w:t>油烟排放浓度满足《饮食业油烟排放标准》（试行）（GB18483-2001）油烟最高允许排放浓度2.0mg/m</w:t>
            </w:r>
            <w:r>
              <w:rPr>
                <w:rFonts w:hint="eastAsia"/>
                <w:color w:val="auto"/>
                <w:vertAlign w:val="superscript"/>
                <w:lang w:val="en-US" w:eastAsia="zh-CN"/>
              </w:rPr>
              <w:t>3</w:t>
            </w:r>
            <w:r>
              <w:rPr>
                <w:rFonts w:hint="eastAsia"/>
                <w:color w:val="auto"/>
                <w:lang w:val="en-US" w:eastAsia="zh-CN"/>
              </w:rPr>
              <w:t>限值要求。</w:t>
            </w:r>
          </w:p>
          <w:p>
            <w:pPr>
              <w:pStyle w:val="18"/>
              <w:numPr>
                <w:ilvl w:val="0"/>
                <w:numId w:val="22"/>
              </w:numPr>
              <w:bidi w:val="0"/>
              <w:ind w:left="118" w:leftChars="0" w:firstLineChars="0"/>
              <w:rPr>
                <w:rFonts w:hint="default"/>
                <w:color w:val="auto"/>
                <w:lang w:val="en-US" w:eastAsia="zh-CN"/>
              </w:rPr>
            </w:pPr>
            <w:r>
              <w:rPr>
                <w:rFonts w:hint="eastAsia"/>
                <w:color w:val="auto"/>
                <w:lang w:val="en-US" w:eastAsia="zh-CN"/>
              </w:rPr>
              <w:t xml:space="preserve"> 无组织废气处理措施的可行性分析</w:t>
            </w:r>
          </w:p>
          <w:p>
            <w:pPr>
              <w:pStyle w:val="18"/>
              <w:bidi w:val="0"/>
              <w:rPr>
                <w:rFonts w:hint="eastAsia"/>
                <w:color w:val="auto"/>
                <w:lang w:val="en-US" w:eastAsia="zh-CN"/>
              </w:rPr>
            </w:pPr>
            <w:r>
              <w:rPr>
                <w:rFonts w:hint="eastAsia"/>
                <w:color w:val="auto"/>
                <w:kern w:val="0"/>
                <w:lang w:val="en-US" w:eastAsia="zh-CN"/>
              </w:rPr>
              <w:t>项目区定期</w:t>
            </w:r>
            <w:r>
              <w:rPr>
                <w:rFonts w:hint="eastAsia"/>
                <w:color w:val="auto"/>
                <w:kern w:val="0"/>
                <w:lang w:eastAsia="zh-CN"/>
              </w:rPr>
              <w:t>内洒水抑尘；</w:t>
            </w:r>
            <w:r>
              <w:rPr>
                <w:rFonts w:hint="eastAsia"/>
                <w:color w:val="auto"/>
                <w:kern w:val="0"/>
                <w:lang w:val="en-US" w:eastAsia="zh-CN"/>
              </w:rPr>
              <w:t>定期检修运输车辆</w:t>
            </w:r>
            <w:r>
              <w:rPr>
                <w:rFonts w:hint="eastAsia"/>
                <w:color w:val="auto"/>
                <w:kern w:val="0"/>
                <w:lang w:eastAsia="zh-CN"/>
              </w:rPr>
              <w:t>；场内运输道路设置水泥硬化；</w:t>
            </w:r>
            <w:r>
              <w:rPr>
                <w:rFonts w:hint="eastAsia"/>
                <w:color w:val="auto"/>
                <w:kern w:val="0"/>
                <w:lang w:val="en-US" w:eastAsia="zh-CN"/>
              </w:rPr>
              <w:t>封闭式生产车间</w:t>
            </w:r>
            <w:r>
              <w:rPr>
                <w:rFonts w:hint="eastAsia"/>
                <w:color w:val="auto"/>
                <w:kern w:val="0"/>
                <w:highlight w:val="none"/>
                <w:lang w:eastAsia="zh-CN"/>
              </w:rPr>
              <w:t>；</w:t>
            </w:r>
            <w:r>
              <w:rPr>
                <w:rFonts w:hint="eastAsia"/>
                <w:color w:val="auto"/>
                <w:kern w:val="0"/>
                <w:highlight w:val="none"/>
                <w:lang w:val="en-US" w:eastAsia="zh-CN"/>
              </w:rPr>
              <w:t>增加绿化；本项目无组织废气采取上述措施后，无组织颗粒物排放满足</w:t>
            </w:r>
            <w:r>
              <w:rPr>
                <w:rFonts w:hint="eastAsia"/>
                <w:color w:val="auto"/>
                <w:lang w:val="en-US" w:eastAsia="zh-CN"/>
              </w:rPr>
              <w:t>《大气污染物综合排放标准》（GB16297-1996）排放浓度限值要求；NH</w:t>
            </w:r>
            <w:r>
              <w:rPr>
                <w:rFonts w:hint="eastAsia"/>
                <w:color w:val="auto"/>
                <w:vertAlign w:val="subscript"/>
                <w:lang w:val="en-US" w:eastAsia="zh-CN"/>
              </w:rPr>
              <w:t>3</w:t>
            </w:r>
            <w:r>
              <w:rPr>
                <w:rFonts w:hint="eastAsia"/>
                <w:color w:val="auto"/>
                <w:lang w:val="en-US" w:eastAsia="zh-CN"/>
              </w:rPr>
              <w:t xml:space="preserve"> 和 H</w:t>
            </w:r>
            <w:r>
              <w:rPr>
                <w:rFonts w:hint="eastAsia"/>
                <w:color w:val="auto"/>
                <w:vertAlign w:val="subscript"/>
                <w:lang w:val="en-US" w:eastAsia="zh-CN"/>
              </w:rPr>
              <w:t>2</w:t>
            </w:r>
            <w:r>
              <w:rPr>
                <w:rFonts w:hint="eastAsia"/>
                <w:color w:val="auto"/>
                <w:lang w:val="en-US" w:eastAsia="zh-CN"/>
              </w:rPr>
              <w:t>S 能够满足《恶臭污染物排放标准》（GB14554-93）表 2 中恶臭污染物排放标准值要求。</w:t>
            </w:r>
          </w:p>
          <w:p>
            <w:pPr>
              <w:pStyle w:val="18"/>
              <w:bidi w:val="0"/>
              <w:jc w:val="both"/>
              <w:rPr>
                <w:rFonts w:hint="default" w:eastAsia="宋体"/>
                <w:color w:val="auto"/>
                <w:lang w:val="en-US" w:eastAsia="zh-CN"/>
              </w:rPr>
            </w:pPr>
            <w:r>
              <w:rPr>
                <w:rFonts w:hint="eastAsia"/>
                <w:color w:val="auto"/>
                <w:lang w:val="en-US" w:eastAsia="zh-CN"/>
              </w:rPr>
              <w:t>综上可知，本项目废气种类为颗粒物、NH</w:t>
            </w:r>
            <w:r>
              <w:rPr>
                <w:rFonts w:hint="eastAsia"/>
                <w:color w:val="auto"/>
                <w:vertAlign w:val="subscript"/>
                <w:lang w:val="en-US" w:eastAsia="zh-CN"/>
              </w:rPr>
              <w:t>3</w:t>
            </w:r>
            <w:r>
              <w:rPr>
                <w:rFonts w:hint="eastAsia"/>
                <w:color w:val="auto"/>
                <w:lang w:val="en-US" w:eastAsia="zh-CN"/>
              </w:rPr>
              <w:t>和 H</w:t>
            </w:r>
            <w:r>
              <w:rPr>
                <w:rFonts w:hint="eastAsia"/>
                <w:color w:val="auto"/>
                <w:vertAlign w:val="subscript"/>
                <w:lang w:val="en-US" w:eastAsia="zh-CN"/>
              </w:rPr>
              <w:t>2</w:t>
            </w:r>
            <w:r>
              <w:rPr>
                <w:rFonts w:hint="eastAsia"/>
                <w:color w:val="auto"/>
                <w:lang w:val="en-US" w:eastAsia="zh-CN"/>
              </w:rPr>
              <w:t>S、食堂油烟。根据同类项目参考，颗粒物、NH</w:t>
            </w:r>
            <w:r>
              <w:rPr>
                <w:rFonts w:hint="eastAsia"/>
                <w:color w:val="auto"/>
                <w:vertAlign w:val="subscript"/>
                <w:lang w:val="en-US" w:eastAsia="zh-CN"/>
              </w:rPr>
              <w:t>3</w:t>
            </w:r>
            <w:r>
              <w:rPr>
                <w:rFonts w:hint="eastAsia"/>
                <w:color w:val="auto"/>
                <w:lang w:val="en-US" w:eastAsia="zh-CN"/>
              </w:rPr>
              <w:t>和 H</w:t>
            </w:r>
            <w:r>
              <w:rPr>
                <w:rFonts w:hint="eastAsia"/>
                <w:color w:val="auto"/>
                <w:vertAlign w:val="subscript"/>
                <w:lang w:val="en-US" w:eastAsia="zh-CN"/>
              </w:rPr>
              <w:t>2</w:t>
            </w:r>
            <w:r>
              <w:rPr>
                <w:rFonts w:hint="eastAsia"/>
                <w:color w:val="auto"/>
                <w:lang w:val="en-US" w:eastAsia="zh-CN"/>
              </w:rPr>
              <w:t>S 经过“过滤+水浴除尘+植物液分解除臭”处理，食堂油烟经油烟净化器处理后引至屋顶排放，污染物浓度有较大幅度下降，最终颗粒物能够满足《大气污染物综合排放标准》（GB16297-1996）排放浓度限值要求；NH</w:t>
            </w:r>
            <w:r>
              <w:rPr>
                <w:rFonts w:hint="eastAsia"/>
                <w:color w:val="auto"/>
                <w:vertAlign w:val="subscript"/>
                <w:lang w:val="en-US" w:eastAsia="zh-CN"/>
              </w:rPr>
              <w:t>3</w:t>
            </w:r>
            <w:r>
              <w:rPr>
                <w:rFonts w:hint="eastAsia"/>
                <w:color w:val="auto"/>
                <w:lang w:val="en-US" w:eastAsia="zh-CN"/>
              </w:rPr>
              <w:t xml:space="preserve"> 和 H</w:t>
            </w:r>
            <w:r>
              <w:rPr>
                <w:rFonts w:hint="eastAsia"/>
                <w:color w:val="auto"/>
                <w:vertAlign w:val="subscript"/>
                <w:lang w:val="en-US" w:eastAsia="zh-CN"/>
              </w:rPr>
              <w:t>2</w:t>
            </w:r>
            <w:r>
              <w:rPr>
                <w:rFonts w:hint="eastAsia"/>
                <w:color w:val="auto"/>
                <w:lang w:val="en-US" w:eastAsia="zh-CN"/>
              </w:rPr>
              <w:t>S 能够满足《恶臭污染物排放标准》（GB14554-93）表 2 中恶臭污染物排放标准值要求，食堂油烟满足《饮食业油烟排放标准》（GB18483-2001）。所采用的技术符合《排污许可证申请与核发技术规范 环境卫生管理业》(HJ1116-2020）中的可行治理技术，符合技术规范要求。因此，本项目颗粒物、NH</w:t>
            </w:r>
            <w:r>
              <w:rPr>
                <w:rFonts w:hint="eastAsia"/>
                <w:color w:val="auto"/>
                <w:vertAlign w:val="subscript"/>
                <w:lang w:val="en-US" w:eastAsia="zh-CN"/>
              </w:rPr>
              <w:t>3</w:t>
            </w:r>
            <w:r>
              <w:rPr>
                <w:rFonts w:hint="eastAsia"/>
                <w:color w:val="auto"/>
                <w:lang w:val="en-US" w:eastAsia="zh-CN"/>
              </w:rPr>
              <w:t>和 H</w:t>
            </w:r>
            <w:r>
              <w:rPr>
                <w:rFonts w:hint="eastAsia"/>
                <w:color w:val="auto"/>
                <w:vertAlign w:val="subscript"/>
                <w:lang w:val="en-US" w:eastAsia="zh-CN"/>
              </w:rPr>
              <w:t>2</w:t>
            </w:r>
            <w:r>
              <w:rPr>
                <w:rFonts w:hint="eastAsia"/>
                <w:color w:val="auto"/>
                <w:lang w:val="en-US" w:eastAsia="zh-CN"/>
              </w:rPr>
              <w:t>S 采用“过滤+水浴除尘+植物液分解除臭”处理技术上是可行的。</w:t>
            </w:r>
          </w:p>
          <w:p>
            <w:pPr>
              <w:pStyle w:val="6"/>
              <w:bidi w:val="0"/>
              <w:rPr>
                <w:rFonts w:hint="eastAsia"/>
                <w:color w:val="auto"/>
                <w:lang w:val="en-US" w:eastAsia="zh-CN"/>
              </w:rPr>
            </w:pPr>
            <w:r>
              <w:rPr>
                <w:rFonts w:hint="eastAsia"/>
                <w:color w:val="auto"/>
                <w:lang w:val="en-US" w:eastAsia="zh-CN"/>
              </w:rPr>
              <w:t>2.3 排放口设置情况</w:t>
            </w:r>
          </w:p>
          <w:p>
            <w:pPr>
              <w:pStyle w:val="18"/>
              <w:bidi w:val="0"/>
              <w:jc w:val="both"/>
              <w:rPr>
                <w:rFonts w:hint="eastAsia"/>
                <w:color w:val="auto"/>
                <w:lang w:val="en-US" w:eastAsia="zh-CN"/>
              </w:rPr>
            </w:pPr>
            <w:r>
              <w:rPr>
                <w:rFonts w:hint="eastAsia"/>
                <w:color w:val="auto"/>
                <w:highlight w:val="none"/>
                <w:lang w:val="en-US" w:eastAsia="zh-CN"/>
              </w:rPr>
              <w:t>本项目废气共设置1个排放口，项目废气主要为颗粒物、NH</w:t>
            </w:r>
            <w:r>
              <w:rPr>
                <w:rFonts w:hint="eastAsia"/>
                <w:color w:val="auto"/>
                <w:highlight w:val="none"/>
                <w:vertAlign w:val="subscript"/>
                <w:lang w:val="en-US" w:eastAsia="zh-CN"/>
              </w:rPr>
              <w:t>3</w:t>
            </w:r>
            <w:r>
              <w:rPr>
                <w:rFonts w:hint="eastAsia"/>
                <w:color w:val="auto"/>
                <w:highlight w:val="none"/>
                <w:lang w:val="en-US" w:eastAsia="zh-CN"/>
              </w:rPr>
              <w:t>和 H</w:t>
            </w:r>
            <w:r>
              <w:rPr>
                <w:rFonts w:hint="eastAsia"/>
                <w:color w:val="auto"/>
                <w:highlight w:val="none"/>
                <w:vertAlign w:val="subscript"/>
                <w:lang w:val="en-US" w:eastAsia="zh-CN"/>
              </w:rPr>
              <w:t>2</w:t>
            </w:r>
            <w:r>
              <w:rPr>
                <w:rFonts w:hint="eastAsia"/>
                <w:color w:val="auto"/>
                <w:highlight w:val="none"/>
                <w:lang w:val="en-US" w:eastAsia="zh-CN"/>
              </w:rPr>
              <w:t>S，食堂油烟；有组织废气经“过滤+水浴除尘+植物液分解除臭”+15m排气筒处理后达到颗粒物能够满足《大气污染物综合排放标准》</w:t>
            </w:r>
            <w:r>
              <w:rPr>
                <w:rFonts w:hint="eastAsia"/>
                <w:color w:val="auto"/>
                <w:lang w:val="en-US" w:eastAsia="zh-CN"/>
              </w:rPr>
              <w:t>（GB16297-1996）排放浓度限值要求；NH</w:t>
            </w:r>
            <w:r>
              <w:rPr>
                <w:rFonts w:hint="eastAsia"/>
                <w:color w:val="auto"/>
                <w:vertAlign w:val="subscript"/>
                <w:lang w:val="en-US" w:eastAsia="zh-CN"/>
              </w:rPr>
              <w:t>3</w:t>
            </w:r>
            <w:r>
              <w:rPr>
                <w:rFonts w:hint="eastAsia"/>
                <w:color w:val="auto"/>
                <w:lang w:val="en-US" w:eastAsia="zh-CN"/>
              </w:rPr>
              <w:t xml:space="preserve"> 和 H</w:t>
            </w:r>
            <w:r>
              <w:rPr>
                <w:rFonts w:hint="eastAsia"/>
                <w:color w:val="auto"/>
                <w:vertAlign w:val="subscript"/>
                <w:lang w:val="en-US" w:eastAsia="zh-CN"/>
              </w:rPr>
              <w:t>2</w:t>
            </w:r>
            <w:r>
              <w:rPr>
                <w:rFonts w:hint="eastAsia"/>
                <w:color w:val="auto"/>
                <w:lang w:val="en-US" w:eastAsia="zh-CN"/>
              </w:rPr>
              <w:t>S 能够满足《恶臭污染物排放标准》（GB14554-93）表 2 中恶臭污染物排放标准值要求；</w:t>
            </w:r>
            <w:r>
              <w:rPr>
                <w:rFonts w:hint="eastAsia"/>
                <w:color w:val="auto"/>
                <w:lang w:eastAsia="zh-CN"/>
              </w:rPr>
              <w:t>食堂油烟</w:t>
            </w:r>
            <w:r>
              <w:rPr>
                <w:rFonts w:hint="eastAsia"/>
                <w:color w:val="auto"/>
                <w:lang w:val="en-US" w:eastAsia="zh-CN"/>
              </w:rPr>
              <w:t>经油烟净化器处理后，由</w:t>
            </w:r>
            <w:r>
              <w:rPr>
                <w:rFonts w:hint="eastAsia"/>
                <w:color w:val="auto"/>
                <w:lang w:eastAsia="zh-CN"/>
              </w:rPr>
              <w:t>专用管道接至屋顶排放，</w:t>
            </w:r>
            <w:r>
              <w:rPr>
                <w:rFonts w:hint="eastAsia"/>
                <w:color w:val="auto"/>
                <w:lang w:val="en-US" w:eastAsia="zh-CN"/>
              </w:rPr>
              <w:t>油烟排放浓度满足《饮食业油烟排放标准》（试行）（GB18483-2001）油烟最高允许排放浓度要求。本项目废气治理设施情况见表4-4。</w:t>
            </w:r>
          </w:p>
          <w:p>
            <w:pPr>
              <w:pStyle w:val="28"/>
              <w:bidi w:val="0"/>
              <w:rPr>
                <w:rFonts w:hint="default"/>
                <w:color w:val="auto"/>
                <w:lang w:val="en-US" w:eastAsia="zh-CN"/>
              </w:rPr>
            </w:pPr>
            <w:r>
              <w:rPr>
                <w:rFonts w:hint="eastAsia"/>
                <w:color w:val="auto"/>
                <w:lang w:val="en-US" w:eastAsia="zh-CN"/>
              </w:rPr>
              <w:t>表4-4    废气类别、污染物及污染治理设施一览表</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7"/>
              <w:gridCol w:w="1755"/>
              <w:gridCol w:w="977"/>
              <w:gridCol w:w="1196"/>
              <w:gridCol w:w="871"/>
              <w:gridCol w:w="1281"/>
              <w:gridCol w:w="8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Merge w:val="restart"/>
                  <w:noWrap w:val="0"/>
                  <w:vAlign w:val="center"/>
                </w:tcPr>
                <w:p>
                  <w:pPr>
                    <w:pStyle w:val="29"/>
                    <w:widowControl w:val="0"/>
                    <w:bidi w:val="0"/>
                    <w:rPr>
                      <w:rFonts w:hint="default"/>
                      <w:b/>
                      <w:bCs/>
                      <w:color w:val="auto"/>
                      <w:lang w:val="en-US" w:eastAsia="zh-CN"/>
                    </w:rPr>
                  </w:pPr>
                  <w:r>
                    <w:rPr>
                      <w:rFonts w:hint="default"/>
                      <w:b/>
                      <w:bCs/>
                      <w:color w:val="auto"/>
                      <w:lang w:val="en-US" w:eastAsia="zh-CN"/>
                    </w:rPr>
                    <w:t>污染源类别</w:t>
                  </w:r>
                </w:p>
              </w:tc>
              <w:tc>
                <w:tcPr>
                  <w:tcW w:w="1118" w:type="pct"/>
                  <w:vMerge w:val="restart"/>
                  <w:noWrap w:val="0"/>
                  <w:vAlign w:val="center"/>
                </w:tcPr>
                <w:p>
                  <w:pPr>
                    <w:pStyle w:val="29"/>
                    <w:widowControl w:val="0"/>
                    <w:bidi w:val="0"/>
                    <w:rPr>
                      <w:rFonts w:hint="default"/>
                      <w:b/>
                      <w:bCs/>
                      <w:color w:val="auto"/>
                      <w:lang w:val="en-US" w:eastAsia="zh-CN"/>
                    </w:rPr>
                  </w:pPr>
                  <w:r>
                    <w:rPr>
                      <w:rFonts w:hint="default"/>
                      <w:b/>
                      <w:bCs/>
                      <w:color w:val="auto"/>
                      <w:lang w:val="en-US" w:eastAsia="zh-CN"/>
                    </w:rPr>
                    <w:t>排放口名称</w:t>
                  </w:r>
                </w:p>
                <w:p>
                  <w:pPr>
                    <w:pStyle w:val="29"/>
                    <w:widowControl w:val="0"/>
                    <w:bidi w:val="0"/>
                    <w:rPr>
                      <w:rFonts w:hint="default"/>
                      <w:b/>
                      <w:bCs/>
                      <w:color w:val="auto"/>
                      <w:lang w:val="en-US" w:eastAsia="zh-CN"/>
                    </w:rPr>
                  </w:pPr>
                  <w:r>
                    <w:rPr>
                      <w:rFonts w:hint="default"/>
                      <w:b/>
                      <w:bCs/>
                      <w:color w:val="auto"/>
                      <w:lang w:val="en-US" w:eastAsia="zh-CN"/>
                    </w:rPr>
                    <w:t>及编号</w:t>
                  </w:r>
                </w:p>
              </w:tc>
              <w:tc>
                <w:tcPr>
                  <w:tcW w:w="3310" w:type="pct"/>
                  <w:gridSpan w:val="5"/>
                  <w:tcBorders>
                    <w:bottom w:val="single" w:color="auto" w:sz="4"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排放口基本情况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vMerge w:val="continue"/>
                  <w:tcBorders>
                    <w:bottom w:val="single" w:color="auto" w:sz="12" w:space="0"/>
                  </w:tcBorders>
                  <w:noWrap w:val="0"/>
                  <w:vAlign w:val="center"/>
                </w:tcPr>
                <w:p>
                  <w:pPr>
                    <w:pStyle w:val="29"/>
                    <w:widowControl w:val="0"/>
                    <w:bidi w:val="0"/>
                    <w:rPr>
                      <w:rFonts w:hint="default"/>
                      <w:b/>
                      <w:bCs/>
                      <w:color w:val="auto"/>
                      <w:lang w:val="en-US" w:eastAsia="zh-CN"/>
                    </w:rPr>
                  </w:pPr>
                </w:p>
              </w:tc>
              <w:tc>
                <w:tcPr>
                  <w:tcW w:w="1118" w:type="pct"/>
                  <w:vMerge w:val="continue"/>
                  <w:tcBorders>
                    <w:bottom w:val="single" w:color="auto" w:sz="12" w:space="0"/>
                  </w:tcBorders>
                  <w:noWrap w:val="0"/>
                  <w:vAlign w:val="center"/>
                </w:tcPr>
                <w:p>
                  <w:pPr>
                    <w:pStyle w:val="29"/>
                    <w:widowControl w:val="0"/>
                    <w:bidi w:val="0"/>
                    <w:rPr>
                      <w:rFonts w:hint="default"/>
                      <w:b/>
                      <w:bCs/>
                      <w:color w:val="auto"/>
                      <w:lang w:val="en-US" w:eastAsia="zh-CN"/>
                    </w:rPr>
                  </w:pPr>
                </w:p>
              </w:tc>
              <w:tc>
                <w:tcPr>
                  <w:tcW w:w="622" w:type="pct"/>
                  <w:tcBorders>
                    <w:top w:val="single" w:color="auto" w:sz="4" w:space="0"/>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排气筒高度(m)</w:t>
                  </w:r>
                </w:p>
              </w:tc>
              <w:tc>
                <w:tcPr>
                  <w:tcW w:w="762" w:type="pct"/>
                  <w:tcBorders>
                    <w:top w:val="single" w:color="auto" w:sz="4" w:space="0"/>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排气筒出口内经(m)</w:t>
                  </w:r>
                </w:p>
              </w:tc>
              <w:tc>
                <w:tcPr>
                  <w:tcW w:w="555" w:type="pct"/>
                  <w:tcBorders>
                    <w:top w:val="single" w:color="auto" w:sz="4" w:space="0"/>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烟气温度(℃)</w:t>
                  </w:r>
                </w:p>
              </w:tc>
              <w:tc>
                <w:tcPr>
                  <w:tcW w:w="816" w:type="pct"/>
                  <w:tcBorders>
                    <w:top w:val="single" w:color="auto" w:sz="4" w:space="0"/>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坐标</w:t>
                  </w:r>
                </w:p>
              </w:tc>
              <w:tc>
                <w:tcPr>
                  <w:tcW w:w="553" w:type="pct"/>
                  <w:tcBorders>
                    <w:top w:val="single" w:color="auto" w:sz="4" w:space="0"/>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类型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tcBorders>
                    <w:top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有组织</w:t>
                  </w:r>
                </w:p>
              </w:tc>
              <w:tc>
                <w:tcPr>
                  <w:tcW w:w="1118" w:type="pct"/>
                  <w:tcBorders>
                    <w:top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废气排放口DA001</w:t>
                  </w:r>
                </w:p>
              </w:tc>
              <w:tc>
                <w:tcPr>
                  <w:tcW w:w="622" w:type="pct"/>
                  <w:tcBorders>
                    <w:top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15</w:t>
                  </w:r>
                </w:p>
              </w:tc>
              <w:tc>
                <w:tcPr>
                  <w:tcW w:w="762" w:type="pct"/>
                  <w:tcBorders>
                    <w:top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0.3</w:t>
                  </w:r>
                </w:p>
              </w:tc>
              <w:tc>
                <w:tcPr>
                  <w:tcW w:w="555" w:type="pct"/>
                  <w:tcBorders>
                    <w:top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15</w:t>
                  </w:r>
                </w:p>
              </w:tc>
              <w:tc>
                <w:tcPr>
                  <w:tcW w:w="816" w:type="pct"/>
                  <w:tcBorders>
                    <w:top w:val="single" w:color="auto" w:sz="12" w:space="0"/>
                  </w:tcBorders>
                  <w:noWrap w:val="0"/>
                  <w:vAlign w:val="center"/>
                </w:tcPr>
                <w:p>
                  <w:pPr>
                    <w:pStyle w:val="29"/>
                    <w:widowControl w:val="0"/>
                    <w:bidi w:val="0"/>
                    <w:rPr>
                      <w:rFonts w:hint="default"/>
                      <w:color w:val="auto"/>
                    </w:rPr>
                  </w:pPr>
                  <w:r>
                    <w:rPr>
                      <w:rFonts w:hint="default"/>
                      <w:color w:val="auto"/>
                      <w:lang w:val="en-US" w:eastAsia="zh-CN"/>
                    </w:rPr>
                    <w:t>E</w:t>
                  </w:r>
                  <w:r>
                    <w:rPr>
                      <w:rFonts w:hint="default"/>
                      <w:color w:val="auto"/>
                    </w:rPr>
                    <w:t>87.350261</w:t>
                  </w:r>
                </w:p>
                <w:p>
                  <w:pPr>
                    <w:pStyle w:val="29"/>
                    <w:widowControl w:val="0"/>
                    <w:bidi w:val="0"/>
                    <w:rPr>
                      <w:rFonts w:hint="default"/>
                      <w:color w:val="auto"/>
                      <w:lang w:val="en-US" w:eastAsia="zh-CN"/>
                    </w:rPr>
                  </w:pPr>
                  <w:r>
                    <w:rPr>
                      <w:rFonts w:hint="default"/>
                      <w:color w:val="auto"/>
                      <w:lang w:val="en-US" w:eastAsia="zh-CN"/>
                    </w:rPr>
                    <w:t>N</w:t>
                  </w:r>
                  <w:r>
                    <w:rPr>
                      <w:rFonts w:hint="default"/>
                      <w:color w:val="auto"/>
                    </w:rPr>
                    <w:t>44.206876</w:t>
                  </w:r>
                </w:p>
              </w:tc>
              <w:tc>
                <w:tcPr>
                  <w:tcW w:w="553" w:type="pct"/>
                  <w:tcBorders>
                    <w:top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571" w:type="pct"/>
                  <w:noWrap w:val="0"/>
                  <w:vAlign w:val="center"/>
                </w:tcPr>
                <w:p>
                  <w:pPr>
                    <w:pStyle w:val="29"/>
                    <w:widowControl w:val="0"/>
                    <w:bidi w:val="0"/>
                    <w:rPr>
                      <w:rFonts w:hint="eastAsia"/>
                      <w:color w:val="auto"/>
                      <w:lang w:val="en-US" w:eastAsia="zh-CN"/>
                    </w:rPr>
                  </w:pPr>
                  <w:r>
                    <w:rPr>
                      <w:rFonts w:hint="eastAsia"/>
                      <w:color w:val="auto"/>
                      <w:lang w:val="en-US" w:eastAsia="zh-CN"/>
                    </w:rPr>
                    <w:t>无组织</w:t>
                  </w:r>
                </w:p>
              </w:tc>
              <w:tc>
                <w:tcPr>
                  <w:tcW w:w="1118" w:type="pct"/>
                  <w:noWrap w:val="0"/>
                  <w:vAlign w:val="center"/>
                </w:tcPr>
                <w:p>
                  <w:pPr>
                    <w:pStyle w:val="29"/>
                    <w:widowControl w:val="0"/>
                    <w:bidi w:val="0"/>
                    <w:rPr>
                      <w:rFonts w:hint="default"/>
                      <w:color w:val="auto"/>
                      <w:lang w:val="en-US" w:eastAsia="zh-CN"/>
                    </w:rPr>
                  </w:pPr>
                  <w:r>
                    <w:rPr>
                      <w:rFonts w:hint="eastAsia"/>
                      <w:color w:val="auto"/>
                      <w:lang w:val="en-US" w:eastAsia="zh-CN"/>
                    </w:rPr>
                    <w:t>厂界</w:t>
                  </w:r>
                </w:p>
              </w:tc>
              <w:tc>
                <w:tcPr>
                  <w:tcW w:w="622" w:type="pct"/>
                  <w:noWrap w:val="0"/>
                  <w:vAlign w:val="center"/>
                </w:tcPr>
                <w:p>
                  <w:pPr>
                    <w:pStyle w:val="29"/>
                    <w:widowControl w:val="0"/>
                    <w:bidi w:val="0"/>
                    <w:rPr>
                      <w:rFonts w:hint="default"/>
                      <w:color w:val="auto"/>
                      <w:lang w:val="en-US" w:eastAsia="zh-CN"/>
                    </w:rPr>
                  </w:pPr>
                  <w:r>
                    <w:rPr>
                      <w:rFonts w:hint="eastAsia"/>
                      <w:color w:val="auto"/>
                      <w:lang w:val="en-US" w:eastAsia="zh-CN"/>
                    </w:rPr>
                    <w:t>/</w:t>
                  </w:r>
                </w:p>
              </w:tc>
              <w:tc>
                <w:tcPr>
                  <w:tcW w:w="762" w:type="pct"/>
                  <w:noWrap w:val="0"/>
                  <w:vAlign w:val="center"/>
                </w:tcPr>
                <w:p>
                  <w:pPr>
                    <w:pStyle w:val="29"/>
                    <w:widowControl w:val="0"/>
                    <w:bidi w:val="0"/>
                    <w:rPr>
                      <w:rFonts w:hint="default"/>
                      <w:color w:val="auto"/>
                      <w:lang w:val="en-US" w:eastAsia="zh-CN"/>
                    </w:rPr>
                  </w:pPr>
                  <w:r>
                    <w:rPr>
                      <w:rFonts w:hint="eastAsia"/>
                      <w:color w:val="auto"/>
                      <w:lang w:val="en-US" w:eastAsia="zh-CN"/>
                    </w:rPr>
                    <w:t>/</w:t>
                  </w:r>
                </w:p>
              </w:tc>
              <w:tc>
                <w:tcPr>
                  <w:tcW w:w="555" w:type="pct"/>
                  <w:noWrap w:val="0"/>
                  <w:vAlign w:val="center"/>
                </w:tcPr>
                <w:p>
                  <w:pPr>
                    <w:pStyle w:val="29"/>
                    <w:widowControl w:val="0"/>
                    <w:bidi w:val="0"/>
                    <w:rPr>
                      <w:rFonts w:hint="default"/>
                      <w:color w:val="auto"/>
                      <w:lang w:val="en-US" w:eastAsia="zh-CN"/>
                    </w:rPr>
                  </w:pPr>
                  <w:r>
                    <w:rPr>
                      <w:rFonts w:hint="eastAsia"/>
                      <w:color w:val="auto"/>
                      <w:lang w:val="en-US" w:eastAsia="zh-CN"/>
                    </w:rPr>
                    <w:t>/</w:t>
                  </w:r>
                </w:p>
              </w:tc>
              <w:tc>
                <w:tcPr>
                  <w:tcW w:w="816" w:type="pct"/>
                  <w:noWrap w:val="0"/>
                  <w:vAlign w:val="center"/>
                </w:tcPr>
                <w:p>
                  <w:pPr>
                    <w:pStyle w:val="29"/>
                    <w:widowControl w:val="0"/>
                    <w:bidi w:val="0"/>
                    <w:rPr>
                      <w:rFonts w:hint="default"/>
                      <w:color w:val="auto"/>
                      <w:lang w:val="en-US" w:eastAsia="zh-CN"/>
                    </w:rPr>
                  </w:pPr>
                  <w:r>
                    <w:rPr>
                      <w:rFonts w:hint="eastAsia"/>
                      <w:color w:val="auto"/>
                      <w:lang w:val="en-US" w:eastAsia="zh-CN"/>
                    </w:rPr>
                    <w:t>/</w:t>
                  </w:r>
                </w:p>
              </w:tc>
              <w:tc>
                <w:tcPr>
                  <w:tcW w:w="553" w:type="pct"/>
                  <w:noWrap w:val="0"/>
                  <w:vAlign w:val="center"/>
                </w:tcPr>
                <w:p>
                  <w:pPr>
                    <w:pStyle w:val="29"/>
                    <w:widowControl w:val="0"/>
                    <w:bidi w:val="0"/>
                    <w:rPr>
                      <w:rFonts w:hint="default"/>
                      <w:color w:val="auto"/>
                      <w:lang w:val="en-US" w:eastAsia="zh-CN"/>
                    </w:rPr>
                  </w:pPr>
                  <w:r>
                    <w:rPr>
                      <w:rFonts w:hint="eastAsia"/>
                      <w:color w:val="auto"/>
                      <w:lang w:val="en-US" w:eastAsia="zh-CN"/>
                    </w:rPr>
                    <w:t>/</w:t>
                  </w:r>
                </w:p>
              </w:tc>
            </w:tr>
          </w:tbl>
          <w:p>
            <w:pPr>
              <w:pStyle w:val="6"/>
              <w:bidi w:val="0"/>
              <w:rPr>
                <w:rFonts w:hint="default"/>
                <w:color w:val="auto"/>
                <w:lang w:val="en-US" w:eastAsia="zh-CN"/>
              </w:rPr>
            </w:pPr>
            <w:r>
              <w:rPr>
                <w:rFonts w:hint="eastAsia"/>
                <w:color w:val="auto"/>
                <w:lang w:val="en-US" w:eastAsia="zh-CN"/>
              </w:rPr>
              <w:t>2.4 监测计划</w:t>
            </w:r>
          </w:p>
          <w:p>
            <w:pPr>
              <w:pStyle w:val="18"/>
              <w:bidi w:val="0"/>
              <w:rPr>
                <w:color w:val="auto"/>
                <w:szCs w:val="32"/>
              </w:rPr>
            </w:pPr>
            <w:r>
              <w:rPr>
                <w:color w:val="auto"/>
              </w:rPr>
              <w:t>根据《排污单位自行监测技术指南</w:t>
            </w:r>
            <w:r>
              <w:rPr>
                <w:rFonts w:hint="eastAsia"/>
                <w:color w:val="auto"/>
              </w:rPr>
              <w:t xml:space="preserve"> </w:t>
            </w:r>
            <w:r>
              <w:rPr>
                <w:color w:val="auto"/>
              </w:rPr>
              <w:t>总则》（HJ 819-2017）</w:t>
            </w:r>
            <w:r>
              <w:rPr>
                <w:rFonts w:hint="eastAsia"/>
                <w:color w:val="auto"/>
                <w:lang w:eastAsia="zh-CN"/>
              </w:rPr>
              <w:t>及</w:t>
            </w:r>
            <w:r>
              <w:rPr>
                <w:rFonts w:hint="eastAsia"/>
                <w:color w:val="auto"/>
                <w:lang w:val="en-US" w:eastAsia="zh-CN"/>
              </w:rPr>
              <w:t>《排污许可证申请与核发技术规范 环境卫生管理业》(HJ1116-2020）</w:t>
            </w:r>
            <w:r>
              <w:rPr>
                <w:color w:val="auto"/>
              </w:rPr>
              <w:t>相关规定，排污单位应按照最新的监测方案开展监测活动，</w:t>
            </w:r>
            <w:r>
              <w:rPr>
                <w:rFonts w:hint="eastAsia"/>
                <w:color w:val="auto"/>
              </w:rPr>
              <w:t>建设单位可委托有资质的环境监测机构进行监测。同时，企业应建立健全污染源监控和环境监测技术档案，并接受当地环境保护主管部门的业务指导、监督和检查。具体监测项目及内容如下：</w:t>
            </w:r>
          </w:p>
          <w:p>
            <w:pPr>
              <w:pStyle w:val="28"/>
              <w:bidi w:val="0"/>
              <w:rPr>
                <w:color w:val="auto"/>
              </w:rPr>
            </w:pPr>
            <w:r>
              <w:rPr>
                <w:color w:val="auto"/>
              </w:rPr>
              <w:t>表</w:t>
            </w:r>
            <w:r>
              <w:rPr>
                <w:rFonts w:hint="eastAsia"/>
                <w:color w:val="auto"/>
                <w:lang w:val="en-US" w:eastAsia="zh-CN"/>
              </w:rPr>
              <w:t>4-5</w:t>
            </w:r>
            <w:r>
              <w:rPr>
                <w:color w:val="auto"/>
              </w:rPr>
              <w:t xml:space="preserve">   </w:t>
            </w:r>
            <w:r>
              <w:rPr>
                <w:rFonts w:hint="eastAsia"/>
                <w:color w:val="auto"/>
              </w:rPr>
              <w:t xml:space="preserve">  </w:t>
            </w:r>
            <w:r>
              <w:rPr>
                <w:rFonts w:hint="eastAsia"/>
                <w:color w:val="auto"/>
                <w:lang w:val="en-US" w:eastAsia="zh-CN"/>
              </w:rPr>
              <w:t>废气</w:t>
            </w:r>
            <w:r>
              <w:rPr>
                <w:color w:val="auto"/>
              </w:rPr>
              <w:t>监测内容及计划</w:t>
            </w:r>
          </w:p>
          <w:tbl>
            <w:tblPr>
              <w:tblStyle w:val="2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351"/>
              <w:gridCol w:w="2787"/>
              <w:gridCol w:w="1935"/>
              <w:gridCol w:w="8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2" w:type="pct"/>
                  <w:vMerge w:val="restart"/>
                  <w:noWrap w:val="0"/>
                  <w:vAlign w:val="center"/>
                </w:tcPr>
                <w:p>
                  <w:pPr>
                    <w:pStyle w:val="29"/>
                    <w:widowControl w:val="0"/>
                    <w:bidi w:val="0"/>
                    <w:rPr>
                      <w:rFonts w:hint="default"/>
                      <w:b/>
                      <w:bCs/>
                      <w:color w:val="auto"/>
                      <w:lang w:val="en-US" w:eastAsia="zh-CN"/>
                    </w:rPr>
                  </w:pPr>
                  <w:r>
                    <w:rPr>
                      <w:rFonts w:hint="default"/>
                      <w:b/>
                      <w:bCs/>
                      <w:color w:val="auto"/>
                      <w:lang w:val="en-US" w:eastAsia="zh-CN"/>
                    </w:rPr>
                    <w:t>污染源类别</w:t>
                  </w:r>
                </w:p>
              </w:tc>
              <w:tc>
                <w:tcPr>
                  <w:tcW w:w="860" w:type="pct"/>
                  <w:vMerge w:val="restart"/>
                  <w:noWrap w:val="0"/>
                  <w:vAlign w:val="center"/>
                </w:tcPr>
                <w:p>
                  <w:pPr>
                    <w:pStyle w:val="29"/>
                    <w:widowControl w:val="0"/>
                    <w:bidi w:val="0"/>
                    <w:rPr>
                      <w:rFonts w:hint="default"/>
                      <w:b/>
                      <w:bCs/>
                      <w:color w:val="auto"/>
                      <w:lang w:val="en-US" w:eastAsia="zh-CN"/>
                    </w:rPr>
                  </w:pPr>
                  <w:r>
                    <w:rPr>
                      <w:rFonts w:hint="default"/>
                      <w:b/>
                      <w:bCs/>
                      <w:color w:val="auto"/>
                      <w:lang w:val="en-US" w:eastAsia="zh-CN"/>
                    </w:rPr>
                    <w:t>排放口名称及编号</w:t>
                  </w:r>
                </w:p>
              </w:tc>
              <w:tc>
                <w:tcPr>
                  <w:tcW w:w="1775" w:type="pct"/>
                  <w:vMerge w:val="restar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监测点位</w:t>
                  </w:r>
                </w:p>
              </w:tc>
              <w:tc>
                <w:tcPr>
                  <w:tcW w:w="1232" w:type="pct"/>
                  <w:vMerge w:val="restar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监测因子</w:t>
                  </w:r>
                </w:p>
              </w:tc>
              <w:tc>
                <w:tcPr>
                  <w:tcW w:w="519" w:type="pct"/>
                  <w:vMerge w:val="restar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监测</w:t>
                  </w:r>
                </w:p>
                <w:p>
                  <w:pPr>
                    <w:pStyle w:val="29"/>
                    <w:widowControl w:val="0"/>
                    <w:bidi w:val="0"/>
                    <w:rPr>
                      <w:rFonts w:hint="default"/>
                      <w:b/>
                      <w:bCs/>
                      <w:color w:val="auto"/>
                      <w:lang w:val="en-US" w:eastAsia="zh-CN"/>
                    </w:rPr>
                  </w:pPr>
                  <w:r>
                    <w:rPr>
                      <w:rFonts w:hint="default"/>
                      <w:b/>
                      <w:bCs/>
                      <w:color w:val="auto"/>
                      <w:lang w:val="en-US" w:eastAsia="zh-CN"/>
                    </w:rPr>
                    <w:t>频次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12" w:type="pct"/>
                  <w:vMerge w:val="continue"/>
                  <w:tcBorders>
                    <w:bottom w:val="single" w:color="auto" w:sz="12" w:space="0"/>
                  </w:tcBorders>
                  <w:noWrap w:val="0"/>
                  <w:vAlign w:val="center"/>
                </w:tcPr>
                <w:p>
                  <w:pPr>
                    <w:pStyle w:val="29"/>
                    <w:widowControl w:val="0"/>
                    <w:bidi w:val="0"/>
                    <w:rPr>
                      <w:rFonts w:hint="default"/>
                      <w:color w:val="auto"/>
                      <w:lang w:val="en-US" w:eastAsia="zh-CN"/>
                    </w:rPr>
                  </w:pPr>
                </w:p>
              </w:tc>
              <w:tc>
                <w:tcPr>
                  <w:tcW w:w="860" w:type="pct"/>
                  <w:vMerge w:val="continue"/>
                  <w:tcBorders>
                    <w:bottom w:val="single" w:color="auto" w:sz="12" w:space="0"/>
                  </w:tcBorders>
                  <w:noWrap w:val="0"/>
                  <w:vAlign w:val="center"/>
                </w:tcPr>
                <w:p>
                  <w:pPr>
                    <w:pStyle w:val="29"/>
                    <w:widowControl w:val="0"/>
                    <w:bidi w:val="0"/>
                    <w:rPr>
                      <w:rFonts w:hint="default"/>
                      <w:color w:val="auto"/>
                      <w:lang w:val="en-US" w:eastAsia="zh-CN"/>
                    </w:rPr>
                  </w:pPr>
                </w:p>
              </w:tc>
              <w:tc>
                <w:tcPr>
                  <w:tcW w:w="1775" w:type="pct"/>
                  <w:vMerge w:val="continue"/>
                  <w:tcBorders>
                    <w:top w:val="single" w:color="auto" w:sz="12" w:space="0"/>
                    <w:bottom w:val="single" w:color="auto" w:sz="12" w:space="0"/>
                    <w:tl2br w:val="nil"/>
                    <w:tr2bl w:val="nil"/>
                  </w:tcBorders>
                  <w:noWrap w:val="0"/>
                  <w:vAlign w:val="center"/>
                </w:tcPr>
                <w:p>
                  <w:pPr>
                    <w:pStyle w:val="29"/>
                    <w:widowControl w:val="0"/>
                    <w:bidi w:val="0"/>
                    <w:rPr>
                      <w:rFonts w:hint="default"/>
                      <w:color w:val="auto"/>
                      <w:lang w:val="en-US" w:eastAsia="zh-CN"/>
                    </w:rPr>
                  </w:pPr>
                </w:p>
              </w:tc>
              <w:tc>
                <w:tcPr>
                  <w:tcW w:w="1232" w:type="pct"/>
                  <w:vMerge w:val="continue"/>
                  <w:tcBorders>
                    <w:top w:val="single" w:color="auto" w:sz="12" w:space="0"/>
                    <w:bottom w:val="single" w:color="auto" w:sz="12" w:space="0"/>
                    <w:tl2br w:val="nil"/>
                    <w:tr2bl w:val="nil"/>
                  </w:tcBorders>
                  <w:noWrap w:val="0"/>
                  <w:vAlign w:val="center"/>
                </w:tcPr>
                <w:p>
                  <w:pPr>
                    <w:pStyle w:val="29"/>
                    <w:widowControl w:val="0"/>
                    <w:bidi w:val="0"/>
                    <w:rPr>
                      <w:rFonts w:hint="default"/>
                      <w:color w:val="auto"/>
                      <w:lang w:val="en-US" w:eastAsia="zh-CN"/>
                    </w:rPr>
                  </w:pPr>
                </w:p>
              </w:tc>
              <w:tc>
                <w:tcPr>
                  <w:tcW w:w="519" w:type="pct"/>
                  <w:vMerge w:val="continue"/>
                  <w:tcBorders>
                    <w:top w:val="single" w:color="auto" w:sz="12" w:space="0"/>
                    <w:bottom w:val="single" w:color="auto" w:sz="12" w:space="0"/>
                    <w:tl2br w:val="nil"/>
                    <w:tr2bl w:val="nil"/>
                  </w:tcBorders>
                  <w:noWrap w:val="0"/>
                  <w:vAlign w:val="center"/>
                </w:tcPr>
                <w:p>
                  <w:pPr>
                    <w:pStyle w:val="29"/>
                    <w:widowControl w:val="0"/>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eastAsia"/>
                      <w:color w:val="auto"/>
                      <w:lang w:val="en-US" w:eastAsia="zh-CN"/>
                    </w:rPr>
                    <w:t>有组织</w:t>
                  </w:r>
                </w:p>
              </w:tc>
              <w:tc>
                <w:tcPr>
                  <w:tcW w:w="860"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eastAsia"/>
                      <w:color w:val="auto"/>
                      <w:lang w:val="en-US" w:eastAsia="zh-CN"/>
                    </w:rPr>
                    <w:t>废气排放口DA001</w:t>
                  </w:r>
                </w:p>
              </w:tc>
              <w:tc>
                <w:tcPr>
                  <w:tcW w:w="1775"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default"/>
                      <w:color w:val="auto"/>
                    </w:rPr>
                    <w:t>排气筒</w:t>
                  </w:r>
                  <w:r>
                    <w:rPr>
                      <w:rFonts w:hint="default"/>
                      <w:color w:val="auto"/>
                      <w:lang w:val="en-US" w:eastAsia="zh-CN"/>
                    </w:rPr>
                    <w:t>监测点处</w:t>
                  </w:r>
                </w:p>
              </w:tc>
              <w:tc>
                <w:tcPr>
                  <w:tcW w:w="1232"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default"/>
                      <w:color w:val="auto"/>
                      <w:lang w:val="en-US" w:eastAsia="zh-CN"/>
                    </w:rPr>
                    <w:t>NH</w:t>
                  </w:r>
                  <w:r>
                    <w:rPr>
                      <w:rFonts w:hint="default"/>
                      <w:color w:val="auto"/>
                      <w:vertAlign w:val="subscript"/>
                      <w:lang w:val="en-US" w:eastAsia="zh-CN"/>
                    </w:rPr>
                    <w:t>3</w:t>
                  </w:r>
                  <w:r>
                    <w:rPr>
                      <w:rFonts w:hint="eastAsia"/>
                      <w:color w:val="auto"/>
                      <w:lang w:val="en-US" w:eastAsia="zh-CN"/>
                    </w:rPr>
                    <w:t xml:space="preserve">、 </w:t>
                  </w: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S</w:t>
                  </w:r>
                  <w:r>
                    <w:rPr>
                      <w:rFonts w:hint="eastAsia"/>
                      <w:color w:val="auto"/>
                      <w:lang w:val="en-US" w:eastAsia="zh-CN"/>
                    </w:rPr>
                    <w:t>、臭气浓度、颗粒物</w:t>
                  </w:r>
                </w:p>
              </w:tc>
              <w:tc>
                <w:tcPr>
                  <w:tcW w:w="519" w:type="pct"/>
                  <w:tcBorders>
                    <w:top w:val="single" w:color="auto" w:sz="12" w:space="0"/>
                    <w:bottom w:val="single" w:color="auto" w:sz="4" w:space="0"/>
                  </w:tcBorders>
                  <w:noWrap w:val="0"/>
                  <w:vAlign w:val="center"/>
                </w:tcPr>
                <w:p>
                  <w:pPr>
                    <w:pStyle w:val="29"/>
                    <w:widowControl w:val="0"/>
                    <w:bidi w:val="0"/>
                    <w:rPr>
                      <w:rFonts w:hint="default"/>
                      <w:color w:val="auto"/>
                      <w:lang w:val="en-US" w:eastAsia="zh-CN"/>
                    </w:rPr>
                  </w:pPr>
                  <w:r>
                    <w:rPr>
                      <w:rFonts w:hint="eastAsia"/>
                      <w:color w:val="auto"/>
                      <w:lang w:val="en-US" w:eastAsia="zh-CN"/>
                    </w:rPr>
                    <w:t>1次/半年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12" w:type="pct"/>
                  <w:tcBorders>
                    <w:top w:val="single" w:color="auto" w:sz="4" w:space="0"/>
                    <w:bottom w:val="single" w:color="auto" w:sz="12" w:space="0"/>
                  </w:tcBorders>
                  <w:noWrap w:val="0"/>
                  <w:vAlign w:val="center"/>
                </w:tcPr>
                <w:p>
                  <w:pPr>
                    <w:pStyle w:val="29"/>
                    <w:widowControl w:val="0"/>
                    <w:bidi w:val="0"/>
                    <w:rPr>
                      <w:rFonts w:hint="eastAsia"/>
                      <w:color w:val="auto"/>
                      <w:lang w:val="en-US" w:eastAsia="zh-CN"/>
                    </w:rPr>
                  </w:pPr>
                  <w:r>
                    <w:rPr>
                      <w:rFonts w:hint="eastAsia"/>
                      <w:color w:val="auto"/>
                      <w:lang w:val="en-US" w:eastAsia="zh-CN"/>
                    </w:rPr>
                    <w:t>无组织</w:t>
                  </w:r>
                </w:p>
              </w:tc>
              <w:tc>
                <w:tcPr>
                  <w:tcW w:w="860" w:type="pct"/>
                  <w:tcBorders>
                    <w:top w:val="single" w:color="auto" w:sz="4" w:space="0"/>
                    <w:bottom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厂界</w:t>
                  </w:r>
                </w:p>
              </w:tc>
              <w:tc>
                <w:tcPr>
                  <w:tcW w:w="1775" w:type="pct"/>
                  <w:tcBorders>
                    <w:top w:val="single" w:color="auto" w:sz="4" w:space="0"/>
                    <w:bottom w:val="single" w:color="auto" w:sz="12" w:space="0"/>
                  </w:tcBorders>
                  <w:noWrap w:val="0"/>
                  <w:vAlign w:val="center"/>
                </w:tcPr>
                <w:p>
                  <w:pPr>
                    <w:pStyle w:val="29"/>
                    <w:widowControl w:val="0"/>
                    <w:bidi w:val="0"/>
                    <w:rPr>
                      <w:rFonts w:hint="default"/>
                      <w:color w:val="auto"/>
                      <w:lang w:val="en-US" w:eastAsia="zh-CN"/>
                    </w:rPr>
                  </w:pPr>
                  <w:r>
                    <w:rPr>
                      <w:rFonts w:hint="default"/>
                      <w:color w:val="auto"/>
                      <w:lang w:val="en-US" w:eastAsia="zh-CN"/>
                    </w:rPr>
                    <w:t>厂界外20 m处上风向设参照点，下风向设监控点</w:t>
                  </w:r>
                </w:p>
              </w:tc>
              <w:tc>
                <w:tcPr>
                  <w:tcW w:w="1232" w:type="pct"/>
                  <w:tcBorders>
                    <w:top w:val="single" w:color="auto" w:sz="4" w:space="0"/>
                    <w:bottom w:val="single" w:color="auto" w:sz="12" w:space="0"/>
                  </w:tcBorders>
                  <w:noWrap w:val="0"/>
                  <w:vAlign w:val="center"/>
                </w:tcPr>
                <w:p>
                  <w:pPr>
                    <w:pStyle w:val="29"/>
                    <w:widowControl w:val="0"/>
                    <w:bidi w:val="0"/>
                    <w:rPr>
                      <w:rFonts w:hint="default"/>
                      <w:color w:val="auto"/>
                      <w:lang w:val="en-US" w:eastAsia="zh-CN"/>
                    </w:rPr>
                  </w:pPr>
                  <w:r>
                    <w:rPr>
                      <w:rFonts w:hint="default"/>
                      <w:color w:val="auto"/>
                      <w:lang w:val="en-US" w:eastAsia="zh-CN"/>
                    </w:rPr>
                    <w:t>NH</w:t>
                  </w:r>
                  <w:r>
                    <w:rPr>
                      <w:rFonts w:hint="default"/>
                      <w:color w:val="auto"/>
                      <w:vertAlign w:val="subscript"/>
                      <w:lang w:val="en-US" w:eastAsia="zh-CN"/>
                    </w:rPr>
                    <w:t>3</w:t>
                  </w:r>
                  <w:r>
                    <w:rPr>
                      <w:rFonts w:hint="eastAsia"/>
                      <w:color w:val="auto"/>
                      <w:lang w:val="en-US" w:eastAsia="zh-CN"/>
                    </w:rPr>
                    <w:t xml:space="preserve">、 </w:t>
                  </w:r>
                  <w:r>
                    <w:rPr>
                      <w:rFonts w:hint="default"/>
                      <w:color w:val="auto"/>
                      <w:lang w:val="en-US" w:eastAsia="zh-CN"/>
                    </w:rPr>
                    <w:t>H</w:t>
                  </w:r>
                  <w:r>
                    <w:rPr>
                      <w:rFonts w:hint="default"/>
                      <w:color w:val="auto"/>
                      <w:vertAlign w:val="subscript"/>
                      <w:lang w:val="en-US" w:eastAsia="zh-CN"/>
                    </w:rPr>
                    <w:t>2</w:t>
                  </w:r>
                  <w:r>
                    <w:rPr>
                      <w:rFonts w:hint="default"/>
                      <w:color w:val="auto"/>
                      <w:lang w:val="en-US" w:eastAsia="zh-CN"/>
                    </w:rPr>
                    <w:t>S</w:t>
                  </w:r>
                  <w:r>
                    <w:rPr>
                      <w:rFonts w:hint="eastAsia"/>
                      <w:color w:val="auto"/>
                      <w:lang w:val="en-US" w:eastAsia="zh-CN"/>
                    </w:rPr>
                    <w:t>、臭气浓度、颗粒物</w:t>
                  </w:r>
                </w:p>
              </w:tc>
              <w:tc>
                <w:tcPr>
                  <w:tcW w:w="519" w:type="pct"/>
                  <w:tcBorders>
                    <w:top w:val="single" w:color="auto" w:sz="4" w:space="0"/>
                    <w:bottom w:val="single" w:color="auto" w:sz="12" w:space="0"/>
                  </w:tcBorders>
                  <w:noWrap w:val="0"/>
                  <w:vAlign w:val="center"/>
                </w:tcPr>
                <w:p>
                  <w:pPr>
                    <w:pStyle w:val="29"/>
                    <w:widowControl w:val="0"/>
                    <w:bidi w:val="0"/>
                    <w:rPr>
                      <w:rFonts w:hint="default"/>
                      <w:color w:val="auto"/>
                      <w:lang w:val="en-US" w:eastAsia="zh-CN"/>
                    </w:rPr>
                  </w:pPr>
                  <w:r>
                    <w:rPr>
                      <w:rFonts w:hint="eastAsia"/>
                      <w:color w:val="auto"/>
                      <w:lang w:val="en-US" w:eastAsia="zh-CN"/>
                    </w:rPr>
                    <w:t>1</w:t>
                  </w:r>
                  <w:r>
                    <w:rPr>
                      <w:rFonts w:hint="default"/>
                      <w:color w:val="auto"/>
                      <w:lang w:val="en-US" w:eastAsia="zh-CN"/>
                    </w:rPr>
                    <w:t>次/季度</w:t>
                  </w:r>
                </w:p>
              </w:tc>
            </w:tr>
          </w:tbl>
          <w:p>
            <w:pPr>
              <w:pStyle w:val="5"/>
              <w:numPr>
                <w:ilvl w:val="0"/>
                <w:numId w:val="20"/>
              </w:numPr>
              <w:bidi w:val="0"/>
              <w:rPr>
                <w:rFonts w:hint="eastAsia"/>
                <w:color w:val="auto"/>
              </w:rPr>
            </w:pPr>
            <w:r>
              <w:rPr>
                <w:rFonts w:hint="eastAsia"/>
                <w:color w:val="auto"/>
              </w:rPr>
              <w:t>噪声影响分析及减缓措施</w:t>
            </w:r>
          </w:p>
          <w:p>
            <w:pPr>
              <w:pStyle w:val="6"/>
              <w:bidi w:val="0"/>
              <w:rPr>
                <w:rFonts w:hint="default" w:ascii="Times New Roman" w:hAnsi="Times New Roman" w:eastAsia="宋体" w:cs="Times New Roman"/>
                <w:b/>
                <w:bCs/>
                <w:color w:val="auto"/>
                <w:spacing w:val="0"/>
                <w:sz w:val="24"/>
                <w:szCs w:val="24"/>
              </w:rPr>
            </w:pPr>
            <w:r>
              <w:rPr>
                <w:rFonts w:hint="eastAsia"/>
                <w:color w:val="auto"/>
                <w:lang w:val="en-US" w:eastAsia="zh-CN"/>
              </w:rPr>
              <w:t xml:space="preserve">3.1 </w:t>
            </w:r>
            <w:r>
              <w:rPr>
                <w:rFonts w:hint="default" w:ascii="Times New Roman" w:hAnsi="Times New Roman" w:eastAsia="宋体" w:cs="Times New Roman"/>
                <w:b/>
                <w:bCs/>
                <w:color w:val="auto"/>
                <w:spacing w:val="0"/>
                <w:sz w:val="24"/>
                <w:szCs w:val="24"/>
              </w:rPr>
              <w:t>噪声源</w:t>
            </w:r>
          </w:p>
          <w:p>
            <w:pPr>
              <w:pStyle w:val="18"/>
              <w:bidi w:val="0"/>
              <w:rPr>
                <w:rFonts w:hint="default" w:ascii="Times New Roman" w:hAnsi="Times New Roman" w:eastAsia="宋体"/>
                <w:color w:val="auto"/>
              </w:rPr>
            </w:pPr>
            <w:r>
              <w:rPr>
                <w:rFonts w:hint="default"/>
                <w:color w:val="auto"/>
              </w:rPr>
              <w:t>本项目运营期噪声主要来自</w:t>
            </w:r>
            <w:r>
              <w:rPr>
                <w:rFonts w:hint="eastAsia"/>
                <w:color w:val="auto"/>
                <w:lang w:val="en-US" w:eastAsia="zh-CN"/>
              </w:rPr>
              <w:t>垃圾压缩设备、风机</w:t>
            </w:r>
            <w:r>
              <w:rPr>
                <w:rFonts w:hint="default"/>
                <w:color w:val="auto"/>
                <w:lang w:eastAsia="zh-CN"/>
              </w:rPr>
              <w:t>等，</w:t>
            </w:r>
            <w:r>
              <w:rPr>
                <w:rFonts w:hint="default"/>
                <w:color w:val="auto"/>
              </w:rPr>
              <w:t>其噪声值一般在7</w:t>
            </w:r>
            <w:r>
              <w:rPr>
                <w:rFonts w:hint="eastAsia"/>
                <w:color w:val="auto"/>
                <w:lang w:val="en-US" w:eastAsia="zh-CN"/>
              </w:rPr>
              <w:t>0</w:t>
            </w:r>
            <w:r>
              <w:rPr>
                <w:rFonts w:hint="default"/>
                <w:color w:val="auto"/>
              </w:rPr>
              <w:t>~</w:t>
            </w:r>
            <w:r>
              <w:rPr>
                <w:rFonts w:hint="eastAsia"/>
                <w:color w:val="auto"/>
                <w:lang w:val="en-US" w:eastAsia="zh-CN"/>
              </w:rPr>
              <w:t>85</w:t>
            </w:r>
            <w:r>
              <w:rPr>
                <w:rFonts w:hint="default"/>
                <w:color w:val="auto"/>
              </w:rPr>
              <w:t>dB(A)之间。主要噪声源强见</w:t>
            </w:r>
            <w:r>
              <w:rPr>
                <w:rFonts w:hint="default" w:ascii="Times New Roman" w:hAnsi="Times New Roman" w:eastAsia="宋体"/>
                <w:color w:val="auto"/>
                <w:lang w:val="en-US" w:eastAsia="zh-CN"/>
              </w:rPr>
              <w:t>表</w:t>
            </w:r>
            <w:r>
              <w:rPr>
                <w:rFonts w:hint="eastAsia" w:ascii="Times New Roman" w:hAnsi="Times New Roman" w:eastAsia="宋体"/>
                <w:color w:val="auto"/>
                <w:lang w:val="en-US" w:eastAsia="zh-CN"/>
              </w:rPr>
              <w:t>4-</w:t>
            </w:r>
            <w:r>
              <w:rPr>
                <w:rFonts w:hint="eastAsia"/>
                <w:color w:val="auto"/>
                <w:lang w:val="en-US" w:eastAsia="zh-CN"/>
              </w:rPr>
              <w:t>6</w:t>
            </w:r>
            <w:r>
              <w:rPr>
                <w:rFonts w:hint="default" w:ascii="Times New Roman" w:hAnsi="Times New Roman" w:eastAsia="宋体"/>
                <w:color w:val="auto"/>
              </w:rPr>
              <w:t>。</w:t>
            </w:r>
          </w:p>
          <w:p>
            <w:pPr>
              <w:pStyle w:val="28"/>
              <w:bidi w:val="0"/>
              <w:rPr>
                <w:rFonts w:hint="default"/>
                <w:color w:val="auto"/>
              </w:rPr>
            </w:pPr>
            <w:r>
              <w:rPr>
                <w:rFonts w:hint="default"/>
                <w:color w:val="auto"/>
              </w:rPr>
              <w:t>表</w:t>
            </w:r>
            <w:r>
              <w:rPr>
                <w:rFonts w:hint="eastAsia"/>
                <w:color w:val="auto"/>
                <w:lang w:val="en-US" w:eastAsia="zh-CN"/>
              </w:rPr>
              <w:t>4-6</w:t>
            </w:r>
            <w:r>
              <w:rPr>
                <w:rFonts w:hint="default"/>
                <w:color w:val="auto"/>
              </w:rPr>
              <w:t xml:space="preserve">    主要设备噪声源强  单位：dB(A)</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01"/>
              <w:gridCol w:w="1230"/>
              <w:gridCol w:w="1318"/>
              <w:gridCol w:w="1335"/>
              <w:gridCol w:w="1797"/>
              <w:gridCol w:w="116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11" w:hRule="atLeast"/>
                <w:jc w:val="center"/>
              </w:trPr>
              <w:tc>
                <w:tcPr>
                  <w:tcW w:w="638" w:type="pct"/>
                  <w:tcBorders>
                    <w:bottom w:val="single" w:color="auto" w:sz="12" w:space="0"/>
                  </w:tcBorders>
                  <w:noWrap w:val="0"/>
                  <w:vAlign w:val="center"/>
                </w:tcPr>
                <w:p>
                  <w:pPr>
                    <w:pStyle w:val="29"/>
                    <w:bidi w:val="0"/>
                    <w:rPr>
                      <w:rFonts w:hint="default"/>
                      <w:b/>
                      <w:bCs/>
                      <w:color w:val="auto"/>
                    </w:rPr>
                  </w:pPr>
                  <w:r>
                    <w:rPr>
                      <w:rFonts w:hint="default"/>
                      <w:b/>
                      <w:bCs/>
                      <w:color w:val="auto"/>
                    </w:rPr>
                    <w:t>噪声源</w:t>
                  </w:r>
                </w:p>
              </w:tc>
              <w:tc>
                <w:tcPr>
                  <w:tcW w:w="783" w:type="pct"/>
                  <w:tcBorders>
                    <w:bottom w:val="single" w:color="auto" w:sz="12" w:space="0"/>
                  </w:tcBorders>
                  <w:noWrap w:val="0"/>
                  <w:vAlign w:val="center"/>
                </w:tcPr>
                <w:p>
                  <w:pPr>
                    <w:pStyle w:val="29"/>
                    <w:bidi w:val="0"/>
                    <w:rPr>
                      <w:rFonts w:hint="default"/>
                      <w:b/>
                      <w:bCs/>
                      <w:color w:val="auto"/>
                    </w:rPr>
                  </w:pPr>
                  <w:r>
                    <w:rPr>
                      <w:rFonts w:hint="default"/>
                      <w:b/>
                      <w:bCs/>
                      <w:color w:val="auto"/>
                    </w:rPr>
                    <w:t>噪声设备</w:t>
                  </w:r>
                </w:p>
              </w:tc>
              <w:tc>
                <w:tcPr>
                  <w:tcW w:w="839" w:type="pct"/>
                  <w:tcBorders>
                    <w:bottom w:val="single" w:color="auto" w:sz="12" w:space="0"/>
                  </w:tcBorders>
                  <w:noWrap w:val="0"/>
                  <w:vAlign w:val="center"/>
                </w:tcPr>
                <w:p>
                  <w:pPr>
                    <w:pStyle w:val="29"/>
                    <w:bidi w:val="0"/>
                    <w:rPr>
                      <w:rFonts w:hint="default"/>
                      <w:b/>
                      <w:bCs/>
                      <w:color w:val="auto"/>
                    </w:rPr>
                  </w:pPr>
                  <w:r>
                    <w:rPr>
                      <w:rFonts w:hint="default"/>
                      <w:b/>
                      <w:bCs/>
                      <w:color w:val="auto"/>
                    </w:rPr>
                    <w:t>台数(台/套)</w:t>
                  </w:r>
                </w:p>
              </w:tc>
              <w:tc>
                <w:tcPr>
                  <w:tcW w:w="850" w:type="pct"/>
                  <w:tcBorders>
                    <w:bottom w:val="single" w:color="auto" w:sz="12" w:space="0"/>
                  </w:tcBorders>
                  <w:noWrap w:val="0"/>
                  <w:vAlign w:val="center"/>
                </w:tcPr>
                <w:p>
                  <w:pPr>
                    <w:pStyle w:val="29"/>
                    <w:bidi w:val="0"/>
                    <w:rPr>
                      <w:rFonts w:hint="default"/>
                      <w:b/>
                      <w:bCs/>
                      <w:color w:val="auto"/>
                    </w:rPr>
                  </w:pPr>
                  <w:r>
                    <w:rPr>
                      <w:rFonts w:hint="default"/>
                      <w:b/>
                      <w:bCs/>
                      <w:color w:val="auto"/>
                    </w:rPr>
                    <w:t>噪声值</w:t>
                  </w:r>
                </w:p>
              </w:tc>
              <w:tc>
                <w:tcPr>
                  <w:tcW w:w="1144" w:type="pct"/>
                  <w:tcBorders>
                    <w:bottom w:val="single" w:color="auto" w:sz="12" w:space="0"/>
                  </w:tcBorders>
                  <w:noWrap w:val="0"/>
                  <w:vAlign w:val="center"/>
                </w:tcPr>
                <w:p>
                  <w:pPr>
                    <w:pStyle w:val="29"/>
                    <w:bidi w:val="0"/>
                    <w:rPr>
                      <w:rFonts w:hint="default"/>
                      <w:b/>
                      <w:bCs/>
                      <w:color w:val="auto"/>
                    </w:rPr>
                  </w:pPr>
                  <w:r>
                    <w:rPr>
                      <w:rFonts w:hint="default"/>
                      <w:b/>
                      <w:bCs/>
                      <w:color w:val="auto"/>
                    </w:rPr>
                    <w:t>处理措施</w:t>
                  </w:r>
                </w:p>
              </w:tc>
              <w:tc>
                <w:tcPr>
                  <w:tcW w:w="744" w:type="pct"/>
                  <w:tcBorders>
                    <w:bottom w:val="single" w:color="auto" w:sz="12" w:space="0"/>
                  </w:tcBorders>
                  <w:noWrap w:val="0"/>
                  <w:vAlign w:val="center"/>
                </w:tcPr>
                <w:p>
                  <w:pPr>
                    <w:pStyle w:val="29"/>
                    <w:bidi w:val="0"/>
                    <w:rPr>
                      <w:rFonts w:hint="default"/>
                      <w:b/>
                      <w:bCs/>
                      <w:color w:val="auto"/>
                    </w:rPr>
                  </w:pPr>
                  <w:r>
                    <w:rPr>
                      <w:rFonts w:hint="default"/>
                      <w:b/>
                      <w:bCs/>
                      <w:color w:val="auto"/>
                    </w:rPr>
                    <w:t>降噪效果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638" w:type="pct"/>
                  <w:vMerge w:val="restart"/>
                  <w:tcBorders>
                    <w:top w:val="single" w:color="auto" w:sz="12" w:space="0"/>
                  </w:tcBorders>
                  <w:noWrap w:val="0"/>
                  <w:vAlign w:val="center"/>
                </w:tcPr>
                <w:p>
                  <w:pPr>
                    <w:pStyle w:val="29"/>
                    <w:bidi w:val="0"/>
                    <w:rPr>
                      <w:rFonts w:hint="default"/>
                      <w:color w:val="auto"/>
                      <w:lang w:eastAsia="zh-CN"/>
                    </w:rPr>
                  </w:pPr>
                  <w:r>
                    <w:rPr>
                      <w:rFonts w:hint="default"/>
                      <w:color w:val="auto"/>
                      <w:lang w:eastAsia="zh-CN"/>
                    </w:rPr>
                    <w:t>机械设备</w:t>
                  </w:r>
                </w:p>
              </w:tc>
              <w:tc>
                <w:tcPr>
                  <w:tcW w:w="783"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压缩设备</w:t>
                  </w:r>
                </w:p>
              </w:tc>
              <w:tc>
                <w:tcPr>
                  <w:tcW w:w="839"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1</w:t>
                  </w:r>
                </w:p>
              </w:tc>
              <w:tc>
                <w:tcPr>
                  <w:tcW w:w="850"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85</w:t>
                  </w:r>
                </w:p>
              </w:tc>
              <w:tc>
                <w:tcPr>
                  <w:tcW w:w="1144" w:type="pct"/>
                  <w:vMerge w:val="restart"/>
                  <w:tcBorders>
                    <w:top w:val="single" w:color="auto" w:sz="12" w:space="0"/>
                  </w:tcBorders>
                  <w:noWrap w:val="0"/>
                  <w:vAlign w:val="center"/>
                </w:tcPr>
                <w:p>
                  <w:pPr>
                    <w:pStyle w:val="29"/>
                    <w:bidi w:val="0"/>
                    <w:rPr>
                      <w:rFonts w:hint="default"/>
                      <w:color w:val="auto"/>
                      <w:lang w:val="en-US" w:eastAsia="zh-CN"/>
                    </w:rPr>
                  </w:pPr>
                  <w:r>
                    <w:rPr>
                      <w:rFonts w:hint="default"/>
                      <w:color w:val="auto"/>
                      <w:lang w:val="en-US" w:eastAsia="zh-CN"/>
                    </w:rPr>
                    <w:t xml:space="preserve">优化选型、基础减 </w:t>
                  </w:r>
                </w:p>
                <w:p>
                  <w:pPr>
                    <w:pStyle w:val="29"/>
                    <w:bidi w:val="0"/>
                    <w:rPr>
                      <w:rFonts w:hint="default"/>
                      <w:color w:val="auto"/>
                    </w:rPr>
                  </w:pPr>
                  <w:r>
                    <w:rPr>
                      <w:rFonts w:hint="default"/>
                      <w:color w:val="auto"/>
                      <w:lang w:val="en-US" w:eastAsia="zh-CN"/>
                    </w:rPr>
                    <w:t>振、建筑隔声、加强管理、风机消声器、绿化</w:t>
                  </w:r>
                </w:p>
              </w:tc>
              <w:tc>
                <w:tcPr>
                  <w:tcW w:w="744" w:type="pct"/>
                  <w:vMerge w:val="restart"/>
                  <w:tcBorders>
                    <w:top w:val="single" w:color="auto" w:sz="12" w:space="0"/>
                  </w:tcBorders>
                  <w:noWrap w:val="0"/>
                  <w:vAlign w:val="center"/>
                </w:tcPr>
                <w:p>
                  <w:pPr>
                    <w:pStyle w:val="29"/>
                    <w:bidi w:val="0"/>
                    <w:rPr>
                      <w:rFonts w:hint="default"/>
                      <w:color w:val="auto"/>
                    </w:rPr>
                  </w:pPr>
                  <w:r>
                    <w:rPr>
                      <w:rFonts w:hint="eastAsia"/>
                      <w:color w:val="auto"/>
                      <w:lang w:val="en-US" w:eastAsia="zh-CN"/>
                    </w:rPr>
                    <w:t>15</w:t>
                  </w:r>
                  <w:r>
                    <w:rPr>
                      <w:rFonts w:hint="default"/>
                      <w:color w:val="auto"/>
                    </w:rPr>
                    <w:t>dB(A)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3" w:hRule="atLeast"/>
                <w:jc w:val="center"/>
              </w:trPr>
              <w:tc>
                <w:tcPr>
                  <w:tcW w:w="638" w:type="pct"/>
                  <w:vMerge w:val="continue"/>
                  <w:noWrap w:val="0"/>
                  <w:vAlign w:val="center"/>
                </w:tcPr>
                <w:p>
                  <w:pPr>
                    <w:pStyle w:val="29"/>
                    <w:bidi w:val="0"/>
                    <w:rPr>
                      <w:rFonts w:hint="default"/>
                      <w:color w:val="auto"/>
                    </w:rPr>
                  </w:pPr>
                </w:p>
              </w:tc>
              <w:tc>
                <w:tcPr>
                  <w:tcW w:w="783" w:type="pct"/>
                  <w:noWrap w:val="0"/>
                  <w:vAlign w:val="center"/>
                </w:tcPr>
                <w:p>
                  <w:pPr>
                    <w:pStyle w:val="29"/>
                    <w:bidi w:val="0"/>
                    <w:rPr>
                      <w:rFonts w:hint="default"/>
                      <w:color w:val="auto"/>
                      <w:lang w:val="en-US" w:eastAsia="zh-CN"/>
                    </w:rPr>
                  </w:pPr>
                  <w:r>
                    <w:rPr>
                      <w:rFonts w:hint="eastAsia" w:ascii="Times New Roman" w:hAnsi="Times New Roman"/>
                      <w:color w:val="auto"/>
                      <w:szCs w:val="21"/>
                    </w:rPr>
                    <w:t>负压除尘除臭系统</w:t>
                  </w:r>
                </w:p>
              </w:tc>
              <w:tc>
                <w:tcPr>
                  <w:tcW w:w="839" w:type="pct"/>
                  <w:noWrap w:val="0"/>
                  <w:vAlign w:val="center"/>
                </w:tcPr>
                <w:p>
                  <w:pPr>
                    <w:pStyle w:val="29"/>
                    <w:bidi w:val="0"/>
                    <w:rPr>
                      <w:rFonts w:hint="default"/>
                      <w:color w:val="auto"/>
                      <w:lang w:val="en-US" w:eastAsia="zh-CN"/>
                    </w:rPr>
                  </w:pPr>
                  <w:r>
                    <w:rPr>
                      <w:rFonts w:hint="eastAsia"/>
                      <w:color w:val="auto"/>
                      <w:lang w:val="en-US" w:eastAsia="zh-CN"/>
                    </w:rPr>
                    <w:t>1</w:t>
                  </w:r>
                </w:p>
              </w:tc>
              <w:tc>
                <w:tcPr>
                  <w:tcW w:w="850" w:type="pct"/>
                  <w:noWrap w:val="0"/>
                  <w:vAlign w:val="center"/>
                </w:tcPr>
                <w:p>
                  <w:pPr>
                    <w:pStyle w:val="29"/>
                    <w:bidi w:val="0"/>
                    <w:rPr>
                      <w:rFonts w:hint="default"/>
                      <w:color w:val="auto"/>
                      <w:lang w:val="en-US" w:eastAsia="zh-CN"/>
                    </w:rPr>
                  </w:pPr>
                  <w:r>
                    <w:rPr>
                      <w:rFonts w:hint="eastAsia"/>
                      <w:color w:val="auto"/>
                      <w:lang w:val="en-US" w:eastAsia="zh-CN"/>
                    </w:rPr>
                    <w:t>7</w:t>
                  </w:r>
                  <w:r>
                    <w:rPr>
                      <w:rFonts w:hint="default"/>
                      <w:color w:val="auto"/>
                      <w:lang w:val="en-US" w:eastAsia="zh-CN"/>
                    </w:rPr>
                    <w:t>5</w:t>
                  </w:r>
                </w:p>
              </w:tc>
              <w:tc>
                <w:tcPr>
                  <w:tcW w:w="1144" w:type="pct"/>
                  <w:vMerge w:val="continue"/>
                  <w:noWrap w:val="0"/>
                  <w:vAlign w:val="center"/>
                </w:tcPr>
                <w:p>
                  <w:pPr>
                    <w:pStyle w:val="29"/>
                    <w:bidi w:val="0"/>
                    <w:rPr>
                      <w:rFonts w:hint="default"/>
                      <w:color w:val="auto"/>
                    </w:rPr>
                  </w:pPr>
                </w:p>
              </w:tc>
              <w:tc>
                <w:tcPr>
                  <w:tcW w:w="744" w:type="pct"/>
                  <w:vMerge w:val="continue"/>
                  <w:noWrap w:val="0"/>
                  <w:vAlign w:val="center"/>
                </w:tcPr>
                <w:p>
                  <w:pPr>
                    <w:pStyle w:val="29"/>
                    <w:bidi w:val="0"/>
                    <w:rPr>
                      <w:rFonts w:hint="default"/>
                      <w:color w:val="auto"/>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8" w:type="pct"/>
                  <w:vMerge w:val="continue"/>
                  <w:noWrap w:val="0"/>
                  <w:vAlign w:val="center"/>
                </w:tcPr>
                <w:p>
                  <w:pPr>
                    <w:pStyle w:val="29"/>
                    <w:bidi w:val="0"/>
                    <w:rPr>
                      <w:rFonts w:hint="default"/>
                      <w:color w:val="auto"/>
                    </w:rPr>
                  </w:pPr>
                </w:p>
              </w:tc>
              <w:tc>
                <w:tcPr>
                  <w:tcW w:w="783" w:type="pct"/>
                  <w:noWrap w:val="0"/>
                  <w:vAlign w:val="center"/>
                </w:tcPr>
                <w:p>
                  <w:pPr>
                    <w:pStyle w:val="29"/>
                    <w:bidi w:val="0"/>
                    <w:rPr>
                      <w:rFonts w:hint="default"/>
                      <w:color w:val="auto"/>
                      <w:lang w:val="en-US" w:eastAsia="zh-CN"/>
                    </w:rPr>
                  </w:pPr>
                  <w:r>
                    <w:rPr>
                      <w:rFonts w:hint="eastAsia"/>
                      <w:color w:val="auto"/>
                      <w:lang w:val="en-US" w:eastAsia="zh-CN"/>
                    </w:rPr>
                    <w:t>风机</w:t>
                  </w:r>
                </w:p>
              </w:tc>
              <w:tc>
                <w:tcPr>
                  <w:tcW w:w="839" w:type="pct"/>
                  <w:noWrap w:val="0"/>
                  <w:vAlign w:val="center"/>
                </w:tcPr>
                <w:p>
                  <w:pPr>
                    <w:pStyle w:val="29"/>
                    <w:bidi w:val="0"/>
                    <w:rPr>
                      <w:rFonts w:hint="default"/>
                      <w:color w:val="auto"/>
                      <w:lang w:val="en-US" w:eastAsia="zh-CN"/>
                    </w:rPr>
                  </w:pPr>
                  <w:r>
                    <w:rPr>
                      <w:rFonts w:hint="default"/>
                      <w:color w:val="auto"/>
                      <w:lang w:val="en-US" w:eastAsia="zh-CN"/>
                    </w:rPr>
                    <w:t>1</w:t>
                  </w:r>
                </w:p>
              </w:tc>
              <w:tc>
                <w:tcPr>
                  <w:tcW w:w="850" w:type="pct"/>
                  <w:noWrap w:val="0"/>
                  <w:vAlign w:val="center"/>
                </w:tcPr>
                <w:p>
                  <w:pPr>
                    <w:pStyle w:val="29"/>
                    <w:bidi w:val="0"/>
                    <w:rPr>
                      <w:rFonts w:hint="default" w:eastAsia="宋体"/>
                      <w:color w:val="auto"/>
                      <w:lang w:val="en-US" w:eastAsia="zh-CN"/>
                    </w:rPr>
                  </w:pPr>
                  <w:r>
                    <w:rPr>
                      <w:rFonts w:hint="eastAsia"/>
                      <w:color w:val="auto"/>
                      <w:lang w:val="en-US" w:eastAsia="zh-CN"/>
                    </w:rPr>
                    <w:t>80</w:t>
                  </w:r>
                </w:p>
              </w:tc>
              <w:tc>
                <w:tcPr>
                  <w:tcW w:w="1144" w:type="pct"/>
                  <w:vMerge w:val="continue"/>
                  <w:noWrap w:val="0"/>
                  <w:vAlign w:val="center"/>
                </w:tcPr>
                <w:p>
                  <w:pPr>
                    <w:pStyle w:val="29"/>
                    <w:bidi w:val="0"/>
                    <w:rPr>
                      <w:rFonts w:hint="default"/>
                      <w:color w:val="auto"/>
                    </w:rPr>
                  </w:pPr>
                </w:p>
              </w:tc>
              <w:tc>
                <w:tcPr>
                  <w:tcW w:w="744" w:type="pct"/>
                  <w:vMerge w:val="continue"/>
                  <w:noWrap w:val="0"/>
                  <w:vAlign w:val="center"/>
                </w:tcPr>
                <w:p>
                  <w:pPr>
                    <w:pStyle w:val="29"/>
                    <w:bidi w:val="0"/>
                    <w:rPr>
                      <w:rFonts w:hint="default"/>
                      <w:color w:val="auto"/>
                    </w:rPr>
                  </w:pPr>
                </w:p>
              </w:tc>
            </w:tr>
          </w:tbl>
          <w:p>
            <w:pPr>
              <w:pStyle w:val="6"/>
              <w:bidi w:val="0"/>
              <w:rPr>
                <w:rFonts w:hint="default"/>
                <w:color w:val="auto"/>
              </w:rPr>
            </w:pPr>
            <w:r>
              <w:rPr>
                <w:rFonts w:hint="default"/>
                <w:color w:val="auto"/>
                <w:lang w:val="en-US" w:eastAsia="zh-CN"/>
              </w:rPr>
              <w:t>3.2</w:t>
            </w:r>
            <w:r>
              <w:rPr>
                <w:rFonts w:hint="eastAsia"/>
                <w:color w:val="auto"/>
                <w:lang w:val="en-US" w:eastAsia="zh-CN"/>
              </w:rPr>
              <w:t xml:space="preserve"> </w:t>
            </w:r>
            <w:r>
              <w:rPr>
                <w:rFonts w:hint="default"/>
                <w:color w:val="auto"/>
              </w:rPr>
              <w:t>预测方法</w:t>
            </w:r>
          </w:p>
          <w:p>
            <w:pPr>
              <w:pStyle w:val="18"/>
              <w:bidi w:val="0"/>
              <w:rPr>
                <w:rFonts w:hint="default"/>
                <w:color w:val="auto"/>
              </w:rPr>
            </w:pPr>
            <w:r>
              <w:rPr>
                <w:rFonts w:hint="default"/>
                <w:color w:val="auto"/>
              </w:rPr>
              <w:t>噪声源布置较为集中，其对厂界外的声环境影响采取《环境影响评价技术导则 声环境》（HJ2.4-2009）中的噪声预测模式。</w:t>
            </w:r>
          </w:p>
          <w:p>
            <w:pPr>
              <w:pStyle w:val="18"/>
              <w:bidi w:val="0"/>
              <w:rPr>
                <w:rFonts w:hint="default"/>
                <w:color w:val="auto"/>
              </w:rPr>
            </w:pPr>
            <w:r>
              <w:rPr>
                <w:rFonts w:hint="default"/>
                <w:color w:val="auto"/>
              </w:rPr>
              <w:t>由于在声波传播的过程中，通过距离衰减、空气吸收衰减到达厂界外，故实际衰减量要低于其预测衰减量，即实际噪声值将略低于其预测值。</w:t>
            </w:r>
          </w:p>
          <w:p>
            <w:pPr>
              <w:pStyle w:val="6"/>
              <w:bidi w:val="0"/>
              <w:rPr>
                <w:rFonts w:hint="default"/>
                <w:color w:val="auto"/>
              </w:rPr>
            </w:pPr>
            <w:r>
              <w:rPr>
                <w:rFonts w:hint="default"/>
                <w:color w:val="auto"/>
                <w:lang w:val="en-US" w:eastAsia="zh-CN"/>
              </w:rPr>
              <w:t>3.3</w:t>
            </w:r>
            <w:r>
              <w:rPr>
                <w:rFonts w:hint="eastAsia"/>
                <w:color w:val="auto"/>
                <w:lang w:val="en-US" w:eastAsia="zh-CN"/>
              </w:rPr>
              <w:t xml:space="preserve"> </w:t>
            </w:r>
            <w:r>
              <w:rPr>
                <w:rFonts w:hint="default"/>
                <w:color w:val="auto"/>
              </w:rPr>
              <w:t>噪声排放标准</w:t>
            </w:r>
          </w:p>
          <w:p>
            <w:pPr>
              <w:pStyle w:val="18"/>
              <w:bidi w:val="0"/>
              <w:rPr>
                <w:rFonts w:hint="default"/>
                <w:color w:val="auto"/>
              </w:rPr>
            </w:pPr>
            <w:r>
              <w:rPr>
                <w:rFonts w:hint="default"/>
                <w:color w:val="auto"/>
              </w:rPr>
              <w:t>厂界噪声标准采用《工业企业厂界环境噪声排放标准》（GB12348-2008）中的</w:t>
            </w:r>
            <w:r>
              <w:rPr>
                <w:rFonts w:hint="eastAsia"/>
                <w:color w:val="auto"/>
                <w:lang w:val="en-US" w:eastAsia="zh-CN"/>
              </w:rPr>
              <w:t>2</w:t>
            </w:r>
            <w:r>
              <w:rPr>
                <w:rFonts w:hint="default"/>
                <w:color w:val="auto"/>
              </w:rPr>
              <w:t>类标准，其标准值见表</w:t>
            </w:r>
            <w:r>
              <w:rPr>
                <w:rFonts w:hint="eastAsia"/>
                <w:color w:val="auto"/>
                <w:lang w:val="en-US" w:eastAsia="zh-CN"/>
              </w:rPr>
              <w:t>4-7</w:t>
            </w:r>
            <w:r>
              <w:rPr>
                <w:rFonts w:hint="default"/>
                <w:color w:val="auto"/>
              </w:rPr>
              <w:t>。</w:t>
            </w:r>
          </w:p>
          <w:p>
            <w:pPr>
              <w:pStyle w:val="28"/>
              <w:bidi w:val="0"/>
              <w:rPr>
                <w:rFonts w:hint="default"/>
                <w:color w:val="auto"/>
              </w:rPr>
            </w:pPr>
            <w:r>
              <w:rPr>
                <w:rFonts w:hint="default"/>
                <w:color w:val="auto"/>
              </w:rPr>
              <w:t>表</w:t>
            </w:r>
            <w:r>
              <w:rPr>
                <w:rFonts w:hint="eastAsia"/>
                <w:color w:val="auto"/>
                <w:lang w:val="en-US" w:eastAsia="zh-CN"/>
              </w:rPr>
              <w:t>4-7</w:t>
            </w:r>
            <w:r>
              <w:rPr>
                <w:rFonts w:hint="default"/>
                <w:color w:val="auto"/>
                <w:lang w:val="en-US" w:eastAsia="zh-CN"/>
              </w:rPr>
              <w:t xml:space="preserve">    </w:t>
            </w:r>
            <w:r>
              <w:rPr>
                <w:rFonts w:hint="default"/>
                <w:color w:val="auto"/>
              </w:rPr>
              <w:t>噪声评价标准</w:t>
            </w:r>
            <w:r>
              <w:rPr>
                <w:rFonts w:hint="default"/>
                <w:color w:val="auto"/>
                <w:lang w:val="en-US" w:eastAsia="zh-CN"/>
              </w:rPr>
              <w:t xml:space="preserve">    </w:t>
            </w:r>
            <w:r>
              <w:rPr>
                <w:rFonts w:hint="default"/>
                <w:color w:val="auto"/>
              </w:rPr>
              <w:t>单位：dB（A）</w:t>
            </w:r>
          </w:p>
          <w:tbl>
            <w:tblPr>
              <w:tblStyle w:val="21"/>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894"/>
              <w:gridCol w:w="985"/>
              <w:gridCol w:w="985"/>
              <w:gridCol w:w="98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3116" w:type="pct"/>
                  <w:tcBorders>
                    <w:bottom w:val="single" w:color="000000" w:sz="12" w:space="0"/>
                  </w:tcBorders>
                  <w:noWrap w:val="0"/>
                  <w:vAlign w:val="center"/>
                </w:tcPr>
                <w:p>
                  <w:pPr>
                    <w:pStyle w:val="29"/>
                    <w:bidi w:val="0"/>
                    <w:rPr>
                      <w:rFonts w:hint="default"/>
                      <w:b/>
                      <w:bCs/>
                      <w:color w:val="auto"/>
                    </w:rPr>
                  </w:pPr>
                  <w:r>
                    <w:rPr>
                      <w:rFonts w:hint="default"/>
                      <w:b/>
                      <w:bCs/>
                      <w:color w:val="auto"/>
                    </w:rPr>
                    <w:t>采用标准</w:t>
                  </w:r>
                </w:p>
              </w:tc>
              <w:tc>
                <w:tcPr>
                  <w:tcW w:w="627" w:type="pct"/>
                  <w:tcBorders>
                    <w:bottom w:val="single" w:color="000000" w:sz="12" w:space="0"/>
                  </w:tcBorders>
                  <w:noWrap w:val="0"/>
                  <w:vAlign w:val="center"/>
                </w:tcPr>
                <w:p>
                  <w:pPr>
                    <w:pStyle w:val="29"/>
                    <w:bidi w:val="0"/>
                    <w:rPr>
                      <w:rFonts w:hint="default"/>
                      <w:b/>
                      <w:bCs/>
                      <w:color w:val="auto"/>
                    </w:rPr>
                  </w:pPr>
                  <w:r>
                    <w:rPr>
                      <w:rFonts w:hint="default"/>
                      <w:b/>
                      <w:bCs/>
                      <w:color w:val="auto"/>
                    </w:rPr>
                    <w:t>类别</w:t>
                  </w:r>
                </w:p>
              </w:tc>
              <w:tc>
                <w:tcPr>
                  <w:tcW w:w="627" w:type="pct"/>
                  <w:tcBorders>
                    <w:bottom w:val="single" w:color="000000" w:sz="12" w:space="0"/>
                  </w:tcBorders>
                  <w:noWrap w:val="0"/>
                  <w:vAlign w:val="center"/>
                </w:tcPr>
                <w:p>
                  <w:pPr>
                    <w:pStyle w:val="29"/>
                    <w:bidi w:val="0"/>
                    <w:rPr>
                      <w:rFonts w:hint="default"/>
                      <w:b/>
                      <w:bCs/>
                      <w:color w:val="auto"/>
                    </w:rPr>
                  </w:pPr>
                  <w:r>
                    <w:rPr>
                      <w:rFonts w:hint="default"/>
                      <w:b/>
                      <w:bCs/>
                      <w:color w:val="auto"/>
                    </w:rPr>
                    <w:t>昼间</w:t>
                  </w:r>
                </w:p>
              </w:tc>
              <w:tc>
                <w:tcPr>
                  <w:tcW w:w="627" w:type="pct"/>
                  <w:tcBorders>
                    <w:bottom w:val="single" w:color="000000" w:sz="12" w:space="0"/>
                  </w:tcBorders>
                  <w:noWrap w:val="0"/>
                  <w:vAlign w:val="center"/>
                </w:tcPr>
                <w:p>
                  <w:pPr>
                    <w:pStyle w:val="29"/>
                    <w:bidi w:val="0"/>
                    <w:rPr>
                      <w:rFonts w:hint="default"/>
                      <w:b/>
                      <w:bCs/>
                      <w:color w:val="auto"/>
                    </w:rPr>
                  </w:pPr>
                  <w:r>
                    <w:rPr>
                      <w:rFonts w:hint="default"/>
                      <w:b/>
                      <w:bCs/>
                      <w:color w:val="auto"/>
                    </w:rPr>
                    <w:t>夜间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3116" w:type="pct"/>
                  <w:tcBorders>
                    <w:top w:val="single" w:color="000000" w:sz="12" w:space="0"/>
                  </w:tcBorders>
                  <w:noWrap w:val="0"/>
                  <w:vAlign w:val="center"/>
                </w:tcPr>
                <w:p>
                  <w:pPr>
                    <w:pStyle w:val="29"/>
                    <w:bidi w:val="0"/>
                    <w:rPr>
                      <w:rFonts w:hint="default"/>
                      <w:color w:val="auto"/>
                    </w:rPr>
                  </w:pPr>
                  <w:r>
                    <w:rPr>
                      <w:rFonts w:hint="default"/>
                      <w:color w:val="auto"/>
                    </w:rPr>
                    <w:t>工业企业厂界环境噪声排放标准</w:t>
                  </w:r>
                </w:p>
              </w:tc>
              <w:tc>
                <w:tcPr>
                  <w:tcW w:w="627" w:type="pct"/>
                  <w:tcBorders>
                    <w:top w:val="single" w:color="000000" w:sz="12" w:space="0"/>
                  </w:tcBorders>
                  <w:noWrap w:val="0"/>
                  <w:vAlign w:val="center"/>
                </w:tcPr>
                <w:p>
                  <w:pPr>
                    <w:pStyle w:val="29"/>
                    <w:bidi w:val="0"/>
                    <w:rPr>
                      <w:rFonts w:hint="default"/>
                      <w:color w:val="auto"/>
                      <w:lang w:val="en-US" w:eastAsia="zh-CN"/>
                    </w:rPr>
                  </w:pPr>
                  <w:r>
                    <w:rPr>
                      <w:rFonts w:hint="eastAsia"/>
                      <w:color w:val="auto"/>
                      <w:lang w:val="en-US" w:eastAsia="zh-CN"/>
                    </w:rPr>
                    <w:t>2</w:t>
                  </w:r>
                </w:p>
              </w:tc>
              <w:tc>
                <w:tcPr>
                  <w:tcW w:w="627" w:type="pct"/>
                  <w:tcBorders>
                    <w:top w:val="single" w:color="000000" w:sz="12" w:space="0"/>
                  </w:tcBorders>
                  <w:noWrap w:val="0"/>
                  <w:vAlign w:val="center"/>
                </w:tcPr>
                <w:p>
                  <w:pPr>
                    <w:pStyle w:val="29"/>
                    <w:bidi w:val="0"/>
                    <w:rPr>
                      <w:rFonts w:hint="default"/>
                      <w:color w:val="auto"/>
                      <w:lang w:eastAsia="zh-CN"/>
                    </w:rPr>
                  </w:pPr>
                  <w:r>
                    <w:rPr>
                      <w:rFonts w:hint="default"/>
                      <w:color w:val="auto"/>
                    </w:rPr>
                    <w:t>6</w:t>
                  </w:r>
                  <w:r>
                    <w:rPr>
                      <w:rFonts w:hint="eastAsia"/>
                      <w:color w:val="auto"/>
                      <w:lang w:val="en-US" w:eastAsia="zh-CN"/>
                    </w:rPr>
                    <w:t>0</w:t>
                  </w:r>
                </w:p>
              </w:tc>
              <w:tc>
                <w:tcPr>
                  <w:tcW w:w="627" w:type="pct"/>
                  <w:tcBorders>
                    <w:top w:val="single" w:color="000000" w:sz="12" w:space="0"/>
                  </w:tcBorders>
                  <w:noWrap w:val="0"/>
                  <w:vAlign w:val="center"/>
                </w:tcPr>
                <w:p>
                  <w:pPr>
                    <w:pStyle w:val="29"/>
                    <w:bidi w:val="0"/>
                    <w:rPr>
                      <w:rFonts w:hint="default"/>
                      <w:color w:val="auto"/>
                      <w:lang w:eastAsia="zh-CN"/>
                    </w:rPr>
                  </w:pPr>
                  <w:r>
                    <w:rPr>
                      <w:rFonts w:hint="default"/>
                      <w:color w:val="auto"/>
                    </w:rPr>
                    <w:t>5</w:t>
                  </w:r>
                  <w:r>
                    <w:rPr>
                      <w:rFonts w:hint="eastAsia"/>
                      <w:color w:val="auto"/>
                      <w:lang w:val="en-US" w:eastAsia="zh-CN"/>
                    </w:rPr>
                    <w:t>0</w:t>
                  </w:r>
                </w:p>
              </w:tc>
            </w:tr>
          </w:tbl>
          <w:p>
            <w:pPr>
              <w:pStyle w:val="6"/>
              <w:bidi w:val="0"/>
              <w:rPr>
                <w:rFonts w:hint="default"/>
                <w:color w:val="auto"/>
              </w:rPr>
            </w:pPr>
            <w:r>
              <w:rPr>
                <w:rFonts w:hint="default"/>
                <w:color w:val="auto"/>
                <w:lang w:val="en-US" w:eastAsia="zh-CN"/>
              </w:rPr>
              <w:t>3.4</w:t>
            </w:r>
            <w:r>
              <w:rPr>
                <w:rFonts w:hint="eastAsia"/>
                <w:color w:val="auto"/>
                <w:lang w:val="en-US" w:eastAsia="zh-CN"/>
              </w:rPr>
              <w:t xml:space="preserve"> </w:t>
            </w:r>
            <w:r>
              <w:rPr>
                <w:rFonts w:hint="default"/>
                <w:color w:val="auto"/>
              </w:rPr>
              <w:t>噪声影响预测模式</w:t>
            </w:r>
          </w:p>
          <w:p>
            <w:pPr>
              <w:pStyle w:val="18"/>
              <w:bidi w:val="0"/>
              <w:rPr>
                <w:rFonts w:hint="default"/>
                <w:color w:val="auto"/>
              </w:rPr>
            </w:pPr>
            <w:r>
              <w:rPr>
                <w:rFonts w:hint="default"/>
                <w:color w:val="auto"/>
              </w:rPr>
              <w:t>① 点声源随传播距离增加引起其衰减值预测模式计算：</w:t>
            </w:r>
          </w:p>
          <w:p>
            <w:pPr>
              <w:pStyle w:val="18"/>
              <w:bidi w:val="0"/>
              <w:jc w:val="center"/>
              <w:rPr>
                <w:rFonts w:hint="default"/>
                <w:color w:val="auto"/>
              </w:rPr>
            </w:pPr>
            <w:r>
              <w:rPr>
                <w:rFonts w:hint="default"/>
                <w:color w:val="auto"/>
              </w:rPr>
              <w:t>L</w:t>
            </w:r>
            <w:r>
              <w:rPr>
                <w:rFonts w:hint="default"/>
                <w:color w:val="auto"/>
                <w:vertAlign w:val="subscript"/>
              </w:rPr>
              <w:t>2</w:t>
            </w:r>
            <w:r>
              <w:rPr>
                <w:rFonts w:hint="default"/>
                <w:color w:val="auto"/>
              </w:rPr>
              <w:t>=L</w:t>
            </w:r>
            <w:r>
              <w:rPr>
                <w:rFonts w:hint="default"/>
                <w:color w:val="auto"/>
                <w:vertAlign w:val="subscript"/>
              </w:rPr>
              <w:t>1</w:t>
            </w:r>
            <w:r>
              <w:rPr>
                <w:rFonts w:hint="default"/>
                <w:color w:val="auto"/>
              </w:rPr>
              <w:t>-20lg(r</w:t>
            </w:r>
            <w:r>
              <w:rPr>
                <w:rFonts w:hint="default"/>
                <w:color w:val="auto"/>
                <w:vertAlign w:val="subscript"/>
              </w:rPr>
              <w:t>2</w:t>
            </w:r>
            <w:r>
              <w:rPr>
                <w:rFonts w:hint="default"/>
                <w:color w:val="auto"/>
              </w:rPr>
              <w:t>/r</w:t>
            </w:r>
            <w:r>
              <w:rPr>
                <w:rFonts w:hint="default"/>
                <w:color w:val="auto"/>
                <w:vertAlign w:val="subscript"/>
              </w:rPr>
              <w:t>1</w:t>
            </w:r>
            <w:r>
              <w:rPr>
                <w:rFonts w:hint="default"/>
                <w:color w:val="auto"/>
              </w:rPr>
              <w:t>)</w:t>
            </w:r>
          </w:p>
          <w:p>
            <w:pPr>
              <w:pStyle w:val="18"/>
              <w:bidi w:val="0"/>
              <w:rPr>
                <w:rFonts w:hint="default"/>
                <w:color w:val="auto"/>
              </w:rPr>
            </w:pPr>
            <w:r>
              <w:rPr>
                <w:rFonts w:hint="default"/>
                <w:color w:val="auto"/>
              </w:rPr>
              <w:t>式中：L</w:t>
            </w:r>
            <w:r>
              <w:rPr>
                <w:rFonts w:hint="default"/>
                <w:color w:val="auto"/>
                <w:vertAlign w:val="subscript"/>
              </w:rPr>
              <w:t>2</w:t>
            </w:r>
            <w:r>
              <w:rPr>
                <w:rFonts w:hint="default"/>
                <w:color w:val="auto"/>
              </w:rPr>
              <w:t>--距源r</w:t>
            </w:r>
            <w:r>
              <w:rPr>
                <w:rFonts w:hint="default"/>
                <w:color w:val="auto"/>
                <w:vertAlign w:val="subscript"/>
              </w:rPr>
              <w:t>2</w:t>
            </w:r>
            <w:r>
              <w:rPr>
                <w:rFonts w:hint="default"/>
                <w:color w:val="auto"/>
              </w:rPr>
              <w:t>m处噪声级，dB(A)；</w:t>
            </w:r>
          </w:p>
          <w:p>
            <w:pPr>
              <w:pStyle w:val="18"/>
              <w:bidi w:val="0"/>
              <w:ind w:firstLine="1200" w:firstLineChars="500"/>
              <w:rPr>
                <w:rFonts w:hint="default"/>
                <w:color w:val="auto"/>
              </w:rPr>
            </w:pPr>
            <w:r>
              <w:rPr>
                <w:rFonts w:hint="default"/>
                <w:color w:val="auto"/>
              </w:rPr>
              <w:t>L</w:t>
            </w:r>
            <w:r>
              <w:rPr>
                <w:rFonts w:hint="default"/>
                <w:color w:val="auto"/>
                <w:vertAlign w:val="subscript"/>
              </w:rPr>
              <w:t>1</w:t>
            </w:r>
            <w:r>
              <w:rPr>
                <w:rFonts w:hint="default"/>
                <w:color w:val="auto"/>
              </w:rPr>
              <w:t>--距源r</w:t>
            </w:r>
            <w:r>
              <w:rPr>
                <w:rFonts w:hint="default"/>
                <w:color w:val="auto"/>
                <w:vertAlign w:val="subscript"/>
              </w:rPr>
              <w:t>1</w:t>
            </w:r>
            <w:r>
              <w:rPr>
                <w:rFonts w:hint="default"/>
                <w:color w:val="auto"/>
              </w:rPr>
              <w:t>m处噪声级，dB(A)。</w:t>
            </w:r>
          </w:p>
          <w:p>
            <w:pPr>
              <w:pStyle w:val="18"/>
              <w:bidi w:val="0"/>
              <w:rPr>
                <w:rFonts w:hint="default"/>
                <w:color w:val="auto"/>
              </w:rPr>
            </w:pPr>
            <w:r>
              <w:rPr>
                <w:rFonts w:hint="default"/>
                <w:color w:val="auto"/>
              </w:rPr>
              <w:t>② 噪声叠加模式</w:t>
            </w:r>
          </w:p>
          <w:p>
            <w:pPr>
              <w:pStyle w:val="18"/>
              <w:bidi w:val="0"/>
              <w:jc w:val="center"/>
              <w:rPr>
                <w:rFonts w:hint="default"/>
                <w:color w:val="auto"/>
              </w:rPr>
            </w:pPr>
            <w:r>
              <w:rPr>
                <w:rFonts w:hint="default"/>
                <w:color w:val="auto"/>
              </w:rPr>
              <w:t>L=10lg[Σ100.1Li]</w:t>
            </w:r>
          </w:p>
          <w:p>
            <w:pPr>
              <w:pStyle w:val="18"/>
              <w:bidi w:val="0"/>
              <w:rPr>
                <w:rFonts w:hint="default"/>
                <w:color w:val="auto"/>
              </w:rPr>
            </w:pPr>
            <w:r>
              <w:rPr>
                <w:rFonts w:hint="default"/>
                <w:color w:val="auto"/>
              </w:rPr>
              <w:t>式中：L--总声压强度，dB(A)；</w:t>
            </w:r>
          </w:p>
          <w:p>
            <w:pPr>
              <w:pStyle w:val="18"/>
              <w:bidi w:val="0"/>
              <w:ind w:firstLine="1200" w:firstLineChars="500"/>
              <w:rPr>
                <w:rFonts w:hint="default"/>
                <w:color w:val="auto"/>
              </w:rPr>
            </w:pPr>
            <w:r>
              <w:rPr>
                <w:rFonts w:hint="default"/>
                <w:color w:val="auto"/>
              </w:rPr>
              <w:t>L</w:t>
            </w:r>
            <w:r>
              <w:rPr>
                <w:rFonts w:hint="default"/>
                <w:color w:val="auto"/>
                <w:vertAlign w:val="subscript"/>
              </w:rPr>
              <w:t>1</w:t>
            </w:r>
            <w:r>
              <w:rPr>
                <w:rFonts w:hint="default"/>
                <w:color w:val="auto"/>
              </w:rPr>
              <w:t>--第i个参与合成的声压级强度，dB(A)。</w:t>
            </w:r>
          </w:p>
          <w:p>
            <w:pPr>
              <w:pStyle w:val="28"/>
              <w:bidi w:val="0"/>
              <w:rPr>
                <w:rFonts w:hint="default"/>
                <w:color w:val="auto"/>
              </w:rPr>
            </w:pPr>
            <w:r>
              <w:rPr>
                <w:rFonts w:hint="default"/>
                <w:color w:val="auto"/>
              </w:rPr>
              <w:t>表</w:t>
            </w:r>
            <w:r>
              <w:rPr>
                <w:rFonts w:hint="eastAsia"/>
                <w:color w:val="auto"/>
                <w:lang w:val="en-US" w:eastAsia="zh-CN"/>
              </w:rPr>
              <w:t>4-8</w:t>
            </w:r>
            <w:r>
              <w:rPr>
                <w:rFonts w:hint="default"/>
                <w:color w:val="auto"/>
                <w:lang w:val="en-US" w:eastAsia="zh-CN"/>
              </w:rPr>
              <w:t xml:space="preserve">    </w:t>
            </w:r>
            <w:r>
              <w:rPr>
                <w:rFonts w:hint="default"/>
                <w:color w:val="auto"/>
              </w:rPr>
              <w:t>各声源与预测点间的距离</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146"/>
              <w:gridCol w:w="1993"/>
              <w:gridCol w:w="1406"/>
              <w:gridCol w:w="844"/>
              <w:gridCol w:w="614"/>
              <w:gridCol w:w="616"/>
              <w:gridCol w:w="614"/>
              <w:gridCol w:w="61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729" w:type="pct"/>
                  <w:vMerge w:val="restart"/>
                  <w:noWrap w:val="0"/>
                  <w:vAlign w:val="center"/>
                </w:tcPr>
                <w:p>
                  <w:pPr>
                    <w:pStyle w:val="29"/>
                    <w:bidi w:val="0"/>
                    <w:rPr>
                      <w:rFonts w:hint="default"/>
                      <w:b/>
                      <w:bCs/>
                      <w:color w:val="auto"/>
                    </w:rPr>
                  </w:pPr>
                  <w:r>
                    <w:rPr>
                      <w:rFonts w:hint="default"/>
                      <w:b/>
                      <w:bCs/>
                      <w:color w:val="auto"/>
                    </w:rPr>
                    <w:t>噪声源</w:t>
                  </w:r>
                </w:p>
              </w:tc>
              <w:tc>
                <w:tcPr>
                  <w:tcW w:w="1268" w:type="pct"/>
                  <w:vMerge w:val="restart"/>
                  <w:noWrap w:val="0"/>
                  <w:vAlign w:val="center"/>
                </w:tcPr>
                <w:p>
                  <w:pPr>
                    <w:pStyle w:val="29"/>
                    <w:bidi w:val="0"/>
                    <w:rPr>
                      <w:rFonts w:hint="default"/>
                      <w:b/>
                      <w:bCs/>
                      <w:color w:val="auto"/>
                    </w:rPr>
                  </w:pPr>
                  <w:r>
                    <w:rPr>
                      <w:rFonts w:hint="default"/>
                      <w:b/>
                      <w:bCs/>
                      <w:color w:val="auto"/>
                    </w:rPr>
                    <w:t>噪声设备</w:t>
                  </w:r>
                </w:p>
              </w:tc>
              <w:tc>
                <w:tcPr>
                  <w:tcW w:w="895" w:type="pct"/>
                  <w:vMerge w:val="restart"/>
                  <w:noWrap w:val="0"/>
                  <w:vAlign w:val="center"/>
                </w:tcPr>
                <w:p>
                  <w:pPr>
                    <w:pStyle w:val="29"/>
                    <w:bidi w:val="0"/>
                    <w:rPr>
                      <w:rFonts w:hint="default"/>
                      <w:b/>
                      <w:bCs/>
                      <w:color w:val="auto"/>
                    </w:rPr>
                  </w:pPr>
                  <w:r>
                    <w:rPr>
                      <w:rFonts w:hint="default"/>
                      <w:b/>
                      <w:bCs/>
                      <w:color w:val="auto"/>
                    </w:rPr>
                    <w:t>降噪</w:t>
                  </w:r>
                  <w:r>
                    <w:rPr>
                      <w:rFonts w:hint="default"/>
                      <w:b/>
                      <w:bCs/>
                      <w:color w:val="auto"/>
                      <w:lang w:eastAsia="zh-CN"/>
                    </w:rPr>
                    <w:t>源</w:t>
                  </w:r>
                  <w:r>
                    <w:rPr>
                      <w:rFonts w:hint="default"/>
                      <w:b/>
                      <w:bCs/>
                      <w:color w:val="auto"/>
                    </w:rPr>
                    <w:t>声级</w:t>
                  </w:r>
                </w:p>
                <w:p>
                  <w:pPr>
                    <w:pStyle w:val="29"/>
                    <w:bidi w:val="0"/>
                    <w:rPr>
                      <w:rFonts w:hint="default"/>
                      <w:b/>
                      <w:bCs/>
                      <w:color w:val="auto"/>
                    </w:rPr>
                  </w:pPr>
                  <w:r>
                    <w:rPr>
                      <w:rFonts w:hint="default"/>
                      <w:b/>
                      <w:bCs/>
                      <w:color w:val="auto"/>
                    </w:rPr>
                    <w:t>［dB(A)］</w:t>
                  </w:r>
                </w:p>
              </w:tc>
              <w:tc>
                <w:tcPr>
                  <w:tcW w:w="537" w:type="pct"/>
                  <w:vMerge w:val="restart"/>
                  <w:noWrap w:val="0"/>
                  <w:vAlign w:val="center"/>
                </w:tcPr>
                <w:p>
                  <w:pPr>
                    <w:pStyle w:val="29"/>
                    <w:bidi w:val="0"/>
                    <w:rPr>
                      <w:rFonts w:hint="default"/>
                      <w:b/>
                      <w:bCs/>
                      <w:color w:val="auto"/>
                    </w:rPr>
                  </w:pPr>
                  <w:r>
                    <w:rPr>
                      <w:rFonts w:hint="default"/>
                      <w:b/>
                      <w:bCs/>
                      <w:color w:val="auto"/>
                    </w:rPr>
                    <w:t>数量</w:t>
                  </w:r>
                </w:p>
                <w:p>
                  <w:pPr>
                    <w:pStyle w:val="29"/>
                    <w:bidi w:val="0"/>
                    <w:rPr>
                      <w:rFonts w:hint="default"/>
                      <w:b/>
                      <w:bCs/>
                      <w:color w:val="auto"/>
                    </w:rPr>
                  </w:pPr>
                  <w:r>
                    <w:rPr>
                      <w:rFonts w:hint="default"/>
                      <w:b/>
                      <w:bCs/>
                      <w:color w:val="auto"/>
                    </w:rPr>
                    <w:t>(台)</w:t>
                  </w:r>
                </w:p>
              </w:tc>
              <w:tc>
                <w:tcPr>
                  <w:tcW w:w="1568" w:type="pct"/>
                  <w:gridSpan w:val="4"/>
                  <w:noWrap w:val="0"/>
                  <w:vAlign w:val="center"/>
                </w:tcPr>
                <w:p>
                  <w:pPr>
                    <w:pStyle w:val="29"/>
                    <w:bidi w:val="0"/>
                    <w:rPr>
                      <w:rFonts w:hint="default"/>
                      <w:b/>
                      <w:bCs/>
                      <w:color w:val="auto"/>
                    </w:rPr>
                  </w:pPr>
                  <w:r>
                    <w:rPr>
                      <w:rFonts w:hint="default"/>
                      <w:b/>
                      <w:bCs/>
                      <w:color w:val="auto"/>
                    </w:rPr>
                    <w:t>距厂界距离(m)</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729" w:type="pct"/>
                  <w:vMerge w:val="continue"/>
                  <w:noWrap w:val="0"/>
                  <w:vAlign w:val="center"/>
                </w:tcPr>
                <w:p>
                  <w:pPr>
                    <w:pStyle w:val="29"/>
                    <w:bidi w:val="0"/>
                    <w:rPr>
                      <w:rFonts w:hint="default"/>
                      <w:color w:val="auto"/>
                    </w:rPr>
                  </w:pPr>
                </w:p>
              </w:tc>
              <w:tc>
                <w:tcPr>
                  <w:tcW w:w="1268" w:type="pct"/>
                  <w:vMerge w:val="continue"/>
                  <w:noWrap w:val="0"/>
                  <w:vAlign w:val="center"/>
                </w:tcPr>
                <w:p>
                  <w:pPr>
                    <w:pStyle w:val="29"/>
                    <w:bidi w:val="0"/>
                    <w:rPr>
                      <w:rFonts w:hint="default"/>
                      <w:color w:val="auto"/>
                    </w:rPr>
                  </w:pPr>
                </w:p>
              </w:tc>
              <w:tc>
                <w:tcPr>
                  <w:tcW w:w="895" w:type="pct"/>
                  <w:vMerge w:val="continue"/>
                  <w:noWrap w:val="0"/>
                  <w:vAlign w:val="center"/>
                </w:tcPr>
                <w:p>
                  <w:pPr>
                    <w:pStyle w:val="29"/>
                    <w:bidi w:val="0"/>
                    <w:rPr>
                      <w:rFonts w:hint="default"/>
                      <w:color w:val="auto"/>
                    </w:rPr>
                  </w:pPr>
                </w:p>
              </w:tc>
              <w:tc>
                <w:tcPr>
                  <w:tcW w:w="537" w:type="pct"/>
                  <w:vMerge w:val="continue"/>
                  <w:noWrap w:val="0"/>
                  <w:vAlign w:val="center"/>
                </w:tcPr>
                <w:p>
                  <w:pPr>
                    <w:pStyle w:val="29"/>
                    <w:bidi w:val="0"/>
                    <w:rPr>
                      <w:rFonts w:hint="default"/>
                      <w:color w:val="auto"/>
                    </w:rPr>
                  </w:pPr>
                </w:p>
              </w:tc>
              <w:tc>
                <w:tcPr>
                  <w:tcW w:w="391" w:type="pct"/>
                  <w:noWrap w:val="0"/>
                  <w:vAlign w:val="center"/>
                </w:tcPr>
                <w:p>
                  <w:pPr>
                    <w:pStyle w:val="29"/>
                    <w:bidi w:val="0"/>
                    <w:rPr>
                      <w:rFonts w:hint="default"/>
                      <w:color w:val="auto"/>
                    </w:rPr>
                  </w:pPr>
                  <w:r>
                    <w:rPr>
                      <w:rFonts w:hint="default"/>
                      <w:color w:val="auto"/>
                    </w:rPr>
                    <w:t>东</w:t>
                  </w:r>
                </w:p>
              </w:tc>
              <w:tc>
                <w:tcPr>
                  <w:tcW w:w="392" w:type="pct"/>
                  <w:noWrap w:val="0"/>
                  <w:vAlign w:val="center"/>
                </w:tcPr>
                <w:p>
                  <w:pPr>
                    <w:pStyle w:val="29"/>
                    <w:bidi w:val="0"/>
                    <w:rPr>
                      <w:rFonts w:hint="default"/>
                      <w:color w:val="auto"/>
                    </w:rPr>
                  </w:pPr>
                  <w:r>
                    <w:rPr>
                      <w:rFonts w:hint="default"/>
                      <w:color w:val="auto"/>
                    </w:rPr>
                    <w:t>南</w:t>
                  </w:r>
                </w:p>
              </w:tc>
              <w:tc>
                <w:tcPr>
                  <w:tcW w:w="391" w:type="pct"/>
                  <w:noWrap w:val="0"/>
                  <w:vAlign w:val="center"/>
                </w:tcPr>
                <w:p>
                  <w:pPr>
                    <w:pStyle w:val="29"/>
                    <w:bidi w:val="0"/>
                    <w:rPr>
                      <w:rFonts w:hint="default"/>
                      <w:color w:val="auto"/>
                    </w:rPr>
                  </w:pPr>
                  <w:r>
                    <w:rPr>
                      <w:rFonts w:hint="default"/>
                      <w:color w:val="auto"/>
                    </w:rPr>
                    <w:t>西</w:t>
                  </w:r>
                </w:p>
              </w:tc>
              <w:tc>
                <w:tcPr>
                  <w:tcW w:w="393" w:type="pct"/>
                  <w:noWrap w:val="0"/>
                  <w:vAlign w:val="center"/>
                </w:tcPr>
                <w:p>
                  <w:pPr>
                    <w:pStyle w:val="29"/>
                    <w:bidi w:val="0"/>
                    <w:rPr>
                      <w:rFonts w:hint="default"/>
                      <w:color w:val="auto"/>
                    </w:rPr>
                  </w:pPr>
                  <w:r>
                    <w:rPr>
                      <w:rFonts w:hint="default"/>
                      <w:color w:val="auto"/>
                    </w:rPr>
                    <w:t>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restart"/>
                  <w:noWrap w:val="0"/>
                  <w:vAlign w:val="center"/>
                </w:tcPr>
                <w:p>
                  <w:pPr>
                    <w:pStyle w:val="29"/>
                    <w:bidi w:val="0"/>
                    <w:rPr>
                      <w:rFonts w:hint="default"/>
                      <w:color w:val="auto"/>
                      <w:lang w:eastAsia="zh-CN"/>
                    </w:rPr>
                  </w:pPr>
                  <w:r>
                    <w:rPr>
                      <w:rFonts w:hint="default"/>
                      <w:color w:val="auto"/>
                      <w:lang w:eastAsia="zh-CN"/>
                    </w:rPr>
                    <w:t>机械设备</w:t>
                  </w:r>
                </w:p>
              </w:tc>
              <w:tc>
                <w:tcPr>
                  <w:tcW w:w="1268" w:type="pct"/>
                  <w:noWrap w:val="0"/>
                  <w:vAlign w:val="center"/>
                </w:tcPr>
                <w:p>
                  <w:pPr>
                    <w:pStyle w:val="29"/>
                    <w:bidi w:val="0"/>
                    <w:rPr>
                      <w:rFonts w:hint="eastAsia"/>
                      <w:color w:val="auto"/>
                      <w:lang w:val="en-US" w:eastAsia="zh-CN"/>
                    </w:rPr>
                  </w:pPr>
                  <w:r>
                    <w:rPr>
                      <w:rFonts w:hint="eastAsia"/>
                      <w:color w:val="auto"/>
                      <w:lang w:val="en-US" w:eastAsia="zh-CN"/>
                    </w:rPr>
                    <w:t>压缩设备</w:t>
                  </w:r>
                </w:p>
              </w:tc>
              <w:tc>
                <w:tcPr>
                  <w:tcW w:w="895" w:type="pct"/>
                  <w:noWrap w:val="0"/>
                  <w:vAlign w:val="center"/>
                </w:tcPr>
                <w:p>
                  <w:pPr>
                    <w:pStyle w:val="29"/>
                    <w:bidi w:val="0"/>
                    <w:rPr>
                      <w:rFonts w:hint="default"/>
                      <w:color w:val="auto"/>
                      <w:lang w:val="en-US" w:eastAsia="zh-CN"/>
                    </w:rPr>
                  </w:pPr>
                  <w:r>
                    <w:rPr>
                      <w:rFonts w:hint="eastAsia"/>
                      <w:color w:val="auto"/>
                      <w:lang w:val="en-US" w:eastAsia="zh-CN"/>
                    </w:rPr>
                    <w:t>85</w:t>
                  </w:r>
                </w:p>
              </w:tc>
              <w:tc>
                <w:tcPr>
                  <w:tcW w:w="537" w:type="pct"/>
                  <w:noWrap w:val="0"/>
                  <w:vAlign w:val="center"/>
                </w:tcPr>
                <w:p>
                  <w:pPr>
                    <w:pStyle w:val="29"/>
                    <w:bidi w:val="0"/>
                    <w:rPr>
                      <w:rFonts w:hint="default"/>
                      <w:color w:val="auto"/>
                    </w:rPr>
                  </w:pPr>
                  <w:r>
                    <w:rPr>
                      <w:rFonts w:hint="eastAsia"/>
                      <w:color w:val="auto"/>
                      <w:lang w:val="en-US" w:eastAsia="zh-CN"/>
                    </w:rPr>
                    <w:t>1</w:t>
                  </w:r>
                </w:p>
              </w:tc>
              <w:tc>
                <w:tcPr>
                  <w:tcW w:w="391" w:type="pct"/>
                  <w:noWrap w:val="0"/>
                  <w:vAlign w:val="center"/>
                </w:tcPr>
                <w:p>
                  <w:pPr>
                    <w:pStyle w:val="29"/>
                    <w:bidi w:val="0"/>
                    <w:rPr>
                      <w:rFonts w:hint="default"/>
                      <w:color w:val="auto"/>
                      <w:lang w:val="en-US" w:eastAsia="zh-CN"/>
                    </w:rPr>
                  </w:pPr>
                  <w:r>
                    <w:rPr>
                      <w:rFonts w:hint="eastAsia"/>
                      <w:color w:val="auto"/>
                      <w:lang w:val="en-US" w:eastAsia="zh-CN"/>
                    </w:rPr>
                    <w:t>150</w:t>
                  </w:r>
                </w:p>
              </w:tc>
              <w:tc>
                <w:tcPr>
                  <w:tcW w:w="392" w:type="pct"/>
                  <w:noWrap w:val="0"/>
                  <w:vAlign w:val="center"/>
                </w:tcPr>
                <w:p>
                  <w:pPr>
                    <w:pStyle w:val="29"/>
                    <w:bidi w:val="0"/>
                    <w:rPr>
                      <w:rFonts w:hint="default"/>
                      <w:color w:val="auto"/>
                      <w:lang w:val="en-US" w:eastAsia="zh-CN"/>
                    </w:rPr>
                  </w:pPr>
                  <w:r>
                    <w:rPr>
                      <w:rFonts w:hint="eastAsia"/>
                      <w:color w:val="auto"/>
                      <w:lang w:val="en-US" w:eastAsia="zh-CN"/>
                    </w:rPr>
                    <w:t>15</w:t>
                  </w:r>
                </w:p>
              </w:tc>
              <w:tc>
                <w:tcPr>
                  <w:tcW w:w="391" w:type="pct"/>
                  <w:noWrap w:val="0"/>
                  <w:vAlign w:val="center"/>
                </w:tcPr>
                <w:p>
                  <w:pPr>
                    <w:pStyle w:val="29"/>
                    <w:bidi w:val="0"/>
                    <w:rPr>
                      <w:rFonts w:hint="default"/>
                      <w:color w:val="auto"/>
                      <w:lang w:val="en-US" w:eastAsia="zh-CN"/>
                    </w:rPr>
                  </w:pPr>
                  <w:r>
                    <w:rPr>
                      <w:rFonts w:hint="eastAsia"/>
                      <w:color w:val="auto"/>
                      <w:lang w:val="en-US" w:eastAsia="zh-CN"/>
                    </w:rPr>
                    <w:t>124</w:t>
                  </w:r>
                </w:p>
              </w:tc>
              <w:tc>
                <w:tcPr>
                  <w:tcW w:w="393" w:type="pct"/>
                  <w:noWrap w:val="0"/>
                  <w:vAlign w:val="center"/>
                </w:tcPr>
                <w:p>
                  <w:pPr>
                    <w:pStyle w:val="29"/>
                    <w:bidi w:val="0"/>
                    <w:rPr>
                      <w:rFonts w:hint="default"/>
                      <w:color w:val="auto"/>
                      <w:lang w:val="en-US" w:eastAsia="zh-CN"/>
                    </w:rPr>
                  </w:pPr>
                  <w:r>
                    <w:rPr>
                      <w:rFonts w:hint="eastAsia"/>
                      <w:color w:val="auto"/>
                      <w:lang w:val="en-US" w:eastAsia="zh-CN"/>
                    </w:rPr>
                    <w:t>35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continue"/>
                  <w:noWrap w:val="0"/>
                  <w:vAlign w:val="center"/>
                </w:tcPr>
                <w:p>
                  <w:pPr>
                    <w:pStyle w:val="29"/>
                    <w:bidi w:val="0"/>
                    <w:rPr>
                      <w:rFonts w:hint="default"/>
                      <w:color w:val="auto"/>
                    </w:rPr>
                  </w:pPr>
                </w:p>
              </w:tc>
              <w:tc>
                <w:tcPr>
                  <w:tcW w:w="1268" w:type="pct"/>
                  <w:noWrap w:val="0"/>
                  <w:vAlign w:val="center"/>
                </w:tcPr>
                <w:p>
                  <w:pPr>
                    <w:pStyle w:val="29"/>
                    <w:bidi w:val="0"/>
                    <w:rPr>
                      <w:rFonts w:hint="default"/>
                      <w:color w:val="auto"/>
                      <w:lang w:val="en-US" w:eastAsia="zh-CN"/>
                    </w:rPr>
                  </w:pPr>
                  <w:r>
                    <w:rPr>
                      <w:rFonts w:hint="eastAsia" w:ascii="Times New Roman" w:hAnsi="Times New Roman"/>
                      <w:color w:val="auto"/>
                      <w:szCs w:val="21"/>
                    </w:rPr>
                    <w:t>负压除尘除臭系统</w:t>
                  </w:r>
                </w:p>
              </w:tc>
              <w:tc>
                <w:tcPr>
                  <w:tcW w:w="895" w:type="pct"/>
                  <w:noWrap w:val="0"/>
                  <w:vAlign w:val="center"/>
                </w:tcPr>
                <w:p>
                  <w:pPr>
                    <w:pStyle w:val="29"/>
                    <w:bidi w:val="0"/>
                    <w:rPr>
                      <w:rFonts w:hint="default"/>
                      <w:color w:val="auto"/>
                      <w:lang w:val="en-US" w:eastAsia="zh-CN"/>
                    </w:rPr>
                  </w:pPr>
                  <w:r>
                    <w:rPr>
                      <w:rFonts w:hint="eastAsia"/>
                      <w:color w:val="auto"/>
                      <w:lang w:val="en-US" w:eastAsia="zh-CN"/>
                    </w:rPr>
                    <w:t>7</w:t>
                  </w:r>
                  <w:r>
                    <w:rPr>
                      <w:rFonts w:hint="default"/>
                      <w:color w:val="auto"/>
                      <w:lang w:val="en-US" w:eastAsia="zh-CN"/>
                    </w:rPr>
                    <w:t>5</w:t>
                  </w:r>
                </w:p>
              </w:tc>
              <w:tc>
                <w:tcPr>
                  <w:tcW w:w="537" w:type="pct"/>
                  <w:noWrap w:val="0"/>
                  <w:vAlign w:val="center"/>
                </w:tcPr>
                <w:p>
                  <w:pPr>
                    <w:pStyle w:val="29"/>
                    <w:bidi w:val="0"/>
                    <w:rPr>
                      <w:rFonts w:hint="default"/>
                      <w:color w:val="auto"/>
                    </w:rPr>
                  </w:pPr>
                  <w:r>
                    <w:rPr>
                      <w:rFonts w:hint="eastAsia"/>
                      <w:color w:val="auto"/>
                      <w:lang w:val="en-US" w:eastAsia="zh-CN"/>
                    </w:rPr>
                    <w:t>1</w:t>
                  </w:r>
                </w:p>
              </w:tc>
              <w:tc>
                <w:tcPr>
                  <w:tcW w:w="391" w:type="pct"/>
                  <w:noWrap w:val="0"/>
                  <w:vAlign w:val="center"/>
                </w:tcPr>
                <w:p>
                  <w:pPr>
                    <w:pStyle w:val="29"/>
                    <w:bidi w:val="0"/>
                    <w:rPr>
                      <w:rFonts w:hint="default"/>
                      <w:color w:val="auto"/>
                      <w:lang w:val="en-US" w:eastAsia="zh-CN"/>
                    </w:rPr>
                  </w:pPr>
                  <w:r>
                    <w:rPr>
                      <w:rFonts w:hint="eastAsia"/>
                      <w:color w:val="auto"/>
                      <w:lang w:val="en-US" w:eastAsia="zh-CN"/>
                    </w:rPr>
                    <w:t>148</w:t>
                  </w:r>
                </w:p>
              </w:tc>
              <w:tc>
                <w:tcPr>
                  <w:tcW w:w="392" w:type="pct"/>
                  <w:noWrap w:val="0"/>
                  <w:vAlign w:val="center"/>
                </w:tcPr>
                <w:p>
                  <w:pPr>
                    <w:pStyle w:val="29"/>
                    <w:bidi w:val="0"/>
                    <w:rPr>
                      <w:rFonts w:hint="default"/>
                      <w:color w:val="auto"/>
                      <w:lang w:val="en-US" w:eastAsia="zh-CN"/>
                    </w:rPr>
                  </w:pPr>
                  <w:r>
                    <w:rPr>
                      <w:rFonts w:hint="eastAsia"/>
                      <w:color w:val="auto"/>
                      <w:lang w:val="en-US" w:eastAsia="zh-CN"/>
                    </w:rPr>
                    <w:t>14</w:t>
                  </w:r>
                </w:p>
              </w:tc>
              <w:tc>
                <w:tcPr>
                  <w:tcW w:w="391" w:type="pct"/>
                  <w:noWrap w:val="0"/>
                  <w:vAlign w:val="center"/>
                </w:tcPr>
                <w:p>
                  <w:pPr>
                    <w:pStyle w:val="29"/>
                    <w:bidi w:val="0"/>
                    <w:rPr>
                      <w:rFonts w:hint="default"/>
                      <w:color w:val="auto"/>
                      <w:lang w:val="en-US" w:eastAsia="zh-CN"/>
                    </w:rPr>
                  </w:pPr>
                  <w:r>
                    <w:rPr>
                      <w:rFonts w:hint="eastAsia"/>
                      <w:color w:val="auto"/>
                      <w:lang w:val="en-US" w:eastAsia="zh-CN"/>
                    </w:rPr>
                    <w:t>126</w:t>
                  </w:r>
                </w:p>
              </w:tc>
              <w:tc>
                <w:tcPr>
                  <w:tcW w:w="393" w:type="pct"/>
                  <w:noWrap w:val="0"/>
                  <w:vAlign w:val="center"/>
                </w:tcPr>
                <w:p>
                  <w:pPr>
                    <w:pStyle w:val="29"/>
                    <w:bidi w:val="0"/>
                    <w:rPr>
                      <w:rFonts w:hint="default"/>
                      <w:color w:val="auto"/>
                      <w:lang w:val="en-US" w:eastAsia="zh-CN"/>
                    </w:rPr>
                  </w:pPr>
                  <w:r>
                    <w:rPr>
                      <w:rFonts w:hint="eastAsia"/>
                      <w:color w:val="auto"/>
                      <w:lang w:val="en-US" w:eastAsia="zh-CN"/>
                    </w:rPr>
                    <w:t>38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729" w:type="pct"/>
                  <w:vMerge w:val="continue"/>
                  <w:noWrap w:val="0"/>
                  <w:vAlign w:val="center"/>
                </w:tcPr>
                <w:p>
                  <w:pPr>
                    <w:pStyle w:val="29"/>
                    <w:bidi w:val="0"/>
                    <w:rPr>
                      <w:rFonts w:hint="default"/>
                      <w:color w:val="auto"/>
                    </w:rPr>
                  </w:pPr>
                </w:p>
              </w:tc>
              <w:tc>
                <w:tcPr>
                  <w:tcW w:w="1268" w:type="pct"/>
                  <w:noWrap w:val="0"/>
                  <w:vAlign w:val="center"/>
                </w:tcPr>
                <w:p>
                  <w:pPr>
                    <w:pStyle w:val="29"/>
                    <w:bidi w:val="0"/>
                    <w:rPr>
                      <w:rFonts w:hint="default"/>
                      <w:color w:val="auto"/>
                      <w:lang w:val="en-US" w:eastAsia="zh-CN"/>
                    </w:rPr>
                  </w:pPr>
                  <w:r>
                    <w:rPr>
                      <w:rFonts w:hint="eastAsia"/>
                      <w:color w:val="auto"/>
                      <w:lang w:val="en-US" w:eastAsia="zh-CN"/>
                    </w:rPr>
                    <w:t>风机</w:t>
                  </w:r>
                </w:p>
              </w:tc>
              <w:tc>
                <w:tcPr>
                  <w:tcW w:w="895" w:type="pct"/>
                  <w:noWrap w:val="0"/>
                  <w:vAlign w:val="center"/>
                </w:tcPr>
                <w:p>
                  <w:pPr>
                    <w:pStyle w:val="29"/>
                    <w:bidi w:val="0"/>
                    <w:rPr>
                      <w:rFonts w:hint="default"/>
                      <w:color w:val="auto"/>
                      <w:lang w:val="en-US" w:eastAsia="zh-CN"/>
                    </w:rPr>
                  </w:pPr>
                  <w:r>
                    <w:rPr>
                      <w:rFonts w:hint="eastAsia"/>
                      <w:color w:val="auto"/>
                      <w:lang w:val="en-US" w:eastAsia="zh-CN"/>
                    </w:rPr>
                    <w:t>80</w:t>
                  </w:r>
                </w:p>
              </w:tc>
              <w:tc>
                <w:tcPr>
                  <w:tcW w:w="537" w:type="pct"/>
                  <w:noWrap w:val="0"/>
                  <w:vAlign w:val="center"/>
                </w:tcPr>
                <w:p>
                  <w:pPr>
                    <w:pStyle w:val="29"/>
                    <w:bidi w:val="0"/>
                    <w:rPr>
                      <w:rFonts w:hint="default"/>
                      <w:color w:val="auto"/>
                    </w:rPr>
                  </w:pPr>
                  <w:r>
                    <w:rPr>
                      <w:rFonts w:hint="eastAsia"/>
                      <w:color w:val="auto"/>
                      <w:lang w:val="en-US" w:eastAsia="zh-CN"/>
                    </w:rPr>
                    <w:t>1</w:t>
                  </w:r>
                </w:p>
              </w:tc>
              <w:tc>
                <w:tcPr>
                  <w:tcW w:w="391" w:type="pct"/>
                  <w:noWrap w:val="0"/>
                  <w:vAlign w:val="center"/>
                </w:tcPr>
                <w:p>
                  <w:pPr>
                    <w:pStyle w:val="29"/>
                    <w:bidi w:val="0"/>
                    <w:rPr>
                      <w:rFonts w:hint="default"/>
                      <w:color w:val="auto"/>
                      <w:lang w:val="en-US" w:eastAsia="zh-CN"/>
                    </w:rPr>
                  </w:pPr>
                  <w:r>
                    <w:rPr>
                      <w:rFonts w:hint="eastAsia"/>
                      <w:color w:val="auto"/>
                      <w:lang w:val="en-US" w:eastAsia="zh-CN"/>
                    </w:rPr>
                    <w:t>137</w:t>
                  </w:r>
                </w:p>
              </w:tc>
              <w:tc>
                <w:tcPr>
                  <w:tcW w:w="392" w:type="pct"/>
                  <w:noWrap w:val="0"/>
                  <w:vAlign w:val="center"/>
                </w:tcPr>
                <w:p>
                  <w:pPr>
                    <w:pStyle w:val="29"/>
                    <w:bidi w:val="0"/>
                    <w:rPr>
                      <w:rFonts w:hint="default"/>
                      <w:color w:val="auto"/>
                      <w:lang w:val="en-US" w:eastAsia="zh-CN"/>
                    </w:rPr>
                  </w:pPr>
                  <w:r>
                    <w:rPr>
                      <w:rFonts w:hint="eastAsia"/>
                      <w:color w:val="auto"/>
                      <w:lang w:val="en-US" w:eastAsia="zh-CN"/>
                    </w:rPr>
                    <w:t>12</w:t>
                  </w:r>
                </w:p>
              </w:tc>
              <w:tc>
                <w:tcPr>
                  <w:tcW w:w="391" w:type="pct"/>
                  <w:noWrap w:val="0"/>
                  <w:vAlign w:val="center"/>
                </w:tcPr>
                <w:p>
                  <w:pPr>
                    <w:pStyle w:val="29"/>
                    <w:bidi w:val="0"/>
                    <w:rPr>
                      <w:rFonts w:hint="default"/>
                      <w:color w:val="auto"/>
                      <w:lang w:val="en-US" w:eastAsia="zh-CN"/>
                    </w:rPr>
                  </w:pPr>
                  <w:r>
                    <w:rPr>
                      <w:rFonts w:hint="eastAsia"/>
                      <w:color w:val="auto"/>
                      <w:lang w:val="en-US" w:eastAsia="zh-CN"/>
                    </w:rPr>
                    <w:t>122</w:t>
                  </w:r>
                </w:p>
              </w:tc>
              <w:tc>
                <w:tcPr>
                  <w:tcW w:w="393" w:type="pct"/>
                  <w:noWrap w:val="0"/>
                  <w:vAlign w:val="center"/>
                </w:tcPr>
                <w:p>
                  <w:pPr>
                    <w:pStyle w:val="29"/>
                    <w:bidi w:val="0"/>
                    <w:rPr>
                      <w:rFonts w:hint="default"/>
                      <w:color w:val="auto"/>
                      <w:lang w:val="en-US" w:eastAsia="zh-CN"/>
                    </w:rPr>
                  </w:pPr>
                  <w:r>
                    <w:rPr>
                      <w:rFonts w:hint="eastAsia"/>
                      <w:color w:val="auto"/>
                      <w:lang w:val="en-US" w:eastAsia="zh-CN"/>
                    </w:rPr>
                    <w:t>40</w:t>
                  </w:r>
                </w:p>
              </w:tc>
            </w:tr>
          </w:tbl>
          <w:p>
            <w:pPr>
              <w:pStyle w:val="18"/>
              <w:bidi w:val="0"/>
              <w:rPr>
                <w:rFonts w:hint="default"/>
                <w:color w:val="auto"/>
              </w:rPr>
            </w:pPr>
            <w:r>
              <w:rPr>
                <w:rFonts w:hint="default"/>
                <w:color w:val="auto"/>
              </w:rPr>
              <w:t>产噪设备加设减振基础或减振垫等</w:t>
            </w:r>
            <w:r>
              <w:rPr>
                <w:rFonts w:hint="default"/>
                <w:color w:val="auto"/>
                <w:lang w:eastAsia="zh-CN"/>
              </w:rPr>
              <w:t>措施后</w:t>
            </w:r>
            <w:r>
              <w:rPr>
                <w:rFonts w:hint="default"/>
                <w:color w:val="auto"/>
              </w:rPr>
              <w:t>，噪声能降低噪声级</w:t>
            </w:r>
            <w:r>
              <w:rPr>
                <w:rFonts w:hint="eastAsia"/>
                <w:color w:val="auto"/>
                <w:lang w:val="en-US" w:eastAsia="zh-CN"/>
              </w:rPr>
              <w:t>15</w:t>
            </w:r>
            <w:r>
              <w:rPr>
                <w:rFonts w:hint="default"/>
                <w:color w:val="auto"/>
              </w:rPr>
              <w:t>dB(A)，结合距离衰减，项目各设备噪声源同时运行时对厂界噪声贡献值见表</w:t>
            </w:r>
            <w:r>
              <w:rPr>
                <w:rFonts w:hint="eastAsia"/>
                <w:color w:val="auto"/>
                <w:lang w:val="en-US" w:eastAsia="zh-CN"/>
              </w:rPr>
              <w:t>4-9</w:t>
            </w:r>
            <w:r>
              <w:rPr>
                <w:rFonts w:hint="default"/>
                <w:color w:val="auto"/>
              </w:rPr>
              <w:t>。</w:t>
            </w:r>
          </w:p>
          <w:p>
            <w:pPr>
              <w:pStyle w:val="28"/>
              <w:bidi w:val="0"/>
              <w:rPr>
                <w:rFonts w:hint="default"/>
                <w:color w:val="auto"/>
              </w:rPr>
            </w:pPr>
          </w:p>
          <w:p>
            <w:pPr>
              <w:pStyle w:val="28"/>
              <w:bidi w:val="0"/>
              <w:rPr>
                <w:rFonts w:hint="default"/>
                <w:color w:val="auto"/>
              </w:rPr>
            </w:pPr>
            <w:r>
              <w:rPr>
                <w:rFonts w:hint="default"/>
                <w:color w:val="auto"/>
              </w:rPr>
              <w:t>表</w:t>
            </w:r>
            <w:r>
              <w:rPr>
                <w:rFonts w:hint="eastAsia"/>
                <w:color w:val="auto"/>
                <w:lang w:val="en-US" w:eastAsia="zh-CN"/>
              </w:rPr>
              <w:t>4-9</w:t>
            </w:r>
            <w:r>
              <w:rPr>
                <w:rFonts w:hint="default"/>
                <w:color w:val="auto"/>
                <w:lang w:val="en-US" w:eastAsia="zh-CN"/>
              </w:rPr>
              <w:t xml:space="preserve">    </w:t>
            </w:r>
            <w:r>
              <w:rPr>
                <w:rFonts w:hint="default"/>
                <w:color w:val="auto"/>
              </w:rPr>
              <w:t>距离衰减对各预测点的影响值表    单位：dB(A)</w:t>
            </w:r>
          </w:p>
          <w:tbl>
            <w:tblPr>
              <w:tblStyle w:val="21"/>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628"/>
              <w:gridCol w:w="1309"/>
              <w:gridCol w:w="1299"/>
              <w:gridCol w:w="826"/>
              <w:gridCol w:w="870"/>
              <w:gridCol w:w="941"/>
              <w:gridCol w:w="1017"/>
              <w:gridCol w:w="96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tblHeader/>
                <w:jc w:val="center"/>
              </w:trPr>
              <w:tc>
                <w:tcPr>
                  <w:tcW w:w="400" w:type="pct"/>
                  <w:tcBorders>
                    <w:bottom w:val="single" w:color="auto" w:sz="12" w:space="0"/>
                  </w:tcBorders>
                  <w:noWrap w:val="0"/>
                  <w:vAlign w:val="center"/>
                </w:tcPr>
                <w:p>
                  <w:pPr>
                    <w:pStyle w:val="29"/>
                    <w:bidi w:val="0"/>
                    <w:rPr>
                      <w:rFonts w:hint="default"/>
                      <w:b/>
                      <w:bCs/>
                      <w:color w:val="auto"/>
                    </w:rPr>
                  </w:pPr>
                  <w:r>
                    <w:rPr>
                      <w:rFonts w:hint="default"/>
                      <w:b/>
                      <w:bCs/>
                      <w:color w:val="auto"/>
                    </w:rPr>
                    <w:t>噪声源</w:t>
                  </w:r>
                </w:p>
              </w:tc>
              <w:tc>
                <w:tcPr>
                  <w:tcW w:w="833" w:type="pct"/>
                  <w:tcBorders>
                    <w:bottom w:val="single" w:color="auto" w:sz="12" w:space="0"/>
                  </w:tcBorders>
                  <w:noWrap w:val="0"/>
                  <w:vAlign w:val="center"/>
                </w:tcPr>
                <w:p>
                  <w:pPr>
                    <w:pStyle w:val="29"/>
                    <w:bidi w:val="0"/>
                    <w:rPr>
                      <w:rFonts w:hint="default"/>
                      <w:b/>
                      <w:bCs/>
                      <w:color w:val="auto"/>
                    </w:rPr>
                  </w:pPr>
                  <w:r>
                    <w:rPr>
                      <w:rFonts w:hint="default"/>
                      <w:b/>
                      <w:bCs/>
                      <w:color w:val="auto"/>
                    </w:rPr>
                    <w:t>噪声设备</w:t>
                  </w:r>
                </w:p>
              </w:tc>
              <w:tc>
                <w:tcPr>
                  <w:tcW w:w="827" w:type="pct"/>
                  <w:tcBorders>
                    <w:bottom w:val="single" w:color="auto" w:sz="12" w:space="0"/>
                  </w:tcBorders>
                  <w:noWrap w:val="0"/>
                  <w:vAlign w:val="center"/>
                </w:tcPr>
                <w:p>
                  <w:pPr>
                    <w:pStyle w:val="29"/>
                    <w:bidi w:val="0"/>
                    <w:rPr>
                      <w:rFonts w:hint="default"/>
                      <w:b/>
                      <w:bCs/>
                      <w:color w:val="auto"/>
                    </w:rPr>
                  </w:pPr>
                  <w:r>
                    <w:rPr>
                      <w:rFonts w:hint="default"/>
                      <w:b/>
                      <w:bCs/>
                      <w:color w:val="auto"/>
                    </w:rPr>
                    <w:t>降噪后声级［dB(A)］</w:t>
                  </w:r>
                </w:p>
              </w:tc>
              <w:tc>
                <w:tcPr>
                  <w:tcW w:w="525" w:type="pct"/>
                  <w:tcBorders>
                    <w:bottom w:val="single" w:color="auto" w:sz="12" w:space="0"/>
                  </w:tcBorders>
                  <w:noWrap w:val="0"/>
                  <w:vAlign w:val="center"/>
                </w:tcPr>
                <w:p>
                  <w:pPr>
                    <w:pStyle w:val="29"/>
                    <w:bidi w:val="0"/>
                    <w:rPr>
                      <w:rFonts w:hint="default"/>
                      <w:b/>
                      <w:bCs/>
                      <w:color w:val="auto"/>
                    </w:rPr>
                  </w:pPr>
                  <w:r>
                    <w:rPr>
                      <w:rFonts w:hint="default"/>
                      <w:b/>
                      <w:bCs/>
                      <w:color w:val="auto"/>
                    </w:rPr>
                    <w:t>数量(台)</w:t>
                  </w:r>
                </w:p>
              </w:tc>
              <w:tc>
                <w:tcPr>
                  <w:tcW w:w="554" w:type="pct"/>
                  <w:tcBorders>
                    <w:bottom w:val="single" w:color="auto" w:sz="12" w:space="0"/>
                  </w:tcBorders>
                  <w:noWrap w:val="0"/>
                  <w:vAlign w:val="center"/>
                </w:tcPr>
                <w:p>
                  <w:pPr>
                    <w:pStyle w:val="29"/>
                    <w:bidi w:val="0"/>
                    <w:rPr>
                      <w:rFonts w:hint="default"/>
                      <w:b/>
                      <w:bCs/>
                      <w:color w:val="auto"/>
                    </w:rPr>
                  </w:pPr>
                  <w:r>
                    <w:rPr>
                      <w:rFonts w:hint="default"/>
                      <w:b/>
                      <w:bCs/>
                      <w:color w:val="auto"/>
                    </w:rPr>
                    <w:t>厂界东</w:t>
                  </w:r>
                </w:p>
              </w:tc>
              <w:tc>
                <w:tcPr>
                  <w:tcW w:w="599" w:type="pct"/>
                  <w:tcBorders>
                    <w:bottom w:val="single" w:color="auto" w:sz="12" w:space="0"/>
                  </w:tcBorders>
                  <w:noWrap w:val="0"/>
                  <w:vAlign w:val="center"/>
                </w:tcPr>
                <w:p>
                  <w:pPr>
                    <w:pStyle w:val="29"/>
                    <w:bidi w:val="0"/>
                    <w:rPr>
                      <w:rFonts w:hint="default"/>
                      <w:b/>
                      <w:bCs/>
                      <w:color w:val="auto"/>
                    </w:rPr>
                  </w:pPr>
                  <w:r>
                    <w:rPr>
                      <w:rFonts w:hint="default"/>
                      <w:b/>
                      <w:bCs/>
                      <w:color w:val="auto"/>
                    </w:rPr>
                    <w:t>厂界南</w:t>
                  </w:r>
                </w:p>
              </w:tc>
              <w:tc>
                <w:tcPr>
                  <w:tcW w:w="647" w:type="pct"/>
                  <w:tcBorders>
                    <w:bottom w:val="single" w:color="auto" w:sz="12" w:space="0"/>
                  </w:tcBorders>
                  <w:noWrap w:val="0"/>
                  <w:vAlign w:val="center"/>
                </w:tcPr>
                <w:p>
                  <w:pPr>
                    <w:pStyle w:val="29"/>
                    <w:bidi w:val="0"/>
                    <w:rPr>
                      <w:rFonts w:hint="default"/>
                      <w:b/>
                      <w:bCs/>
                      <w:color w:val="auto"/>
                    </w:rPr>
                  </w:pPr>
                  <w:r>
                    <w:rPr>
                      <w:rFonts w:hint="default"/>
                      <w:b/>
                      <w:bCs/>
                      <w:color w:val="auto"/>
                    </w:rPr>
                    <w:t>厂界西</w:t>
                  </w:r>
                </w:p>
              </w:tc>
              <w:tc>
                <w:tcPr>
                  <w:tcW w:w="612" w:type="pct"/>
                  <w:tcBorders>
                    <w:bottom w:val="single" w:color="auto" w:sz="12" w:space="0"/>
                  </w:tcBorders>
                  <w:noWrap w:val="0"/>
                  <w:vAlign w:val="center"/>
                </w:tcPr>
                <w:p>
                  <w:pPr>
                    <w:pStyle w:val="29"/>
                    <w:bidi w:val="0"/>
                    <w:rPr>
                      <w:rFonts w:hint="default"/>
                      <w:b/>
                      <w:bCs/>
                      <w:color w:val="auto"/>
                    </w:rPr>
                  </w:pPr>
                  <w:r>
                    <w:rPr>
                      <w:rFonts w:hint="default"/>
                      <w:b/>
                      <w:bCs/>
                      <w:color w:val="auto"/>
                    </w:rPr>
                    <w:t>厂界北</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00" w:type="pct"/>
                  <w:vMerge w:val="restart"/>
                  <w:tcBorders>
                    <w:top w:val="single" w:color="auto" w:sz="12" w:space="0"/>
                  </w:tcBorders>
                  <w:noWrap w:val="0"/>
                  <w:vAlign w:val="center"/>
                </w:tcPr>
                <w:p>
                  <w:pPr>
                    <w:pStyle w:val="29"/>
                    <w:bidi w:val="0"/>
                    <w:rPr>
                      <w:rFonts w:hint="default"/>
                      <w:color w:val="auto"/>
                    </w:rPr>
                  </w:pPr>
                  <w:r>
                    <w:rPr>
                      <w:rFonts w:hint="default"/>
                      <w:color w:val="auto"/>
                      <w:lang w:eastAsia="zh-CN"/>
                    </w:rPr>
                    <w:t>机械设备</w:t>
                  </w:r>
                </w:p>
              </w:tc>
              <w:tc>
                <w:tcPr>
                  <w:tcW w:w="1311" w:type="dxa"/>
                  <w:tcBorders>
                    <w:top w:val="single" w:color="auto" w:sz="12" w:space="0"/>
                  </w:tcBorders>
                  <w:noWrap w:val="0"/>
                  <w:vAlign w:val="center"/>
                </w:tcPr>
                <w:p>
                  <w:pPr>
                    <w:pStyle w:val="29"/>
                    <w:bidi w:val="0"/>
                    <w:rPr>
                      <w:rFonts w:hint="eastAsia"/>
                      <w:color w:val="auto"/>
                      <w:lang w:val="en-US" w:eastAsia="zh-CN"/>
                    </w:rPr>
                  </w:pPr>
                  <w:r>
                    <w:rPr>
                      <w:rFonts w:hint="eastAsia"/>
                      <w:color w:val="auto"/>
                      <w:lang w:val="en-US" w:eastAsia="zh-CN"/>
                    </w:rPr>
                    <w:t>压缩设备</w:t>
                  </w:r>
                </w:p>
              </w:tc>
              <w:tc>
                <w:tcPr>
                  <w:tcW w:w="1302" w:type="dxa"/>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70</w:t>
                  </w:r>
                </w:p>
              </w:tc>
              <w:tc>
                <w:tcPr>
                  <w:tcW w:w="525"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1</w:t>
                  </w:r>
                </w:p>
              </w:tc>
              <w:tc>
                <w:tcPr>
                  <w:tcW w:w="554"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26.5</w:t>
                  </w:r>
                </w:p>
              </w:tc>
              <w:tc>
                <w:tcPr>
                  <w:tcW w:w="599"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46.5</w:t>
                  </w:r>
                </w:p>
              </w:tc>
              <w:tc>
                <w:tcPr>
                  <w:tcW w:w="647" w:type="pct"/>
                  <w:tcBorders>
                    <w:top w:val="single" w:color="auto" w:sz="12" w:space="0"/>
                  </w:tcBorders>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28.1</w:t>
                  </w:r>
                </w:p>
              </w:tc>
              <w:tc>
                <w:tcPr>
                  <w:tcW w:w="612" w:type="pct"/>
                  <w:tcBorders>
                    <w:top w:val="single" w:color="auto" w:sz="12" w:space="0"/>
                  </w:tcBorders>
                  <w:noWrap w:val="0"/>
                  <w:vAlign w:val="center"/>
                </w:tcPr>
                <w:p>
                  <w:pPr>
                    <w:pStyle w:val="29"/>
                    <w:bidi w:val="0"/>
                    <w:rPr>
                      <w:rFonts w:hint="default"/>
                      <w:color w:val="auto"/>
                      <w:lang w:val="en-US" w:eastAsia="zh-CN"/>
                    </w:rPr>
                  </w:pPr>
                  <w:r>
                    <w:rPr>
                      <w:rFonts w:hint="eastAsia"/>
                      <w:color w:val="auto"/>
                      <w:lang w:val="en-US" w:eastAsia="zh-CN"/>
                    </w:rPr>
                    <w:t>39.1</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00" w:type="pct"/>
                  <w:vMerge w:val="continue"/>
                  <w:noWrap w:val="0"/>
                  <w:vAlign w:val="center"/>
                </w:tcPr>
                <w:p>
                  <w:pPr>
                    <w:pStyle w:val="29"/>
                    <w:bidi w:val="0"/>
                    <w:rPr>
                      <w:rFonts w:hint="default"/>
                      <w:color w:val="auto"/>
                    </w:rPr>
                  </w:pPr>
                </w:p>
              </w:tc>
              <w:tc>
                <w:tcPr>
                  <w:tcW w:w="1311" w:type="dxa"/>
                  <w:noWrap w:val="0"/>
                  <w:vAlign w:val="center"/>
                </w:tcPr>
                <w:p>
                  <w:pPr>
                    <w:pStyle w:val="29"/>
                    <w:bidi w:val="0"/>
                    <w:rPr>
                      <w:rFonts w:hint="default"/>
                      <w:color w:val="auto"/>
                      <w:lang w:val="en-US" w:eastAsia="zh-CN"/>
                    </w:rPr>
                  </w:pPr>
                  <w:r>
                    <w:rPr>
                      <w:rFonts w:hint="eastAsia" w:ascii="Times New Roman" w:hAnsi="Times New Roman"/>
                      <w:color w:val="auto"/>
                      <w:szCs w:val="21"/>
                    </w:rPr>
                    <w:t>负压除尘除臭系统</w:t>
                  </w:r>
                </w:p>
              </w:tc>
              <w:tc>
                <w:tcPr>
                  <w:tcW w:w="1302" w:type="dxa"/>
                  <w:noWrap w:val="0"/>
                  <w:vAlign w:val="center"/>
                </w:tcPr>
                <w:p>
                  <w:pPr>
                    <w:pStyle w:val="29"/>
                    <w:bidi w:val="0"/>
                    <w:rPr>
                      <w:rFonts w:hint="default"/>
                      <w:color w:val="auto"/>
                      <w:lang w:val="en-US" w:eastAsia="zh-CN"/>
                    </w:rPr>
                  </w:pPr>
                  <w:r>
                    <w:rPr>
                      <w:rFonts w:hint="eastAsia"/>
                      <w:color w:val="auto"/>
                      <w:lang w:val="en-US" w:eastAsia="zh-CN"/>
                    </w:rPr>
                    <w:t>60</w:t>
                  </w:r>
                </w:p>
              </w:tc>
              <w:tc>
                <w:tcPr>
                  <w:tcW w:w="525" w:type="pct"/>
                  <w:noWrap w:val="0"/>
                  <w:vAlign w:val="center"/>
                </w:tcPr>
                <w:p>
                  <w:pPr>
                    <w:pStyle w:val="29"/>
                    <w:bidi w:val="0"/>
                    <w:rPr>
                      <w:rFonts w:hint="default"/>
                      <w:color w:val="auto"/>
                      <w:lang w:val="en-US" w:eastAsia="zh-CN"/>
                    </w:rPr>
                  </w:pPr>
                  <w:r>
                    <w:rPr>
                      <w:rFonts w:hint="eastAsia"/>
                      <w:color w:val="auto"/>
                      <w:lang w:val="en-US" w:eastAsia="zh-CN"/>
                    </w:rPr>
                    <w:t>1</w:t>
                  </w:r>
                </w:p>
              </w:tc>
              <w:tc>
                <w:tcPr>
                  <w:tcW w:w="554" w:type="pct"/>
                  <w:noWrap w:val="0"/>
                  <w:vAlign w:val="center"/>
                </w:tcPr>
                <w:p>
                  <w:pPr>
                    <w:pStyle w:val="29"/>
                    <w:bidi w:val="0"/>
                    <w:rPr>
                      <w:rFonts w:hint="default"/>
                      <w:color w:val="auto"/>
                      <w:lang w:val="en-US" w:eastAsia="zh-CN"/>
                    </w:rPr>
                  </w:pPr>
                  <w:r>
                    <w:rPr>
                      <w:rFonts w:hint="eastAsia"/>
                      <w:color w:val="auto"/>
                      <w:lang w:val="en-US" w:eastAsia="zh-CN"/>
                    </w:rPr>
                    <w:t>16.6</w:t>
                  </w:r>
                </w:p>
              </w:tc>
              <w:tc>
                <w:tcPr>
                  <w:tcW w:w="599" w:type="pct"/>
                  <w:noWrap w:val="0"/>
                  <w:vAlign w:val="center"/>
                </w:tcPr>
                <w:p>
                  <w:pPr>
                    <w:pStyle w:val="29"/>
                    <w:bidi w:val="0"/>
                    <w:rPr>
                      <w:rFonts w:hint="default"/>
                      <w:color w:val="auto"/>
                      <w:lang w:val="en-US" w:eastAsia="zh-CN"/>
                    </w:rPr>
                  </w:pPr>
                  <w:r>
                    <w:rPr>
                      <w:rFonts w:hint="eastAsia"/>
                      <w:color w:val="auto"/>
                      <w:lang w:val="en-US" w:eastAsia="zh-CN"/>
                    </w:rPr>
                    <w:t>37.1</w:t>
                  </w:r>
                </w:p>
              </w:tc>
              <w:tc>
                <w:tcPr>
                  <w:tcW w:w="647" w:type="pct"/>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18.0</w:t>
                  </w:r>
                </w:p>
              </w:tc>
              <w:tc>
                <w:tcPr>
                  <w:tcW w:w="612" w:type="pct"/>
                  <w:noWrap w:val="0"/>
                  <w:vAlign w:val="center"/>
                </w:tcPr>
                <w:p>
                  <w:pPr>
                    <w:pStyle w:val="29"/>
                    <w:bidi w:val="0"/>
                    <w:rPr>
                      <w:rFonts w:hint="default"/>
                      <w:color w:val="auto"/>
                      <w:lang w:val="en-US" w:eastAsia="zh-CN"/>
                    </w:rPr>
                  </w:pPr>
                  <w:r>
                    <w:rPr>
                      <w:rFonts w:hint="eastAsia"/>
                      <w:color w:val="auto"/>
                      <w:lang w:val="en-US" w:eastAsia="zh-CN"/>
                    </w:rPr>
                    <w:t>28.4</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cantSplit/>
                <w:trHeight w:val="286" w:hRule="atLeast"/>
                <w:jc w:val="center"/>
              </w:trPr>
              <w:tc>
                <w:tcPr>
                  <w:tcW w:w="400" w:type="pct"/>
                  <w:vMerge w:val="continue"/>
                  <w:noWrap w:val="0"/>
                  <w:vAlign w:val="center"/>
                </w:tcPr>
                <w:p>
                  <w:pPr>
                    <w:pStyle w:val="29"/>
                    <w:bidi w:val="0"/>
                    <w:rPr>
                      <w:rFonts w:hint="default"/>
                      <w:color w:val="auto"/>
                    </w:rPr>
                  </w:pPr>
                </w:p>
              </w:tc>
              <w:tc>
                <w:tcPr>
                  <w:tcW w:w="1311" w:type="dxa"/>
                  <w:noWrap w:val="0"/>
                  <w:vAlign w:val="center"/>
                </w:tcPr>
                <w:p>
                  <w:pPr>
                    <w:pStyle w:val="29"/>
                    <w:bidi w:val="0"/>
                    <w:rPr>
                      <w:rFonts w:hint="default"/>
                      <w:color w:val="auto"/>
                      <w:lang w:val="en-US" w:eastAsia="zh-CN"/>
                    </w:rPr>
                  </w:pPr>
                  <w:r>
                    <w:rPr>
                      <w:rFonts w:hint="eastAsia"/>
                      <w:color w:val="auto"/>
                      <w:lang w:val="en-US" w:eastAsia="zh-CN"/>
                    </w:rPr>
                    <w:t>风机</w:t>
                  </w:r>
                </w:p>
              </w:tc>
              <w:tc>
                <w:tcPr>
                  <w:tcW w:w="1302" w:type="dxa"/>
                  <w:noWrap w:val="0"/>
                  <w:vAlign w:val="center"/>
                </w:tcPr>
                <w:p>
                  <w:pPr>
                    <w:pStyle w:val="29"/>
                    <w:bidi w:val="0"/>
                    <w:rPr>
                      <w:rFonts w:hint="default"/>
                      <w:color w:val="auto"/>
                      <w:lang w:val="en-US" w:eastAsia="zh-CN"/>
                    </w:rPr>
                  </w:pPr>
                  <w:r>
                    <w:rPr>
                      <w:rFonts w:hint="eastAsia"/>
                      <w:color w:val="auto"/>
                      <w:lang w:val="en-US" w:eastAsia="zh-CN"/>
                    </w:rPr>
                    <w:t>65</w:t>
                  </w:r>
                </w:p>
              </w:tc>
              <w:tc>
                <w:tcPr>
                  <w:tcW w:w="525" w:type="pct"/>
                  <w:noWrap w:val="0"/>
                  <w:vAlign w:val="center"/>
                </w:tcPr>
                <w:p>
                  <w:pPr>
                    <w:pStyle w:val="29"/>
                    <w:bidi w:val="0"/>
                    <w:rPr>
                      <w:rFonts w:hint="default"/>
                      <w:color w:val="auto"/>
                      <w:lang w:val="en-US" w:eastAsia="zh-CN"/>
                    </w:rPr>
                  </w:pPr>
                  <w:r>
                    <w:rPr>
                      <w:rFonts w:hint="default"/>
                      <w:color w:val="auto"/>
                      <w:lang w:val="en-US" w:eastAsia="zh-CN"/>
                    </w:rPr>
                    <w:t>1</w:t>
                  </w:r>
                </w:p>
              </w:tc>
              <w:tc>
                <w:tcPr>
                  <w:tcW w:w="554" w:type="pct"/>
                  <w:noWrap w:val="0"/>
                  <w:vAlign w:val="center"/>
                </w:tcPr>
                <w:p>
                  <w:pPr>
                    <w:pStyle w:val="29"/>
                    <w:bidi w:val="0"/>
                    <w:rPr>
                      <w:rFonts w:hint="default"/>
                      <w:color w:val="auto"/>
                      <w:lang w:val="en-US" w:eastAsia="zh-CN"/>
                    </w:rPr>
                  </w:pPr>
                  <w:r>
                    <w:rPr>
                      <w:rFonts w:hint="eastAsia"/>
                      <w:color w:val="auto"/>
                      <w:lang w:val="en-US" w:eastAsia="zh-CN"/>
                    </w:rPr>
                    <w:t>22.3</w:t>
                  </w:r>
                </w:p>
              </w:tc>
              <w:tc>
                <w:tcPr>
                  <w:tcW w:w="599" w:type="pct"/>
                  <w:noWrap w:val="0"/>
                  <w:vAlign w:val="center"/>
                </w:tcPr>
                <w:p>
                  <w:pPr>
                    <w:pStyle w:val="29"/>
                    <w:bidi w:val="0"/>
                    <w:rPr>
                      <w:rFonts w:hint="default"/>
                      <w:color w:val="auto"/>
                      <w:lang w:val="en-US" w:eastAsia="zh-CN"/>
                    </w:rPr>
                  </w:pPr>
                  <w:r>
                    <w:rPr>
                      <w:rFonts w:hint="eastAsia"/>
                      <w:color w:val="auto"/>
                      <w:lang w:val="en-US" w:eastAsia="zh-CN"/>
                    </w:rPr>
                    <w:t>43.4</w:t>
                  </w:r>
                </w:p>
              </w:tc>
              <w:tc>
                <w:tcPr>
                  <w:tcW w:w="647" w:type="pct"/>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23.3</w:t>
                  </w:r>
                </w:p>
              </w:tc>
              <w:tc>
                <w:tcPr>
                  <w:tcW w:w="612" w:type="pct"/>
                  <w:noWrap w:val="0"/>
                  <w:vAlign w:val="center"/>
                </w:tcPr>
                <w:p>
                  <w:pPr>
                    <w:pStyle w:val="29"/>
                    <w:bidi w:val="0"/>
                    <w:rPr>
                      <w:rFonts w:hint="default"/>
                      <w:color w:val="auto"/>
                      <w:lang w:val="en-US" w:eastAsia="zh-CN"/>
                    </w:rPr>
                  </w:pPr>
                  <w:r>
                    <w:rPr>
                      <w:rFonts w:hint="eastAsia"/>
                      <w:color w:val="auto"/>
                      <w:lang w:val="en-US" w:eastAsia="zh-CN"/>
                    </w:rPr>
                    <w:t>33.0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2586" w:type="pct"/>
                  <w:gridSpan w:val="4"/>
                  <w:noWrap w:val="0"/>
                  <w:vAlign w:val="center"/>
                </w:tcPr>
                <w:p>
                  <w:pPr>
                    <w:pStyle w:val="29"/>
                    <w:bidi w:val="0"/>
                    <w:rPr>
                      <w:rFonts w:hint="default"/>
                      <w:color w:val="auto"/>
                    </w:rPr>
                  </w:pPr>
                  <w:r>
                    <w:rPr>
                      <w:rFonts w:hint="default"/>
                      <w:color w:val="auto"/>
                    </w:rPr>
                    <w:t>厂界贡献值</w:t>
                  </w:r>
                </w:p>
              </w:tc>
              <w:tc>
                <w:tcPr>
                  <w:tcW w:w="554" w:type="pct"/>
                  <w:noWrap w:val="0"/>
                  <w:vAlign w:val="center"/>
                </w:tcPr>
                <w:p>
                  <w:pPr>
                    <w:pStyle w:val="29"/>
                    <w:bidi w:val="0"/>
                    <w:rPr>
                      <w:rFonts w:hint="default"/>
                      <w:color w:val="auto"/>
                      <w:lang w:val="en-US" w:eastAsia="zh-CN"/>
                    </w:rPr>
                  </w:pPr>
                  <w:r>
                    <w:rPr>
                      <w:rFonts w:hint="eastAsia"/>
                      <w:color w:val="auto"/>
                      <w:lang w:val="en-US" w:eastAsia="zh-CN"/>
                    </w:rPr>
                    <w:t>28.8</w:t>
                  </w:r>
                </w:p>
              </w:tc>
              <w:tc>
                <w:tcPr>
                  <w:tcW w:w="599" w:type="pct"/>
                  <w:noWrap w:val="0"/>
                  <w:vAlign w:val="center"/>
                </w:tcPr>
                <w:p>
                  <w:pPr>
                    <w:pStyle w:val="29"/>
                    <w:bidi w:val="0"/>
                    <w:rPr>
                      <w:rFonts w:hint="default"/>
                      <w:color w:val="auto"/>
                      <w:lang w:val="en-US" w:eastAsia="zh-CN"/>
                    </w:rPr>
                  </w:pPr>
                  <w:r>
                    <w:rPr>
                      <w:rFonts w:hint="eastAsia"/>
                      <w:color w:val="auto"/>
                      <w:lang w:val="en-US" w:eastAsia="zh-CN"/>
                    </w:rPr>
                    <w:t>37.6</w:t>
                  </w:r>
                </w:p>
              </w:tc>
              <w:tc>
                <w:tcPr>
                  <w:tcW w:w="647" w:type="pct"/>
                  <w:noWrap w:val="0"/>
                  <w:vAlign w:val="center"/>
                </w:tcPr>
                <w:p>
                  <w:pPr>
                    <w:pStyle w:val="29"/>
                    <w:bidi w:val="0"/>
                    <w:rPr>
                      <w:rFonts w:hint="default"/>
                      <w:color w:val="auto"/>
                      <w:lang w:val="en-US" w:eastAsia="zh-CN"/>
                    </w:rPr>
                  </w:pPr>
                  <w:r>
                    <w:rPr>
                      <w:rFonts w:hint="eastAsia"/>
                      <w:color w:val="auto"/>
                      <w:lang w:val="en-US" w:eastAsia="zh-CN"/>
                    </w:rPr>
                    <w:t>48.6</w:t>
                  </w:r>
                </w:p>
              </w:tc>
              <w:tc>
                <w:tcPr>
                  <w:tcW w:w="612" w:type="pct"/>
                  <w:noWrap w:val="0"/>
                  <w:vAlign w:val="center"/>
                </w:tcPr>
                <w:p>
                  <w:pPr>
                    <w:pStyle w:val="29"/>
                    <w:bidi w:val="0"/>
                    <w:rPr>
                      <w:rFonts w:hint="default"/>
                      <w:color w:val="auto"/>
                      <w:lang w:val="en-US" w:eastAsia="zh-CN"/>
                    </w:rPr>
                  </w:pPr>
                  <w:r>
                    <w:rPr>
                      <w:rFonts w:hint="eastAsia"/>
                      <w:color w:val="auto"/>
                      <w:lang w:val="en-US" w:eastAsia="zh-CN"/>
                    </w:rPr>
                    <w:t>40.7</w:t>
                  </w:r>
                </w:p>
              </w:tc>
            </w:tr>
          </w:tbl>
          <w:p>
            <w:pPr>
              <w:pStyle w:val="18"/>
              <w:bidi w:val="0"/>
              <w:jc w:val="both"/>
              <w:rPr>
                <w:rFonts w:hint="eastAsia"/>
                <w:color w:val="auto"/>
                <w:lang w:eastAsia="zh-CN"/>
              </w:rPr>
            </w:pPr>
            <w:r>
              <w:rPr>
                <w:color w:val="auto"/>
                <w:sz w:val="24"/>
              </w:rPr>
              <w:t>根据《环境影响评价技术导则 声环境》（HJ2.4-2009）可知，进行边界噪声评价时，</w:t>
            </w:r>
            <w:r>
              <w:rPr>
                <w:rFonts w:hint="eastAsia"/>
                <w:color w:val="auto"/>
                <w:sz w:val="24"/>
              </w:rPr>
              <w:t>新建</w:t>
            </w:r>
            <w:r>
              <w:rPr>
                <w:color w:val="auto"/>
                <w:sz w:val="24"/>
              </w:rPr>
              <w:t>项目以工程噪声</w:t>
            </w:r>
            <w:r>
              <w:rPr>
                <w:rFonts w:hint="eastAsia"/>
                <w:color w:val="auto"/>
                <w:sz w:val="24"/>
              </w:rPr>
              <w:t>厂界贡献值</w:t>
            </w:r>
            <w:r>
              <w:rPr>
                <w:color w:val="auto"/>
                <w:sz w:val="24"/>
              </w:rPr>
              <w:t>作为评价量。由上表可知，建设项目投入运营后，各厂界噪声预测值可以达到《工业企业厂界环境噪声排放标准》（GB12348-2008）</w:t>
            </w:r>
            <w:r>
              <w:rPr>
                <w:rFonts w:hint="eastAsia"/>
                <w:color w:val="auto"/>
                <w:sz w:val="24"/>
                <w:lang w:val="en-US" w:eastAsia="zh-CN"/>
              </w:rPr>
              <w:t>2</w:t>
            </w:r>
            <w:r>
              <w:rPr>
                <w:color w:val="auto"/>
                <w:sz w:val="24"/>
              </w:rPr>
              <w:t>类区标准限值，不会对周围环境产生明显影响</w:t>
            </w:r>
          </w:p>
          <w:p>
            <w:pPr>
              <w:pStyle w:val="6"/>
              <w:bidi w:val="0"/>
              <w:rPr>
                <w:rFonts w:hint="eastAsia"/>
                <w:color w:val="auto"/>
                <w:lang w:eastAsia="zh-CN"/>
              </w:rPr>
            </w:pPr>
            <w:r>
              <w:rPr>
                <w:rFonts w:hint="eastAsia"/>
                <w:color w:val="auto"/>
                <w:lang w:val="en-US" w:eastAsia="zh-CN"/>
              </w:rPr>
              <w:t xml:space="preserve">3.5 </w:t>
            </w:r>
            <w:r>
              <w:rPr>
                <w:rFonts w:hint="eastAsia"/>
                <w:color w:val="auto"/>
                <w:lang w:eastAsia="zh-CN"/>
              </w:rPr>
              <w:t>减缓措施</w:t>
            </w:r>
          </w:p>
          <w:p>
            <w:pPr>
              <w:pStyle w:val="18"/>
              <w:bidi w:val="0"/>
              <w:rPr>
                <w:rFonts w:hint="eastAsia"/>
                <w:color w:val="auto"/>
                <w:lang w:eastAsia="zh-CN"/>
              </w:rPr>
            </w:pPr>
            <w:r>
              <w:rPr>
                <w:rFonts w:hint="eastAsia"/>
                <w:color w:val="auto"/>
                <w:lang w:val="en-US" w:eastAsia="zh-CN"/>
              </w:rPr>
              <w:t>① 垃圾转运车、渗滤液转运车辆尽可能选用低噪声、低振动、结构优良的车辆；在运输路线上应尽量避免高声喇叭，在经过居民区时，应减速慢行，以降低车辆噪声对运输线四周声环境影响。</w:t>
            </w:r>
          </w:p>
          <w:p>
            <w:pPr>
              <w:pStyle w:val="18"/>
              <w:bidi w:val="0"/>
              <w:rPr>
                <w:rFonts w:hint="eastAsia"/>
                <w:color w:val="auto"/>
                <w:lang w:eastAsia="zh-CN"/>
              </w:rPr>
            </w:pPr>
            <w:r>
              <w:rPr>
                <w:rFonts w:hint="eastAsia"/>
                <w:color w:val="auto"/>
                <w:lang w:val="en-US" w:eastAsia="zh-CN"/>
              </w:rPr>
              <w:t>② 对垃圾中转站垃圾运输车辆进出时间限制，避免早晚扰民。</w:t>
            </w:r>
          </w:p>
          <w:p>
            <w:pPr>
              <w:pStyle w:val="18"/>
              <w:bidi w:val="0"/>
              <w:rPr>
                <w:rFonts w:hint="eastAsia"/>
                <w:color w:val="auto"/>
                <w:lang w:eastAsia="zh-CN"/>
              </w:rPr>
            </w:pPr>
            <w:r>
              <w:rPr>
                <w:rFonts w:hint="eastAsia"/>
                <w:color w:val="auto"/>
                <w:lang w:val="en-US" w:eastAsia="zh-CN"/>
              </w:rPr>
              <w:t>③ 加强厂区内绿化。</w:t>
            </w:r>
          </w:p>
          <w:p>
            <w:pPr>
              <w:pStyle w:val="18"/>
              <w:bidi w:val="0"/>
              <w:rPr>
                <w:rFonts w:hint="eastAsia"/>
                <w:color w:val="auto"/>
                <w:lang w:eastAsia="zh-CN"/>
              </w:rPr>
            </w:pPr>
            <w:r>
              <w:rPr>
                <w:rFonts w:hint="eastAsia"/>
                <w:color w:val="auto"/>
                <w:lang w:val="en-US" w:eastAsia="zh-CN"/>
              </w:rPr>
              <w:t>④ 加强车辆进出管理，设置禁鸣标志，缩短怠速行驶时间。</w:t>
            </w:r>
          </w:p>
          <w:p>
            <w:pPr>
              <w:pStyle w:val="18"/>
              <w:bidi w:val="0"/>
              <w:rPr>
                <w:rFonts w:hint="eastAsia"/>
                <w:color w:val="auto"/>
              </w:rPr>
            </w:pPr>
            <w:r>
              <w:rPr>
                <w:rFonts w:hint="eastAsia"/>
                <w:color w:val="auto"/>
              </w:rPr>
              <w:t>综上，在建设单位</w:t>
            </w:r>
            <w:r>
              <w:rPr>
                <w:rFonts w:hint="eastAsia"/>
                <w:color w:val="auto"/>
                <w:lang w:eastAsia="zh-CN"/>
              </w:rPr>
              <w:t>采取以上措施后</w:t>
            </w:r>
            <w:r>
              <w:rPr>
                <w:rFonts w:hint="eastAsia"/>
                <w:color w:val="auto"/>
              </w:rPr>
              <w:t>，</w:t>
            </w:r>
            <w:r>
              <w:rPr>
                <w:rFonts w:hint="eastAsia"/>
                <w:color w:val="auto"/>
                <w:lang w:eastAsia="zh-CN"/>
              </w:rPr>
              <w:t>厂界噪声排放可以</w:t>
            </w:r>
            <w:r>
              <w:rPr>
                <w:rFonts w:hint="eastAsia"/>
                <w:color w:val="auto"/>
              </w:rPr>
              <w:t>满足</w:t>
            </w:r>
            <w:r>
              <w:rPr>
                <w:color w:val="auto"/>
              </w:rPr>
              <w:t>《工业企业厂界环境噪声排放标准》（GB12348-2008）中的</w:t>
            </w:r>
            <w:r>
              <w:rPr>
                <w:rFonts w:hint="eastAsia"/>
                <w:color w:val="auto"/>
                <w:lang w:val="en-US" w:eastAsia="zh-CN"/>
              </w:rPr>
              <w:t>2</w:t>
            </w:r>
            <w:r>
              <w:rPr>
                <w:color w:val="auto"/>
              </w:rPr>
              <w:t>类标准</w:t>
            </w:r>
            <w:r>
              <w:rPr>
                <w:rFonts w:hint="eastAsia"/>
                <w:color w:val="auto"/>
              </w:rPr>
              <w:t>要求。</w:t>
            </w:r>
          </w:p>
          <w:p>
            <w:pPr>
              <w:pStyle w:val="6"/>
              <w:bidi w:val="0"/>
              <w:rPr>
                <w:rFonts w:hint="eastAsia"/>
                <w:color w:val="auto"/>
                <w:lang w:val="en-US" w:eastAsia="zh-CN"/>
              </w:rPr>
            </w:pPr>
            <w:r>
              <w:rPr>
                <w:rFonts w:hint="eastAsia"/>
                <w:color w:val="auto"/>
                <w:lang w:val="en-US" w:eastAsia="zh-CN"/>
              </w:rPr>
              <w:t>3.6 监测计划</w:t>
            </w:r>
          </w:p>
          <w:p>
            <w:pPr>
              <w:pStyle w:val="18"/>
              <w:bidi w:val="0"/>
              <w:rPr>
                <w:rFonts w:hint="eastAsia"/>
                <w:color w:val="auto"/>
                <w:lang w:val="en-US" w:eastAsia="zh-CN"/>
              </w:rPr>
            </w:pPr>
            <w:r>
              <w:rPr>
                <w:rFonts w:hint="eastAsia"/>
                <w:color w:val="auto"/>
                <w:lang w:val="en-US" w:eastAsia="zh-CN"/>
              </w:rPr>
              <w:t>根据</w:t>
            </w:r>
            <w:r>
              <w:rPr>
                <w:rFonts w:hint="default" w:ascii="Times New Roman" w:hAnsi="Times New Roman" w:eastAsia="宋体" w:cs="Times New Roman"/>
                <w:color w:val="auto"/>
                <w:kern w:val="0"/>
                <w:sz w:val="24"/>
                <w:szCs w:val="24"/>
                <w:highlight w:val="none"/>
                <w:lang w:eastAsia="zh-CN"/>
              </w:rPr>
              <w:t>《排污许可证申请与核发技术规范 总则</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eastAsia="zh-CN"/>
              </w:rPr>
              <w:t>（HJ 942-2018）</w:t>
            </w:r>
            <w:r>
              <w:rPr>
                <w:rFonts w:hint="eastAsia" w:ascii="Times New Roman" w:hAnsi="Times New Roman" w:cs="Times New Roman"/>
                <w:color w:val="auto"/>
                <w:kern w:val="0"/>
                <w:sz w:val="24"/>
                <w:szCs w:val="24"/>
                <w:highlight w:val="none"/>
                <w:lang w:val="en-US" w:eastAsia="zh-CN"/>
              </w:rPr>
              <w:t>及</w:t>
            </w:r>
            <w:r>
              <w:rPr>
                <w:rFonts w:hint="eastAsia"/>
                <w:color w:val="auto"/>
                <w:lang w:val="en-US" w:eastAsia="zh-CN"/>
              </w:rPr>
              <w:t>《排污许可证申请与核发技术规范 环境卫生管理业》(HJ1116-2020）中并未对噪声的监测频次进行要求，故本项目运营期噪声环境监测计划根据当地环境保护要求进行核定。</w:t>
            </w:r>
          </w:p>
          <w:p>
            <w:pPr>
              <w:pStyle w:val="28"/>
              <w:bidi w:val="0"/>
              <w:rPr>
                <w:rFonts w:hint="default"/>
                <w:color w:val="auto"/>
                <w:lang w:val="en-US"/>
              </w:rPr>
            </w:pPr>
            <w:r>
              <w:rPr>
                <w:rFonts w:hint="default"/>
                <w:color w:val="auto"/>
                <w:lang w:val="en-US" w:eastAsia="zh-CN"/>
              </w:rPr>
              <w:t>表4-</w:t>
            </w:r>
            <w:r>
              <w:rPr>
                <w:rFonts w:hint="eastAsia"/>
                <w:color w:val="auto"/>
                <w:lang w:val="en-US" w:eastAsia="zh-CN"/>
              </w:rPr>
              <w:t>10</w:t>
            </w:r>
            <w:r>
              <w:rPr>
                <w:rFonts w:hint="default"/>
                <w:color w:val="auto"/>
                <w:lang w:val="en-US" w:eastAsia="zh-CN"/>
              </w:rPr>
              <w:t xml:space="preserve">    噪声</w:t>
            </w:r>
            <w:r>
              <w:rPr>
                <w:rFonts w:hint="default"/>
                <w:color w:val="auto"/>
              </w:rPr>
              <w:t>监测内容及计划</w:t>
            </w:r>
          </w:p>
          <w:tbl>
            <w:tblPr>
              <w:tblStyle w:val="22"/>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731"/>
              <w:gridCol w:w="1335"/>
              <w:gridCol w:w="33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7" w:type="pc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监测点位</w:t>
                  </w:r>
                </w:p>
              </w:tc>
              <w:tc>
                <w:tcPr>
                  <w:tcW w:w="1102" w:type="pc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监测指标</w:t>
                  </w:r>
                </w:p>
              </w:tc>
              <w:tc>
                <w:tcPr>
                  <w:tcW w:w="850" w:type="pc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监测频次</w:t>
                  </w:r>
                </w:p>
              </w:tc>
              <w:tc>
                <w:tcPr>
                  <w:tcW w:w="2139" w:type="pct"/>
                  <w:tcBorders>
                    <w:bottom w:val="single" w:color="auto" w:sz="12" w:space="0"/>
                  </w:tcBorders>
                  <w:noWrap w:val="0"/>
                  <w:vAlign w:val="center"/>
                </w:tcPr>
                <w:p>
                  <w:pPr>
                    <w:pStyle w:val="29"/>
                    <w:widowControl w:val="0"/>
                    <w:bidi w:val="0"/>
                    <w:rPr>
                      <w:rFonts w:hint="default"/>
                      <w:b/>
                      <w:bCs/>
                      <w:color w:val="auto"/>
                      <w:lang w:val="en-US" w:eastAsia="zh-CN"/>
                    </w:rPr>
                  </w:pPr>
                  <w:r>
                    <w:rPr>
                      <w:rFonts w:hint="default"/>
                      <w:b/>
                      <w:bCs/>
                      <w:color w:val="auto"/>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7" w:type="pct"/>
                  <w:tcBorders>
                    <w:top w:val="single" w:color="auto" w:sz="12" w:space="0"/>
                    <w:tl2br w:val="nil"/>
                    <w:tr2bl w:val="nil"/>
                  </w:tcBorders>
                  <w:noWrap w:val="0"/>
                  <w:vAlign w:val="center"/>
                </w:tcPr>
                <w:p>
                  <w:pPr>
                    <w:pStyle w:val="29"/>
                    <w:widowControl w:val="0"/>
                    <w:bidi w:val="0"/>
                    <w:rPr>
                      <w:rFonts w:hint="default"/>
                      <w:color w:val="auto"/>
                      <w:lang w:val="en-US" w:eastAsia="zh-CN"/>
                    </w:rPr>
                  </w:pPr>
                  <w:r>
                    <w:rPr>
                      <w:rFonts w:hint="default"/>
                      <w:color w:val="auto"/>
                      <w:lang w:val="en-US" w:eastAsia="zh-CN"/>
                    </w:rPr>
                    <w:t>厂界</w:t>
                  </w:r>
                  <w:r>
                    <w:rPr>
                      <w:rFonts w:hint="eastAsia"/>
                      <w:color w:val="auto"/>
                      <w:lang w:val="en-US" w:eastAsia="zh-CN"/>
                    </w:rPr>
                    <w:t>四周</w:t>
                  </w:r>
                </w:p>
              </w:tc>
              <w:tc>
                <w:tcPr>
                  <w:tcW w:w="1102" w:type="pct"/>
                  <w:tcBorders>
                    <w:top w:val="single" w:color="auto" w:sz="12" w:space="0"/>
                    <w:tl2br w:val="nil"/>
                    <w:tr2bl w:val="nil"/>
                  </w:tcBorders>
                  <w:noWrap w:val="0"/>
                  <w:vAlign w:val="center"/>
                </w:tcPr>
                <w:p>
                  <w:pPr>
                    <w:pStyle w:val="29"/>
                    <w:widowControl w:val="0"/>
                    <w:bidi w:val="0"/>
                    <w:rPr>
                      <w:rFonts w:hint="default"/>
                      <w:color w:val="auto"/>
                      <w:lang w:val="en-US" w:eastAsia="zh-CN"/>
                    </w:rPr>
                  </w:pPr>
                  <w:r>
                    <w:rPr>
                      <w:rFonts w:hint="default"/>
                      <w:color w:val="auto"/>
                      <w:lang w:val="en-US" w:eastAsia="zh-CN"/>
                    </w:rPr>
                    <w:t>等效连续A声级</w:t>
                  </w:r>
                </w:p>
              </w:tc>
              <w:tc>
                <w:tcPr>
                  <w:tcW w:w="850" w:type="pct"/>
                  <w:tcBorders>
                    <w:top w:val="single" w:color="auto" w:sz="12" w:space="0"/>
                    <w:tl2br w:val="nil"/>
                    <w:tr2bl w:val="nil"/>
                  </w:tcBorders>
                  <w:noWrap w:val="0"/>
                  <w:vAlign w:val="center"/>
                </w:tcPr>
                <w:p>
                  <w:pPr>
                    <w:pStyle w:val="29"/>
                    <w:widowControl w:val="0"/>
                    <w:bidi w:val="0"/>
                    <w:rPr>
                      <w:rFonts w:hint="default"/>
                      <w:color w:val="auto"/>
                      <w:lang w:val="en-US" w:eastAsia="zh-CN"/>
                    </w:rPr>
                  </w:pPr>
                  <w:r>
                    <w:rPr>
                      <w:rFonts w:hint="default"/>
                      <w:color w:val="auto"/>
                      <w:lang w:val="en-US" w:eastAsia="zh-CN"/>
                    </w:rPr>
                    <w:t>次/</w:t>
                  </w:r>
                  <w:r>
                    <w:rPr>
                      <w:rFonts w:hint="eastAsia"/>
                      <w:color w:val="auto"/>
                      <w:lang w:val="en-US" w:eastAsia="zh-CN"/>
                    </w:rPr>
                    <w:t>季度</w:t>
                  </w:r>
                </w:p>
              </w:tc>
              <w:tc>
                <w:tcPr>
                  <w:tcW w:w="2139" w:type="pct"/>
                  <w:tcBorders>
                    <w:top w:val="single" w:color="auto" w:sz="12" w:space="0"/>
                    <w:tl2br w:val="nil"/>
                    <w:tr2bl w:val="nil"/>
                  </w:tcBorders>
                  <w:noWrap w:val="0"/>
                  <w:vAlign w:val="center"/>
                </w:tcPr>
                <w:p>
                  <w:pPr>
                    <w:pStyle w:val="29"/>
                    <w:widowControl w:val="0"/>
                    <w:bidi w:val="0"/>
                    <w:rPr>
                      <w:rFonts w:hint="default"/>
                      <w:color w:val="auto"/>
                      <w:lang w:val="en-US" w:eastAsia="zh-CN"/>
                    </w:rPr>
                  </w:pPr>
                  <w:r>
                    <w:rPr>
                      <w:rFonts w:hint="default"/>
                      <w:color w:val="auto"/>
                      <w:lang w:val="en-US" w:eastAsia="zh-CN"/>
                    </w:rPr>
                    <w:t>《工业企业厂界环境噪声排放标准》（GB12348-2008）</w:t>
                  </w:r>
                  <w:r>
                    <w:rPr>
                      <w:rFonts w:hint="eastAsia"/>
                      <w:color w:val="auto"/>
                      <w:lang w:val="en-US" w:eastAsia="zh-CN"/>
                    </w:rPr>
                    <w:t>2</w:t>
                  </w:r>
                  <w:r>
                    <w:rPr>
                      <w:rFonts w:hint="default"/>
                      <w:color w:val="auto"/>
                      <w:lang w:val="en-US" w:eastAsia="zh-CN"/>
                    </w:rPr>
                    <w:t xml:space="preserve"> 类标准</w:t>
                  </w:r>
                </w:p>
              </w:tc>
            </w:tr>
          </w:tbl>
          <w:p>
            <w:pPr>
              <w:pStyle w:val="5"/>
              <w:numPr>
                <w:ilvl w:val="0"/>
                <w:numId w:val="20"/>
              </w:numPr>
              <w:bidi w:val="0"/>
              <w:rPr>
                <w:rFonts w:hint="default"/>
                <w:color w:val="auto"/>
                <w:lang w:val="en-US" w:eastAsia="zh-CN"/>
              </w:rPr>
            </w:pPr>
            <w:r>
              <w:rPr>
                <w:rFonts w:hint="default"/>
                <w:color w:val="auto"/>
                <w:lang w:val="en-US" w:eastAsia="zh-CN"/>
              </w:rPr>
              <w:t>固体废物影响分析</w:t>
            </w:r>
          </w:p>
          <w:p>
            <w:pPr>
              <w:pStyle w:val="18"/>
              <w:bidi w:val="0"/>
              <w:rPr>
                <w:color w:val="auto"/>
              </w:rPr>
            </w:pPr>
            <w:r>
              <w:rPr>
                <w:color w:val="auto"/>
              </w:rPr>
              <w:t>固体废物主要</w:t>
            </w:r>
            <w:r>
              <w:rPr>
                <w:rFonts w:hint="eastAsia"/>
                <w:color w:val="auto"/>
                <w:lang w:eastAsia="zh-CN"/>
              </w:rPr>
              <w:t>有</w:t>
            </w:r>
            <w:r>
              <w:rPr>
                <w:rFonts w:hint="eastAsia"/>
                <w:color w:val="auto"/>
                <w:lang w:val="en-US" w:eastAsia="zh-CN"/>
              </w:rPr>
              <w:t>压缩垃圾、污水收集池污泥、除臭剂包装桶、除尘除臭系统产生的固废</w:t>
            </w:r>
            <w:r>
              <w:rPr>
                <w:rFonts w:hint="eastAsia"/>
                <w:color w:val="auto"/>
                <w:lang w:eastAsia="zh-CN"/>
              </w:rPr>
              <w:t>及员工生活垃圾</w:t>
            </w:r>
            <w:r>
              <w:rPr>
                <w:color w:val="auto"/>
              </w:rPr>
              <w:t>。</w:t>
            </w:r>
          </w:p>
          <w:p>
            <w:pPr>
              <w:pStyle w:val="18"/>
              <w:numPr>
                <w:ilvl w:val="0"/>
                <w:numId w:val="24"/>
              </w:numPr>
              <w:bidi w:val="0"/>
              <w:rPr>
                <w:rFonts w:hint="eastAsia"/>
                <w:color w:val="auto"/>
                <w:lang w:eastAsia="zh-CN"/>
              </w:rPr>
            </w:pPr>
            <w:r>
              <w:rPr>
                <w:rFonts w:hint="eastAsia"/>
                <w:color w:val="auto"/>
                <w:lang w:val="en-US" w:eastAsia="zh-CN"/>
              </w:rPr>
              <w:t>压缩垃圾</w:t>
            </w:r>
          </w:p>
          <w:p>
            <w:pPr>
              <w:pStyle w:val="18"/>
              <w:bidi w:val="0"/>
              <w:rPr>
                <w:rFonts w:hint="eastAsia"/>
                <w:color w:val="auto"/>
                <w:lang w:eastAsia="zh-CN"/>
              </w:rPr>
            </w:pPr>
            <w:r>
              <w:rPr>
                <w:rFonts w:hint="eastAsia"/>
                <w:color w:val="auto"/>
                <w:lang w:val="en-US" w:eastAsia="zh-CN"/>
              </w:rPr>
              <w:t>本项目垃圾收集量约为200t/d（73000t/a），按照建设单位提供的数据，垃圾中转站垃圾压缩比为1.12:1，则压缩垃圾的产生量约65178.57t/a，每天由运输车辆运往昌吉市生活垃圾填埋场进行处理，做到日产日清</w:t>
            </w:r>
            <w:r>
              <w:rPr>
                <w:rFonts w:hint="eastAsia"/>
                <w:color w:val="auto"/>
                <w:lang w:eastAsia="zh-CN"/>
              </w:rPr>
              <w:t>。</w:t>
            </w:r>
          </w:p>
          <w:p>
            <w:pPr>
              <w:pStyle w:val="18"/>
              <w:numPr>
                <w:ilvl w:val="0"/>
                <w:numId w:val="24"/>
              </w:numPr>
              <w:bidi w:val="0"/>
              <w:ind w:left="0" w:leftChars="0" w:firstLine="480" w:firstLineChars="200"/>
              <w:rPr>
                <w:rFonts w:hint="eastAsia"/>
                <w:color w:val="auto"/>
                <w:lang w:eastAsia="zh-CN"/>
              </w:rPr>
            </w:pPr>
            <w:r>
              <w:rPr>
                <w:rFonts w:hint="eastAsia"/>
                <w:color w:val="auto"/>
                <w:lang w:val="en-US" w:eastAsia="zh-CN"/>
              </w:rPr>
              <w:t>污水收集池污泥</w:t>
            </w:r>
          </w:p>
          <w:p>
            <w:pPr>
              <w:pStyle w:val="18"/>
              <w:bidi w:val="0"/>
              <w:rPr>
                <w:rFonts w:hint="eastAsia"/>
                <w:color w:val="auto"/>
                <w:lang w:val="en-US" w:eastAsia="zh-CN"/>
              </w:rPr>
            </w:pPr>
            <w:r>
              <w:rPr>
                <w:rFonts w:hint="eastAsia"/>
                <w:color w:val="auto"/>
                <w:lang w:val="en-US" w:eastAsia="zh-CN"/>
              </w:rPr>
              <w:t>本项目污水收集池年消减 CODcr 的量为 21.9t，污水收集池污泥产生定额按照每消耗 1kg 的 CODcr 产生 0.3kg 污泥计，生成的污泥含水率按90%计算，则生成的污泥量为 109.653t/a。污水收集池污泥经脱水干化后与压缩垃圾一同转运至生活垃圾填埋场处理</w:t>
            </w:r>
            <w:r>
              <w:rPr>
                <w:rFonts w:hint="eastAsia"/>
                <w:color w:val="auto"/>
                <w:lang w:eastAsia="zh-CN"/>
              </w:rPr>
              <w:t>。</w:t>
            </w:r>
          </w:p>
          <w:p>
            <w:pPr>
              <w:pStyle w:val="18"/>
              <w:numPr>
                <w:ilvl w:val="0"/>
                <w:numId w:val="24"/>
              </w:numPr>
              <w:bidi w:val="0"/>
              <w:ind w:left="0" w:leftChars="0" w:firstLine="480" w:firstLineChars="200"/>
              <w:rPr>
                <w:rFonts w:hint="eastAsia"/>
                <w:color w:val="auto"/>
                <w:lang w:val="en-US" w:eastAsia="zh-CN"/>
              </w:rPr>
            </w:pPr>
            <w:r>
              <w:rPr>
                <w:rFonts w:hint="eastAsia"/>
                <w:color w:val="auto"/>
                <w:lang w:val="en-US" w:eastAsia="zh-CN"/>
              </w:rPr>
              <w:t>除臭剂包装桶</w:t>
            </w:r>
          </w:p>
          <w:p>
            <w:pPr>
              <w:pStyle w:val="18"/>
              <w:bidi w:val="0"/>
              <w:rPr>
                <w:rFonts w:hint="eastAsia"/>
                <w:color w:val="auto"/>
                <w:sz w:val="24"/>
                <w:szCs w:val="20"/>
              </w:rPr>
            </w:pPr>
            <w:r>
              <w:rPr>
                <w:rFonts w:hint="eastAsia"/>
                <w:color w:val="auto"/>
                <w:sz w:val="24"/>
                <w:szCs w:val="20"/>
                <w:lang w:val="en-US" w:eastAsia="zh-CN"/>
              </w:rPr>
              <w:t xml:space="preserve">本项目除臭剂外购，除臭剂用完后产生少量除臭剂废包装桶。植物除臭剂用量约2.4t/a，植物除臭剂一般为25kg桶装液体，空桶重量约1kg，综上可估算出除臭剂废包装桶产生量约0.096t/a。 </w:t>
            </w:r>
          </w:p>
          <w:p>
            <w:pPr>
              <w:pStyle w:val="18"/>
              <w:bidi w:val="0"/>
              <w:rPr>
                <w:rFonts w:hint="default"/>
                <w:color w:val="auto"/>
                <w:lang w:val="en-US" w:eastAsia="zh-CN"/>
              </w:rPr>
            </w:pPr>
            <w:r>
              <w:rPr>
                <w:rFonts w:hint="eastAsia"/>
                <w:color w:val="auto"/>
                <w:sz w:val="24"/>
                <w:szCs w:val="20"/>
                <w:lang w:val="en-US" w:eastAsia="zh-CN"/>
              </w:rPr>
              <w:t>对照《国家危险废物名录》（2021年版）可知，本项目除臭剂废包装桶不在所列名录中，不属于危险废物，属于一般工业固体废物。废包装桶暂存于一般固废暂存区，定期外售至废品收购站。</w:t>
            </w:r>
          </w:p>
          <w:p>
            <w:pPr>
              <w:pStyle w:val="18"/>
              <w:numPr>
                <w:ilvl w:val="0"/>
                <w:numId w:val="24"/>
              </w:numPr>
              <w:bidi w:val="0"/>
              <w:ind w:left="0" w:leftChars="0" w:firstLine="480" w:firstLineChars="200"/>
              <w:rPr>
                <w:color w:val="auto"/>
              </w:rPr>
            </w:pPr>
            <w:r>
              <w:rPr>
                <w:rFonts w:hint="eastAsia"/>
                <w:color w:val="auto"/>
                <w:lang w:val="en-US" w:eastAsia="zh-CN"/>
              </w:rPr>
              <w:t>除尘系统产生的固废</w:t>
            </w:r>
          </w:p>
          <w:p>
            <w:pPr>
              <w:pStyle w:val="18"/>
              <w:bidi w:val="0"/>
              <w:rPr>
                <w:color w:val="auto"/>
              </w:rPr>
            </w:pPr>
            <w:r>
              <w:rPr>
                <w:rFonts w:hint="eastAsia"/>
                <w:color w:val="auto"/>
                <w:lang w:val="en-US" w:eastAsia="zh-CN"/>
              </w:rPr>
              <w:t xml:space="preserve">负压除尘除臭系统中的循环除臭液在使用一段时间后，处理效率将逐渐降低，为确保该装置的处理效果，评价要求建设单位应让设备供货商定期更换除臭液，废除臭液产生量约 </w:t>
            </w:r>
            <w:r>
              <w:rPr>
                <w:rFonts w:hint="default"/>
                <w:color w:val="auto"/>
                <w:lang w:val="en-US" w:eastAsia="zh-CN"/>
              </w:rPr>
              <w:t>1t/a</w:t>
            </w:r>
            <w:r>
              <w:rPr>
                <w:rFonts w:hint="eastAsia"/>
                <w:color w:val="auto"/>
                <w:lang w:val="en-US" w:eastAsia="zh-CN"/>
              </w:rPr>
              <w:t>，属于一般固废。</w:t>
            </w:r>
          </w:p>
          <w:p>
            <w:pPr>
              <w:pStyle w:val="18"/>
              <w:numPr>
                <w:ilvl w:val="0"/>
                <w:numId w:val="24"/>
              </w:numPr>
              <w:bidi w:val="0"/>
              <w:ind w:left="0" w:leftChars="0" w:firstLine="480" w:firstLineChars="200"/>
              <w:rPr>
                <w:color w:val="auto"/>
              </w:rPr>
            </w:pPr>
            <w:r>
              <w:rPr>
                <w:rFonts w:hint="eastAsia"/>
                <w:color w:val="auto"/>
                <w:lang w:val="en-US" w:eastAsia="zh-CN"/>
              </w:rPr>
              <w:t>废离子交换树脂</w:t>
            </w:r>
          </w:p>
          <w:p>
            <w:pPr>
              <w:pStyle w:val="18"/>
              <w:bidi w:val="0"/>
              <w:rPr>
                <w:color w:val="auto"/>
              </w:rPr>
            </w:pPr>
            <w:r>
              <w:rPr>
                <w:rFonts w:hint="default"/>
                <w:color w:val="auto"/>
                <w:lang w:val="en-US" w:eastAsia="zh-CN"/>
              </w:rPr>
              <w:t>项目建成后</w:t>
            </w:r>
            <w:r>
              <w:rPr>
                <w:rFonts w:hint="eastAsia"/>
                <w:color w:val="auto"/>
                <w:lang w:val="en-US" w:eastAsia="zh-CN"/>
              </w:rPr>
              <w:t>锅炉</w:t>
            </w:r>
            <w:r>
              <w:rPr>
                <w:rFonts w:hint="default"/>
                <w:color w:val="auto"/>
                <w:lang w:val="en-US" w:eastAsia="zh-CN"/>
              </w:rPr>
              <w:t>软化水制备过程中产生的离子交换树脂</w:t>
            </w:r>
            <w:r>
              <w:rPr>
                <w:rFonts w:hint="eastAsia"/>
                <w:color w:val="auto"/>
                <w:lang w:val="en-US" w:eastAsia="zh-CN"/>
              </w:rPr>
              <w:t>，</w:t>
            </w:r>
            <w:r>
              <w:rPr>
                <w:rFonts w:hint="default"/>
                <w:color w:val="auto"/>
              </w:rPr>
              <w:t>按树脂的平均使用寿命 2 年计算，废树脂的平均产生量约 0.5t/a</w:t>
            </w:r>
            <w:r>
              <w:rPr>
                <w:rFonts w:hint="default"/>
                <w:color w:val="auto"/>
                <w:lang w:eastAsia="zh-CN"/>
              </w:rPr>
              <w:t>，</w:t>
            </w:r>
            <w:r>
              <w:rPr>
                <w:rFonts w:hint="default"/>
                <w:color w:val="auto"/>
                <w:lang w:val="en-US" w:eastAsia="zh-CN"/>
              </w:rPr>
              <w:t>为一般工业固废，由厂家回收处置。</w:t>
            </w:r>
          </w:p>
          <w:p>
            <w:pPr>
              <w:pStyle w:val="18"/>
              <w:numPr>
                <w:ilvl w:val="0"/>
                <w:numId w:val="24"/>
              </w:numPr>
              <w:bidi w:val="0"/>
              <w:ind w:left="0" w:leftChars="0" w:firstLine="480" w:firstLineChars="200"/>
              <w:rPr>
                <w:color w:val="auto"/>
              </w:rPr>
            </w:pPr>
            <w:r>
              <w:rPr>
                <w:rFonts w:hint="eastAsia"/>
                <w:color w:val="auto"/>
                <w:lang w:eastAsia="zh-CN"/>
              </w:rPr>
              <w:t>生活垃圾</w:t>
            </w:r>
          </w:p>
          <w:p>
            <w:pPr>
              <w:pStyle w:val="18"/>
              <w:bidi w:val="0"/>
              <w:rPr>
                <w:color w:val="auto"/>
              </w:rPr>
            </w:pPr>
            <w:r>
              <w:rPr>
                <w:rFonts w:hint="eastAsia"/>
                <w:color w:val="auto"/>
                <w:lang w:val="en-US" w:eastAsia="zh-CN"/>
              </w:rPr>
              <w:t>项目职工10人，每人每天产生垃圾量按0.5kg计，按365天计，本项目</w:t>
            </w:r>
            <w:r>
              <w:rPr>
                <w:color w:val="auto"/>
              </w:rPr>
              <w:t>营运期生活垃圾产生量为</w:t>
            </w:r>
            <w:r>
              <w:rPr>
                <w:rFonts w:hint="eastAsia"/>
                <w:color w:val="auto"/>
                <w:lang w:val="en-US" w:eastAsia="zh-CN"/>
              </w:rPr>
              <w:t>5</w:t>
            </w:r>
            <w:r>
              <w:rPr>
                <w:rFonts w:hint="eastAsia"/>
                <w:color w:val="auto"/>
              </w:rPr>
              <w:t>kg/d（</w:t>
            </w:r>
            <w:r>
              <w:rPr>
                <w:rFonts w:hint="eastAsia"/>
                <w:color w:val="auto"/>
                <w:lang w:val="en-US" w:eastAsia="zh-CN"/>
              </w:rPr>
              <w:t>1.825</w:t>
            </w:r>
            <w:r>
              <w:rPr>
                <w:rFonts w:hint="eastAsia"/>
                <w:color w:val="auto"/>
              </w:rPr>
              <w:t>t/a）</w:t>
            </w:r>
            <w:r>
              <w:rPr>
                <w:color w:val="auto"/>
              </w:rPr>
              <w:t>，</w:t>
            </w:r>
            <w:r>
              <w:rPr>
                <w:rFonts w:hint="eastAsia"/>
                <w:color w:val="auto"/>
                <w:sz w:val="24"/>
                <w:szCs w:val="20"/>
              </w:rPr>
              <w:t>直接送入该项目的垃圾中转站一并与转运的生活垃圾进行压缩，然后运往垃圾处理厂处理</w:t>
            </w:r>
            <w:r>
              <w:rPr>
                <w:color w:val="auto"/>
              </w:rPr>
              <w:t>。</w:t>
            </w:r>
          </w:p>
          <w:p>
            <w:pPr>
              <w:pStyle w:val="18"/>
              <w:bidi w:val="0"/>
              <w:rPr>
                <w:rFonts w:hint="default"/>
                <w:color w:val="auto"/>
                <w:lang w:val="en-US" w:eastAsia="zh-CN"/>
              </w:rPr>
            </w:pPr>
            <w:r>
              <w:rPr>
                <w:rFonts w:hint="eastAsia"/>
                <w:color w:val="auto"/>
                <w:lang w:val="en-US" w:eastAsia="zh-CN"/>
              </w:rPr>
              <w:t>本项目固体废物产生及处置情况见下表4-11。</w:t>
            </w:r>
          </w:p>
          <w:p>
            <w:pPr>
              <w:pStyle w:val="28"/>
              <w:bidi w:val="0"/>
              <w:rPr>
                <w:rFonts w:hint="eastAsia"/>
                <w:color w:val="auto"/>
                <w:lang w:val="en-US" w:eastAsia="zh-CN"/>
              </w:rPr>
            </w:pPr>
            <w:r>
              <w:rPr>
                <w:rFonts w:hint="eastAsia"/>
                <w:color w:val="auto"/>
                <w:lang w:val="en-US" w:eastAsia="zh-CN"/>
              </w:rPr>
              <w:t xml:space="preserve">表4-11      </w:t>
            </w:r>
            <w:r>
              <w:rPr>
                <w:color w:val="auto"/>
              </w:rPr>
              <w:t>本项目固体废物产生及处置情况一览</w:t>
            </w:r>
            <w:r>
              <w:rPr>
                <w:rFonts w:hint="eastAsia"/>
                <w:color w:val="auto"/>
                <w:lang w:val="en-US" w:eastAsia="zh-CN"/>
              </w:rPr>
              <w:t>表</w:t>
            </w:r>
          </w:p>
          <w:tbl>
            <w:tblPr>
              <w:tblStyle w:val="21"/>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 w:type="dxa"/>
                <w:bottom w:w="0" w:type="dxa"/>
                <w:right w:w="10" w:type="dxa"/>
              </w:tblCellMar>
            </w:tblPr>
            <w:tblGrid>
              <w:gridCol w:w="509"/>
              <w:gridCol w:w="1611"/>
              <w:gridCol w:w="1143"/>
              <w:gridCol w:w="1358"/>
              <w:gridCol w:w="512"/>
              <w:gridCol w:w="1010"/>
              <w:gridCol w:w="17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bottom w:val="single" w:color="auto" w:sz="12" w:space="0"/>
                  </w:tcBorders>
                  <w:shd w:val="clear" w:color="auto" w:fill="FFFFFF"/>
                  <w:noWrap w:val="0"/>
                  <w:vAlign w:val="center"/>
                </w:tcPr>
                <w:p>
                  <w:pPr>
                    <w:pStyle w:val="29"/>
                    <w:bidi w:val="0"/>
                    <w:rPr>
                      <w:rFonts w:hint="default"/>
                      <w:b/>
                      <w:bCs/>
                      <w:color w:val="auto"/>
                    </w:rPr>
                  </w:pPr>
                  <w:r>
                    <w:rPr>
                      <w:rFonts w:hint="default"/>
                      <w:b/>
                      <w:bCs/>
                      <w:color w:val="auto"/>
                    </w:rPr>
                    <w:t>序号</w:t>
                  </w:r>
                </w:p>
              </w:tc>
              <w:tc>
                <w:tcPr>
                  <w:tcW w:w="1026" w:type="pct"/>
                  <w:tcBorders>
                    <w:bottom w:val="single" w:color="auto" w:sz="12" w:space="0"/>
                  </w:tcBorders>
                  <w:shd w:val="clear" w:color="auto" w:fill="FFFFFF"/>
                  <w:noWrap w:val="0"/>
                  <w:vAlign w:val="center"/>
                </w:tcPr>
                <w:p>
                  <w:pPr>
                    <w:pStyle w:val="29"/>
                    <w:bidi w:val="0"/>
                    <w:rPr>
                      <w:rFonts w:hint="default"/>
                      <w:b/>
                      <w:bCs/>
                      <w:color w:val="auto"/>
                      <w:lang w:val="en-US" w:eastAsia="zh-CN"/>
                    </w:rPr>
                  </w:pPr>
                  <w:r>
                    <w:rPr>
                      <w:rFonts w:hint="default"/>
                      <w:b/>
                      <w:bCs/>
                      <w:color w:val="auto"/>
                    </w:rPr>
                    <w:t>污染物</w:t>
                  </w:r>
                  <w:r>
                    <w:rPr>
                      <w:rFonts w:hint="default"/>
                      <w:b/>
                      <w:bCs/>
                      <w:color w:val="auto"/>
                      <w:lang w:val="en-US" w:eastAsia="zh-CN"/>
                    </w:rPr>
                    <w:t>名称</w:t>
                  </w:r>
                </w:p>
              </w:tc>
              <w:tc>
                <w:tcPr>
                  <w:tcW w:w="728" w:type="pct"/>
                  <w:tcBorders>
                    <w:bottom w:val="single" w:color="auto" w:sz="12" w:space="0"/>
                  </w:tcBorders>
                  <w:shd w:val="clear" w:color="auto" w:fill="FFFFFF"/>
                  <w:noWrap w:val="0"/>
                  <w:vAlign w:val="center"/>
                </w:tcPr>
                <w:p>
                  <w:pPr>
                    <w:pStyle w:val="29"/>
                    <w:bidi w:val="0"/>
                    <w:rPr>
                      <w:rFonts w:hint="default" w:eastAsia="宋体"/>
                      <w:b/>
                      <w:bCs/>
                      <w:color w:val="auto"/>
                      <w:lang w:val="en-US" w:eastAsia="zh-CN"/>
                    </w:rPr>
                  </w:pPr>
                  <w:r>
                    <w:rPr>
                      <w:rFonts w:hint="eastAsia"/>
                      <w:b/>
                      <w:bCs/>
                      <w:color w:val="auto"/>
                      <w:lang w:val="en-US" w:eastAsia="zh-CN"/>
                    </w:rPr>
                    <w:t>固废代码</w:t>
                  </w:r>
                </w:p>
              </w:tc>
              <w:tc>
                <w:tcPr>
                  <w:tcW w:w="865" w:type="pct"/>
                  <w:tcBorders>
                    <w:bottom w:val="single" w:color="auto" w:sz="12" w:space="0"/>
                  </w:tcBorders>
                  <w:shd w:val="clear" w:color="auto" w:fill="FFFFFF"/>
                  <w:noWrap w:val="0"/>
                  <w:vAlign w:val="center"/>
                </w:tcPr>
                <w:p>
                  <w:pPr>
                    <w:pStyle w:val="29"/>
                    <w:bidi w:val="0"/>
                    <w:rPr>
                      <w:rFonts w:hint="default"/>
                      <w:b/>
                      <w:bCs/>
                      <w:color w:val="auto"/>
                    </w:rPr>
                  </w:pPr>
                  <w:r>
                    <w:rPr>
                      <w:rFonts w:hint="default"/>
                      <w:b/>
                      <w:bCs/>
                      <w:color w:val="auto"/>
                    </w:rPr>
                    <w:t>产生途径</w:t>
                  </w:r>
                </w:p>
              </w:tc>
              <w:tc>
                <w:tcPr>
                  <w:tcW w:w="326" w:type="pct"/>
                  <w:tcBorders>
                    <w:bottom w:val="single" w:color="auto" w:sz="12" w:space="0"/>
                  </w:tcBorders>
                  <w:shd w:val="clear" w:color="auto" w:fill="FFFFFF"/>
                  <w:noWrap w:val="0"/>
                  <w:vAlign w:val="center"/>
                </w:tcPr>
                <w:p>
                  <w:pPr>
                    <w:pStyle w:val="29"/>
                    <w:bidi w:val="0"/>
                    <w:rPr>
                      <w:rFonts w:hint="default"/>
                      <w:b/>
                      <w:bCs/>
                      <w:color w:val="auto"/>
                    </w:rPr>
                  </w:pPr>
                  <w:r>
                    <w:rPr>
                      <w:rFonts w:hint="default"/>
                      <w:b/>
                      <w:bCs/>
                      <w:color w:val="auto"/>
                    </w:rPr>
                    <w:t>固废</w:t>
                  </w:r>
                </w:p>
                <w:p>
                  <w:pPr>
                    <w:pStyle w:val="29"/>
                    <w:bidi w:val="0"/>
                    <w:rPr>
                      <w:rFonts w:hint="default"/>
                      <w:b/>
                      <w:bCs/>
                      <w:color w:val="auto"/>
                    </w:rPr>
                  </w:pPr>
                  <w:r>
                    <w:rPr>
                      <w:rFonts w:hint="default"/>
                      <w:b/>
                      <w:bCs/>
                      <w:color w:val="auto"/>
                    </w:rPr>
                    <w:t>性质</w:t>
                  </w:r>
                </w:p>
              </w:tc>
              <w:tc>
                <w:tcPr>
                  <w:tcW w:w="643" w:type="pct"/>
                  <w:tcBorders>
                    <w:bottom w:val="single" w:color="auto" w:sz="12" w:space="0"/>
                  </w:tcBorders>
                  <w:shd w:val="clear" w:color="auto" w:fill="FFFFFF"/>
                  <w:noWrap w:val="0"/>
                  <w:vAlign w:val="center"/>
                </w:tcPr>
                <w:p>
                  <w:pPr>
                    <w:pStyle w:val="29"/>
                    <w:bidi w:val="0"/>
                    <w:rPr>
                      <w:rFonts w:hint="default"/>
                      <w:b/>
                      <w:bCs/>
                      <w:color w:val="auto"/>
                    </w:rPr>
                  </w:pPr>
                  <w:r>
                    <w:rPr>
                      <w:rFonts w:hint="default"/>
                      <w:b/>
                      <w:bCs/>
                      <w:color w:val="auto"/>
                    </w:rPr>
                    <w:t>产生量</w:t>
                  </w:r>
                  <w:r>
                    <w:rPr>
                      <w:rFonts w:hint="default"/>
                      <w:b/>
                      <w:bCs/>
                      <w:color w:val="auto"/>
                      <w:lang w:val="en-US" w:eastAsia="en-US"/>
                    </w:rPr>
                    <w:t>t/a</w:t>
                  </w:r>
                </w:p>
              </w:tc>
              <w:tc>
                <w:tcPr>
                  <w:tcW w:w="1084" w:type="pct"/>
                  <w:tcBorders>
                    <w:bottom w:val="single" w:color="auto" w:sz="12" w:space="0"/>
                  </w:tcBorders>
                  <w:shd w:val="clear" w:color="auto" w:fill="FFFFFF"/>
                  <w:noWrap w:val="0"/>
                  <w:vAlign w:val="center"/>
                </w:tcPr>
                <w:p>
                  <w:pPr>
                    <w:pStyle w:val="29"/>
                    <w:bidi w:val="0"/>
                    <w:rPr>
                      <w:rFonts w:hint="default"/>
                      <w:b/>
                      <w:bCs/>
                      <w:color w:val="auto"/>
                    </w:rPr>
                  </w:pPr>
                  <w:r>
                    <w:rPr>
                      <w:rFonts w:hint="default"/>
                      <w:b/>
                      <w:bCs/>
                      <w:color w:val="auto"/>
                    </w:rPr>
                    <w:t>处理措施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tl2br w:val="nil"/>
                    <w:tr2bl w:val="nil"/>
                  </w:tcBorders>
                  <w:shd w:val="clear" w:color="auto" w:fill="FFFFFF"/>
                  <w:noWrap w:val="0"/>
                  <w:vAlign w:val="center"/>
                </w:tcPr>
                <w:p>
                  <w:pPr>
                    <w:pStyle w:val="29"/>
                    <w:bidi w:val="0"/>
                    <w:rPr>
                      <w:rFonts w:hint="default"/>
                      <w:color w:val="auto"/>
                      <w:lang w:val="en-US" w:eastAsia="zh-CN"/>
                    </w:rPr>
                  </w:pPr>
                  <w:r>
                    <w:rPr>
                      <w:rFonts w:hint="default"/>
                      <w:color w:val="auto"/>
                      <w:lang w:val="en-US" w:eastAsia="zh-CN"/>
                    </w:rPr>
                    <w:t>1</w:t>
                  </w:r>
                </w:p>
              </w:tc>
              <w:tc>
                <w:tcPr>
                  <w:tcW w:w="1026"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压缩垃圾</w:t>
                  </w:r>
                </w:p>
              </w:tc>
              <w:tc>
                <w:tcPr>
                  <w:tcW w:w="728"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105-001-99</w:t>
                  </w:r>
                </w:p>
              </w:tc>
              <w:tc>
                <w:tcPr>
                  <w:tcW w:w="865"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垃圾压缩</w:t>
                  </w:r>
                </w:p>
              </w:tc>
              <w:tc>
                <w:tcPr>
                  <w:tcW w:w="326" w:type="pct"/>
                  <w:vMerge w:val="restart"/>
                  <w:tcBorders>
                    <w:tl2br w:val="nil"/>
                    <w:tr2bl w:val="nil"/>
                  </w:tcBorders>
                  <w:shd w:val="clear" w:color="auto" w:fill="FFFFFF"/>
                  <w:noWrap w:val="0"/>
                  <w:vAlign w:val="center"/>
                </w:tcPr>
                <w:p>
                  <w:pPr>
                    <w:pStyle w:val="29"/>
                    <w:bidi w:val="0"/>
                    <w:rPr>
                      <w:rFonts w:hint="default"/>
                      <w:color w:val="auto"/>
                    </w:rPr>
                  </w:pPr>
                  <w:r>
                    <w:rPr>
                      <w:rFonts w:hint="default"/>
                      <w:color w:val="auto"/>
                    </w:rPr>
                    <w:t>一般</w:t>
                  </w:r>
                </w:p>
                <w:p>
                  <w:pPr>
                    <w:pStyle w:val="29"/>
                    <w:bidi w:val="0"/>
                    <w:rPr>
                      <w:rFonts w:hint="default"/>
                      <w:color w:val="auto"/>
                    </w:rPr>
                  </w:pPr>
                  <w:r>
                    <w:rPr>
                      <w:rFonts w:hint="default"/>
                      <w:color w:val="auto"/>
                    </w:rPr>
                    <w:t>固废</w:t>
                  </w:r>
                </w:p>
              </w:tc>
              <w:tc>
                <w:tcPr>
                  <w:tcW w:w="643"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65178.57</w:t>
                  </w:r>
                </w:p>
              </w:tc>
              <w:tc>
                <w:tcPr>
                  <w:tcW w:w="1084" w:type="pct"/>
                  <w:vMerge w:val="restar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压缩后清运至垃圾填埋场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tl2br w:val="nil"/>
                    <w:tr2bl w:val="nil"/>
                  </w:tcBorders>
                  <w:shd w:val="clear" w:color="auto" w:fill="FFFFFF"/>
                  <w:noWrap w:val="0"/>
                  <w:vAlign w:val="center"/>
                </w:tcPr>
                <w:p>
                  <w:pPr>
                    <w:pStyle w:val="29"/>
                    <w:bidi w:val="0"/>
                    <w:rPr>
                      <w:rFonts w:hint="default"/>
                      <w:color w:val="auto"/>
                      <w:lang w:val="en-US" w:eastAsia="zh-CN"/>
                    </w:rPr>
                  </w:pPr>
                  <w:r>
                    <w:rPr>
                      <w:rFonts w:hint="default"/>
                      <w:color w:val="auto"/>
                      <w:lang w:val="en-US" w:eastAsia="zh-CN"/>
                    </w:rPr>
                    <w:t>2</w:t>
                  </w:r>
                </w:p>
              </w:tc>
              <w:tc>
                <w:tcPr>
                  <w:tcW w:w="1026"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污泥</w:t>
                  </w:r>
                </w:p>
              </w:tc>
              <w:tc>
                <w:tcPr>
                  <w:tcW w:w="728"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105-002-99</w:t>
                  </w:r>
                </w:p>
              </w:tc>
              <w:tc>
                <w:tcPr>
                  <w:tcW w:w="865"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污水收集池</w:t>
                  </w:r>
                </w:p>
              </w:tc>
              <w:tc>
                <w:tcPr>
                  <w:tcW w:w="326" w:type="pct"/>
                  <w:vMerge w:val="continue"/>
                  <w:tcBorders>
                    <w:tl2br w:val="nil"/>
                    <w:tr2bl w:val="nil"/>
                  </w:tcBorders>
                  <w:shd w:val="clear" w:color="auto" w:fill="FFFFFF"/>
                  <w:noWrap w:val="0"/>
                  <w:vAlign w:val="center"/>
                </w:tcPr>
                <w:p>
                  <w:pPr>
                    <w:pStyle w:val="29"/>
                    <w:bidi w:val="0"/>
                    <w:rPr>
                      <w:rFonts w:hint="default"/>
                      <w:color w:val="auto"/>
                    </w:rPr>
                  </w:pPr>
                </w:p>
              </w:tc>
              <w:tc>
                <w:tcPr>
                  <w:tcW w:w="643"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109.653</w:t>
                  </w:r>
                </w:p>
              </w:tc>
              <w:tc>
                <w:tcPr>
                  <w:tcW w:w="1084" w:type="pct"/>
                  <w:vMerge w:val="continue"/>
                  <w:tcBorders>
                    <w:tl2br w:val="nil"/>
                    <w:tr2bl w:val="nil"/>
                  </w:tcBorders>
                  <w:shd w:val="clear" w:color="auto" w:fill="FFFFFF"/>
                  <w:noWrap w:val="0"/>
                  <w:vAlign w:val="center"/>
                </w:tcPr>
                <w:p>
                  <w:pPr>
                    <w:pStyle w:val="29"/>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tl2br w:val="nil"/>
                    <w:tr2bl w:val="nil"/>
                  </w:tcBorders>
                  <w:shd w:val="clear" w:color="auto" w:fill="FFFFFF"/>
                  <w:noWrap w:val="0"/>
                  <w:vAlign w:val="center"/>
                </w:tcPr>
                <w:p>
                  <w:pPr>
                    <w:pStyle w:val="29"/>
                    <w:bidi w:val="0"/>
                    <w:rPr>
                      <w:rFonts w:hint="default"/>
                      <w:color w:val="auto"/>
                      <w:lang w:val="en-US" w:eastAsia="zh-CN"/>
                    </w:rPr>
                  </w:pPr>
                  <w:r>
                    <w:rPr>
                      <w:rFonts w:hint="default"/>
                      <w:color w:val="auto"/>
                      <w:lang w:val="en-US" w:eastAsia="zh-CN"/>
                    </w:rPr>
                    <w:t>3</w:t>
                  </w:r>
                </w:p>
              </w:tc>
              <w:tc>
                <w:tcPr>
                  <w:tcW w:w="1026" w:type="pct"/>
                  <w:tcBorders>
                    <w:tl2br w:val="nil"/>
                    <w:tr2bl w:val="nil"/>
                  </w:tcBorders>
                  <w:shd w:val="clear" w:color="auto" w:fill="FFFFFF"/>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生活垃圾</w:t>
                  </w:r>
                </w:p>
              </w:tc>
              <w:tc>
                <w:tcPr>
                  <w:tcW w:w="728" w:type="pct"/>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105-003-99</w:t>
                  </w:r>
                </w:p>
              </w:tc>
              <w:tc>
                <w:tcPr>
                  <w:tcW w:w="865" w:type="pct"/>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生活区</w:t>
                  </w:r>
                </w:p>
              </w:tc>
              <w:tc>
                <w:tcPr>
                  <w:tcW w:w="326" w:type="pct"/>
                  <w:vMerge w:val="continue"/>
                  <w:tcBorders>
                    <w:tl2br w:val="nil"/>
                    <w:tr2bl w:val="nil"/>
                  </w:tcBorders>
                  <w:shd w:val="clear" w:color="auto" w:fill="FFFFFF"/>
                  <w:noWrap w:val="0"/>
                  <w:vAlign w:val="center"/>
                </w:tcPr>
                <w:p>
                  <w:pPr>
                    <w:pStyle w:val="29"/>
                    <w:bidi w:val="0"/>
                    <w:rPr>
                      <w:rFonts w:hint="default"/>
                      <w:color w:val="auto"/>
                      <w:lang w:val="en-US" w:eastAsia="zh-CN"/>
                    </w:rPr>
                  </w:pPr>
                </w:p>
              </w:tc>
              <w:tc>
                <w:tcPr>
                  <w:tcW w:w="643"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1.825</w:t>
                  </w:r>
                </w:p>
              </w:tc>
              <w:tc>
                <w:tcPr>
                  <w:tcW w:w="1084" w:type="pct"/>
                  <w:vMerge w:val="continue"/>
                  <w:tcBorders>
                    <w:tl2br w:val="nil"/>
                    <w:tr2bl w:val="nil"/>
                  </w:tcBorders>
                  <w:shd w:val="clear" w:color="auto" w:fill="FFFFFF"/>
                  <w:noWrap w:val="0"/>
                  <w:vAlign w:val="center"/>
                </w:tcPr>
                <w:p>
                  <w:pPr>
                    <w:pStyle w:val="29"/>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tl2br w:val="nil"/>
                    <w:tr2bl w:val="nil"/>
                  </w:tcBorders>
                  <w:shd w:val="clear" w:color="auto" w:fill="FFFFFF"/>
                  <w:noWrap w:val="0"/>
                  <w:vAlign w:val="center"/>
                </w:tcPr>
                <w:p>
                  <w:pPr>
                    <w:pStyle w:val="29"/>
                    <w:bidi w:val="0"/>
                    <w:rPr>
                      <w:rFonts w:hint="default"/>
                      <w:color w:val="auto"/>
                      <w:lang w:val="en-US" w:eastAsia="zh-CN"/>
                    </w:rPr>
                  </w:pPr>
                  <w:r>
                    <w:rPr>
                      <w:rFonts w:hint="default"/>
                      <w:color w:val="auto"/>
                      <w:lang w:val="en-US" w:eastAsia="zh-CN"/>
                    </w:rPr>
                    <w:t>4</w:t>
                  </w:r>
                </w:p>
              </w:tc>
              <w:tc>
                <w:tcPr>
                  <w:tcW w:w="1026" w:type="pct"/>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废脱模剂桶</w:t>
                  </w:r>
                </w:p>
              </w:tc>
              <w:tc>
                <w:tcPr>
                  <w:tcW w:w="728" w:type="pct"/>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105-001-06</w:t>
                  </w:r>
                </w:p>
              </w:tc>
              <w:tc>
                <w:tcPr>
                  <w:tcW w:w="865" w:type="pct"/>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除臭剂</w:t>
                  </w:r>
                </w:p>
              </w:tc>
              <w:tc>
                <w:tcPr>
                  <w:tcW w:w="326" w:type="pct"/>
                  <w:vMerge w:val="continue"/>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p>
              </w:tc>
              <w:tc>
                <w:tcPr>
                  <w:tcW w:w="643" w:type="pct"/>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r>
                    <w:rPr>
                      <w:rFonts w:hint="eastAsia"/>
                      <w:color w:val="auto"/>
                      <w:lang w:val="en-US" w:eastAsia="zh-CN"/>
                    </w:rPr>
                    <w:t>0.096</w:t>
                  </w:r>
                </w:p>
              </w:tc>
              <w:tc>
                <w:tcPr>
                  <w:tcW w:w="1084"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供货商回收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5</w:t>
                  </w:r>
                </w:p>
              </w:tc>
              <w:tc>
                <w:tcPr>
                  <w:tcW w:w="1026"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废离子交换树脂</w:t>
                  </w:r>
                </w:p>
              </w:tc>
              <w:tc>
                <w:tcPr>
                  <w:tcW w:w="728" w:type="pct"/>
                  <w:tcBorders>
                    <w:tl2br w:val="nil"/>
                    <w:tr2bl w:val="nil"/>
                  </w:tcBorders>
                  <w:shd w:val="clear" w:color="auto" w:fill="FFFFFF"/>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900-999-99</w:t>
                  </w:r>
                </w:p>
              </w:tc>
              <w:tc>
                <w:tcPr>
                  <w:tcW w:w="865" w:type="pct"/>
                  <w:tcBorders>
                    <w:tl2br w:val="nil"/>
                    <w:tr2bl w:val="nil"/>
                  </w:tcBorders>
                  <w:shd w:val="clear" w:color="auto" w:fill="FFFFFF"/>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软水制备</w:t>
                  </w:r>
                </w:p>
              </w:tc>
              <w:tc>
                <w:tcPr>
                  <w:tcW w:w="326" w:type="pct"/>
                  <w:vMerge w:val="continue"/>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p>
              </w:tc>
              <w:tc>
                <w:tcPr>
                  <w:tcW w:w="643" w:type="pct"/>
                  <w:tcBorders>
                    <w:tl2br w:val="nil"/>
                    <w:tr2bl w:val="nil"/>
                  </w:tcBorders>
                  <w:shd w:val="clear" w:color="auto" w:fill="FFFFFF"/>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0.5</w:t>
                  </w:r>
                  <w:r>
                    <w:rPr>
                      <w:rFonts w:hint="default"/>
                      <w:color w:val="auto"/>
                      <w:lang w:val="en-US" w:eastAsia="zh-CN"/>
                    </w:rPr>
                    <w:t>t/a</w:t>
                  </w:r>
                </w:p>
              </w:tc>
              <w:tc>
                <w:tcPr>
                  <w:tcW w:w="1084" w:type="pct"/>
                  <w:tcBorders>
                    <w:tl2br w:val="nil"/>
                    <w:tr2bl w:val="nil"/>
                  </w:tcBorders>
                  <w:shd w:val="clear" w:color="auto" w:fill="FFFFFF"/>
                  <w:noWrap w:val="0"/>
                  <w:vAlign w:val="center"/>
                </w:tcPr>
                <w:p>
                  <w:pPr>
                    <w:pStyle w:val="29"/>
                    <w:bidi w:val="0"/>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厂家回收处理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 w:type="dxa"/>
                  <w:bottom w:w="0" w:type="dxa"/>
                  <w:right w:w="10" w:type="dxa"/>
                </w:tblCellMar>
              </w:tblPrEx>
              <w:trPr>
                <w:trHeight w:val="23" w:hRule="atLeast"/>
                <w:jc w:val="center"/>
              </w:trPr>
              <w:tc>
                <w:tcPr>
                  <w:tcW w:w="324"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6</w:t>
                  </w:r>
                </w:p>
              </w:tc>
              <w:tc>
                <w:tcPr>
                  <w:tcW w:w="1026" w:type="pct"/>
                  <w:tcBorders>
                    <w:tl2br w:val="nil"/>
                    <w:tr2bl w:val="nil"/>
                  </w:tcBorders>
                  <w:shd w:val="clear" w:color="auto" w:fill="FFFFFF"/>
                  <w:noWrap w:val="0"/>
                  <w:vAlign w:val="center"/>
                </w:tcPr>
                <w:p>
                  <w:pPr>
                    <w:pStyle w:val="29"/>
                    <w:bidi w:val="0"/>
                    <w:rPr>
                      <w:rFonts w:hint="eastAsia"/>
                      <w:color w:val="auto"/>
                      <w:lang w:val="en-US" w:eastAsia="zh-CN"/>
                    </w:rPr>
                  </w:pPr>
                  <w:r>
                    <w:rPr>
                      <w:rFonts w:hint="eastAsia"/>
                      <w:color w:val="auto"/>
                      <w:lang w:val="en-US" w:eastAsia="zh-CN"/>
                    </w:rPr>
                    <w:t>除尘系统产生的固废</w:t>
                  </w:r>
                </w:p>
              </w:tc>
              <w:tc>
                <w:tcPr>
                  <w:tcW w:w="728"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105-999-99</w:t>
                  </w:r>
                </w:p>
              </w:tc>
              <w:tc>
                <w:tcPr>
                  <w:tcW w:w="865" w:type="pct"/>
                  <w:tcBorders>
                    <w:tl2br w:val="nil"/>
                    <w:tr2bl w:val="nil"/>
                  </w:tcBorders>
                  <w:shd w:val="clear" w:color="auto" w:fill="FFFFFF"/>
                  <w:noWrap w:val="0"/>
                  <w:vAlign w:val="center"/>
                </w:tcPr>
                <w:p>
                  <w:pPr>
                    <w:pStyle w:val="29"/>
                    <w:bidi w:val="0"/>
                    <w:rPr>
                      <w:rFonts w:hint="eastAsia"/>
                      <w:color w:val="auto"/>
                      <w:lang w:val="en-US" w:eastAsia="zh-CN"/>
                    </w:rPr>
                  </w:pPr>
                  <w:r>
                    <w:rPr>
                      <w:rFonts w:hint="eastAsia"/>
                      <w:color w:val="auto"/>
                      <w:lang w:val="en-US" w:eastAsia="zh-CN"/>
                    </w:rPr>
                    <w:t>负压除尘除臭系统</w:t>
                  </w:r>
                </w:p>
              </w:tc>
              <w:tc>
                <w:tcPr>
                  <w:tcW w:w="326" w:type="pct"/>
                  <w:vMerge w:val="continue"/>
                  <w:tcBorders>
                    <w:tl2br w:val="nil"/>
                    <w:tr2bl w:val="nil"/>
                  </w:tcBorders>
                  <w:shd w:val="clear" w:color="auto" w:fill="FFFFFF"/>
                  <w:noWrap w:val="0"/>
                  <w:vAlign w:val="center"/>
                </w:tcPr>
                <w:p>
                  <w:pPr>
                    <w:pStyle w:val="29"/>
                    <w:bidi w:val="0"/>
                    <w:rPr>
                      <w:rFonts w:hint="default" w:ascii="Times New Roman" w:hAnsi="Times New Roman" w:eastAsia="宋体" w:cs="Times New Roman"/>
                      <w:color w:val="auto"/>
                      <w:kern w:val="2"/>
                      <w:sz w:val="21"/>
                      <w:szCs w:val="24"/>
                      <w:lang w:val="en-US" w:eastAsia="zh-CN" w:bidi="ar-SA"/>
                    </w:rPr>
                  </w:pPr>
                </w:p>
              </w:tc>
              <w:tc>
                <w:tcPr>
                  <w:tcW w:w="643" w:type="pct"/>
                  <w:tcBorders>
                    <w:tl2br w:val="nil"/>
                    <w:tr2bl w:val="nil"/>
                  </w:tcBorders>
                  <w:shd w:val="clear" w:color="auto" w:fill="FFFFFF"/>
                  <w:noWrap w:val="0"/>
                  <w:vAlign w:val="center"/>
                </w:tcPr>
                <w:p>
                  <w:pPr>
                    <w:pStyle w:val="29"/>
                    <w:bidi w:val="0"/>
                    <w:rPr>
                      <w:rFonts w:hint="eastAsia"/>
                      <w:color w:val="auto"/>
                      <w:lang w:val="en-US" w:eastAsia="zh-CN"/>
                    </w:rPr>
                  </w:pPr>
                  <w:r>
                    <w:rPr>
                      <w:rFonts w:hint="default"/>
                      <w:color w:val="auto"/>
                      <w:lang w:val="en-US" w:eastAsia="zh-CN"/>
                    </w:rPr>
                    <w:t>1t/a</w:t>
                  </w:r>
                </w:p>
              </w:tc>
              <w:tc>
                <w:tcPr>
                  <w:tcW w:w="1084" w:type="pct"/>
                  <w:tcBorders>
                    <w:tl2br w:val="nil"/>
                    <w:tr2bl w:val="nil"/>
                  </w:tcBorders>
                  <w:shd w:val="clear" w:color="auto" w:fill="FFFFFF"/>
                  <w:noWrap w:val="0"/>
                  <w:vAlign w:val="center"/>
                </w:tcPr>
                <w:p>
                  <w:pPr>
                    <w:pStyle w:val="29"/>
                    <w:bidi w:val="0"/>
                    <w:rPr>
                      <w:rFonts w:hint="default"/>
                      <w:color w:val="auto"/>
                      <w:lang w:val="en-US" w:eastAsia="zh-CN"/>
                    </w:rPr>
                  </w:pPr>
                  <w:r>
                    <w:rPr>
                      <w:rFonts w:hint="eastAsia"/>
                      <w:color w:val="auto"/>
                      <w:lang w:val="en-US" w:eastAsia="zh-CN"/>
                    </w:rPr>
                    <w:t>供货商更换处置</w:t>
                  </w:r>
                </w:p>
              </w:tc>
            </w:tr>
          </w:tbl>
          <w:p>
            <w:pPr>
              <w:pStyle w:val="6"/>
              <w:numPr>
                <w:ilvl w:val="1"/>
                <w:numId w:val="20"/>
              </w:numPr>
              <w:bidi w:val="0"/>
              <w:ind w:left="0" w:leftChars="0" w:firstLine="0" w:firstLineChars="0"/>
              <w:rPr>
                <w:rFonts w:hint="eastAsia"/>
                <w:color w:val="auto"/>
                <w:lang w:val="en-US" w:eastAsia="zh-CN"/>
              </w:rPr>
            </w:pPr>
            <w:r>
              <w:rPr>
                <w:rFonts w:hint="eastAsia"/>
                <w:color w:val="auto"/>
                <w:lang w:val="en-US" w:eastAsia="zh-CN"/>
              </w:rPr>
              <w:t>固废治理措施及其可行性论证</w:t>
            </w:r>
          </w:p>
          <w:p>
            <w:pPr>
              <w:pStyle w:val="18"/>
              <w:bidi w:val="0"/>
              <w:jc w:val="both"/>
              <w:rPr>
                <w:rFonts w:hint="eastAsia"/>
                <w:color w:val="auto"/>
              </w:rPr>
            </w:pPr>
            <w:r>
              <w:rPr>
                <w:rFonts w:hint="eastAsia" w:ascii="Times New Roman" w:hAnsi="Times New Roman" w:eastAsia="宋体" w:cs="Times New Roman"/>
                <w:color w:val="auto"/>
                <w:sz w:val="24"/>
                <w:szCs w:val="24"/>
                <w:lang w:eastAsia="zh-CN"/>
              </w:rPr>
              <w:t>昌吉市生活垃圾</w:t>
            </w:r>
            <w:r>
              <w:rPr>
                <w:rFonts w:hint="eastAsia" w:eastAsia="宋体" w:cs="Times New Roman"/>
                <w:color w:val="auto"/>
                <w:sz w:val="24"/>
                <w:szCs w:val="24"/>
                <w:lang w:val="en-US" w:eastAsia="zh-CN"/>
              </w:rPr>
              <w:t>填埋场</w:t>
            </w:r>
            <w:r>
              <w:rPr>
                <w:rFonts w:hint="eastAsia" w:ascii="Times New Roman" w:hAnsi="Times New Roman" w:eastAsia="宋体" w:cs="Times New Roman"/>
                <w:color w:val="auto"/>
                <w:sz w:val="24"/>
                <w:szCs w:val="24"/>
                <w:lang w:eastAsia="zh-CN"/>
              </w:rPr>
              <w:t>位于</w:t>
            </w:r>
            <w:r>
              <w:rPr>
                <w:rFonts w:hint="default" w:ascii="Times New Roman" w:hAnsi="Times New Roman" w:eastAsia="宋体" w:cs="Times New Roman"/>
                <w:color w:val="auto"/>
                <w:sz w:val="24"/>
                <w:szCs w:val="24"/>
                <w:lang w:eastAsia="zh-CN"/>
              </w:rPr>
              <w:t>昌吉市榆树沟镇312国道53</w:t>
            </w:r>
            <w:r>
              <w:rPr>
                <w:rFonts w:hint="default" w:ascii="Times New Roman" w:hAnsi="Times New Roman" w:eastAsia="宋体" w:cs="Times New Roman"/>
                <w:color w:val="auto"/>
                <w:sz w:val="24"/>
                <w:szCs w:val="24"/>
                <w:lang w:val="en-US" w:eastAsia="zh-CN"/>
              </w:rPr>
              <w:t>km</w:t>
            </w:r>
            <w:r>
              <w:rPr>
                <w:rFonts w:hint="default" w:ascii="Times New Roman" w:hAnsi="Times New Roman" w:eastAsia="宋体" w:cs="Times New Roman"/>
                <w:color w:val="auto"/>
                <w:sz w:val="24"/>
                <w:szCs w:val="24"/>
                <w:lang w:eastAsia="zh-CN"/>
              </w:rPr>
              <w:t>处。</w:t>
            </w:r>
            <w:r>
              <w:rPr>
                <w:rFonts w:hint="eastAsia" w:ascii="Times New Roman" w:hAnsi="Times New Roman" w:eastAsia="宋体" w:cs="Times New Roman"/>
                <w:color w:val="auto"/>
                <w:sz w:val="24"/>
                <w:szCs w:val="24"/>
                <w:lang w:val="en-US" w:eastAsia="zh-CN"/>
              </w:rPr>
              <w:t>2002年8月28日取得新疆维吾尔自治区环境监测中心站评估意见</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批号</w:t>
            </w:r>
            <w:r>
              <w:rPr>
                <w:rFonts w:hint="eastAsia" w:ascii="Times New Roman" w:hAnsi="Times New Roman" w:eastAsia="宋体" w:cs="Times New Roman"/>
                <w:color w:val="auto"/>
                <w:sz w:val="24"/>
                <w:szCs w:val="24"/>
                <w:lang w:eastAsia="zh-CN"/>
              </w:rPr>
              <w:t>新环监站估书</w:t>
            </w: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02</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27</w:t>
            </w:r>
            <w:r>
              <w:rPr>
                <w:rFonts w:hint="default" w:ascii="Times New Roman" w:hAnsi="Times New Roman" w:eastAsia="宋体" w:cs="Times New Roman"/>
                <w:color w:val="auto"/>
                <w:sz w:val="24"/>
                <w:szCs w:val="24"/>
              </w:rPr>
              <w:t>号</w:t>
            </w:r>
            <w:r>
              <w:rPr>
                <w:rFonts w:hint="eastAsia"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2002年10月16日取得《</w:t>
            </w:r>
            <w:r>
              <w:rPr>
                <w:rFonts w:hint="eastAsia" w:ascii="Times New Roman" w:hAnsi="Times New Roman" w:eastAsia="宋体" w:cs="Times New Roman"/>
                <w:color w:val="auto"/>
                <w:sz w:val="24"/>
                <w:szCs w:val="24"/>
                <w:lang w:eastAsia="zh-CN"/>
              </w:rPr>
              <w:t>新疆昌吉市城市生活垃圾综合处理厂环境影响报告书补充报告</w:t>
            </w:r>
            <w:r>
              <w:rPr>
                <w:rFonts w:hint="eastAsia" w:ascii="Times New Roman" w:hAnsi="Times New Roman" w:eastAsia="宋体" w:cs="Times New Roman"/>
                <w:color w:val="auto"/>
                <w:sz w:val="24"/>
                <w:szCs w:val="24"/>
                <w:lang w:val="en-US" w:eastAsia="zh-CN"/>
              </w:rPr>
              <w:t>》</w:t>
            </w:r>
            <w:r>
              <w:rPr>
                <w:rFonts w:hint="eastAsia"/>
                <w:color w:val="auto"/>
              </w:rPr>
              <w:t>的批复</w:t>
            </w:r>
            <w:r>
              <w:rPr>
                <w:rFonts w:hint="eastAsia" w:ascii="Times New Roman" w:hAnsi="Times New Roman" w:eastAsia="宋体" w:cs="Times New Roman"/>
                <w:color w:val="auto"/>
                <w:sz w:val="24"/>
                <w:szCs w:val="24"/>
                <w:lang w:val="en-US" w:eastAsia="zh-CN"/>
              </w:rPr>
              <w:t>批号昌州环管</w:t>
            </w: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02</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15</w:t>
            </w:r>
            <w:r>
              <w:rPr>
                <w:rFonts w:hint="default" w:ascii="Times New Roman" w:hAnsi="Times New Roman" w:eastAsia="宋体" w:cs="Times New Roman"/>
                <w:color w:val="auto"/>
                <w:sz w:val="24"/>
                <w:szCs w:val="24"/>
              </w:rPr>
              <w:t>号</w:t>
            </w:r>
            <w:r>
              <w:rPr>
                <w:rFonts w:hint="eastAsia"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2002年11月21日取得新疆维吾尔自治区生态环境厅批复，批号新环监函</w:t>
            </w:r>
            <w:r>
              <w:rPr>
                <w:rFonts w:hint="default" w:ascii="Times New Roman" w:hAnsi="Times New Roman" w:eastAsia="宋体" w:cs="Times New Roman"/>
                <w:color w:val="auto"/>
                <w:sz w:val="24"/>
                <w:szCs w:val="24"/>
              </w:rPr>
              <w:t>[20</w:t>
            </w:r>
            <w:r>
              <w:rPr>
                <w:rFonts w:hint="eastAsia" w:ascii="Times New Roman" w:hAnsi="Times New Roman" w:eastAsia="宋体" w:cs="Times New Roman"/>
                <w:color w:val="auto"/>
                <w:sz w:val="24"/>
                <w:szCs w:val="24"/>
                <w:lang w:val="en-US" w:eastAsia="zh-CN"/>
              </w:rPr>
              <w:t>02</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246</w:t>
            </w:r>
            <w:r>
              <w:rPr>
                <w:rFonts w:hint="default" w:ascii="Times New Roman" w:hAnsi="Times New Roman" w:eastAsia="宋体" w:cs="Times New Roman"/>
                <w:color w:val="auto"/>
                <w:sz w:val="24"/>
                <w:szCs w:val="24"/>
              </w:rPr>
              <w:t>号</w:t>
            </w:r>
            <w:r>
              <w:rPr>
                <w:rFonts w:hint="eastAsia"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2004年10月投入运营</w:t>
            </w:r>
            <w:r>
              <w:rPr>
                <w:rFonts w:hint="eastAsia"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目前填埋场已使用库容213万m</w:t>
            </w:r>
            <w:r>
              <w:rPr>
                <w:rFonts w:hint="eastAsia" w:ascii="Times New Roman" w:hAnsi="Times New Roman" w:eastAsia="宋体" w:cs="Times New Roman"/>
                <w:color w:val="auto"/>
                <w:sz w:val="24"/>
                <w:szCs w:val="24"/>
                <w:vertAlign w:val="superscript"/>
                <w:lang w:val="en-US" w:eastAsia="zh-CN"/>
              </w:rPr>
              <w:t>3</w:t>
            </w:r>
            <w:r>
              <w:rPr>
                <w:rFonts w:hint="eastAsia" w:ascii="Times New Roman" w:hAnsi="Times New Roman" w:eastAsia="宋体" w:cs="Times New Roman"/>
                <w:color w:val="auto"/>
                <w:sz w:val="24"/>
                <w:szCs w:val="24"/>
                <w:lang w:val="en-US" w:eastAsia="zh-CN"/>
              </w:rPr>
              <w:t>，剩余库容10万m</w:t>
            </w:r>
            <w:r>
              <w:rPr>
                <w:rFonts w:hint="eastAsia" w:ascii="Times New Roman" w:hAnsi="Times New Roman" w:eastAsia="宋体" w:cs="Times New Roman"/>
                <w:color w:val="auto"/>
                <w:sz w:val="24"/>
                <w:szCs w:val="24"/>
                <w:vertAlign w:val="superscript"/>
                <w:lang w:val="en-US" w:eastAsia="zh-CN"/>
              </w:rPr>
              <w:t>3</w:t>
            </w:r>
            <w:r>
              <w:rPr>
                <w:rFonts w:hint="eastAsia" w:eastAsia="宋体" w:cs="Times New Roman"/>
                <w:color w:val="auto"/>
                <w:sz w:val="24"/>
                <w:szCs w:val="24"/>
                <w:vertAlign w:val="baseline"/>
                <w:lang w:val="en-US" w:eastAsia="zh-CN"/>
              </w:rPr>
              <w:t>。</w:t>
            </w:r>
            <w:r>
              <w:rPr>
                <w:rFonts w:hint="eastAsia"/>
                <w:color w:val="auto"/>
                <w:lang w:val="en-US" w:eastAsia="zh-CN"/>
              </w:rPr>
              <w:t>与本项目</w:t>
            </w:r>
            <w:r>
              <w:rPr>
                <w:rFonts w:hint="eastAsia"/>
                <w:color w:val="auto"/>
              </w:rPr>
              <w:t>相距约</w:t>
            </w:r>
            <w:r>
              <w:rPr>
                <w:rFonts w:hint="eastAsia"/>
                <w:color w:val="auto"/>
                <w:lang w:val="en-US" w:eastAsia="zh-CN"/>
              </w:rPr>
              <w:t>23</w:t>
            </w:r>
            <w:r>
              <w:rPr>
                <w:rFonts w:hint="eastAsia"/>
                <w:color w:val="auto"/>
              </w:rPr>
              <w:t>km</w:t>
            </w:r>
            <w:r>
              <w:rPr>
                <w:rFonts w:hint="eastAsia"/>
                <w:color w:val="auto"/>
                <w:lang w:eastAsia="zh-CN"/>
              </w:rPr>
              <w:t>，</w:t>
            </w:r>
            <w:r>
              <w:rPr>
                <w:rFonts w:hint="eastAsia"/>
                <w:color w:val="auto"/>
                <w:lang w:val="en-US" w:eastAsia="zh-CN"/>
              </w:rPr>
              <w:t>坐标为</w:t>
            </w:r>
            <w:r>
              <w:rPr>
                <w:rFonts w:hint="eastAsia"/>
                <w:color w:val="auto"/>
                <w:sz w:val="24"/>
              </w:rPr>
              <w:t>东经44°05′4.4″，北纬87°06′24.87″</w:t>
            </w:r>
            <w:r>
              <w:rPr>
                <w:rFonts w:hint="eastAsia"/>
                <w:color w:val="auto"/>
              </w:rPr>
              <w:t>。</w:t>
            </w:r>
            <w:r>
              <w:rPr>
                <w:color w:val="auto"/>
                <w:sz w:val="24"/>
              </w:rPr>
              <w:t>转运站日处理量</w:t>
            </w:r>
            <w:r>
              <w:rPr>
                <w:rFonts w:hint="eastAsia"/>
                <w:color w:val="auto"/>
                <w:sz w:val="24"/>
                <w:lang w:val="en-US" w:eastAsia="zh-CN"/>
              </w:rPr>
              <w:t>200</w:t>
            </w:r>
            <w:r>
              <w:rPr>
                <w:color w:val="auto"/>
                <w:sz w:val="24"/>
              </w:rPr>
              <w:t>t/d</w:t>
            </w:r>
            <w:r>
              <w:rPr>
                <w:rFonts w:hint="eastAsia"/>
                <w:color w:val="auto"/>
                <w:lang w:eastAsia="zh-CN"/>
              </w:rPr>
              <w:t>。</w:t>
            </w:r>
            <w:r>
              <w:rPr>
                <w:rFonts w:hint="eastAsia"/>
                <w:color w:val="auto"/>
                <w:lang w:val="en-US" w:eastAsia="zh-CN"/>
              </w:rPr>
              <w:t>目前</w:t>
            </w:r>
            <w:r>
              <w:rPr>
                <w:rFonts w:hint="eastAsia" w:ascii="Times New Roman" w:hAnsi="Times New Roman" w:eastAsia="宋体" w:cs="Times New Roman"/>
                <w:color w:val="auto"/>
                <w:sz w:val="24"/>
                <w:szCs w:val="24"/>
                <w:lang w:eastAsia="zh-CN"/>
              </w:rPr>
              <w:t>昌吉市生活垃圾</w:t>
            </w:r>
            <w:r>
              <w:rPr>
                <w:rFonts w:hint="eastAsia" w:eastAsia="宋体" w:cs="Times New Roman"/>
                <w:color w:val="auto"/>
                <w:sz w:val="24"/>
                <w:szCs w:val="24"/>
                <w:lang w:val="en-US" w:eastAsia="zh-CN"/>
              </w:rPr>
              <w:t>填埋场</w:t>
            </w:r>
            <w:r>
              <w:rPr>
                <w:rFonts w:hint="eastAsia"/>
                <w:color w:val="auto"/>
                <w:lang w:val="en-US" w:eastAsia="zh-CN"/>
              </w:rPr>
              <w:t>尚有余量接受本项目固废，综上，本项目固废依托</w:t>
            </w:r>
            <w:r>
              <w:rPr>
                <w:rFonts w:hint="eastAsia" w:ascii="Times New Roman" w:hAnsi="Times New Roman" w:eastAsia="宋体" w:cs="Times New Roman"/>
                <w:color w:val="auto"/>
                <w:sz w:val="24"/>
                <w:szCs w:val="24"/>
                <w:lang w:eastAsia="zh-CN"/>
              </w:rPr>
              <w:t>昌吉市生活垃圾</w:t>
            </w:r>
            <w:r>
              <w:rPr>
                <w:rFonts w:hint="eastAsia" w:eastAsia="宋体" w:cs="Times New Roman"/>
                <w:color w:val="auto"/>
                <w:sz w:val="24"/>
                <w:szCs w:val="24"/>
                <w:lang w:val="en-US" w:eastAsia="zh-CN"/>
              </w:rPr>
              <w:t>填埋场</w:t>
            </w:r>
            <w:r>
              <w:rPr>
                <w:rFonts w:hint="eastAsia"/>
                <w:color w:val="auto"/>
                <w:lang w:val="en-US" w:eastAsia="zh-CN"/>
              </w:rPr>
              <w:t>处理。</w:t>
            </w:r>
          </w:p>
          <w:p>
            <w:pPr>
              <w:pStyle w:val="18"/>
              <w:bidi w:val="0"/>
              <w:rPr>
                <w:rFonts w:hint="default" w:eastAsia="宋体"/>
                <w:color w:val="auto"/>
                <w:lang w:val="en-US" w:eastAsia="zh-CN"/>
              </w:rPr>
            </w:pPr>
            <w:r>
              <w:rPr>
                <w:rFonts w:hint="eastAsia"/>
                <w:color w:val="auto"/>
                <w:lang w:val="en-US" w:eastAsia="zh-CN"/>
              </w:rPr>
              <w:t>综上，本项目产生的各类固体废物均能得到妥善处置，对周围环境影响较小。</w:t>
            </w:r>
          </w:p>
          <w:p>
            <w:pPr>
              <w:pStyle w:val="5"/>
              <w:numPr>
                <w:ilvl w:val="0"/>
                <w:numId w:val="20"/>
              </w:numPr>
              <w:bidi w:val="0"/>
              <w:rPr>
                <w:rFonts w:hint="default"/>
                <w:color w:val="auto"/>
                <w:lang w:val="en-US" w:eastAsia="zh-CN"/>
              </w:rPr>
            </w:pPr>
            <w:r>
              <w:rPr>
                <w:rFonts w:hint="eastAsia"/>
                <w:color w:val="auto"/>
                <w:lang w:val="en-US" w:eastAsia="zh-CN"/>
              </w:rPr>
              <w:t>地下水、土壤污染影响及防治措施</w:t>
            </w:r>
          </w:p>
          <w:p>
            <w:pPr>
              <w:pStyle w:val="6"/>
              <w:numPr>
                <w:ilvl w:val="1"/>
                <w:numId w:val="20"/>
              </w:numPr>
              <w:bidi w:val="0"/>
              <w:rPr>
                <w:rFonts w:hint="eastAsia"/>
                <w:lang w:val="en-US" w:eastAsia="zh-CN"/>
              </w:rPr>
            </w:pPr>
            <w:r>
              <w:rPr>
                <w:rFonts w:hint="eastAsia"/>
                <w:lang w:val="en-US" w:eastAsia="zh-CN"/>
              </w:rPr>
              <w:t>水文地质条件</w:t>
            </w:r>
          </w:p>
          <w:p>
            <w:pPr>
              <w:pStyle w:val="18"/>
              <w:bidi w:val="0"/>
              <w:rPr>
                <w:color w:val="auto"/>
              </w:rPr>
            </w:pPr>
            <w:r>
              <w:rPr>
                <w:rFonts w:hint="eastAsia"/>
                <w:color w:val="auto"/>
                <w:lang w:val="en-US" w:eastAsia="zh-CN"/>
              </w:rPr>
              <w:t xml:space="preserve">地下水的赋存与富水程度项目区地貌属冲积平原下部地貌单元，场地地形较为平坦，为第四系冲积，场地表层覆盖有耕表土、粉土在整个场地均有揭露。根据《昌吉市城北垃圾填埋场岩土工程勘察报告》及其项目厂区地下水现场钻探结果及当地采访调查显示：厂区地下水埋深约 </w:t>
            </w:r>
            <w:r>
              <w:rPr>
                <w:rFonts w:hint="default"/>
                <w:color w:val="auto"/>
                <w:lang w:val="en-US" w:eastAsia="zh-CN"/>
              </w:rPr>
              <w:t xml:space="preserve">40m </w:t>
            </w:r>
            <w:r>
              <w:rPr>
                <w:rFonts w:hint="eastAsia"/>
                <w:color w:val="auto"/>
                <w:lang w:val="en-US" w:eastAsia="zh-CN"/>
              </w:rPr>
              <w:t xml:space="preserve">左右。项目区内含水层为多层结构含水层，上部为第四系松散岩类孔隙潜水、下部为第四系多层结构承压水。第四系松散岩类孔隙潜水广泛分布于项目区，含水层岩性为亚砂土、砂等，单井涌水量小于 </w:t>
            </w:r>
            <w:r>
              <w:rPr>
                <w:rFonts w:hint="default"/>
                <w:color w:val="auto"/>
                <w:lang w:val="en-US" w:eastAsia="zh-CN"/>
              </w:rPr>
              <w:t>2L/s</w:t>
            </w:r>
            <w:r>
              <w:rPr>
                <w:rFonts w:hint="eastAsia"/>
                <w:color w:val="auto"/>
                <w:lang w:val="en-US" w:eastAsia="zh-CN"/>
              </w:rPr>
              <w:t xml:space="preserve">，水化学类型为 </w:t>
            </w:r>
            <w:r>
              <w:rPr>
                <w:rFonts w:hint="default"/>
                <w:color w:val="auto"/>
                <w:lang w:val="en-US" w:eastAsia="zh-CN"/>
              </w:rPr>
              <w:t>SO</w:t>
            </w:r>
            <w:r>
              <w:rPr>
                <w:rFonts w:hint="default"/>
                <w:color w:val="auto"/>
                <w:vertAlign w:val="subscript"/>
                <w:lang w:val="en-US" w:eastAsia="zh-CN"/>
              </w:rPr>
              <w:t>4</w:t>
            </w:r>
            <w:r>
              <w:rPr>
                <w:rFonts w:hint="default"/>
                <w:color w:val="auto"/>
                <w:lang w:val="en-US" w:eastAsia="zh-CN"/>
              </w:rPr>
              <w:t xml:space="preserve">-Na·Ca </w:t>
            </w:r>
            <w:r>
              <w:rPr>
                <w:rFonts w:hint="eastAsia"/>
                <w:color w:val="auto"/>
                <w:lang w:val="en-US" w:eastAsia="zh-CN"/>
              </w:rPr>
              <w:t xml:space="preserve">型，参考区域内抽水试验成果，平均渗透系数为 </w:t>
            </w:r>
            <w:r>
              <w:rPr>
                <w:rFonts w:hint="default"/>
                <w:color w:val="auto"/>
                <w:lang w:val="en-US" w:eastAsia="zh-CN"/>
              </w:rPr>
              <w:t>21.11m/d</w:t>
            </w:r>
            <w:r>
              <w:rPr>
                <w:rFonts w:hint="eastAsia"/>
                <w:color w:val="auto"/>
                <w:lang w:val="en-US" w:eastAsia="zh-CN"/>
              </w:rPr>
              <w:t>，</w:t>
            </w:r>
            <w:r>
              <w:rPr>
                <w:rFonts w:hint="default"/>
                <w:color w:val="auto"/>
                <w:lang w:val="en-US" w:eastAsia="zh-CN"/>
              </w:rPr>
              <w:t>pH</w:t>
            </w:r>
            <w:r>
              <w:rPr>
                <w:rFonts w:hint="eastAsia"/>
                <w:color w:val="auto"/>
                <w:lang w:val="en-US" w:eastAsia="zh-CN"/>
              </w:rPr>
              <w:t xml:space="preserve">值为 </w:t>
            </w:r>
            <w:r>
              <w:rPr>
                <w:rFonts w:hint="default"/>
                <w:color w:val="auto"/>
                <w:lang w:val="en-US" w:eastAsia="zh-CN"/>
              </w:rPr>
              <w:t xml:space="preserve">7.5 </w:t>
            </w:r>
            <w:r>
              <w:rPr>
                <w:rFonts w:hint="eastAsia"/>
                <w:color w:val="auto"/>
                <w:lang w:val="en-US" w:eastAsia="zh-CN"/>
              </w:rPr>
              <w:t xml:space="preserve">左右，水质较差，不宜于生活饮用；承压水单井涌水量 </w:t>
            </w:r>
            <w:r>
              <w:rPr>
                <w:rFonts w:hint="default"/>
                <w:color w:val="auto"/>
                <w:lang w:val="en-US" w:eastAsia="zh-CN"/>
              </w:rPr>
              <w:t>2~10L/s</w:t>
            </w:r>
            <w:r>
              <w:rPr>
                <w:rFonts w:hint="eastAsia"/>
                <w:color w:val="auto"/>
                <w:lang w:val="en-US" w:eastAsia="zh-CN"/>
              </w:rPr>
              <w:t xml:space="preserve">，富水性中等。其水化学类型为 </w:t>
            </w:r>
            <w:r>
              <w:rPr>
                <w:rFonts w:hint="default"/>
                <w:color w:val="auto"/>
                <w:lang w:val="en-US" w:eastAsia="zh-CN"/>
              </w:rPr>
              <w:t xml:space="preserve">HCO3·SO4-Ca·Na </w:t>
            </w:r>
            <w:r>
              <w:rPr>
                <w:rFonts w:hint="eastAsia"/>
                <w:color w:val="auto"/>
                <w:lang w:val="en-US" w:eastAsia="zh-CN"/>
              </w:rPr>
              <w:t xml:space="preserve">型或 </w:t>
            </w:r>
            <w:r>
              <w:rPr>
                <w:rFonts w:hint="default"/>
                <w:color w:val="auto"/>
                <w:lang w:val="en-US" w:eastAsia="zh-CN"/>
              </w:rPr>
              <w:t xml:space="preserve">HCO3·SO4-Na·Ca </w:t>
            </w:r>
            <w:r>
              <w:rPr>
                <w:rFonts w:hint="eastAsia"/>
                <w:color w:val="auto"/>
                <w:lang w:val="en-US" w:eastAsia="zh-CN"/>
              </w:rPr>
              <w:t>型，矿化度</w:t>
            </w:r>
            <w:r>
              <w:rPr>
                <w:rFonts w:hint="default"/>
                <w:color w:val="auto"/>
                <w:lang w:val="en-US" w:eastAsia="zh-CN"/>
              </w:rPr>
              <w:t>0.272-0.352g/L</w:t>
            </w:r>
            <w:r>
              <w:rPr>
                <w:rFonts w:hint="eastAsia"/>
                <w:color w:val="auto"/>
                <w:lang w:val="en-US" w:eastAsia="zh-CN"/>
              </w:rPr>
              <w:t>，</w:t>
            </w:r>
            <w:r>
              <w:rPr>
                <w:rFonts w:hint="default"/>
                <w:color w:val="auto"/>
                <w:lang w:val="en-US" w:eastAsia="zh-CN"/>
              </w:rPr>
              <w:t xml:space="preserve">pH </w:t>
            </w:r>
            <w:r>
              <w:rPr>
                <w:rFonts w:hint="eastAsia"/>
                <w:color w:val="auto"/>
                <w:lang w:val="en-US" w:eastAsia="zh-CN"/>
              </w:rPr>
              <w:t xml:space="preserve">值 </w:t>
            </w:r>
            <w:r>
              <w:rPr>
                <w:rFonts w:hint="default"/>
                <w:color w:val="auto"/>
                <w:lang w:val="en-US" w:eastAsia="zh-CN"/>
              </w:rPr>
              <w:t>8.1-8.3</w:t>
            </w:r>
            <w:r>
              <w:rPr>
                <w:rFonts w:hint="eastAsia"/>
                <w:color w:val="auto"/>
                <w:lang w:val="en-US" w:eastAsia="zh-CN"/>
              </w:rPr>
              <w:t>，水质较好。</w:t>
            </w:r>
          </w:p>
          <w:p>
            <w:pPr>
              <w:pStyle w:val="18"/>
              <w:bidi w:val="0"/>
              <w:rPr>
                <w:rFonts w:hint="default"/>
                <w:color w:val="auto"/>
                <w:lang w:val="en-US" w:eastAsia="zh-CN"/>
              </w:rPr>
            </w:pPr>
            <w:r>
              <w:rPr>
                <w:rFonts w:hint="default"/>
                <w:color w:val="auto"/>
                <w:lang w:val="en-US" w:eastAsia="zh-CN"/>
              </w:rPr>
              <w:t>项目区位于</w:t>
            </w:r>
            <w:r>
              <w:rPr>
                <w:rFonts w:hint="eastAsia"/>
                <w:color w:val="auto"/>
                <w:lang w:val="en-US" w:eastAsia="zh-CN"/>
              </w:rPr>
              <w:t>昌吉市佃坝镇</w:t>
            </w:r>
            <w:r>
              <w:rPr>
                <w:rFonts w:hint="default"/>
                <w:color w:val="auto"/>
                <w:lang w:val="en-US" w:eastAsia="zh-CN"/>
              </w:rPr>
              <w:t>，地下水以侧向径流补给和大气降水补给为主，地下水排泄方式以地下水侧向径流流出为主。地下水流向为由南向北。</w:t>
            </w:r>
          </w:p>
          <w:p>
            <w:pPr>
              <w:pStyle w:val="18"/>
              <w:bidi w:val="0"/>
              <w:rPr>
                <w:rFonts w:hint="default"/>
                <w:color w:val="auto"/>
                <w:lang w:val="en-US" w:eastAsia="zh-CN"/>
              </w:rPr>
            </w:pPr>
            <w:r>
              <w:rPr>
                <w:rFonts w:hint="eastAsia"/>
                <w:color w:val="auto"/>
                <w:lang w:val="en-US" w:eastAsia="zh-CN"/>
              </w:rPr>
              <w:t xml:space="preserve">区内地下水动态主要受上游地下水的开采影响。在 </w:t>
            </w:r>
            <w:r>
              <w:rPr>
                <w:rFonts w:hint="default"/>
                <w:color w:val="auto"/>
                <w:lang w:val="en-US" w:eastAsia="zh-CN"/>
              </w:rPr>
              <w:t xml:space="preserve">4~6 </w:t>
            </w:r>
            <w:r>
              <w:rPr>
                <w:rFonts w:hint="eastAsia"/>
                <w:color w:val="auto"/>
                <w:lang w:val="en-US" w:eastAsia="zh-CN"/>
              </w:rPr>
              <w:t>月的夏灌期和</w:t>
            </w:r>
            <w:r>
              <w:rPr>
                <w:rFonts w:hint="default"/>
                <w:color w:val="auto"/>
                <w:lang w:val="en-US" w:eastAsia="zh-CN"/>
              </w:rPr>
              <w:t>9~10</w:t>
            </w:r>
            <w:r>
              <w:rPr>
                <w:rFonts w:hint="eastAsia"/>
                <w:color w:val="auto"/>
                <w:lang w:val="en-US" w:eastAsia="zh-CN"/>
              </w:rPr>
              <w:t>月份的秋灌期，地下水开采强度增大，为低水位期。一般年份，</w:t>
            </w:r>
            <w:r>
              <w:rPr>
                <w:rFonts w:hint="default"/>
                <w:color w:val="auto"/>
                <w:lang w:val="en-US" w:eastAsia="zh-CN"/>
              </w:rPr>
              <w:t xml:space="preserve">4~6 </w:t>
            </w:r>
            <w:r>
              <w:rPr>
                <w:rFonts w:hint="eastAsia"/>
                <w:color w:val="auto"/>
                <w:lang w:val="en-US" w:eastAsia="zh-CN"/>
              </w:rPr>
              <w:t>月地下水位</w:t>
            </w:r>
            <w:r>
              <w:rPr>
                <w:rFonts w:hint="default"/>
                <w:color w:val="auto"/>
                <w:lang w:val="en-US" w:eastAsia="zh-CN"/>
              </w:rPr>
              <w:t>(</w:t>
            </w:r>
            <w:r>
              <w:rPr>
                <w:rFonts w:hint="eastAsia"/>
                <w:color w:val="auto"/>
                <w:lang w:val="en-US" w:eastAsia="zh-CN"/>
              </w:rPr>
              <w:t>水头</w:t>
            </w:r>
            <w:r>
              <w:rPr>
                <w:rFonts w:hint="default"/>
                <w:color w:val="auto"/>
                <w:lang w:val="en-US" w:eastAsia="zh-CN"/>
              </w:rPr>
              <w:t>)</w:t>
            </w:r>
            <w:r>
              <w:rPr>
                <w:rFonts w:hint="eastAsia"/>
                <w:color w:val="auto"/>
                <w:lang w:val="en-US" w:eastAsia="zh-CN"/>
              </w:rPr>
              <w:t xml:space="preserve">快速下降，并于 </w:t>
            </w:r>
            <w:r>
              <w:rPr>
                <w:rFonts w:hint="default"/>
                <w:color w:val="auto"/>
                <w:lang w:val="en-US" w:eastAsia="zh-CN"/>
              </w:rPr>
              <w:t xml:space="preserve">6~7 </w:t>
            </w:r>
            <w:r>
              <w:rPr>
                <w:rFonts w:hint="eastAsia"/>
                <w:color w:val="auto"/>
                <w:lang w:val="en-US" w:eastAsia="zh-CN"/>
              </w:rPr>
              <w:t xml:space="preserve">月或 </w:t>
            </w:r>
            <w:r>
              <w:rPr>
                <w:rFonts w:hint="default"/>
                <w:color w:val="auto"/>
                <w:lang w:val="en-US" w:eastAsia="zh-CN"/>
              </w:rPr>
              <w:t xml:space="preserve">8~9 </w:t>
            </w:r>
            <w:r>
              <w:rPr>
                <w:rFonts w:hint="eastAsia"/>
                <w:color w:val="auto"/>
                <w:lang w:val="en-US" w:eastAsia="zh-CN"/>
              </w:rPr>
              <w:t xml:space="preserve">月达到年内最低点，此后，开采量开始下降，随着地下水的径流、灌溉入渗和河渠入渗，水位缓慢回升，到次年 </w:t>
            </w:r>
            <w:r>
              <w:rPr>
                <w:rFonts w:hint="default"/>
                <w:color w:val="auto"/>
                <w:lang w:val="en-US" w:eastAsia="zh-CN"/>
              </w:rPr>
              <w:t xml:space="preserve">3~4 </w:t>
            </w:r>
            <w:r>
              <w:rPr>
                <w:rFonts w:hint="eastAsia"/>
                <w:color w:val="auto"/>
                <w:lang w:val="en-US" w:eastAsia="zh-CN"/>
              </w:rPr>
              <w:t>月份，达到年内最高水位</w:t>
            </w:r>
            <w:r>
              <w:rPr>
                <w:rFonts w:hint="default"/>
                <w:color w:val="auto"/>
                <w:lang w:val="en-US" w:eastAsia="zh-CN"/>
              </w:rPr>
              <w:t>(</w:t>
            </w:r>
            <w:r>
              <w:rPr>
                <w:rFonts w:hint="eastAsia"/>
                <w:color w:val="auto"/>
                <w:lang w:val="en-US" w:eastAsia="zh-CN"/>
              </w:rPr>
              <w:t>水头</w:t>
            </w:r>
            <w:r>
              <w:rPr>
                <w:rFonts w:hint="default"/>
                <w:color w:val="auto"/>
                <w:lang w:val="en-US" w:eastAsia="zh-CN"/>
              </w:rPr>
              <w:t>)</w:t>
            </w:r>
            <w:r>
              <w:rPr>
                <w:rFonts w:hint="eastAsia"/>
                <w:color w:val="auto"/>
                <w:lang w:val="en-US" w:eastAsia="zh-CN"/>
              </w:rPr>
              <w:t>，在此过程中，秋灌期地下水开采，也造成地下水位的波动，但幅度不大。水位</w:t>
            </w:r>
            <w:r>
              <w:rPr>
                <w:rFonts w:hint="default"/>
                <w:color w:val="auto"/>
                <w:lang w:val="en-US" w:eastAsia="zh-CN"/>
              </w:rPr>
              <w:t>(</w:t>
            </w:r>
            <w:r>
              <w:rPr>
                <w:rFonts w:hint="eastAsia"/>
                <w:color w:val="auto"/>
                <w:lang w:val="en-US" w:eastAsia="zh-CN"/>
              </w:rPr>
              <w:t>水头</w:t>
            </w:r>
            <w:r>
              <w:rPr>
                <w:rFonts w:hint="default"/>
                <w:color w:val="auto"/>
                <w:lang w:val="en-US" w:eastAsia="zh-CN"/>
              </w:rPr>
              <w:t>)</w:t>
            </w:r>
            <w:r>
              <w:rPr>
                <w:rFonts w:hint="eastAsia"/>
                <w:color w:val="auto"/>
                <w:lang w:val="en-US" w:eastAsia="zh-CN"/>
              </w:rPr>
              <w:t>升幅一般均低于年内降幅。地下水年变幅在</w:t>
            </w:r>
            <w:r>
              <w:rPr>
                <w:rFonts w:hint="default"/>
                <w:color w:val="auto"/>
                <w:lang w:val="en-US" w:eastAsia="zh-CN"/>
              </w:rPr>
              <w:t xml:space="preserve">0.5m~1.0m </w:t>
            </w:r>
            <w:r>
              <w:rPr>
                <w:rFonts w:hint="eastAsia"/>
                <w:color w:val="auto"/>
                <w:lang w:val="en-US" w:eastAsia="zh-CN"/>
              </w:rPr>
              <w:t>左右，一般承压水水头变幅大于潜水。</w:t>
            </w:r>
          </w:p>
          <w:p>
            <w:pPr>
              <w:pStyle w:val="6"/>
              <w:numPr>
                <w:ilvl w:val="1"/>
                <w:numId w:val="20"/>
              </w:numPr>
              <w:bidi w:val="0"/>
              <w:rPr>
                <w:rFonts w:hint="eastAsia"/>
                <w:lang w:val="en-US" w:eastAsia="zh-CN"/>
              </w:rPr>
            </w:pPr>
            <w:r>
              <w:rPr>
                <w:rFonts w:hint="eastAsia"/>
                <w:lang w:val="en-US" w:eastAsia="zh-CN"/>
              </w:rPr>
              <w:t>地下水、土壤污染影响分析</w:t>
            </w:r>
          </w:p>
          <w:p>
            <w:pPr>
              <w:pStyle w:val="18"/>
              <w:bidi w:val="0"/>
              <w:jc w:val="both"/>
              <w:rPr>
                <w:rFonts w:hint="eastAsia"/>
                <w:color w:val="auto"/>
                <w:lang w:val="en-US" w:eastAsia="zh-CN"/>
              </w:rPr>
            </w:pPr>
            <w:r>
              <w:rPr>
                <w:rFonts w:hint="eastAsia"/>
                <w:color w:val="auto"/>
                <w:lang w:val="en-US" w:eastAsia="zh-CN"/>
              </w:rPr>
              <w:t>本项目的地下水及土壤污染源生活垃圾转运、污水收集池废水下渗，为有效规避地下水环污染的风险，应做好地下水污染预措施，按照源头控制、分区控制、污染监控、应急响应"的主动与被动防渗相结合的防渗原则，本项提出如下措施∶</w:t>
            </w:r>
          </w:p>
          <w:p>
            <w:pPr>
              <w:pStyle w:val="18"/>
              <w:numPr>
                <w:ilvl w:val="0"/>
                <w:numId w:val="25"/>
              </w:numPr>
              <w:bidi w:val="0"/>
              <w:jc w:val="both"/>
              <w:rPr>
                <w:rFonts w:hint="eastAsia"/>
                <w:color w:val="auto"/>
                <w:lang w:val="en-US" w:eastAsia="zh-CN"/>
              </w:rPr>
            </w:pPr>
            <w:r>
              <w:rPr>
                <w:rFonts w:hint="eastAsia"/>
                <w:color w:val="auto"/>
                <w:lang w:val="en-US" w:eastAsia="zh-CN"/>
              </w:rPr>
              <w:t>源头控制措施</w:t>
            </w:r>
          </w:p>
          <w:p>
            <w:pPr>
              <w:pStyle w:val="18"/>
              <w:bidi w:val="0"/>
              <w:jc w:val="both"/>
              <w:rPr>
                <w:rFonts w:hint="eastAsia"/>
                <w:color w:val="auto"/>
                <w:lang w:val="en-US" w:eastAsia="zh-CN"/>
              </w:rPr>
            </w:pPr>
            <w:r>
              <w:rPr>
                <w:rFonts w:hint="eastAsia"/>
                <w:color w:val="auto"/>
                <w:lang w:val="en-US" w:eastAsia="zh-CN"/>
              </w:rPr>
              <w:t>项目应根据国家现行相关规范加强环境管理，采取防止和降低污染物跑、冒、滴、漏的措施。正常运过程中加强控制，加强对防渗工程的检查，若发现防渗密封材料老化或损坏应及时维修更换。</w:t>
            </w:r>
          </w:p>
          <w:p>
            <w:pPr>
              <w:pStyle w:val="18"/>
              <w:bidi w:val="0"/>
              <w:jc w:val="both"/>
              <w:rPr>
                <w:rFonts w:hint="eastAsia"/>
                <w:color w:val="auto"/>
                <w:lang w:val="en-US" w:eastAsia="zh-CN"/>
              </w:rPr>
            </w:pPr>
            <w:r>
              <w:rPr>
                <w:rFonts w:hint="eastAsia"/>
                <w:color w:val="auto"/>
                <w:lang w:val="en-US" w:eastAsia="zh-CN"/>
              </w:rPr>
              <w:t>拟对整个垃圾转运压缩车间、污水收集池做重点防渗，运输通道、垃圾装卸区、地磅房做一般防渗，其余做简单防渗。施工方部位应密实、结合牢固，不得渗漏，预管件、止水带和填缝板要安装牢固，位置精确，每座水池必须做满水试验，质量达到合格；并进行定期检查，确保消除跑、冒、滴、漏现象发生。</w:t>
            </w:r>
          </w:p>
          <w:p>
            <w:pPr>
              <w:pStyle w:val="18"/>
              <w:numPr>
                <w:ilvl w:val="0"/>
                <w:numId w:val="25"/>
              </w:numPr>
              <w:bidi w:val="0"/>
              <w:ind w:left="0" w:leftChars="0" w:firstLine="480" w:firstLineChars="200"/>
              <w:jc w:val="both"/>
              <w:rPr>
                <w:rFonts w:hint="default"/>
                <w:color w:val="auto"/>
                <w:lang w:val="en-US" w:eastAsia="zh-CN"/>
              </w:rPr>
            </w:pPr>
            <w:r>
              <w:rPr>
                <w:rFonts w:hint="eastAsia"/>
                <w:color w:val="auto"/>
                <w:lang w:val="en-US" w:eastAsia="zh-CN"/>
              </w:rPr>
              <w:t>分区防渗</w:t>
            </w:r>
          </w:p>
          <w:p>
            <w:pPr>
              <w:pStyle w:val="18"/>
              <w:bidi w:val="0"/>
              <w:jc w:val="both"/>
              <w:rPr>
                <w:rFonts w:hint="eastAsia"/>
                <w:color w:val="auto"/>
                <w:lang w:val="en-US" w:eastAsia="zh-CN"/>
              </w:rPr>
            </w:pPr>
            <w:r>
              <w:rPr>
                <w:rFonts w:hint="eastAsia"/>
                <w:color w:val="auto"/>
                <w:lang w:val="en-US" w:eastAsia="zh-CN"/>
              </w:rPr>
              <w:t xml:space="preserve">简单防渗区要求∶一般地面硬化。 </w:t>
            </w:r>
          </w:p>
          <w:p>
            <w:pPr>
              <w:pStyle w:val="18"/>
              <w:bidi w:val="0"/>
              <w:jc w:val="both"/>
              <w:rPr>
                <w:rFonts w:hint="eastAsia"/>
                <w:color w:val="auto"/>
                <w:lang w:val="en-US" w:eastAsia="zh-CN"/>
              </w:rPr>
            </w:pPr>
            <w:r>
              <w:rPr>
                <w:rFonts w:hint="eastAsia"/>
                <w:color w:val="auto"/>
                <w:lang w:val="en-US" w:eastAsia="zh-CN"/>
              </w:rPr>
              <w:t>一般防渗区要求∶等效黏土防渗层Mb≥1.5m，K≤1×10</w:t>
            </w:r>
            <w:r>
              <w:rPr>
                <w:rFonts w:hint="eastAsia"/>
                <w:color w:val="auto"/>
                <w:vertAlign w:val="superscript"/>
                <w:lang w:val="en-US" w:eastAsia="zh-CN"/>
              </w:rPr>
              <w:t>-7</w:t>
            </w:r>
            <w:r>
              <w:rPr>
                <w:rFonts w:hint="eastAsia"/>
                <w:color w:val="auto"/>
                <w:lang w:val="en-US" w:eastAsia="zh-CN"/>
              </w:rPr>
              <w:t xml:space="preserve">cm/s。 </w:t>
            </w:r>
          </w:p>
          <w:p>
            <w:pPr>
              <w:pStyle w:val="18"/>
              <w:bidi w:val="0"/>
              <w:jc w:val="both"/>
              <w:rPr>
                <w:rFonts w:hint="eastAsia"/>
                <w:color w:val="auto"/>
                <w:lang w:val="en-US" w:eastAsia="zh-CN"/>
              </w:rPr>
            </w:pPr>
            <w:r>
              <w:rPr>
                <w:rFonts w:hint="eastAsia"/>
                <w:color w:val="auto"/>
                <w:lang w:val="en-US" w:eastAsia="zh-CN"/>
              </w:rPr>
              <w:t>重点防渗区要求∶等效黏土防渗层Mb≥6.0m，K≤1×10</w:t>
            </w:r>
            <w:r>
              <w:rPr>
                <w:rFonts w:hint="eastAsia"/>
                <w:color w:val="auto"/>
                <w:vertAlign w:val="superscript"/>
                <w:lang w:val="en-US" w:eastAsia="zh-CN"/>
              </w:rPr>
              <w:t>-10</w:t>
            </w:r>
            <w:r>
              <w:rPr>
                <w:rFonts w:hint="eastAsia"/>
                <w:color w:val="auto"/>
                <w:lang w:val="en-US" w:eastAsia="zh-CN"/>
              </w:rPr>
              <w:t xml:space="preserve">cm/s。 </w:t>
            </w:r>
          </w:p>
          <w:p>
            <w:pPr>
              <w:pStyle w:val="18"/>
              <w:bidi w:val="0"/>
              <w:jc w:val="both"/>
              <w:rPr>
                <w:rFonts w:hint="eastAsia"/>
                <w:color w:val="auto"/>
                <w:lang w:val="en-US" w:eastAsia="zh-CN"/>
              </w:rPr>
            </w:pPr>
            <w:r>
              <w:rPr>
                <w:rFonts w:hint="eastAsia"/>
                <w:color w:val="auto"/>
                <w:lang w:val="en-US" w:eastAsia="zh-CN"/>
              </w:rPr>
              <w:t>环评要求∶项目运营期间，渗滤液预处理站定期检查收集池池壁，及时运行维护，避免渗滤液渗漏。</w:t>
            </w:r>
          </w:p>
          <w:p>
            <w:pPr>
              <w:pStyle w:val="18"/>
              <w:bidi w:val="0"/>
              <w:jc w:val="both"/>
              <w:rPr>
                <w:rFonts w:hint="eastAsia"/>
                <w:color w:val="auto"/>
                <w:lang w:val="en-US" w:eastAsia="zh-CN"/>
              </w:rPr>
            </w:pPr>
            <w:r>
              <w:rPr>
                <w:rFonts w:hint="eastAsia"/>
                <w:color w:val="auto"/>
                <w:lang w:val="en-US" w:eastAsia="zh-CN"/>
              </w:rPr>
              <w:t>综上所述，在正常情况下，本项目在设计、施工和运行时，严把设计、施工和质量验收关，严格控制项目污水的无组织泄漏，杜绝因管道材质、制管、防腐涂层、焊接缺陷及运行失误而造成管线泄漏。在生产运行过程中，强化监控手段，定期检查检验，检漏控漏，杜绝厂区事故性排放点源的存在，本项目的建设及运营，对地下水环境没有明显影响；污水池或排水管道发生泄漏现象时可能影响地下水水质，在落实防渗、监测、应急响应、地下水治理等措施后，项目的实施对地下水的影响属可接受范围。</w:t>
            </w:r>
          </w:p>
          <w:p>
            <w:pPr>
              <w:pStyle w:val="6"/>
              <w:bidi w:val="0"/>
              <w:rPr>
                <w:rFonts w:hint="default"/>
                <w:color w:val="auto"/>
                <w:lang w:val="en-US" w:eastAsia="zh-CN"/>
              </w:rPr>
            </w:pPr>
            <w:r>
              <w:rPr>
                <w:rFonts w:hint="eastAsia"/>
                <w:color w:val="auto"/>
                <w:lang w:val="en-US" w:eastAsia="zh-CN"/>
              </w:rPr>
              <w:t xml:space="preserve">5.3 </w:t>
            </w:r>
            <w:r>
              <w:rPr>
                <w:rFonts w:hint="default"/>
                <w:color w:val="auto"/>
                <w:lang w:val="en-US" w:eastAsia="zh-CN"/>
              </w:rPr>
              <w:t xml:space="preserve">土壤环境影响评价  </w:t>
            </w:r>
          </w:p>
          <w:p>
            <w:pPr>
              <w:pStyle w:val="18"/>
              <w:bidi w:val="0"/>
              <w:jc w:val="both"/>
              <w:rPr>
                <w:rFonts w:hint="default"/>
                <w:color w:val="auto"/>
                <w:lang w:val="en-US" w:eastAsia="zh-CN"/>
              </w:rPr>
            </w:pPr>
            <w:r>
              <w:rPr>
                <w:rFonts w:hint="default"/>
                <w:color w:val="auto"/>
                <w:lang w:val="en-US" w:eastAsia="zh-CN"/>
              </w:rPr>
              <w:t>本项目</w:t>
            </w:r>
            <w:r>
              <w:rPr>
                <w:rFonts w:hint="eastAsia" w:ascii="Times New Roman" w:hAnsi="Times New Roman" w:cs="Times New Roman"/>
                <w:color w:val="auto"/>
                <w:sz w:val="24"/>
                <w:lang w:val="en-US" w:eastAsia="zh-CN"/>
              </w:rPr>
              <w:t>污水收集池</w:t>
            </w:r>
            <w:r>
              <w:rPr>
                <w:rFonts w:hint="default"/>
                <w:color w:val="auto"/>
                <w:lang w:val="en-US" w:eastAsia="zh-CN"/>
              </w:rPr>
              <w:t>等重点防渗区域采取防渗措施后达到不低于6m厚透系数为1.0×10</w:t>
            </w:r>
            <w:r>
              <w:rPr>
                <w:rFonts w:hint="default"/>
                <w:color w:val="auto"/>
                <w:vertAlign w:val="superscript"/>
                <w:lang w:val="en-US" w:eastAsia="zh-CN"/>
              </w:rPr>
              <w:t>-</w:t>
            </w:r>
            <w:r>
              <w:rPr>
                <w:rFonts w:hint="eastAsia"/>
                <w:color w:val="auto"/>
                <w:vertAlign w:val="superscript"/>
                <w:lang w:val="en-US" w:eastAsia="zh-CN"/>
              </w:rPr>
              <w:t>10</w:t>
            </w:r>
            <w:r>
              <w:rPr>
                <w:rFonts w:hint="default"/>
                <w:color w:val="auto"/>
                <w:lang w:val="en-US" w:eastAsia="zh-CN"/>
              </w:rPr>
              <w:t>cm/s的黏土层的防渗性能；</w:t>
            </w:r>
            <w:r>
              <w:rPr>
                <w:rFonts w:hint="eastAsia"/>
                <w:color w:val="auto"/>
                <w:lang w:val="en-US" w:eastAsia="zh-CN"/>
              </w:rPr>
              <w:t>垃圾转运压缩车间</w:t>
            </w:r>
            <w:r>
              <w:rPr>
                <w:rFonts w:hint="default"/>
                <w:color w:val="auto"/>
                <w:lang w:val="en-US" w:eastAsia="zh-CN"/>
              </w:rPr>
              <w:t>等一般防渗区采取防渗措施后达到不低于1.5m厚渗透系数为1.0×10</w:t>
            </w:r>
            <w:r>
              <w:rPr>
                <w:rFonts w:hint="default"/>
                <w:color w:val="auto"/>
                <w:vertAlign w:val="superscript"/>
                <w:lang w:val="en-US" w:eastAsia="zh-CN"/>
              </w:rPr>
              <w:t>-7</w:t>
            </w:r>
            <w:r>
              <w:rPr>
                <w:rFonts w:hint="default"/>
                <w:color w:val="auto"/>
                <w:lang w:val="en-US" w:eastAsia="zh-CN"/>
              </w:rPr>
              <w:t>cm/s的黏土层的防渗性能。环境风险物质极难下渗，不会对区域土壤造成较大不利影响。</w:t>
            </w:r>
          </w:p>
          <w:p>
            <w:pPr>
              <w:pStyle w:val="18"/>
              <w:bidi w:val="0"/>
              <w:jc w:val="both"/>
              <w:rPr>
                <w:rFonts w:hint="default"/>
                <w:color w:val="auto"/>
                <w:lang w:val="en-US" w:eastAsia="zh-CN"/>
              </w:rPr>
            </w:pPr>
            <w:r>
              <w:rPr>
                <w:rFonts w:hint="default"/>
                <w:color w:val="auto"/>
                <w:lang w:val="en-US" w:eastAsia="zh-CN"/>
              </w:rPr>
              <w:t>本次评价要求建设单位切实落实本次评价中提出的防渗措施，加强安全生产监督，落实持证上岗制度，增加巡视监控力度，防患于未然，尽可能降低事故发生的概率，在采取以上措施后，项目事故发生的概率将得到有效控制，对土壤环境的影响大大降低，不会对区域土壤造成较大的环境影响。</w:t>
            </w:r>
          </w:p>
          <w:p>
            <w:pPr>
              <w:pStyle w:val="5"/>
              <w:numPr>
                <w:ilvl w:val="0"/>
                <w:numId w:val="20"/>
              </w:numPr>
              <w:bidi w:val="0"/>
              <w:rPr>
                <w:rFonts w:hint="eastAsia"/>
                <w:color w:val="auto"/>
                <w:lang w:val="en-US" w:eastAsia="zh-CN"/>
              </w:rPr>
            </w:pPr>
            <w:r>
              <w:rPr>
                <w:rFonts w:hint="eastAsia"/>
                <w:color w:val="auto"/>
                <w:lang w:val="en-US" w:eastAsia="zh-CN"/>
              </w:rPr>
              <w:t xml:space="preserve">收集运输过程环境影响分析及措施 </w:t>
            </w:r>
          </w:p>
          <w:p>
            <w:pPr>
              <w:pStyle w:val="18"/>
              <w:bidi w:val="0"/>
              <w:rPr>
                <w:rFonts w:ascii="宋体" w:hAnsi="宋体" w:eastAsia="宋体" w:cs="宋体"/>
                <w:color w:val="auto"/>
                <w:szCs w:val="24"/>
              </w:rPr>
            </w:pPr>
            <w:r>
              <w:rPr>
                <w:color w:val="auto"/>
              </w:rPr>
              <w:t>本项目垃圾从各点收集后，运送至垃圾转运站，垃圾收集车采用自装卸式密闭车辆，箱体密闭，可有效防止垃圾收集运输过程的臭味散发和</w:t>
            </w:r>
            <w:r>
              <w:rPr>
                <w:rFonts w:hint="eastAsia"/>
                <w:color w:val="auto"/>
                <w:lang w:val="en-US" w:eastAsia="zh-CN"/>
              </w:rPr>
              <w:t>渗滤液</w:t>
            </w:r>
            <w:r>
              <w:rPr>
                <w:color w:val="auto"/>
              </w:rPr>
              <w:t>外渗，项目日处理垃圾</w:t>
            </w:r>
            <w:r>
              <w:rPr>
                <w:rFonts w:hint="eastAsia"/>
                <w:color w:val="auto"/>
                <w:lang w:val="en-US" w:eastAsia="zh-CN"/>
              </w:rPr>
              <w:t>2</w:t>
            </w:r>
            <w:r>
              <w:rPr>
                <w:color w:val="auto"/>
              </w:rPr>
              <w:t>00t，车辆在行经居民路段应减速慢行，禁按喇叭，不在夜间作业，经以上措施车辆行驶过程对途径的道路两侧居民影响较小。收集的垃圾经压缩处理后，经勾臂车和垃圾集装箱转运至垃圾填埋场，垃圾集装箱为密闭式，能有效防止运输过程的臭味散发和</w:t>
            </w:r>
            <w:r>
              <w:rPr>
                <w:rFonts w:hint="eastAsia"/>
                <w:color w:val="auto"/>
                <w:lang w:val="en-US" w:eastAsia="zh-CN"/>
              </w:rPr>
              <w:t>渗滤液</w:t>
            </w:r>
            <w:r>
              <w:rPr>
                <w:color w:val="auto"/>
              </w:rPr>
              <w:t>外渗，对车辆行驶途径居民影响较小。垃圾收运过程对外环境的主要影响为交通噪声和扬尘影响，以及因运输管理不当带来的臭味等不良环境影响，因此，项目垃圾收集、转运过程应做到以下几点：运输车辆必须定期检查；加强对垃圾收集箱和集装箱的维护，装载前检查箱体的密闭性和防渗漏性，确保运输过程不发生滴漏、满溢等现象；严格控制运输时间及运输量，不得超载、超速和使用劣质机油。</w:t>
            </w:r>
          </w:p>
          <w:p>
            <w:pPr>
              <w:pStyle w:val="5"/>
              <w:numPr>
                <w:ilvl w:val="0"/>
                <w:numId w:val="20"/>
              </w:numPr>
              <w:bidi w:val="0"/>
              <w:rPr>
                <w:rFonts w:hint="eastAsia"/>
                <w:color w:val="auto"/>
                <w:lang w:val="en-US" w:eastAsia="zh-CN"/>
              </w:rPr>
            </w:pPr>
            <w:r>
              <w:rPr>
                <w:rFonts w:hint="eastAsia"/>
                <w:color w:val="auto"/>
                <w:lang w:val="en-US" w:eastAsia="zh-CN"/>
              </w:rPr>
              <w:t>垃圾转运站运行维护规定</w:t>
            </w:r>
          </w:p>
          <w:p>
            <w:pPr>
              <w:pStyle w:val="18"/>
              <w:bidi w:val="0"/>
              <w:rPr>
                <w:color w:val="auto"/>
              </w:rPr>
            </w:pPr>
            <w:r>
              <w:rPr>
                <w:color w:val="auto"/>
              </w:rPr>
              <w:t>本项目建成后应严格按照《生活垃圾转运站技术规范》（GJJ47-2006）和《生活垃圾 转运站运行维护技术规程》（GJJ109-2006）相关规定进行运行和维护管理。以下规定必须严格执行：</w:t>
            </w:r>
          </w:p>
          <w:p>
            <w:pPr>
              <w:pStyle w:val="18"/>
              <w:numPr>
                <w:ilvl w:val="0"/>
                <w:numId w:val="26"/>
              </w:numPr>
              <w:bidi w:val="0"/>
              <w:rPr>
                <w:color w:val="auto"/>
              </w:rPr>
            </w:pPr>
            <w:r>
              <w:rPr>
                <w:color w:val="auto"/>
              </w:rPr>
              <w:t>转运站运行管理和操作人员必须进行岗前培训，经考核合格后持证上岗；</w:t>
            </w:r>
          </w:p>
          <w:p>
            <w:pPr>
              <w:pStyle w:val="18"/>
              <w:numPr>
                <w:ilvl w:val="0"/>
                <w:numId w:val="26"/>
              </w:numPr>
              <w:bidi w:val="0"/>
              <w:ind w:left="0" w:leftChars="0" w:firstLine="480" w:firstLineChars="200"/>
              <w:rPr>
                <w:color w:val="auto"/>
              </w:rPr>
            </w:pPr>
            <w:r>
              <w:rPr>
                <w:color w:val="auto"/>
              </w:rPr>
              <w:t>现场电压超出电器设备额定电压±10%时，不得启动电气设备；</w:t>
            </w:r>
          </w:p>
          <w:p>
            <w:pPr>
              <w:pStyle w:val="18"/>
              <w:numPr>
                <w:ilvl w:val="0"/>
                <w:numId w:val="26"/>
              </w:numPr>
              <w:bidi w:val="0"/>
              <w:ind w:left="0" w:leftChars="0" w:firstLine="480" w:firstLineChars="200"/>
              <w:rPr>
                <w:color w:val="auto"/>
              </w:rPr>
            </w:pPr>
            <w:r>
              <w:rPr>
                <w:color w:val="auto"/>
              </w:rPr>
              <w:t>操作人员应随机检查进站垃圾成分，严禁危险废物、违禁废物进站；</w:t>
            </w:r>
          </w:p>
          <w:p>
            <w:pPr>
              <w:pStyle w:val="18"/>
              <w:numPr>
                <w:ilvl w:val="0"/>
                <w:numId w:val="26"/>
              </w:numPr>
              <w:bidi w:val="0"/>
              <w:ind w:left="0" w:leftChars="0" w:firstLine="480" w:firstLineChars="200"/>
              <w:rPr>
                <w:color w:val="auto"/>
              </w:rPr>
            </w:pPr>
            <w:r>
              <w:rPr>
                <w:color w:val="auto"/>
              </w:rPr>
              <w:t>设备保护装置失灵或工作状态不正常时，严禁操作设备，避免人员伤亡和设备损坏；</w:t>
            </w:r>
          </w:p>
          <w:p>
            <w:pPr>
              <w:pStyle w:val="18"/>
              <w:numPr>
                <w:ilvl w:val="0"/>
                <w:numId w:val="26"/>
              </w:numPr>
              <w:bidi w:val="0"/>
              <w:ind w:left="0" w:leftChars="0" w:firstLine="480" w:firstLineChars="200"/>
              <w:rPr>
                <w:color w:val="auto"/>
              </w:rPr>
            </w:pPr>
            <w:r>
              <w:rPr>
                <w:color w:val="auto"/>
              </w:rPr>
              <w:t>垃圾收集运输车辆必须按指定路线到达卸料平台，并在工作人员调度下，将垃圾卸入指定区域内</w:t>
            </w:r>
            <w:r>
              <w:rPr>
                <w:rFonts w:hint="eastAsia"/>
                <w:color w:val="auto"/>
                <w:lang w:eastAsia="zh-CN"/>
              </w:rPr>
              <w:t>；</w:t>
            </w:r>
          </w:p>
          <w:p>
            <w:pPr>
              <w:pStyle w:val="18"/>
              <w:numPr>
                <w:ilvl w:val="0"/>
                <w:numId w:val="26"/>
              </w:numPr>
              <w:bidi w:val="0"/>
              <w:ind w:left="0" w:leftChars="0" w:firstLine="480" w:firstLineChars="200"/>
              <w:rPr>
                <w:color w:val="auto"/>
              </w:rPr>
            </w:pPr>
            <w:r>
              <w:rPr>
                <w:color w:val="auto"/>
              </w:rPr>
              <w:t>卸料时，必须同时启动通风、除尘、除臭系统；</w:t>
            </w:r>
          </w:p>
          <w:p>
            <w:pPr>
              <w:pStyle w:val="18"/>
              <w:numPr>
                <w:ilvl w:val="0"/>
                <w:numId w:val="26"/>
              </w:numPr>
              <w:bidi w:val="0"/>
              <w:ind w:left="0" w:leftChars="0" w:firstLine="480" w:firstLineChars="200"/>
              <w:rPr>
                <w:color w:val="auto"/>
              </w:rPr>
            </w:pPr>
            <w:r>
              <w:rPr>
                <w:color w:val="auto"/>
              </w:rPr>
              <w:t>皮带传动、链传动、联轴器等传动部件必须有机罩，不得裸露运转；</w:t>
            </w:r>
          </w:p>
          <w:p>
            <w:pPr>
              <w:pStyle w:val="18"/>
              <w:numPr>
                <w:ilvl w:val="0"/>
                <w:numId w:val="26"/>
              </w:numPr>
              <w:bidi w:val="0"/>
              <w:ind w:left="0" w:leftChars="0" w:firstLine="480" w:firstLineChars="200"/>
              <w:rPr>
                <w:color w:val="auto"/>
              </w:rPr>
            </w:pPr>
            <w:r>
              <w:rPr>
                <w:color w:val="auto"/>
              </w:rPr>
              <w:t xml:space="preserve">维修机械设备时，不得随意搭接临时动力线； </w:t>
            </w:r>
          </w:p>
          <w:p>
            <w:pPr>
              <w:pStyle w:val="18"/>
              <w:numPr>
                <w:ilvl w:val="0"/>
                <w:numId w:val="26"/>
              </w:numPr>
              <w:bidi w:val="0"/>
              <w:rPr>
                <w:rFonts w:hint="default"/>
                <w:color w:val="auto"/>
                <w:lang w:val="en-US" w:eastAsia="zh-CN"/>
              </w:rPr>
            </w:pPr>
            <w:r>
              <w:rPr>
                <w:color w:val="auto"/>
              </w:rPr>
              <w:t>机械设备的使用、维修必须由经过专业训练的人员进行，严禁非专业人员超速、使用相关设备；严禁带火种车辆进入作业区，站内应设置明显防火标志。</w:t>
            </w:r>
          </w:p>
          <w:p>
            <w:pPr>
              <w:pStyle w:val="5"/>
              <w:numPr>
                <w:ilvl w:val="0"/>
                <w:numId w:val="20"/>
              </w:numPr>
              <w:bidi w:val="0"/>
              <w:rPr>
                <w:rFonts w:hint="default"/>
                <w:color w:val="auto"/>
                <w:lang w:val="en-US" w:eastAsia="zh-CN"/>
              </w:rPr>
            </w:pPr>
            <w:r>
              <w:rPr>
                <w:rFonts w:hint="eastAsia"/>
                <w:color w:val="auto"/>
                <w:lang w:val="en-US" w:eastAsia="zh-CN"/>
              </w:rPr>
              <w:t>环境风险分析</w:t>
            </w:r>
          </w:p>
          <w:p>
            <w:pPr>
              <w:pStyle w:val="18"/>
              <w:bidi w:val="0"/>
              <w:jc w:val="both"/>
              <w:rPr>
                <w:rFonts w:hint="default"/>
                <w:color w:val="auto"/>
                <w:lang w:val="en-US" w:eastAsia="zh-CN"/>
              </w:rPr>
            </w:pPr>
            <w:r>
              <w:rPr>
                <w:rFonts w:hint="default"/>
                <w:color w:val="auto"/>
                <w:lang w:val="en-US" w:eastAsia="zh-CN"/>
              </w:rPr>
              <w:t>本项目的生产过程中不涉及有毒有害、易燃易爆物质，但仍存在发生事故的潜在危险因素。本环评以《建设项目环境风险评价技术导则》(HJ/T169-2018)为准则，采用风险识别、源项分析和后果计算等方法对项目进行环境风险评价，了解其环境风险的可接受程度，提出合理可行的防范、应急减缓措施，以使建设项目的事故率、损失和环境影响降低到可接受水平，为工程设计和环境管理提供资料和依据，以期达到降低危险，减少公害的目的。</w:t>
            </w:r>
          </w:p>
          <w:p>
            <w:pPr>
              <w:pStyle w:val="18"/>
              <w:numPr>
                <w:ilvl w:val="0"/>
                <w:numId w:val="27"/>
              </w:numPr>
              <w:bidi w:val="0"/>
              <w:rPr>
                <w:rFonts w:hint="default"/>
                <w:color w:val="auto"/>
                <w:lang w:val="en-US" w:eastAsia="zh-CN"/>
              </w:rPr>
            </w:pPr>
            <w:r>
              <w:rPr>
                <w:rFonts w:hint="default"/>
                <w:color w:val="auto"/>
                <w:lang w:val="en-US" w:eastAsia="zh-CN"/>
              </w:rPr>
              <w:t xml:space="preserve">评价依据 </w:t>
            </w:r>
          </w:p>
          <w:p>
            <w:pPr>
              <w:pStyle w:val="18"/>
              <w:bidi w:val="0"/>
              <w:rPr>
                <w:rFonts w:hint="default"/>
                <w:color w:val="auto"/>
                <w:lang w:val="en-US" w:eastAsia="zh-CN"/>
              </w:rPr>
            </w:pPr>
            <w:r>
              <w:rPr>
                <w:rFonts w:hint="default"/>
                <w:color w:val="auto"/>
                <w:lang w:val="en-US" w:eastAsia="zh-CN"/>
              </w:rPr>
              <w:t>根据现场调查及生产工艺分析，风险物质及工艺系统如下：</w:t>
            </w:r>
          </w:p>
          <w:p>
            <w:pPr>
              <w:pStyle w:val="18"/>
              <w:numPr>
                <w:ilvl w:val="0"/>
                <w:numId w:val="28"/>
              </w:numPr>
              <w:bidi w:val="0"/>
              <w:rPr>
                <w:rFonts w:hint="default"/>
                <w:color w:val="auto"/>
                <w:lang w:val="en-US" w:eastAsia="zh-CN"/>
              </w:rPr>
            </w:pPr>
            <w:r>
              <w:rPr>
                <w:rFonts w:hint="default"/>
                <w:color w:val="auto"/>
                <w:lang w:val="en-US" w:eastAsia="zh-CN"/>
              </w:rPr>
              <w:t>风险物质：本项目为垃圾压缩中转，不涉及其它有毒有害物质。但由于设置两台备用柴油发电机</w:t>
            </w:r>
            <w:r>
              <w:rPr>
                <w:rFonts w:hint="eastAsia"/>
                <w:color w:val="auto"/>
                <w:lang w:val="en-US" w:eastAsia="zh-CN"/>
              </w:rPr>
              <w:t>，以及</w:t>
            </w:r>
            <w:r>
              <w:rPr>
                <w:rFonts w:hint="default"/>
                <w:color w:val="auto"/>
                <w:lang w:val="en-US" w:eastAsia="zh-CN"/>
              </w:rPr>
              <w:t>车间除尘除臭系统出现故障，或生产中遇到停电事故</w:t>
            </w:r>
            <w:r>
              <w:rPr>
                <w:rFonts w:hint="eastAsia"/>
                <w:color w:val="auto"/>
                <w:lang w:val="en-US" w:eastAsia="zh-CN"/>
              </w:rPr>
              <w:t>、</w:t>
            </w:r>
            <w:r>
              <w:rPr>
                <w:rFonts w:hint="default"/>
                <w:color w:val="auto"/>
                <w:lang w:val="en-US" w:eastAsia="zh-CN"/>
              </w:rPr>
              <w:t>生产设备出现停产时，堆积在项目区内的生活垃圾散发出的氨和硫化氢对</w:t>
            </w:r>
            <w:r>
              <w:rPr>
                <w:rFonts w:hint="eastAsia"/>
                <w:color w:val="auto"/>
                <w:lang w:val="en-US" w:eastAsia="zh-CN"/>
              </w:rPr>
              <w:t>周边大气环境</w:t>
            </w:r>
            <w:r>
              <w:rPr>
                <w:rFonts w:hint="default"/>
                <w:color w:val="auto"/>
                <w:lang w:val="en-US" w:eastAsia="zh-CN"/>
              </w:rPr>
              <w:t>的影响</w:t>
            </w:r>
            <w:r>
              <w:rPr>
                <w:rFonts w:hint="eastAsia"/>
                <w:color w:val="auto"/>
                <w:lang w:val="en-US" w:eastAsia="zh-CN"/>
              </w:rPr>
              <w:t>；</w:t>
            </w:r>
          </w:p>
          <w:p>
            <w:pPr>
              <w:pStyle w:val="18"/>
              <w:numPr>
                <w:ilvl w:val="0"/>
                <w:numId w:val="28"/>
              </w:numPr>
              <w:bidi w:val="0"/>
              <w:ind w:left="0" w:leftChars="0" w:firstLine="480" w:firstLineChars="200"/>
              <w:rPr>
                <w:rFonts w:hint="default"/>
                <w:color w:val="auto"/>
                <w:lang w:val="en-US" w:eastAsia="zh-CN"/>
              </w:rPr>
            </w:pPr>
            <w:r>
              <w:rPr>
                <w:rFonts w:hint="default"/>
                <w:color w:val="auto"/>
                <w:lang w:val="en-US" w:eastAsia="zh-CN"/>
              </w:rPr>
              <w:t>风险工艺系统：本项目为垃圾压缩中转，不涉及风险工艺</w:t>
            </w:r>
            <w:r>
              <w:rPr>
                <w:rFonts w:hint="eastAsia"/>
                <w:color w:val="auto"/>
                <w:lang w:val="en-US" w:eastAsia="zh-CN"/>
              </w:rPr>
              <w:t>；</w:t>
            </w:r>
          </w:p>
          <w:p>
            <w:pPr>
              <w:pStyle w:val="18"/>
              <w:numPr>
                <w:ilvl w:val="0"/>
                <w:numId w:val="28"/>
              </w:numPr>
              <w:bidi w:val="0"/>
              <w:ind w:left="0" w:leftChars="0" w:firstLine="480" w:firstLineChars="200"/>
              <w:rPr>
                <w:rFonts w:hint="default"/>
                <w:color w:val="auto"/>
                <w:lang w:val="en-US" w:eastAsia="zh-CN"/>
              </w:rPr>
            </w:pPr>
            <w:r>
              <w:rPr>
                <w:rFonts w:hint="default"/>
                <w:color w:val="auto"/>
                <w:lang w:val="en-US" w:eastAsia="zh-CN"/>
              </w:rPr>
              <w:t>危险物质数量与临界量比值（Q）</w:t>
            </w:r>
            <w:r>
              <w:rPr>
                <w:rFonts w:hint="eastAsia"/>
                <w:color w:val="auto"/>
                <w:lang w:val="en-US" w:eastAsia="zh-CN"/>
              </w:rPr>
              <w:t>；</w:t>
            </w:r>
          </w:p>
          <w:p>
            <w:pPr>
              <w:pStyle w:val="18"/>
              <w:numPr>
                <w:ilvl w:val="0"/>
                <w:numId w:val="29"/>
              </w:numPr>
              <w:bidi w:val="0"/>
              <w:rPr>
                <w:rFonts w:hint="eastAsia"/>
                <w:color w:val="auto"/>
                <w:lang w:val="en-US" w:eastAsia="zh-CN"/>
              </w:rPr>
            </w:pPr>
            <w:r>
              <w:rPr>
                <w:rFonts w:hint="default"/>
                <w:color w:val="auto"/>
                <w:lang w:val="en-US" w:eastAsia="zh-CN"/>
              </w:rPr>
              <w:t>柴油临界量为 2500t，</w:t>
            </w:r>
            <w:r>
              <w:rPr>
                <w:rFonts w:hint="eastAsia"/>
                <w:color w:val="auto"/>
                <w:lang w:val="en-US" w:eastAsia="zh-CN"/>
              </w:rPr>
              <w:t>项目</w:t>
            </w:r>
            <w:r>
              <w:rPr>
                <w:rFonts w:hint="default"/>
                <w:color w:val="auto"/>
                <w:lang w:val="en-US" w:eastAsia="zh-CN"/>
              </w:rPr>
              <w:t>柴油储存量约为0.2t</w:t>
            </w:r>
            <w:r>
              <w:rPr>
                <w:rFonts w:hint="eastAsia"/>
                <w:color w:val="auto"/>
                <w:lang w:val="en-US" w:eastAsia="zh-CN"/>
              </w:rPr>
              <w:t>，</w:t>
            </w:r>
            <w:r>
              <w:rPr>
                <w:rFonts w:hint="default"/>
                <w:color w:val="auto"/>
                <w:lang w:val="en-US" w:eastAsia="zh-CN"/>
              </w:rPr>
              <w:t>则项目的 Q 值为：Q</w:t>
            </w:r>
            <w:r>
              <w:rPr>
                <w:rFonts w:hint="eastAsia"/>
                <w:color w:val="auto"/>
                <w:lang w:val="en-US" w:eastAsia="zh-CN"/>
              </w:rPr>
              <w:t>=0.2/2500=</w:t>
            </w:r>
            <w:r>
              <w:rPr>
                <w:rFonts w:hint="default"/>
                <w:color w:val="auto"/>
                <w:lang w:val="en-US" w:eastAsia="zh-CN"/>
              </w:rPr>
              <w:t>0.00008</w:t>
            </w:r>
            <w:r>
              <w:rPr>
                <w:rFonts w:hint="eastAsia"/>
                <w:color w:val="auto"/>
                <w:lang w:val="en-US" w:eastAsia="zh-CN"/>
              </w:rPr>
              <w:t>；</w:t>
            </w:r>
          </w:p>
          <w:p>
            <w:pPr>
              <w:pStyle w:val="18"/>
              <w:numPr>
                <w:ilvl w:val="0"/>
                <w:numId w:val="29"/>
              </w:numPr>
              <w:bidi w:val="0"/>
              <w:rPr>
                <w:rFonts w:hint="default"/>
                <w:color w:val="auto"/>
                <w:lang w:val="en-US" w:eastAsia="zh-CN"/>
              </w:rPr>
            </w:pPr>
            <w:r>
              <w:rPr>
                <w:rFonts w:hint="default"/>
                <w:color w:val="auto"/>
                <w:lang w:val="en-US" w:eastAsia="zh-CN"/>
              </w:rPr>
              <w:t>根据《建设项目环境风险评价技术导则》（HJ169-2018）附录 B 中氨的临界量为5t，硫化氢临界量2.5t，本项目氨和硫化氢</w:t>
            </w:r>
            <w:r>
              <w:rPr>
                <w:rFonts w:hint="eastAsia"/>
                <w:color w:val="auto"/>
                <w:lang w:val="en-US" w:eastAsia="zh-CN"/>
              </w:rPr>
              <w:t>是</w:t>
            </w:r>
            <w:r>
              <w:rPr>
                <w:rFonts w:hint="default"/>
                <w:color w:val="auto"/>
                <w:lang w:val="en-US" w:eastAsia="zh-CN"/>
              </w:rPr>
              <w:t>生活垃圾散发出的，无存储量，因此 Q 为零小于1</w:t>
            </w:r>
            <w:r>
              <w:rPr>
                <w:rFonts w:hint="eastAsia"/>
                <w:color w:val="auto"/>
                <w:lang w:val="en-US" w:eastAsia="zh-CN"/>
              </w:rPr>
              <w:t>；</w:t>
            </w:r>
          </w:p>
          <w:p>
            <w:pPr>
              <w:pStyle w:val="18"/>
              <w:bidi w:val="0"/>
              <w:rPr>
                <w:rFonts w:hint="default"/>
                <w:color w:val="auto"/>
                <w:lang w:val="en-US" w:eastAsia="zh-CN"/>
              </w:rPr>
            </w:pPr>
            <w:r>
              <w:rPr>
                <w:rFonts w:hint="eastAsia"/>
                <w:color w:val="auto"/>
                <w:lang w:val="en-US" w:eastAsia="zh-CN"/>
              </w:rPr>
              <w:t>综上，本</w:t>
            </w:r>
            <w:r>
              <w:rPr>
                <w:rFonts w:hint="default"/>
                <w:color w:val="auto"/>
                <w:lang w:val="en-US" w:eastAsia="zh-CN"/>
              </w:rPr>
              <w:t>项目 Q＜1，本项目环境风险潜势为Ⅰ，根据《建设项目环境风险评价技术导则》(HJ/T169-2018)要求，可开展简单分析。</w:t>
            </w:r>
          </w:p>
          <w:p>
            <w:pPr>
              <w:pStyle w:val="18"/>
              <w:numPr>
                <w:ilvl w:val="0"/>
                <w:numId w:val="27"/>
              </w:numPr>
              <w:bidi w:val="0"/>
              <w:ind w:left="0" w:leftChars="0" w:firstLine="480" w:firstLineChars="200"/>
              <w:rPr>
                <w:rFonts w:hint="default"/>
                <w:color w:val="auto"/>
                <w:lang w:val="en-US" w:eastAsia="zh-CN"/>
              </w:rPr>
            </w:pPr>
            <w:r>
              <w:rPr>
                <w:rFonts w:hint="default"/>
                <w:color w:val="auto"/>
                <w:lang w:val="en-US" w:eastAsia="zh-CN"/>
              </w:rPr>
              <w:t xml:space="preserve">环境敏感目标概况 </w:t>
            </w:r>
          </w:p>
          <w:p>
            <w:pPr>
              <w:pStyle w:val="18"/>
              <w:bidi w:val="0"/>
              <w:rPr>
                <w:rFonts w:hint="default"/>
                <w:color w:val="auto"/>
                <w:lang w:val="en-US" w:eastAsia="zh-CN"/>
              </w:rPr>
            </w:pPr>
            <w:r>
              <w:rPr>
                <w:rFonts w:hint="eastAsia"/>
                <w:color w:val="auto"/>
                <w:lang w:val="en-US" w:eastAsia="zh-CN"/>
              </w:rPr>
              <w:t>项目区周边无敏感目标</w:t>
            </w:r>
          </w:p>
          <w:p>
            <w:pPr>
              <w:pStyle w:val="18"/>
              <w:numPr>
                <w:ilvl w:val="0"/>
                <w:numId w:val="27"/>
              </w:numPr>
              <w:bidi w:val="0"/>
              <w:ind w:left="0" w:leftChars="0" w:firstLine="480" w:firstLineChars="200"/>
              <w:rPr>
                <w:rFonts w:hint="default"/>
                <w:color w:val="auto"/>
                <w:lang w:val="en-US" w:eastAsia="zh-CN"/>
              </w:rPr>
            </w:pPr>
            <w:r>
              <w:rPr>
                <w:rFonts w:hint="default"/>
                <w:color w:val="auto"/>
                <w:lang w:val="en-US" w:eastAsia="zh-CN"/>
              </w:rPr>
              <w:t xml:space="preserve">环境风险识别 </w:t>
            </w:r>
          </w:p>
          <w:p>
            <w:pPr>
              <w:pStyle w:val="18"/>
              <w:bidi w:val="0"/>
              <w:rPr>
                <w:rFonts w:hint="default"/>
                <w:color w:val="auto"/>
                <w:lang w:val="en-US" w:eastAsia="zh-CN"/>
              </w:rPr>
            </w:pPr>
            <w:r>
              <w:rPr>
                <w:rFonts w:hint="default"/>
                <w:color w:val="auto"/>
                <w:lang w:val="en-US" w:eastAsia="zh-CN"/>
              </w:rPr>
              <w:t>根据《建设项目环境风险评价技术导则》（HJ/T169-2018），本项目不存在重大危险源，但有一定的环境风险。本项目涉及的风险物质为柴油</w:t>
            </w:r>
            <w:r>
              <w:rPr>
                <w:rFonts w:hint="eastAsia"/>
                <w:color w:val="auto"/>
                <w:lang w:val="en-US" w:eastAsia="zh-CN"/>
              </w:rPr>
              <w:t>及</w:t>
            </w:r>
            <w:r>
              <w:rPr>
                <w:rFonts w:hint="default"/>
                <w:color w:val="auto"/>
                <w:lang w:val="en-US" w:eastAsia="zh-CN"/>
              </w:rPr>
              <w:t>生产过程中会有垃圾压滤液和恶臭气体产生</w:t>
            </w:r>
            <w:r>
              <w:rPr>
                <w:rFonts w:hint="eastAsia"/>
                <w:color w:val="auto"/>
                <w:lang w:val="en-US" w:eastAsia="zh-CN"/>
              </w:rPr>
              <w:t>为</w:t>
            </w:r>
            <w:r>
              <w:rPr>
                <w:rFonts w:hint="default"/>
                <w:color w:val="auto"/>
                <w:lang w:val="en-US" w:eastAsia="zh-CN"/>
              </w:rPr>
              <w:t>氨和硫化氢</w:t>
            </w:r>
            <w:r>
              <w:rPr>
                <w:rFonts w:hint="eastAsia"/>
                <w:color w:val="auto"/>
                <w:lang w:val="en-US" w:eastAsia="zh-CN"/>
              </w:rPr>
              <w:t>，氨和硫化氢属于易燃物质。</w:t>
            </w:r>
            <w:r>
              <w:rPr>
                <w:rFonts w:hint="default"/>
                <w:color w:val="auto"/>
                <w:lang w:val="en-US" w:eastAsia="zh-CN"/>
              </w:rPr>
              <w:t>根据同类生产装置的类比调查，并结合本项目实际情况列出可能影响环境的途径见下表：</w:t>
            </w:r>
          </w:p>
          <w:p>
            <w:pPr>
              <w:pStyle w:val="28"/>
              <w:bidi w:val="0"/>
              <w:rPr>
                <w:color w:val="auto"/>
              </w:rPr>
            </w:pPr>
            <w:r>
              <w:rPr>
                <w:color w:val="auto"/>
                <w:lang w:val="en-US" w:eastAsia="zh-CN"/>
              </w:rPr>
              <w:t xml:space="preserve">表 </w:t>
            </w:r>
            <w:r>
              <w:rPr>
                <w:rFonts w:hint="eastAsia"/>
                <w:color w:val="auto"/>
                <w:lang w:val="en-US" w:eastAsia="zh-CN"/>
              </w:rPr>
              <w:t>4</w:t>
            </w:r>
            <w:r>
              <w:rPr>
                <w:rFonts w:hint="default"/>
                <w:color w:val="auto"/>
                <w:lang w:val="en-US" w:eastAsia="zh-CN"/>
              </w:rPr>
              <w:t>-1</w:t>
            </w:r>
            <w:r>
              <w:rPr>
                <w:rFonts w:hint="eastAsia"/>
                <w:color w:val="auto"/>
                <w:lang w:val="en-US" w:eastAsia="zh-CN"/>
              </w:rPr>
              <w:t>2    生产及贮运过程中潜在危险因素分析</w:t>
            </w:r>
          </w:p>
          <w:tbl>
            <w:tblPr>
              <w:tblStyle w:val="22"/>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10"/>
              <w:gridCol w:w="3532"/>
              <w:gridCol w:w="2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序号</w:t>
                  </w:r>
                </w:p>
              </w:tc>
              <w:tc>
                <w:tcPr>
                  <w:tcW w:w="1112" w:type="dxa"/>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事故类型</w:t>
                  </w:r>
                </w:p>
              </w:tc>
              <w:tc>
                <w:tcPr>
                  <w:tcW w:w="3541" w:type="dxa"/>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产生原因</w:t>
                  </w:r>
                </w:p>
              </w:tc>
              <w:tc>
                <w:tcPr>
                  <w:tcW w:w="2565" w:type="dxa"/>
                  <w:tcBorders>
                    <w:bottom w:val="single" w:color="000000" w:sz="12" w:space="0"/>
                    <w:tl2br w:val="nil"/>
                    <w:tr2bl w:val="nil"/>
                  </w:tcBorders>
                  <w:vAlign w:val="center"/>
                </w:tcPr>
                <w:p>
                  <w:pPr>
                    <w:pStyle w:val="29"/>
                    <w:widowControl w:val="0"/>
                    <w:bidi w:val="0"/>
                    <w:rPr>
                      <w:rFonts w:hint="default"/>
                      <w:b/>
                      <w:bCs/>
                      <w:color w:val="auto"/>
                      <w:lang w:val="en-US" w:eastAsia="zh-CN"/>
                    </w:rPr>
                  </w:pPr>
                  <w:r>
                    <w:rPr>
                      <w:rFonts w:hint="default"/>
                      <w:b/>
                      <w:bCs/>
                      <w:color w:val="auto"/>
                      <w:lang w:val="en-US" w:eastAsia="zh-CN"/>
                    </w:rPr>
                    <w:t>易发场所</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tcBorders>
                    <w:top w:val="single" w:color="000000"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w:t>
                  </w:r>
                </w:p>
              </w:tc>
              <w:tc>
                <w:tcPr>
                  <w:tcW w:w="1112" w:type="dxa"/>
                  <w:tcBorders>
                    <w:top w:val="single" w:color="000000" w:sz="12" w:space="0"/>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事故排放</w:t>
                  </w:r>
                </w:p>
              </w:tc>
              <w:tc>
                <w:tcPr>
                  <w:tcW w:w="3541" w:type="dxa"/>
                  <w:tcBorders>
                    <w:top w:val="single" w:color="000000" w:sz="12" w:space="0"/>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由于废气处理设施操作不当事故，导致恶臭气体超标排放。</w:t>
                  </w:r>
                </w:p>
              </w:tc>
              <w:tc>
                <w:tcPr>
                  <w:tcW w:w="2565" w:type="dxa"/>
                  <w:tcBorders>
                    <w:top w:val="single" w:color="000000" w:sz="12" w:space="0"/>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废气处理装置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46"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2</w:t>
                  </w:r>
                </w:p>
              </w:tc>
              <w:tc>
                <w:tcPr>
                  <w:tcW w:w="1112" w:type="dxa"/>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泄漏事故</w:t>
                  </w:r>
                </w:p>
              </w:tc>
              <w:tc>
                <w:tcPr>
                  <w:tcW w:w="3541" w:type="dxa"/>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由于管理不善等原因造成柴油、垃圾压滤液泄漏及混合废水，进入地表水及地下水。</w:t>
                  </w:r>
                </w:p>
              </w:tc>
              <w:tc>
                <w:tcPr>
                  <w:tcW w:w="2565" w:type="dxa"/>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柴油储存点、垃圾压缩转运车间及转运过程，废水处理装置。</w:t>
                  </w:r>
                </w:p>
              </w:tc>
            </w:tr>
          </w:tbl>
          <w:p>
            <w:pPr>
              <w:pStyle w:val="18"/>
              <w:numPr>
                <w:ilvl w:val="0"/>
                <w:numId w:val="27"/>
              </w:numPr>
              <w:bidi w:val="0"/>
              <w:ind w:left="0" w:leftChars="0" w:firstLine="480" w:firstLineChars="200"/>
              <w:rPr>
                <w:rFonts w:hint="default"/>
                <w:color w:val="auto"/>
                <w:lang w:val="en-US" w:eastAsia="zh-CN"/>
              </w:rPr>
            </w:pPr>
            <w:r>
              <w:rPr>
                <w:rFonts w:hint="default"/>
                <w:color w:val="auto"/>
                <w:lang w:val="en-US" w:eastAsia="zh-CN"/>
              </w:rPr>
              <w:t xml:space="preserve">环境风险分析 </w:t>
            </w:r>
          </w:p>
          <w:p>
            <w:pPr>
              <w:pStyle w:val="18"/>
              <w:numPr>
                <w:ilvl w:val="0"/>
                <w:numId w:val="30"/>
              </w:numPr>
              <w:bidi w:val="0"/>
              <w:rPr>
                <w:rFonts w:hint="default"/>
                <w:color w:val="auto"/>
                <w:lang w:val="en-US" w:eastAsia="zh-CN"/>
              </w:rPr>
            </w:pPr>
            <w:r>
              <w:rPr>
                <w:rFonts w:hint="default"/>
                <w:color w:val="auto"/>
                <w:lang w:val="en-US" w:eastAsia="zh-CN"/>
              </w:rPr>
              <w:t xml:space="preserve">危险因素和可能的事故类型 </w:t>
            </w:r>
          </w:p>
          <w:p>
            <w:pPr>
              <w:pStyle w:val="18"/>
              <w:bidi w:val="0"/>
              <w:rPr>
                <w:rFonts w:hint="default"/>
                <w:color w:val="auto"/>
                <w:lang w:val="en-US" w:eastAsia="zh-CN"/>
              </w:rPr>
            </w:pPr>
            <w:r>
              <w:rPr>
                <w:rFonts w:hint="default"/>
                <w:color w:val="auto"/>
                <w:lang w:val="en-US" w:eastAsia="zh-CN"/>
              </w:rPr>
              <w:t>根据有毒有害物质流散起因，本环评确定项目主要风险类型为泄漏。根据潜在风险的可能产生环节和所处位置可将本项目风险事故划分为：贮存设施泄漏事故、废水处理设施事故排放、废气处理设施事故性排放。</w:t>
            </w:r>
          </w:p>
          <w:p>
            <w:pPr>
              <w:pStyle w:val="18"/>
              <w:numPr>
                <w:ilvl w:val="0"/>
                <w:numId w:val="30"/>
              </w:numPr>
              <w:bidi w:val="0"/>
              <w:ind w:left="0" w:leftChars="0" w:firstLine="480" w:firstLineChars="200"/>
              <w:rPr>
                <w:rFonts w:hint="default"/>
                <w:color w:val="auto"/>
                <w:lang w:val="en-US" w:eastAsia="zh-CN"/>
              </w:rPr>
            </w:pPr>
            <w:r>
              <w:rPr>
                <w:rFonts w:hint="default"/>
                <w:color w:val="auto"/>
                <w:lang w:val="en-US" w:eastAsia="zh-CN"/>
              </w:rPr>
              <w:t>贮存设施泄漏事故</w:t>
            </w:r>
          </w:p>
          <w:p>
            <w:pPr>
              <w:pStyle w:val="18"/>
              <w:bidi w:val="0"/>
              <w:rPr>
                <w:rFonts w:hint="default"/>
                <w:color w:val="auto"/>
                <w:lang w:val="en-US" w:eastAsia="zh-CN"/>
              </w:rPr>
            </w:pPr>
            <w:r>
              <w:rPr>
                <w:rFonts w:hint="default"/>
                <w:color w:val="auto"/>
                <w:lang w:val="en-US" w:eastAsia="zh-CN"/>
              </w:rPr>
              <w:t>由于管理不善致使柴油、压滤液泄漏。要求在建设时选用合格的原</w:t>
            </w:r>
            <w:r>
              <w:rPr>
                <w:rFonts w:hint="eastAsia"/>
                <w:color w:val="auto"/>
                <w:lang w:val="en-US" w:eastAsia="zh-CN"/>
              </w:rPr>
              <w:t>材料</w:t>
            </w:r>
            <w:r>
              <w:rPr>
                <w:rFonts w:hint="default"/>
                <w:color w:val="auto"/>
                <w:lang w:val="en-US" w:eastAsia="zh-CN"/>
              </w:rPr>
              <w:t>严把施工质量，运营期加强设备管理，并定期检查的情况下，此类事故的发生率大约 1×10</w:t>
            </w:r>
            <w:r>
              <w:rPr>
                <w:rFonts w:hint="default"/>
                <w:color w:val="auto"/>
                <w:vertAlign w:val="superscript"/>
                <w:lang w:val="en-US" w:eastAsia="zh-CN"/>
              </w:rPr>
              <w:t>-2</w:t>
            </w:r>
            <w:r>
              <w:rPr>
                <w:rFonts w:hint="default"/>
                <w:color w:val="auto"/>
                <w:lang w:val="en-US" w:eastAsia="zh-CN"/>
              </w:rPr>
              <w:t>次/年。柴油、压滤液泄漏可能会导致地表水、土壤污染事故发生。</w:t>
            </w:r>
          </w:p>
          <w:p>
            <w:pPr>
              <w:pStyle w:val="18"/>
              <w:numPr>
                <w:ilvl w:val="0"/>
                <w:numId w:val="30"/>
              </w:numPr>
              <w:bidi w:val="0"/>
              <w:ind w:left="0" w:leftChars="0" w:firstLine="480" w:firstLineChars="200"/>
              <w:rPr>
                <w:rFonts w:hint="default"/>
                <w:color w:val="auto"/>
                <w:lang w:val="en-US" w:eastAsia="zh-CN"/>
              </w:rPr>
            </w:pPr>
            <w:r>
              <w:rPr>
                <w:rFonts w:hint="default"/>
                <w:color w:val="auto"/>
                <w:lang w:val="en-US" w:eastAsia="zh-CN"/>
              </w:rPr>
              <w:t>处理设施事故性排放</w:t>
            </w:r>
          </w:p>
          <w:p>
            <w:pPr>
              <w:pStyle w:val="18"/>
              <w:bidi w:val="0"/>
              <w:rPr>
                <w:rFonts w:hint="default"/>
                <w:color w:val="auto"/>
                <w:lang w:val="en-US" w:eastAsia="zh-CN"/>
              </w:rPr>
            </w:pPr>
            <w:r>
              <w:rPr>
                <w:rFonts w:hint="default"/>
                <w:color w:val="auto"/>
                <w:lang w:val="en-US" w:eastAsia="zh-CN"/>
              </w:rPr>
              <w:t>废水处理设施事故，会造成废水超标。废气处理装置事故导致的恶臭气体超标排放。在选用合格产品，并加强设备维护及管理的情况下，此类事故的发生几率大约 1~2 次/年。如果废气废水处理装置发生故障或停电停运，废气得不到净化，会对车间生产环境和区域环境空气质量造成一定影响，废水可能会超标排放到污水管网。</w:t>
            </w:r>
          </w:p>
          <w:p>
            <w:pPr>
              <w:pStyle w:val="18"/>
              <w:numPr>
                <w:ilvl w:val="0"/>
                <w:numId w:val="30"/>
              </w:numPr>
              <w:bidi w:val="0"/>
              <w:ind w:left="0" w:leftChars="0" w:firstLine="480" w:firstLineChars="200"/>
              <w:rPr>
                <w:rFonts w:hint="default"/>
                <w:color w:val="auto"/>
                <w:lang w:val="en-US" w:eastAsia="zh-CN"/>
              </w:rPr>
            </w:pPr>
            <w:r>
              <w:rPr>
                <w:rFonts w:hint="default"/>
                <w:color w:val="auto"/>
                <w:lang w:val="en-US" w:eastAsia="zh-CN"/>
              </w:rPr>
              <w:t xml:space="preserve">最大可信事故 </w:t>
            </w:r>
          </w:p>
          <w:p>
            <w:pPr>
              <w:pStyle w:val="18"/>
              <w:bidi w:val="0"/>
              <w:rPr>
                <w:rFonts w:hint="default"/>
                <w:color w:val="auto"/>
                <w:lang w:val="en-US" w:eastAsia="zh-CN"/>
              </w:rPr>
            </w:pPr>
            <w:r>
              <w:rPr>
                <w:rFonts w:hint="default"/>
                <w:color w:val="auto"/>
                <w:lang w:val="en-US" w:eastAsia="zh-CN"/>
              </w:rPr>
              <w:t>发生风险事故的概率虽然很小，但影响程度往往是巨大的。尽管本项目采取了一系列环保安全防范措施，但工业生产中仍不能完全排除发生风险的可能性。据国内同类装置事故资料类比调查可知：本项目最大可信事故为柴油储存过程中产生泄漏、垃圾压缩转运过程中压滤液泄漏，导致进入地表及地下水体。</w:t>
            </w:r>
          </w:p>
          <w:p>
            <w:pPr>
              <w:pStyle w:val="18"/>
              <w:numPr>
                <w:ilvl w:val="0"/>
                <w:numId w:val="27"/>
              </w:numPr>
              <w:bidi w:val="0"/>
              <w:ind w:left="0" w:leftChars="0" w:firstLine="480" w:firstLineChars="200"/>
              <w:rPr>
                <w:rFonts w:hint="default"/>
                <w:color w:val="auto"/>
                <w:lang w:val="en-US" w:eastAsia="zh-CN"/>
              </w:rPr>
            </w:pPr>
            <w:r>
              <w:rPr>
                <w:rFonts w:hint="default"/>
                <w:color w:val="auto"/>
                <w:lang w:val="en-US" w:eastAsia="zh-CN"/>
              </w:rPr>
              <w:t xml:space="preserve">风险防范措施及应急要求 </w:t>
            </w:r>
          </w:p>
          <w:p>
            <w:pPr>
              <w:pStyle w:val="18"/>
              <w:numPr>
                <w:ilvl w:val="0"/>
                <w:numId w:val="31"/>
              </w:numPr>
              <w:bidi w:val="0"/>
              <w:rPr>
                <w:rFonts w:hint="default"/>
                <w:color w:val="auto"/>
                <w:lang w:val="en-US" w:eastAsia="zh-CN"/>
              </w:rPr>
            </w:pPr>
            <w:r>
              <w:rPr>
                <w:rFonts w:hint="default"/>
                <w:color w:val="auto"/>
                <w:lang w:val="en-US" w:eastAsia="zh-CN"/>
              </w:rPr>
              <w:t xml:space="preserve">风险防范措施 </w:t>
            </w:r>
          </w:p>
          <w:p>
            <w:pPr>
              <w:pStyle w:val="18"/>
              <w:bidi w:val="0"/>
              <w:rPr>
                <w:rFonts w:hint="default"/>
                <w:color w:val="auto"/>
                <w:lang w:val="en-US" w:eastAsia="zh-CN"/>
              </w:rPr>
            </w:pPr>
            <w:r>
              <w:rPr>
                <w:rFonts w:hint="default"/>
                <w:color w:val="auto"/>
                <w:lang w:val="en-US" w:eastAsia="zh-CN"/>
              </w:rPr>
              <w:t>为使环境风险减少到最低限度，必须加强劳动、安全、卫生和环境的管理。可以从人、物、环境和管理四个方面寻找影响事故的原因，制定完备、有效的安全防范措施，尽可能降低本项目环境风险事故发生的概率，减少事故的损失和危害。</w:t>
            </w:r>
          </w:p>
          <w:p>
            <w:pPr>
              <w:pStyle w:val="18"/>
              <w:bidi w:val="0"/>
              <w:rPr>
                <w:rFonts w:hint="default"/>
                <w:color w:val="auto"/>
                <w:lang w:val="en-US" w:eastAsia="zh-CN"/>
              </w:rPr>
            </w:pPr>
            <w:r>
              <w:rPr>
                <w:rFonts w:hint="eastAsia"/>
                <w:color w:val="auto"/>
                <w:lang w:val="en-US" w:eastAsia="zh-CN"/>
              </w:rPr>
              <w:t xml:space="preserve">（2） </w:t>
            </w:r>
            <w:r>
              <w:rPr>
                <w:rFonts w:hint="default"/>
                <w:color w:val="auto"/>
                <w:lang w:val="en-US" w:eastAsia="zh-CN"/>
              </w:rPr>
              <w:t xml:space="preserve">操作维护管理 </w:t>
            </w:r>
          </w:p>
          <w:p>
            <w:pPr>
              <w:pStyle w:val="18"/>
              <w:bidi w:val="0"/>
              <w:rPr>
                <w:rFonts w:hint="default"/>
                <w:color w:val="auto"/>
                <w:lang w:val="en-US" w:eastAsia="zh-CN"/>
              </w:rPr>
            </w:pPr>
            <w:r>
              <w:rPr>
                <w:rFonts w:hint="default"/>
                <w:color w:val="auto"/>
                <w:lang w:val="en-US" w:eastAsia="zh-CN"/>
              </w:rPr>
              <w:t>企业应加强设备管理，确保设备完好。应制定严格的操作、管理制度，工作人员应培训上岗，并经常检查，防止“跑、冒、滴、漏”的发生。应对垃圾压缩转运车间地面进行水泥硬化，并作防渗处理。厂区内设置消防通道。加强职工培训，提高应急处理能力。</w:t>
            </w:r>
          </w:p>
          <w:p>
            <w:pPr>
              <w:pStyle w:val="18"/>
              <w:bidi w:val="0"/>
              <w:rPr>
                <w:rFonts w:hint="default"/>
                <w:color w:val="auto"/>
                <w:lang w:val="en-US" w:eastAsia="zh-CN"/>
              </w:rPr>
            </w:pPr>
            <w:r>
              <w:rPr>
                <w:rFonts w:hint="eastAsia"/>
                <w:color w:val="auto"/>
                <w:lang w:val="en-US" w:eastAsia="zh-CN"/>
              </w:rPr>
              <w:t xml:space="preserve">（3） </w:t>
            </w:r>
            <w:r>
              <w:rPr>
                <w:rFonts w:hint="default"/>
                <w:color w:val="auto"/>
                <w:lang w:val="en-US" w:eastAsia="zh-CN"/>
              </w:rPr>
              <w:t>废水废气处理设施</w:t>
            </w:r>
          </w:p>
          <w:p>
            <w:pPr>
              <w:pStyle w:val="18"/>
              <w:bidi w:val="0"/>
              <w:rPr>
                <w:rFonts w:hint="default"/>
                <w:color w:val="auto"/>
                <w:lang w:val="en-US" w:eastAsia="zh-CN"/>
              </w:rPr>
            </w:pPr>
            <w:r>
              <w:rPr>
                <w:rFonts w:hint="default"/>
                <w:color w:val="auto"/>
                <w:lang w:val="en-US" w:eastAsia="zh-CN"/>
              </w:rPr>
              <w:t>加强对废水、废气处理设施的日常管理，应对废水处理设施地面进行水泥硬化，并作防渗处理。作好运行台帐的记录及管理，防止废水、废气处理设施故障。</w:t>
            </w:r>
          </w:p>
          <w:p>
            <w:pPr>
              <w:pStyle w:val="18"/>
              <w:bidi w:val="0"/>
              <w:rPr>
                <w:rFonts w:hint="eastAsia"/>
                <w:color w:val="auto"/>
                <w:lang w:val="en-US" w:eastAsia="zh-CN"/>
              </w:rPr>
            </w:pPr>
            <w:r>
              <w:rPr>
                <w:rFonts w:hint="eastAsia"/>
                <w:color w:val="auto"/>
                <w:lang w:val="en-US" w:eastAsia="zh-CN"/>
              </w:rPr>
              <w:t xml:space="preserve">（4） 恶臭风险防范措施 </w:t>
            </w:r>
          </w:p>
          <w:p>
            <w:pPr>
              <w:pStyle w:val="18"/>
              <w:bidi w:val="0"/>
              <w:rPr>
                <w:color w:val="auto"/>
              </w:rPr>
            </w:pPr>
            <w:r>
              <w:rPr>
                <w:rFonts w:hint="default"/>
                <w:color w:val="auto"/>
                <w:lang w:val="en-US" w:eastAsia="zh-CN"/>
              </w:rPr>
              <w:t>建设方应及时调整垃圾车运输频次，在检修工作未完成、事故状态未解除之前，暂停垃圾车进厂，避免厂内垃圾积存，同时，关闭压缩间大门</w:t>
            </w:r>
            <w:r>
              <w:rPr>
                <w:rFonts w:hint="eastAsia"/>
                <w:color w:val="auto"/>
                <w:lang w:val="en-US" w:eastAsia="zh-CN"/>
              </w:rPr>
              <w:t>。</w:t>
            </w:r>
            <w:r>
              <w:rPr>
                <w:color w:val="auto"/>
                <w:lang w:val="en-US" w:eastAsia="zh-CN"/>
              </w:rPr>
              <w:t>当负压抽风除尘除臭系统、植物液喷淋除臭剂系统出现故障时，及时维修并采用</w:t>
            </w:r>
            <w:r>
              <w:rPr>
                <w:rFonts w:hint="eastAsia"/>
                <w:color w:val="auto"/>
                <w:lang w:val="en-US" w:eastAsia="zh-CN"/>
              </w:rPr>
              <w:t>人工喷洒除臭剂方式对厂内因故障无法正常压缩的生活垃圾进行除尘除臭，减小事故恶臭气体浓度。</w:t>
            </w:r>
            <w:r>
              <w:rPr>
                <w:color w:val="auto"/>
                <w:lang w:val="en-US" w:eastAsia="zh-CN"/>
              </w:rPr>
              <w:t>当生产中遇到停电事故时，项目区开启备用电源，以保证负压抽风除尘除臭系统、</w:t>
            </w:r>
            <w:r>
              <w:rPr>
                <w:rFonts w:hint="eastAsia"/>
                <w:color w:val="auto"/>
                <w:lang w:val="en-US" w:eastAsia="zh-CN"/>
              </w:rPr>
              <w:t>植物液喷淋除臭剂系统正常运行除尘除臭，减小事故恶臭气体浓度。</w:t>
            </w:r>
          </w:p>
          <w:p>
            <w:pPr>
              <w:pStyle w:val="18"/>
              <w:bidi w:val="0"/>
              <w:rPr>
                <w:rFonts w:hint="default"/>
                <w:color w:val="auto"/>
                <w:lang w:val="en-US" w:eastAsia="zh-CN"/>
              </w:rPr>
            </w:pPr>
            <w:r>
              <w:rPr>
                <w:rFonts w:hint="eastAsia"/>
                <w:color w:val="auto"/>
                <w:lang w:val="en-US" w:eastAsia="zh-CN"/>
              </w:rPr>
              <w:t xml:space="preserve">（5） </w:t>
            </w:r>
            <w:r>
              <w:rPr>
                <w:rFonts w:hint="default"/>
                <w:color w:val="auto"/>
                <w:lang w:val="en-US" w:eastAsia="zh-CN"/>
              </w:rPr>
              <w:t xml:space="preserve">存储柴油管理 </w:t>
            </w:r>
          </w:p>
          <w:p>
            <w:pPr>
              <w:pStyle w:val="18"/>
              <w:bidi w:val="0"/>
              <w:rPr>
                <w:rFonts w:hint="default"/>
                <w:color w:val="auto"/>
                <w:lang w:val="en-US" w:eastAsia="zh-CN"/>
              </w:rPr>
            </w:pPr>
            <w:r>
              <w:rPr>
                <w:rFonts w:hint="default"/>
                <w:color w:val="auto"/>
                <w:lang w:val="en-US" w:eastAsia="zh-CN"/>
              </w:rPr>
              <w:t>企业应加强柴油发电机的管理，确保设备完好。备用发电机仅停电时使用，压缩中转站柴油最大储存量为0.2t，柴油泄漏后会带来一定环境危害。针对柴油泄漏现象，本环评建议柴油发电机及柴油储存点地面硬化并涂环氧漆做防腐、防渗处理，在柴油发电机及柴油储存点设置围堰，可以防止柴油油泄漏对周边环境的影响。</w:t>
            </w:r>
          </w:p>
          <w:p>
            <w:pPr>
              <w:pStyle w:val="18"/>
              <w:numPr>
                <w:ilvl w:val="0"/>
                <w:numId w:val="27"/>
              </w:numPr>
              <w:bidi w:val="0"/>
              <w:ind w:left="0" w:leftChars="0" w:firstLine="480" w:firstLineChars="200"/>
              <w:rPr>
                <w:rFonts w:hint="eastAsia"/>
                <w:color w:val="auto"/>
                <w:lang w:val="en-US" w:eastAsia="zh-CN"/>
              </w:rPr>
            </w:pPr>
            <w:r>
              <w:rPr>
                <w:rFonts w:hint="eastAsia"/>
                <w:color w:val="auto"/>
                <w:lang w:val="en-US" w:eastAsia="zh-CN"/>
              </w:rPr>
              <w:t xml:space="preserve">环境风险分析结论 </w:t>
            </w:r>
          </w:p>
          <w:p>
            <w:pPr>
              <w:pStyle w:val="18"/>
              <w:bidi w:val="0"/>
              <w:rPr>
                <w:rFonts w:hint="eastAsia"/>
                <w:color w:val="auto"/>
                <w:lang w:val="en-US" w:eastAsia="zh-CN"/>
              </w:rPr>
            </w:pPr>
            <w:r>
              <w:rPr>
                <w:rFonts w:hint="eastAsia"/>
                <w:color w:val="auto"/>
                <w:lang w:val="en-US" w:eastAsia="zh-CN"/>
              </w:rPr>
              <w:t>本项目不存在重大危险源。只要建设单位按照《建筑防火设计规范》（GB50016-2014）中的有关规定落实消防设施，完善垃圾压缩车间及废水处理设施防渗，加强对生产设备、环保设施等的管理，可将本项目的环境风险降到最低。在企业认真贯彻“安全第一，预防为主”的方针，并认真落实本环评提出风险防范措施后，本项目的环境风险是可以接受的。</w:t>
            </w:r>
          </w:p>
          <w:p>
            <w:pPr>
              <w:pStyle w:val="28"/>
              <w:widowControl w:val="0"/>
              <w:bidi w:val="0"/>
              <w:rPr>
                <w:rFonts w:hint="eastAsia"/>
                <w:color w:val="auto"/>
                <w:lang w:val="en-US" w:eastAsia="zh-CN"/>
              </w:rPr>
            </w:pPr>
            <w:r>
              <w:rPr>
                <w:rFonts w:hint="eastAsia"/>
                <w:color w:val="auto"/>
                <w:lang w:val="en-US" w:eastAsia="zh-CN"/>
              </w:rPr>
              <w:t>表4-13    建设项目环境风险简单分析内容表</w:t>
            </w:r>
          </w:p>
          <w:tbl>
            <w:tblPr>
              <w:tblStyle w:val="22"/>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46"/>
              <w:gridCol w:w="1771"/>
              <w:gridCol w:w="1374"/>
              <w:gridCol w:w="920"/>
              <w:gridCol w:w="9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建设项目名称</w:t>
                  </w:r>
                </w:p>
              </w:tc>
              <w:tc>
                <w:tcPr>
                  <w:tcW w:w="4043" w:type="pct"/>
                  <w:gridSpan w:val="5"/>
                  <w:tcBorders>
                    <w:bottom w:val="single" w:color="auto" w:sz="12" w:space="0"/>
                  </w:tcBorders>
                  <w:vAlign w:val="center"/>
                </w:tcPr>
                <w:p>
                  <w:pPr>
                    <w:pStyle w:val="29"/>
                    <w:widowControl w:val="0"/>
                    <w:bidi w:val="0"/>
                    <w:rPr>
                      <w:rFonts w:hint="default"/>
                      <w:b/>
                      <w:bCs/>
                      <w:color w:val="auto"/>
                      <w:lang w:val="en-US" w:eastAsia="zh-CN"/>
                    </w:rPr>
                  </w:pPr>
                  <w:r>
                    <w:rPr>
                      <w:rFonts w:hint="default"/>
                      <w:b/>
                      <w:bCs/>
                      <w:color w:val="auto"/>
                      <w:lang w:val="en-US" w:eastAsia="zh-CN"/>
                    </w:rPr>
                    <w:t>昌吉市农村环境整治佃坝镇垃圾中转站建设项目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top w:val="single" w:color="auto" w:sz="12" w:space="0"/>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建设地点</w:t>
                  </w:r>
                </w:p>
              </w:tc>
              <w:tc>
                <w:tcPr>
                  <w:tcW w:w="857" w:type="pc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新疆</w:t>
                  </w:r>
                </w:p>
              </w:tc>
              <w:tc>
                <w:tcPr>
                  <w:tcW w:w="1128" w:type="pc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昌吉市</w:t>
                  </w:r>
                </w:p>
              </w:tc>
              <w:tc>
                <w:tcPr>
                  <w:tcW w:w="875" w:type="pc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w:t>
                  </w:r>
                </w:p>
              </w:tc>
              <w:tc>
                <w:tcPr>
                  <w:tcW w:w="586" w:type="pc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县</w:t>
                  </w:r>
                </w:p>
              </w:tc>
              <w:tc>
                <w:tcPr>
                  <w:tcW w:w="596" w:type="pc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佃坝镇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地理坐标</w:t>
                  </w:r>
                </w:p>
              </w:tc>
              <w:tc>
                <w:tcPr>
                  <w:tcW w:w="857" w:type="pct"/>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经度</w:t>
                  </w:r>
                </w:p>
              </w:tc>
              <w:tc>
                <w:tcPr>
                  <w:tcW w:w="1128" w:type="pct"/>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87.35248366</w:t>
                  </w:r>
                </w:p>
              </w:tc>
              <w:tc>
                <w:tcPr>
                  <w:tcW w:w="875" w:type="pct"/>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纬度</w:t>
                  </w:r>
                </w:p>
              </w:tc>
              <w:tc>
                <w:tcPr>
                  <w:tcW w:w="1182" w:type="pct"/>
                  <w:gridSpan w:val="2"/>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44.20680763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主要危险物质及分布</w:t>
                  </w:r>
                </w:p>
              </w:tc>
              <w:tc>
                <w:tcPr>
                  <w:tcW w:w="4043" w:type="pct"/>
                  <w:gridSpan w:val="5"/>
                  <w:tcBorders>
                    <w:tl2br w:val="nil"/>
                    <w:tr2bl w:val="nil"/>
                  </w:tcBorders>
                  <w:vAlign w:val="center"/>
                </w:tcPr>
                <w:p>
                  <w:pPr>
                    <w:pStyle w:val="29"/>
                    <w:widowControl w:val="0"/>
                    <w:bidi w:val="0"/>
                    <w:jc w:val="left"/>
                    <w:rPr>
                      <w:rFonts w:hint="default"/>
                      <w:color w:val="auto"/>
                      <w:lang w:val="en-US" w:eastAsia="zh-CN"/>
                    </w:rPr>
                  </w:pPr>
                  <w:r>
                    <w:rPr>
                      <w:rFonts w:hint="default"/>
                      <w:color w:val="auto"/>
                      <w:lang w:val="en-US" w:eastAsia="zh-CN"/>
                    </w:rPr>
                    <w:t>柴油：柴油发电机内及柴油储存点</w:t>
                  </w:r>
                </w:p>
                <w:p>
                  <w:pPr>
                    <w:pStyle w:val="29"/>
                    <w:widowControl w:val="0"/>
                    <w:bidi w:val="0"/>
                    <w:jc w:val="left"/>
                    <w:rPr>
                      <w:rFonts w:hint="default"/>
                      <w:color w:val="auto"/>
                      <w:lang w:val="en-US" w:eastAsia="zh-CN"/>
                    </w:rPr>
                  </w:pPr>
                  <w:r>
                    <w:rPr>
                      <w:rFonts w:hint="default"/>
                      <w:color w:val="auto"/>
                      <w:lang w:val="en-US" w:eastAsia="zh-CN"/>
                    </w:rPr>
                    <w:t>垃圾压滤液：压缩转运车间；</w:t>
                  </w:r>
                </w:p>
                <w:p>
                  <w:pPr>
                    <w:pStyle w:val="29"/>
                    <w:widowControl w:val="0"/>
                    <w:bidi w:val="0"/>
                    <w:jc w:val="left"/>
                    <w:rPr>
                      <w:rFonts w:hint="default"/>
                      <w:color w:val="auto"/>
                      <w:lang w:val="en-US" w:eastAsia="zh-CN"/>
                    </w:rPr>
                  </w:pPr>
                  <w:r>
                    <w:rPr>
                      <w:rFonts w:hint="default"/>
                      <w:color w:val="auto"/>
                      <w:lang w:val="en-US" w:eastAsia="zh-CN"/>
                    </w:rPr>
                    <w:t>恶臭气体：压缩转运车间</w:t>
                  </w:r>
                </w:p>
                <w:p>
                  <w:pPr>
                    <w:pStyle w:val="29"/>
                    <w:widowControl w:val="0"/>
                    <w:bidi w:val="0"/>
                    <w:jc w:val="left"/>
                    <w:rPr>
                      <w:rFonts w:hint="default"/>
                      <w:color w:val="auto"/>
                      <w:lang w:val="en-US" w:eastAsia="zh-CN"/>
                    </w:rPr>
                  </w:pPr>
                  <w:r>
                    <w:rPr>
                      <w:rFonts w:hint="default"/>
                      <w:color w:val="auto"/>
                      <w:lang w:val="en-US" w:eastAsia="zh-CN"/>
                    </w:rPr>
                    <w:t>混合废水：</w:t>
                  </w:r>
                  <w:r>
                    <w:rPr>
                      <w:rFonts w:hint="eastAsia"/>
                      <w:color w:val="auto"/>
                      <w:lang w:val="en-US" w:eastAsia="zh-CN"/>
                    </w:rPr>
                    <w:t>污水收集池</w:t>
                  </w:r>
                  <w:r>
                    <w:rPr>
                      <w:rFonts w:hint="default"/>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环境影响途径及危害后果（大气、地表水、地下水等）</w:t>
                  </w:r>
                </w:p>
              </w:tc>
              <w:tc>
                <w:tcPr>
                  <w:tcW w:w="4043" w:type="pct"/>
                  <w:gridSpan w:val="5"/>
                  <w:tcBorders>
                    <w:tl2br w:val="nil"/>
                    <w:tr2bl w:val="nil"/>
                  </w:tcBorders>
                  <w:vAlign w:val="center"/>
                </w:tcPr>
                <w:p>
                  <w:pPr>
                    <w:pStyle w:val="29"/>
                    <w:widowControl w:val="0"/>
                    <w:bidi w:val="0"/>
                    <w:jc w:val="both"/>
                    <w:rPr>
                      <w:rFonts w:hint="eastAsia"/>
                      <w:color w:val="auto"/>
                      <w:lang w:val="en-US" w:eastAsia="zh-CN"/>
                    </w:rPr>
                  </w:pPr>
                  <w:r>
                    <w:rPr>
                      <w:rFonts w:hint="eastAsia"/>
                      <w:color w:val="auto"/>
                      <w:lang w:val="en-US" w:eastAsia="zh-CN"/>
                    </w:rPr>
                    <w:t>废水处理设施事故及操作不当，导致废水超标排放；</w:t>
                  </w:r>
                </w:p>
                <w:p>
                  <w:pPr>
                    <w:pStyle w:val="29"/>
                    <w:widowControl w:val="0"/>
                    <w:bidi w:val="0"/>
                    <w:jc w:val="both"/>
                    <w:rPr>
                      <w:rFonts w:hint="eastAsia"/>
                      <w:color w:val="auto"/>
                      <w:lang w:val="en-US" w:eastAsia="zh-CN"/>
                    </w:rPr>
                  </w:pPr>
                  <w:r>
                    <w:rPr>
                      <w:rFonts w:hint="eastAsia"/>
                      <w:color w:val="auto"/>
                      <w:lang w:val="en-US" w:eastAsia="zh-CN"/>
                    </w:rPr>
                    <w:t xml:space="preserve">废气处理设备故障，导致恶臭气体超标排放； </w:t>
                  </w:r>
                </w:p>
                <w:p>
                  <w:pPr>
                    <w:pStyle w:val="29"/>
                    <w:widowControl w:val="0"/>
                    <w:bidi w:val="0"/>
                    <w:jc w:val="both"/>
                    <w:rPr>
                      <w:rFonts w:hint="eastAsia"/>
                      <w:color w:val="auto"/>
                      <w:lang w:val="en-US" w:eastAsia="zh-CN"/>
                    </w:rPr>
                  </w:pPr>
                  <w:r>
                    <w:rPr>
                      <w:rFonts w:hint="eastAsia"/>
                      <w:color w:val="auto"/>
                      <w:lang w:val="en-US" w:eastAsia="zh-CN"/>
                    </w:rPr>
                    <w:t>管理不善等原因导致柴油及垃圾压滤液体泄漏，进入地表水及地下水。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tl2br w:val="nil"/>
                    <w:tr2bl w:val="nil"/>
                  </w:tcBorders>
                  <w:vAlign w:val="center"/>
                </w:tcPr>
                <w:p>
                  <w:pPr>
                    <w:pStyle w:val="29"/>
                    <w:widowControl w:val="0"/>
                    <w:bidi w:val="0"/>
                    <w:rPr>
                      <w:rFonts w:hint="default"/>
                      <w:b/>
                      <w:bCs/>
                      <w:color w:val="auto"/>
                      <w:lang w:val="en-US" w:eastAsia="zh-CN"/>
                    </w:rPr>
                  </w:pPr>
                  <w:r>
                    <w:rPr>
                      <w:rFonts w:hint="eastAsia"/>
                      <w:b/>
                      <w:bCs/>
                      <w:color w:val="auto"/>
                      <w:lang w:val="en-US" w:eastAsia="zh-CN"/>
                    </w:rPr>
                    <w:t>风险防范措施</w:t>
                  </w:r>
                </w:p>
              </w:tc>
              <w:tc>
                <w:tcPr>
                  <w:tcW w:w="4043" w:type="pct"/>
                  <w:gridSpan w:val="5"/>
                  <w:tcBorders>
                    <w:tl2br w:val="nil"/>
                    <w:tr2bl w:val="nil"/>
                  </w:tcBorders>
                  <w:vAlign w:val="center"/>
                </w:tcPr>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①</w:t>
                  </w:r>
                  <w:r>
                    <w:rPr>
                      <w:rFonts w:hint="eastAsia"/>
                      <w:color w:val="auto"/>
                      <w:lang w:val="en-US" w:eastAsia="zh-CN"/>
                    </w:rPr>
                    <w:t xml:space="preserve"> </w:t>
                  </w:r>
                  <w:r>
                    <w:rPr>
                      <w:rFonts w:hint="default"/>
                      <w:color w:val="auto"/>
                      <w:lang w:val="en-US" w:eastAsia="zh-CN"/>
                    </w:rPr>
                    <w:t>操作维护管理</w:t>
                  </w:r>
                </w:p>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企业应加强设备管理，确保设备完好。应制定严格的操作、管理制度，工作人员应培训上岗，并经常检查，防止“跑、冒、滴、漏”的发生。应对垃圾压缩转运车间地面进行水泥硬化，并作防渗处理。厂区内设置消防通道。加强职工培训，提高应急处理能力。</w:t>
                  </w:r>
                </w:p>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②</w:t>
                  </w:r>
                  <w:r>
                    <w:rPr>
                      <w:rFonts w:hint="eastAsia"/>
                      <w:color w:val="auto"/>
                      <w:lang w:val="en-US" w:eastAsia="zh-CN"/>
                    </w:rPr>
                    <w:t xml:space="preserve"> </w:t>
                  </w:r>
                  <w:r>
                    <w:rPr>
                      <w:rFonts w:hint="default"/>
                      <w:color w:val="auto"/>
                      <w:lang w:val="en-US" w:eastAsia="zh-CN"/>
                    </w:rPr>
                    <w:t>废水废气处理设施</w:t>
                  </w:r>
                </w:p>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加强对废水废气处理设施的日常管理，加强处理设施的日常维护，作好运行台帐的记录及管理，防止废水废气处理设施故障。</w:t>
                  </w:r>
                </w:p>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③</w:t>
                  </w:r>
                  <w:r>
                    <w:rPr>
                      <w:rFonts w:hint="eastAsia"/>
                      <w:color w:val="auto"/>
                      <w:lang w:val="en-US" w:eastAsia="zh-CN"/>
                    </w:rPr>
                    <w:t xml:space="preserve"> </w:t>
                  </w:r>
                  <w:r>
                    <w:rPr>
                      <w:rFonts w:hint="default"/>
                      <w:color w:val="auto"/>
                      <w:lang w:val="en-US" w:eastAsia="zh-CN"/>
                    </w:rPr>
                    <w:t>柴油的管理</w:t>
                  </w:r>
                </w:p>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柴油发电机及柴油储存点地面硬化并涂环氧漆做防腐、防渗处理，在柴油发电机及柴油储存点设置围堰。</w:t>
                  </w:r>
                </w:p>
                <w:p>
                  <w:pPr>
                    <w:pStyle w:val="29"/>
                    <w:widowControl w:val="0"/>
                    <w:numPr>
                      <w:ilvl w:val="0"/>
                      <w:numId w:val="0"/>
                    </w:numPr>
                    <w:bidi w:val="0"/>
                    <w:ind w:leftChars="0"/>
                    <w:jc w:val="both"/>
                    <w:rPr>
                      <w:rFonts w:hint="default"/>
                      <w:color w:val="auto"/>
                      <w:lang w:val="en-US" w:eastAsia="zh-CN"/>
                    </w:rPr>
                  </w:pPr>
                  <w:r>
                    <w:rPr>
                      <w:rFonts w:hint="default"/>
                      <w:color w:val="auto"/>
                      <w:lang w:val="en-US" w:eastAsia="zh-CN"/>
                    </w:rPr>
                    <w:t>④</w:t>
                  </w:r>
                  <w:r>
                    <w:rPr>
                      <w:rFonts w:hint="eastAsia"/>
                      <w:color w:val="auto"/>
                      <w:lang w:val="en-US" w:eastAsia="zh-CN"/>
                    </w:rPr>
                    <w:t xml:space="preserve"> </w:t>
                  </w:r>
                  <w:r>
                    <w:rPr>
                      <w:rFonts w:hint="default"/>
                      <w:color w:val="auto"/>
                      <w:lang w:val="en-US" w:eastAsia="zh-CN"/>
                    </w:rPr>
                    <w:t>设置风险事故应急预案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56" w:type="pct"/>
                  <w:tcBorders>
                    <w:tl2br w:val="nil"/>
                    <w:tr2bl w:val="nil"/>
                  </w:tcBorders>
                  <w:vAlign w:val="center"/>
                </w:tcPr>
                <w:p>
                  <w:pPr>
                    <w:pStyle w:val="29"/>
                    <w:widowControl w:val="0"/>
                    <w:bidi w:val="0"/>
                    <w:rPr>
                      <w:rFonts w:hint="eastAsia"/>
                      <w:b/>
                      <w:bCs/>
                      <w:color w:val="auto"/>
                      <w:lang w:val="en-US" w:eastAsia="zh-CN"/>
                    </w:rPr>
                  </w:pPr>
                  <w:r>
                    <w:rPr>
                      <w:rFonts w:hint="eastAsia"/>
                      <w:b/>
                      <w:bCs/>
                      <w:color w:val="auto"/>
                      <w:lang w:val="en-US" w:eastAsia="zh-CN"/>
                    </w:rPr>
                    <w:t>填报说明</w:t>
                  </w:r>
                </w:p>
                <w:p>
                  <w:pPr>
                    <w:pStyle w:val="29"/>
                    <w:widowControl w:val="0"/>
                    <w:bidi w:val="0"/>
                    <w:rPr>
                      <w:rFonts w:hint="default"/>
                      <w:b/>
                      <w:bCs/>
                      <w:color w:val="auto"/>
                      <w:lang w:val="en-US" w:eastAsia="zh-CN"/>
                    </w:rPr>
                  </w:pPr>
                  <w:r>
                    <w:rPr>
                      <w:rFonts w:hint="eastAsia"/>
                      <w:b/>
                      <w:bCs/>
                      <w:color w:val="auto"/>
                      <w:lang w:val="en-US" w:eastAsia="zh-CN"/>
                    </w:rPr>
                    <w:t>（列出项目相关信息及评价说明）</w:t>
                  </w:r>
                </w:p>
              </w:tc>
              <w:tc>
                <w:tcPr>
                  <w:tcW w:w="4043" w:type="pct"/>
                  <w:gridSpan w:val="5"/>
                  <w:tcBorders>
                    <w:tl2br w:val="nil"/>
                    <w:tr2bl w:val="nil"/>
                  </w:tcBorders>
                  <w:vAlign w:val="center"/>
                </w:tcPr>
                <w:p>
                  <w:pPr>
                    <w:pStyle w:val="29"/>
                    <w:widowControl w:val="0"/>
                    <w:bidi w:val="0"/>
                    <w:jc w:val="both"/>
                    <w:rPr>
                      <w:rFonts w:hint="default"/>
                      <w:color w:val="auto"/>
                      <w:lang w:val="en-US" w:eastAsia="zh-CN"/>
                    </w:rPr>
                  </w:pPr>
                  <w:r>
                    <w:rPr>
                      <w:rFonts w:hint="default"/>
                      <w:color w:val="auto"/>
                      <w:lang w:val="en-US" w:eastAsia="zh-CN"/>
                    </w:rPr>
                    <w:t>项目涉及的主要风险物质为柴油、垃圾压滤液、恶臭气体、混合废水，根据《建设项目环境风险评价技术导则》(HJ169-2018)要求，项目环境风险潜势为 I 级，因此对环境风险评价开展简单分析</w:t>
                  </w:r>
                </w:p>
              </w:tc>
            </w:tr>
          </w:tbl>
          <w:p>
            <w:pPr>
              <w:pStyle w:val="5"/>
              <w:numPr>
                <w:ilvl w:val="0"/>
                <w:numId w:val="20"/>
              </w:numPr>
              <w:bidi w:val="0"/>
              <w:rPr>
                <w:rFonts w:hint="default"/>
                <w:color w:val="auto"/>
              </w:rPr>
            </w:pPr>
            <w:r>
              <w:rPr>
                <w:rFonts w:hint="default"/>
                <w:color w:val="auto"/>
              </w:rPr>
              <w:t>环保投资估算</w:t>
            </w:r>
          </w:p>
          <w:p>
            <w:pPr>
              <w:pStyle w:val="18"/>
              <w:bidi w:val="0"/>
              <w:rPr>
                <w:rFonts w:hint="default"/>
                <w:color w:val="auto"/>
              </w:rPr>
            </w:pPr>
            <w:r>
              <w:rPr>
                <w:rFonts w:hint="default"/>
                <w:color w:val="auto"/>
              </w:rPr>
              <w:t>本项目总投资</w:t>
            </w:r>
            <w:r>
              <w:rPr>
                <w:rFonts w:hint="eastAsia"/>
                <w:color w:val="auto"/>
                <w:lang w:val="en-US" w:eastAsia="zh-CN"/>
              </w:rPr>
              <w:t>3250</w:t>
            </w:r>
            <w:r>
              <w:rPr>
                <w:rFonts w:hint="default"/>
                <w:color w:val="auto"/>
              </w:rPr>
              <w:t>万元，环保投资</w:t>
            </w:r>
            <w:r>
              <w:rPr>
                <w:rFonts w:hint="eastAsia"/>
                <w:color w:val="auto"/>
                <w:lang w:val="en-US" w:eastAsia="zh-CN"/>
              </w:rPr>
              <w:t>102.5</w:t>
            </w:r>
            <w:r>
              <w:rPr>
                <w:rFonts w:hint="default"/>
                <w:color w:val="auto"/>
              </w:rPr>
              <w:t>万元，占总投资的</w:t>
            </w:r>
            <w:r>
              <w:rPr>
                <w:rFonts w:hint="eastAsia"/>
                <w:color w:val="auto"/>
                <w:lang w:val="en-US" w:eastAsia="zh-CN"/>
              </w:rPr>
              <w:t>3.15</w:t>
            </w:r>
            <w:r>
              <w:rPr>
                <w:rFonts w:hint="default"/>
                <w:color w:val="auto"/>
              </w:rPr>
              <w:t>%。本项目环保工程主要包括废气治理工程、噪声治理工程，具体见表</w:t>
            </w:r>
            <w:r>
              <w:rPr>
                <w:rFonts w:hint="eastAsia"/>
                <w:color w:val="auto"/>
                <w:lang w:val="en-US" w:eastAsia="zh-CN"/>
              </w:rPr>
              <w:t>4-14</w:t>
            </w:r>
            <w:r>
              <w:rPr>
                <w:rFonts w:hint="default"/>
                <w:color w:val="auto"/>
              </w:rPr>
              <w:t>。</w:t>
            </w:r>
          </w:p>
          <w:p>
            <w:pPr>
              <w:pStyle w:val="28"/>
              <w:bidi w:val="0"/>
              <w:rPr>
                <w:color w:val="auto"/>
              </w:rPr>
            </w:pPr>
            <w:r>
              <w:rPr>
                <w:color w:val="auto"/>
              </w:rPr>
              <w:t>表</w:t>
            </w:r>
            <w:r>
              <w:rPr>
                <w:rFonts w:hint="eastAsia"/>
                <w:color w:val="auto"/>
                <w:lang w:val="en-US" w:eastAsia="zh-CN"/>
              </w:rPr>
              <w:t xml:space="preserve">4-14   </w:t>
            </w:r>
            <w:r>
              <w:rPr>
                <w:rFonts w:hint="eastAsia"/>
                <w:color w:val="auto"/>
              </w:rPr>
              <w:t xml:space="preserve"> </w:t>
            </w:r>
            <w:r>
              <w:rPr>
                <w:color w:val="auto"/>
              </w:rPr>
              <w:t>环保工程项目及投资估算</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86"/>
              <w:gridCol w:w="4328"/>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op w:val="single" w:color="auto" w:sz="12" w:space="0"/>
                    <w:left w:val="nil"/>
                    <w:bottom w:val="single" w:color="auto" w:sz="12" w:space="0"/>
                    <w:right w:val="single" w:color="auto" w:sz="4" w:space="0"/>
                  </w:tcBorders>
                  <w:noWrap w:val="0"/>
                  <w:vAlign w:val="center"/>
                </w:tcPr>
                <w:p>
                  <w:pPr>
                    <w:pStyle w:val="29"/>
                    <w:bidi w:val="0"/>
                    <w:rPr>
                      <w:rFonts w:hint="default"/>
                      <w:b/>
                      <w:bCs/>
                      <w:color w:val="auto"/>
                    </w:rPr>
                  </w:pPr>
                  <w:r>
                    <w:rPr>
                      <w:rFonts w:hint="default"/>
                      <w:b/>
                      <w:bCs/>
                      <w:color w:val="auto"/>
                    </w:rPr>
                    <w:t>序号</w:t>
                  </w:r>
                </w:p>
              </w:tc>
              <w:tc>
                <w:tcPr>
                  <w:tcW w:w="820" w:type="pct"/>
                  <w:tcBorders>
                    <w:top w:val="single" w:color="auto" w:sz="12" w:space="0"/>
                    <w:left w:val="nil"/>
                    <w:bottom w:val="single" w:color="auto" w:sz="12" w:space="0"/>
                    <w:right w:val="single" w:color="auto" w:sz="4" w:space="0"/>
                  </w:tcBorders>
                  <w:noWrap w:val="0"/>
                  <w:vAlign w:val="center"/>
                </w:tcPr>
                <w:p>
                  <w:pPr>
                    <w:pStyle w:val="29"/>
                    <w:bidi w:val="0"/>
                    <w:rPr>
                      <w:rFonts w:hint="default"/>
                      <w:b/>
                      <w:bCs/>
                      <w:color w:val="auto"/>
                    </w:rPr>
                  </w:pPr>
                  <w:r>
                    <w:rPr>
                      <w:rFonts w:hint="default"/>
                      <w:b/>
                      <w:bCs/>
                      <w:color w:val="auto"/>
                    </w:rPr>
                    <w:t>内容</w:t>
                  </w:r>
                </w:p>
              </w:tc>
              <w:tc>
                <w:tcPr>
                  <w:tcW w:w="2759" w:type="pct"/>
                  <w:tcBorders>
                    <w:top w:val="single" w:color="auto" w:sz="12" w:space="0"/>
                    <w:left w:val="nil"/>
                    <w:bottom w:val="single" w:color="auto" w:sz="12" w:space="0"/>
                    <w:right w:val="single" w:color="auto" w:sz="4" w:space="0"/>
                  </w:tcBorders>
                  <w:noWrap w:val="0"/>
                  <w:vAlign w:val="center"/>
                </w:tcPr>
                <w:p>
                  <w:pPr>
                    <w:pStyle w:val="29"/>
                    <w:bidi w:val="0"/>
                    <w:rPr>
                      <w:rFonts w:hint="default"/>
                      <w:b/>
                      <w:bCs/>
                      <w:color w:val="auto"/>
                    </w:rPr>
                  </w:pPr>
                  <w:r>
                    <w:rPr>
                      <w:rFonts w:hint="default"/>
                      <w:b/>
                      <w:bCs/>
                      <w:color w:val="auto"/>
                    </w:rPr>
                    <w:t>环保设施</w:t>
                  </w:r>
                </w:p>
              </w:tc>
              <w:tc>
                <w:tcPr>
                  <w:tcW w:w="979" w:type="pct"/>
                  <w:tcBorders>
                    <w:top w:val="single" w:color="auto" w:sz="12" w:space="0"/>
                    <w:left w:val="nil"/>
                    <w:bottom w:val="single" w:color="auto" w:sz="12" w:space="0"/>
                    <w:right w:val="nil"/>
                  </w:tcBorders>
                  <w:noWrap w:val="0"/>
                  <w:vAlign w:val="center"/>
                </w:tcPr>
                <w:p>
                  <w:pPr>
                    <w:pStyle w:val="29"/>
                    <w:bidi w:val="0"/>
                    <w:rPr>
                      <w:rFonts w:hint="default"/>
                      <w:b/>
                      <w:bCs/>
                      <w:color w:val="auto"/>
                    </w:rPr>
                  </w:pPr>
                  <w:r>
                    <w:rPr>
                      <w:rFonts w:hint="default"/>
                      <w:b/>
                      <w:bCs/>
                      <w:color w:val="auto"/>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rPr>
                  </w:pPr>
                  <w:r>
                    <w:rPr>
                      <w:rFonts w:hint="default"/>
                      <w:color w:val="auto"/>
                    </w:rPr>
                    <w:t>1</w:t>
                  </w:r>
                </w:p>
              </w:tc>
              <w:tc>
                <w:tcPr>
                  <w:tcW w:w="820" w:type="pct"/>
                  <w:tcBorders>
                    <w:top w:val="single" w:color="auto" w:sz="4" w:space="0"/>
                    <w:left w:val="nil"/>
                    <w:bottom w:val="single" w:color="auto" w:sz="4" w:space="0"/>
                    <w:right w:val="single" w:color="auto" w:sz="4" w:space="0"/>
                  </w:tcBorders>
                  <w:noWrap w:val="0"/>
                  <w:vAlign w:val="center"/>
                </w:tcPr>
                <w:p>
                  <w:pPr>
                    <w:pStyle w:val="29"/>
                    <w:bidi w:val="0"/>
                    <w:rPr>
                      <w:rFonts w:hint="eastAsia"/>
                      <w:color w:val="auto"/>
                      <w:lang w:eastAsia="zh-CN"/>
                    </w:rPr>
                  </w:pPr>
                  <w:r>
                    <w:rPr>
                      <w:rFonts w:hint="eastAsia"/>
                      <w:color w:val="auto"/>
                      <w:lang w:eastAsia="zh-CN"/>
                    </w:rPr>
                    <w:t>废水治理</w:t>
                  </w:r>
                </w:p>
              </w:tc>
              <w:tc>
                <w:tcPr>
                  <w:tcW w:w="2759"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新建污水收集池</w:t>
                  </w:r>
                </w:p>
              </w:tc>
              <w:tc>
                <w:tcPr>
                  <w:tcW w:w="979" w:type="pct"/>
                  <w:tcBorders>
                    <w:top w:val="single" w:color="auto" w:sz="4" w:space="0"/>
                    <w:left w:val="nil"/>
                    <w:bottom w:val="single" w:color="auto" w:sz="4" w:space="0"/>
                    <w:right w:val="nil"/>
                  </w:tcBorders>
                  <w:noWrap w:val="0"/>
                  <w:vAlign w:val="center"/>
                </w:tcPr>
                <w:p>
                  <w:pPr>
                    <w:pStyle w:val="29"/>
                    <w:bidi w:val="0"/>
                    <w:rPr>
                      <w:rFonts w:hint="eastAsia"/>
                      <w:color w:val="auto"/>
                      <w:lang w:eastAsia="zh-CN"/>
                    </w:rPr>
                  </w:pPr>
                  <w:r>
                    <w:rPr>
                      <w:rFonts w:hint="eastAsia"/>
                      <w:color w:val="auto"/>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rPr>
                  </w:pPr>
                  <w:r>
                    <w:rPr>
                      <w:rFonts w:hint="default"/>
                      <w:color w:val="auto"/>
                    </w:rPr>
                    <w:t>2</w:t>
                  </w:r>
                </w:p>
              </w:tc>
              <w:tc>
                <w:tcPr>
                  <w:tcW w:w="82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rPr>
                  </w:pPr>
                  <w:r>
                    <w:rPr>
                      <w:rFonts w:hint="default"/>
                      <w:color w:val="auto"/>
                    </w:rPr>
                    <w:t>噪声治理</w:t>
                  </w:r>
                </w:p>
              </w:tc>
              <w:tc>
                <w:tcPr>
                  <w:tcW w:w="2759"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加强维修养护，</w:t>
                  </w:r>
                  <w:r>
                    <w:rPr>
                      <w:rFonts w:hint="default"/>
                      <w:color w:val="auto"/>
                      <w:lang w:val="en-US" w:eastAsia="zh-CN"/>
                    </w:rPr>
                    <w:t>基础减震，厂房隔音</w:t>
                  </w:r>
                </w:p>
              </w:tc>
              <w:tc>
                <w:tcPr>
                  <w:tcW w:w="979" w:type="pct"/>
                  <w:tcBorders>
                    <w:top w:val="single" w:color="auto" w:sz="4" w:space="0"/>
                    <w:left w:val="nil"/>
                    <w:bottom w:val="single" w:color="auto" w:sz="4" w:space="0"/>
                    <w:right w:val="nil"/>
                  </w:tcBorders>
                  <w:noWrap w:val="0"/>
                  <w:vAlign w:val="center"/>
                </w:tcPr>
                <w:p>
                  <w:pPr>
                    <w:pStyle w:val="29"/>
                    <w:bidi w:val="0"/>
                    <w:rPr>
                      <w:rFonts w:hint="default"/>
                      <w:color w:val="auto"/>
                    </w:rPr>
                  </w:pPr>
                  <w:r>
                    <w:rPr>
                      <w:rFonts w:hint="default"/>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vMerge w:val="restart"/>
                  <w:tcBorders>
                    <w:top w:val="single" w:color="auto" w:sz="4" w:space="0"/>
                    <w:left w:val="nil"/>
                    <w:right w:val="single" w:color="auto" w:sz="4" w:space="0"/>
                  </w:tcBorders>
                  <w:noWrap w:val="0"/>
                  <w:vAlign w:val="center"/>
                </w:tcPr>
                <w:p>
                  <w:pPr>
                    <w:pStyle w:val="29"/>
                    <w:bidi w:val="0"/>
                    <w:rPr>
                      <w:rFonts w:hint="default"/>
                      <w:color w:val="auto"/>
                    </w:rPr>
                  </w:pPr>
                  <w:r>
                    <w:rPr>
                      <w:rFonts w:hint="default"/>
                      <w:color w:val="auto"/>
                    </w:rPr>
                    <w:t>3</w:t>
                  </w:r>
                </w:p>
              </w:tc>
              <w:tc>
                <w:tcPr>
                  <w:tcW w:w="820" w:type="pct"/>
                  <w:vMerge w:val="restart"/>
                  <w:tcBorders>
                    <w:top w:val="single" w:color="auto" w:sz="4" w:space="0"/>
                    <w:left w:val="nil"/>
                    <w:right w:val="single" w:color="auto" w:sz="4" w:space="0"/>
                  </w:tcBorders>
                  <w:noWrap w:val="0"/>
                  <w:vAlign w:val="center"/>
                </w:tcPr>
                <w:p>
                  <w:pPr>
                    <w:pStyle w:val="29"/>
                    <w:bidi w:val="0"/>
                    <w:rPr>
                      <w:rFonts w:hint="default"/>
                      <w:color w:val="auto"/>
                      <w:lang w:eastAsia="zh-CN"/>
                    </w:rPr>
                  </w:pPr>
                  <w:r>
                    <w:rPr>
                      <w:rFonts w:hint="default"/>
                      <w:color w:val="auto"/>
                      <w:lang w:eastAsia="zh-CN"/>
                    </w:rPr>
                    <w:t>废气治理</w:t>
                  </w:r>
                </w:p>
              </w:tc>
              <w:tc>
                <w:tcPr>
                  <w:tcW w:w="2759" w:type="pct"/>
                  <w:tcBorders>
                    <w:top w:val="single" w:color="auto" w:sz="4" w:space="0"/>
                    <w:left w:val="nil"/>
                    <w:bottom w:val="single" w:color="auto" w:sz="4" w:space="0"/>
                    <w:right w:val="single" w:color="auto" w:sz="4" w:space="0"/>
                  </w:tcBorders>
                  <w:noWrap w:val="0"/>
                  <w:vAlign w:val="center"/>
                </w:tcPr>
                <w:p>
                  <w:pPr>
                    <w:pStyle w:val="29"/>
                    <w:bidi w:val="0"/>
                    <w:jc w:val="left"/>
                    <w:rPr>
                      <w:rFonts w:hint="default"/>
                      <w:color w:val="auto"/>
                      <w:lang w:val="en-US" w:eastAsia="zh-CN"/>
                    </w:rPr>
                  </w:pPr>
                  <w:r>
                    <w:rPr>
                      <w:rFonts w:hint="eastAsia"/>
                      <w:color w:val="auto"/>
                      <w:lang w:val="en-US" w:eastAsia="zh-CN"/>
                    </w:rPr>
                    <w:t>污水收集池</w:t>
                  </w:r>
                  <w:r>
                    <w:rPr>
                      <w:rFonts w:hint="default"/>
                      <w:color w:val="auto"/>
                      <w:lang w:val="en-US" w:eastAsia="zh-CN"/>
                    </w:rPr>
                    <w:t>产生的废气经管道收集，转运压缩车间产生的废气采用密闭负压收集+前端植物液雾化除臭，两者共用一套末端过滤+水浴除尘+生物降解除臭+植物液分解除臭（TA001）处理后经 15 米排气筒（DA001）排放。</w:t>
                  </w:r>
                </w:p>
              </w:tc>
              <w:tc>
                <w:tcPr>
                  <w:tcW w:w="979" w:type="pct"/>
                  <w:tcBorders>
                    <w:top w:val="single" w:color="auto" w:sz="4" w:space="0"/>
                    <w:left w:val="nil"/>
                    <w:bottom w:val="single" w:color="auto" w:sz="4" w:space="0"/>
                    <w:right w:val="nil"/>
                  </w:tcBorders>
                  <w:noWrap w:val="0"/>
                  <w:vAlign w:val="center"/>
                </w:tcPr>
                <w:p>
                  <w:pPr>
                    <w:pStyle w:val="29"/>
                    <w:bidi w:val="0"/>
                    <w:rPr>
                      <w:rFonts w:hint="default"/>
                      <w:color w:val="auto"/>
                    </w:rPr>
                  </w:pPr>
                  <w:r>
                    <w:rPr>
                      <w:rFonts w:hint="eastAsia"/>
                      <w:color w:val="auto"/>
                      <w:lang w:val="en-US" w:eastAsia="zh-CN"/>
                    </w:rPr>
                    <w:t>5</w:t>
                  </w:r>
                  <w:r>
                    <w:rPr>
                      <w:rFonts w:hint="default"/>
                      <w:color w:val="auto"/>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vMerge w:val="continue"/>
                  <w:tcBorders>
                    <w:left w:val="nil"/>
                    <w:bottom w:val="single" w:color="auto" w:sz="4" w:space="0"/>
                    <w:right w:val="single" w:color="auto" w:sz="4" w:space="0"/>
                  </w:tcBorders>
                  <w:noWrap w:val="0"/>
                  <w:vAlign w:val="center"/>
                </w:tcPr>
                <w:p>
                  <w:pPr>
                    <w:pStyle w:val="29"/>
                    <w:bidi w:val="0"/>
                    <w:rPr>
                      <w:rFonts w:hint="default"/>
                      <w:color w:val="auto"/>
                    </w:rPr>
                  </w:pPr>
                </w:p>
              </w:tc>
              <w:tc>
                <w:tcPr>
                  <w:tcW w:w="820" w:type="pct"/>
                  <w:vMerge w:val="continue"/>
                  <w:tcBorders>
                    <w:left w:val="nil"/>
                    <w:bottom w:val="single" w:color="auto" w:sz="4" w:space="0"/>
                    <w:right w:val="single" w:color="auto" w:sz="4" w:space="0"/>
                  </w:tcBorders>
                  <w:noWrap w:val="0"/>
                  <w:vAlign w:val="center"/>
                </w:tcPr>
                <w:p>
                  <w:pPr>
                    <w:pStyle w:val="29"/>
                    <w:bidi w:val="0"/>
                    <w:rPr>
                      <w:rFonts w:hint="default"/>
                      <w:color w:val="auto"/>
                    </w:rPr>
                  </w:pPr>
                </w:p>
              </w:tc>
              <w:tc>
                <w:tcPr>
                  <w:tcW w:w="2759"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食堂设置油烟净化器</w:t>
                  </w:r>
                </w:p>
              </w:tc>
              <w:tc>
                <w:tcPr>
                  <w:tcW w:w="979" w:type="pct"/>
                  <w:tcBorders>
                    <w:top w:val="single" w:color="auto" w:sz="4" w:space="0"/>
                    <w:left w:val="nil"/>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rPr>
                  </w:pPr>
                  <w:r>
                    <w:rPr>
                      <w:rFonts w:hint="default"/>
                      <w:color w:val="auto"/>
                    </w:rPr>
                    <w:t>4</w:t>
                  </w:r>
                </w:p>
              </w:tc>
              <w:tc>
                <w:tcPr>
                  <w:tcW w:w="82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rPr>
                  </w:pPr>
                  <w:r>
                    <w:rPr>
                      <w:rFonts w:hint="default"/>
                      <w:color w:val="auto"/>
                    </w:rPr>
                    <w:t>固废治理</w:t>
                  </w:r>
                </w:p>
              </w:tc>
              <w:tc>
                <w:tcPr>
                  <w:tcW w:w="2759"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eastAsia="zh-CN"/>
                    </w:rPr>
                    <w:t>垃圾箱、</w:t>
                  </w:r>
                  <w:r>
                    <w:rPr>
                      <w:rFonts w:hint="eastAsia"/>
                      <w:color w:val="auto"/>
                      <w:lang w:val="en-US" w:eastAsia="zh-CN"/>
                    </w:rPr>
                    <w:t>污泥脱水干化处理</w:t>
                  </w:r>
                </w:p>
              </w:tc>
              <w:tc>
                <w:tcPr>
                  <w:tcW w:w="979" w:type="pct"/>
                  <w:tcBorders>
                    <w:top w:val="single" w:color="auto" w:sz="4" w:space="0"/>
                    <w:left w:val="nil"/>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op w:val="single" w:color="auto" w:sz="4" w:space="0"/>
                    <w:left w:val="nil"/>
                    <w:bottom w:val="single" w:color="auto" w:sz="4" w:space="0"/>
                    <w:right w:val="single" w:color="auto" w:sz="4" w:space="0"/>
                  </w:tcBorders>
                  <w:noWrap w:val="0"/>
                  <w:vAlign w:val="center"/>
                </w:tcPr>
                <w:p>
                  <w:pPr>
                    <w:pStyle w:val="29"/>
                    <w:bidi w:val="0"/>
                    <w:rPr>
                      <w:rFonts w:hint="eastAsia" w:eastAsia="宋体"/>
                      <w:color w:val="auto"/>
                      <w:lang w:val="en-US" w:eastAsia="zh-CN"/>
                    </w:rPr>
                  </w:pPr>
                  <w:r>
                    <w:rPr>
                      <w:rFonts w:hint="eastAsia"/>
                      <w:color w:val="auto"/>
                      <w:lang w:val="en-US" w:eastAsia="zh-CN"/>
                    </w:rPr>
                    <w:t>5</w:t>
                  </w:r>
                </w:p>
              </w:tc>
              <w:tc>
                <w:tcPr>
                  <w:tcW w:w="82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rPr>
                  </w:pPr>
                  <w:r>
                    <w:rPr>
                      <w:rFonts w:hint="default"/>
                      <w:color w:val="auto"/>
                      <w:lang w:val="en-US" w:eastAsia="zh-CN"/>
                    </w:rPr>
                    <w:t>地下水污染防治</w:t>
                  </w:r>
                </w:p>
              </w:tc>
              <w:tc>
                <w:tcPr>
                  <w:tcW w:w="2759" w:type="pct"/>
                  <w:tcBorders>
                    <w:top w:val="single" w:color="auto" w:sz="4" w:space="0"/>
                    <w:left w:val="nil"/>
                    <w:bottom w:val="single" w:color="auto" w:sz="4" w:space="0"/>
                    <w:right w:val="single" w:color="auto" w:sz="4" w:space="0"/>
                  </w:tcBorders>
                  <w:noWrap w:val="0"/>
                  <w:vAlign w:val="center"/>
                </w:tcPr>
                <w:p>
                  <w:pPr>
                    <w:pStyle w:val="29"/>
                    <w:bidi w:val="0"/>
                    <w:rPr>
                      <w:rFonts w:hint="eastAsia"/>
                      <w:color w:val="auto"/>
                      <w:lang w:eastAsia="zh-CN"/>
                    </w:rPr>
                  </w:pPr>
                  <w:r>
                    <w:rPr>
                      <w:rFonts w:hint="eastAsia"/>
                      <w:color w:val="auto"/>
                      <w:lang w:val="en-US" w:eastAsia="zh-CN"/>
                    </w:rPr>
                    <w:t>重点防渗区：对整个压缩机房地面进行环氧树脂漆进行防渗处理，污水预处理池、渗滤液收集池、隔油沉淀池的底面和侧面均采用防渗混凝土进行防渗处理，混凝土选择C30防渗等级P8的混凝土，其等效黏土防渗层 Mb≥6.0m，防渗层渗透系≤1.0×10-7cm/s</w:t>
                  </w:r>
                </w:p>
              </w:tc>
              <w:tc>
                <w:tcPr>
                  <w:tcW w:w="979" w:type="pct"/>
                  <w:tcBorders>
                    <w:top w:val="single" w:color="auto" w:sz="4" w:space="0"/>
                    <w:left w:val="nil"/>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6</w:t>
                  </w:r>
                </w:p>
              </w:tc>
              <w:tc>
                <w:tcPr>
                  <w:tcW w:w="820" w:type="pct"/>
                  <w:tcBorders>
                    <w:top w:val="single" w:color="auto" w:sz="4" w:space="0"/>
                    <w:left w:val="nil"/>
                    <w:bottom w:val="single" w:color="auto" w:sz="4" w:space="0"/>
                    <w:right w:val="single" w:color="auto" w:sz="4" w:space="0"/>
                  </w:tcBorders>
                  <w:noWrap w:val="0"/>
                  <w:vAlign w:val="center"/>
                </w:tcPr>
                <w:p>
                  <w:pPr>
                    <w:pStyle w:val="29"/>
                    <w:bidi w:val="0"/>
                    <w:rPr>
                      <w:rFonts w:hint="default"/>
                      <w:color w:val="auto"/>
                      <w:lang w:val="en-US" w:eastAsia="zh-CN"/>
                    </w:rPr>
                  </w:pPr>
                  <w:r>
                    <w:rPr>
                      <w:rFonts w:hint="eastAsia"/>
                      <w:color w:val="auto"/>
                      <w:lang w:val="en-US" w:eastAsia="zh-CN"/>
                    </w:rPr>
                    <w:t>厂区绿化</w:t>
                  </w:r>
                </w:p>
              </w:tc>
              <w:tc>
                <w:tcPr>
                  <w:tcW w:w="2759" w:type="pct"/>
                  <w:tcBorders>
                    <w:top w:val="single" w:color="auto" w:sz="4" w:space="0"/>
                    <w:left w:val="nil"/>
                    <w:bottom w:val="single" w:color="auto" w:sz="4" w:space="0"/>
                    <w:right w:val="single" w:color="auto" w:sz="4" w:space="0"/>
                  </w:tcBorders>
                  <w:noWrap w:val="0"/>
                  <w:vAlign w:val="center"/>
                </w:tcPr>
                <w:p>
                  <w:pPr>
                    <w:pStyle w:val="29"/>
                    <w:bidi w:val="0"/>
                    <w:rPr>
                      <w:rFonts w:hint="eastAsia"/>
                      <w:color w:val="auto"/>
                      <w:lang w:val="en-US" w:eastAsia="zh-CN"/>
                    </w:rPr>
                  </w:pPr>
                  <w:r>
                    <w:rPr>
                      <w:rFonts w:hint="eastAsia"/>
                      <w:color w:val="auto"/>
                      <w:lang w:val="en-US" w:eastAsia="zh-CN"/>
                    </w:rPr>
                    <w:t>压缩中转站绿化带 3884m²</w:t>
                  </w:r>
                </w:p>
              </w:tc>
              <w:tc>
                <w:tcPr>
                  <w:tcW w:w="979" w:type="pct"/>
                  <w:tcBorders>
                    <w:top w:val="single" w:color="auto" w:sz="4" w:space="0"/>
                    <w:left w:val="nil"/>
                    <w:bottom w:val="single" w:color="auto" w:sz="4" w:space="0"/>
                    <w:right w:val="nil"/>
                  </w:tcBorders>
                  <w:noWrap w:val="0"/>
                  <w:vAlign w:val="center"/>
                </w:tcPr>
                <w:p>
                  <w:pPr>
                    <w:pStyle w:val="29"/>
                    <w:bidi w:val="0"/>
                    <w:rPr>
                      <w:rFonts w:hint="default"/>
                      <w:color w:val="auto"/>
                      <w:lang w:val="en-US" w:eastAsia="zh-CN"/>
                    </w:rPr>
                  </w:pPr>
                  <w:r>
                    <w:rPr>
                      <w:rFonts w:hint="eastAsia"/>
                      <w:color w:val="auto"/>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20" w:type="pct"/>
                  <w:gridSpan w:val="3"/>
                  <w:tcBorders>
                    <w:top w:val="single" w:color="auto" w:sz="4" w:space="0"/>
                    <w:left w:val="nil"/>
                    <w:bottom w:val="single" w:color="auto" w:sz="12" w:space="0"/>
                    <w:right w:val="single" w:color="auto" w:sz="4" w:space="0"/>
                  </w:tcBorders>
                  <w:noWrap w:val="0"/>
                  <w:vAlign w:val="center"/>
                </w:tcPr>
                <w:p>
                  <w:pPr>
                    <w:pStyle w:val="29"/>
                    <w:bidi w:val="0"/>
                    <w:rPr>
                      <w:rFonts w:hint="default"/>
                      <w:color w:val="auto"/>
                    </w:rPr>
                  </w:pPr>
                  <w:r>
                    <w:rPr>
                      <w:rFonts w:hint="default"/>
                      <w:color w:val="auto"/>
                    </w:rPr>
                    <w:t>合计</w:t>
                  </w:r>
                </w:p>
              </w:tc>
              <w:tc>
                <w:tcPr>
                  <w:tcW w:w="979" w:type="pct"/>
                  <w:tcBorders>
                    <w:top w:val="single" w:color="auto" w:sz="4" w:space="0"/>
                    <w:left w:val="nil"/>
                    <w:bottom w:val="single" w:color="auto" w:sz="12" w:space="0"/>
                    <w:right w:val="nil"/>
                  </w:tcBorders>
                  <w:noWrap w:val="0"/>
                  <w:vAlign w:val="center"/>
                </w:tcPr>
                <w:p>
                  <w:pPr>
                    <w:pStyle w:val="29"/>
                    <w:bidi w:val="0"/>
                    <w:rPr>
                      <w:rFonts w:hint="default"/>
                      <w:color w:val="auto"/>
                      <w:lang w:val="en-US" w:eastAsia="zh-CN"/>
                    </w:rPr>
                  </w:pPr>
                  <w:r>
                    <w:rPr>
                      <w:rFonts w:hint="eastAsia"/>
                      <w:color w:val="auto"/>
                      <w:lang w:val="en-US" w:eastAsia="zh-CN"/>
                    </w:rPr>
                    <w:t>102.5</w:t>
                  </w:r>
                </w:p>
              </w:tc>
            </w:tr>
          </w:tbl>
          <w:p>
            <w:pPr>
              <w:pStyle w:val="5"/>
              <w:numPr>
                <w:ilvl w:val="0"/>
                <w:numId w:val="20"/>
              </w:numPr>
              <w:bidi w:val="0"/>
              <w:rPr>
                <w:rFonts w:hint="default"/>
                <w:color w:val="auto"/>
                <w:lang w:val="en-US" w:eastAsia="zh-CN"/>
              </w:rPr>
            </w:pPr>
            <w:r>
              <w:rPr>
                <w:rFonts w:hint="eastAsia"/>
                <w:color w:val="auto"/>
                <w:lang w:val="en-US" w:eastAsia="zh-CN"/>
              </w:rPr>
              <w:t>建设项目竣工环境保护验收</w:t>
            </w:r>
            <w:r>
              <w:rPr>
                <w:rFonts w:hint="default"/>
                <w:color w:val="auto"/>
                <w:lang w:val="en-US" w:eastAsia="zh-CN"/>
              </w:rPr>
              <w:t>“</w:t>
            </w:r>
            <w:r>
              <w:rPr>
                <w:rFonts w:hint="eastAsia"/>
                <w:color w:val="auto"/>
                <w:lang w:val="en-US" w:eastAsia="zh-CN"/>
              </w:rPr>
              <w:t>三同时</w:t>
            </w:r>
            <w:r>
              <w:rPr>
                <w:rFonts w:hint="default"/>
                <w:color w:val="auto"/>
                <w:lang w:val="en-US" w:eastAsia="zh-CN"/>
              </w:rPr>
              <w:t>”</w:t>
            </w:r>
          </w:p>
          <w:p>
            <w:pPr>
              <w:pStyle w:val="18"/>
              <w:bidi w:val="0"/>
              <w:rPr>
                <w:rFonts w:hint="eastAsia"/>
                <w:color w:val="auto"/>
                <w:lang w:val="en-US" w:eastAsia="zh-CN"/>
              </w:rPr>
            </w:pPr>
            <w:r>
              <w:rPr>
                <w:rFonts w:hint="eastAsia"/>
                <w:color w:val="auto"/>
                <w:lang w:val="en-US" w:eastAsia="zh-CN"/>
              </w:rPr>
              <w:t>根据《建设项目环境保护管理条例》建设项目竣工环境保护验收</w:t>
            </w:r>
            <w:r>
              <w:rPr>
                <w:rFonts w:hint="default"/>
                <w:color w:val="auto"/>
                <w:lang w:val="en-US" w:eastAsia="zh-CN"/>
              </w:rPr>
              <w:t>“</w:t>
            </w:r>
            <w:r>
              <w:rPr>
                <w:rFonts w:hint="eastAsia"/>
                <w:color w:val="auto"/>
                <w:lang w:val="en-US" w:eastAsia="zh-CN"/>
              </w:rPr>
              <w:t>三同时</w:t>
            </w:r>
            <w:r>
              <w:rPr>
                <w:rFonts w:hint="default"/>
                <w:color w:val="auto"/>
                <w:lang w:val="en-US" w:eastAsia="zh-CN"/>
              </w:rPr>
              <w:t>”</w:t>
            </w:r>
            <w:r>
              <w:rPr>
                <w:rFonts w:hint="eastAsia"/>
                <w:color w:val="auto"/>
                <w:lang w:val="en-US" w:eastAsia="zh-CN"/>
              </w:rPr>
              <w:t>一览表见表 4-15。</w:t>
            </w:r>
          </w:p>
          <w:p>
            <w:pPr>
              <w:pStyle w:val="28"/>
              <w:bidi w:val="0"/>
              <w:rPr>
                <w:color w:val="auto"/>
              </w:rPr>
            </w:pPr>
            <w:r>
              <w:rPr>
                <w:rFonts w:hint="eastAsia"/>
                <w:color w:val="auto"/>
                <w:lang w:val="en-US" w:eastAsia="zh-CN"/>
              </w:rPr>
              <w:t>表4-15    环境保护</w:t>
            </w:r>
            <w:r>
              <w:rPr>
                <w:rFonts w:hint="default"/>
                <w:color w:val="auto"/>
                <w:lang w:val="en-US" w:eastAsia="zh-CN"/>
              </w:rPr>
              <w:t>“</w:t>
            </w:r>
            <w:r>
              <w:rPr>
                <w:rFonts w:hint="eastAsia"/>
                <w:color w:val="auto"/>
                <w:lang w:val="en-US" w:eastAsia="zh-CN"/>
              </w:rPr>
              <w:t>三同时</w:t>
            </w:r>
            <w:r>
              <w:rPr>
                <w:rFonts w:hint="default"/>
                <w:color w:val="auto"/>
                <w:lang w:val="en-US" w:eastAsia="zh-CN"/>
              </w:rPr>
              <w:t>”</w:t>
            </w:r>
            <w:r>
              <w:rPr>
                <w:rFonts w:hint="eastAsia"/>
                <w:color w:val="auto"/>
                <w:lang w:val="en-US" w:eastAsia="zh-CN"/>
              </w:rPr>
              <w:t>验收一览表</w:t>
            </w:r>
          </w:p>
          <w:tbl>
            <w:tblPr>
              <w:tblStyle w:val="22"/>
              <w:tblW w:w="787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5"/>
              <w:gridCol w:w="2550"/>
              <w:gridCol w:w="707"/>
              <w:gridCol w:w="277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类别</w:t>
                  </w:r>
                </w:p>
              </w:tc>
              <w:tc>
                <w:tcPr>
                  <w:tcW w:w="1135" w:type="dxa"/>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污染物</w:t>
                  </w:r>
                </w:p>
              </w:tc>
              <w:tc>
                <w:tcPr>
                  <w:tcW w:w="2550" w:type="dxa"/>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环保设施名称</w:t>
                  </w:r>
                </w:p>
              </w:tc>
              <w:tc>
                <w:tcPr>
                  <w:tcW w:w="707" w:type="dxa"/>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数量</w:t>
                  </w:r>
                </w:p>
              </w:tc>
              <w:tc>
                <w:tcPr>
                  <w:tcW w:w="2771" w:type="dxa"/>
                  <w:tcBorders>
                    <w:bottom w:val="single" w:color="auto" w:sz="12" w:space="0"/>
                  </w:tcBorders>
                  <w:vAlign w:val="center"/>
                </w:tcPr>
                <w:p>
                  <w:pPr>
                    <w:pStyle w:val="29"/>
                    <w:widowControl w:val="0"/>
                    <w:bidi w:val="0"/>
                    <w:rPr>
                      <w:rFonts w:hint="default"/>
                      <w:b/>
                      <w:bCs/>
                      <w:color w:val="auto"/>
                      <w:lang w:val="en-US" w:eastAsia="zh-CN"/>
                    </w:rPr>
                  </w:pPr>
                  <w:r>
                    <w:rPr>
                      <w:rFonts w:hint="eastAsia"/>
                      <w:b/>
                      <w:bCs/>
                      <w:color w:val="auto"/>
                      <w:lang w:val="en-US" w:eastAsia="zh-CN"/>
                    </w:rPr>
                    <w:t>验收标准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废气治理</w:t>
                  </w:r>
                </w:p>
              </w:tc>
              <w:tc>
                <w:tcPr>
                  <w:tcW w:w="1135" w:type="dxa"/>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颗粒物</w:t>
                  </w:r>
                </w:p>
              </w:tc>
              <w:tc>
                <w:tcPr>
                  <w:tcW w:w="2550" w:type="dxa"/>
                  <w:vMerge w:val="restar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污水收集池产生的废气经管道收集，转运压缩车间产生的废气采用密闭负压收集</w:t>
                  </w:r>
                  <w:r>
                    <w:rPr>
                      <w:rFonts w:hint="default"/>
                      <w:color w:val="auto"/>
                      <w:lang w:val="en-US" w:eastAsia="zh-CN"/>
                    </w:rPr>
                    <w:t>+</w:t>
                  </w:r>
                  <w:r>
                    <w:rPr>
                      <w:rFonts w:hint="eastAsia"/>
                      <w:color w:val="auto"/>
                      <w:lang w:val="en-US" w:eastAsia="zh-CN"/>
                    </w:rPr>
                    <w:t>前端植物液雾化除臭，两者共用一套</w:t>
                  </w:r>
                  <w:r>
                    <w:rPr>
                      <w:rFonts w:hint="default"/>
                      <w:color w:val="auto"/>
                      <w:lang w:val="en-US" w:eastAsia="zh-CN"/>
                    </w:rPr>
                    <w:t>“</w:t>
                  </w:r>
                  <w:r>
                    <w:rPr>
                      <w:color w:val="auto"/>
                    </w:rPr>
                    <w:t>喷雾除臭除尘</w:t>
                  </w:r>
                  <w:r>
                    <w:rPr>
                      <w:rFonts w:hint="eastAsia"/>
                      <w:color w:val="auto"/>
                    </w:rPr>
                    <w:t>装置</w:t>
                  </w:r>
                  <w:r>
                    <w:rPr>
                      <w:rFonts w:hint="default"/>
                      <w:color w:val="auto"/>
                      <w:lang w:val="en-US" w:eastAsia="zh-CN"/>
                    </w:rPr>
                    <w:t>”</w:t>
                  </w:r>
                  <w:r>
                    <w:rPr>
                      <w:rFonts w:hint="eastAsia"/>
                      <w:color w:val="auto"/>
                      <w:lang w:val="en-US" w:eastAsia="zh-CN"/>
                    </w:rPr>
                    <w:t xml:space="preserve">处理后经 </w:t>
                  </w:r>
                  <w:r>
                    <w:rPr>
                      <w:rFonts w:hint="default"/>
                      <w:color w:val="auto"/>
                      <w:lang w:val="en-US" w:eastAsia="zh-CN"/>
                    </w:rPr>
                    <w:t xml:space="preserve">15 </w:t>
                  </w:r>
                  <w:r>
                    <w:rPr>
                      <w:rFonts w:hint="eastAsia"/>
                      <w:color w:val="auto"/>
                      <w:lang w:val="en-US" w:eastAsia="zh-CN"/>
                    </w:rPr>
                    <w:t>米排气筒排放</w:t>
                  </w:r>
                </w:p>
              </w:tc>
              <w:tc>
                <w:tcPr>
                  <w:tcW w:w="707" w:type="dxa"/>
                  <w:vMerge w:val="restart"/>
                  <w:tcBorders>
                    <w:top w:val="single" w:color="auto" w:sz="12" w:space="0"/>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w:t>
                  </w:r>
                </w:p>
              </w:tc>
              <w:tc>
                <w:tcPr>
                  <w:tcW w:w="2771" w:type="dxa"/>
                  <w:tcBorders>
                    <w:top w:val="single" w:color="auto" w:sz="12" w:space="0"/>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vMerge w:val="continue"/>
                  <w:tcBorders>
                    <w:tl2br w:val="nil"/>
                    <w:tr2bl w:val="nil"/>
                  </w:tcBorders>
                  <w:vAlign w:val="center"/>
                </w:tcPr>
                <w:p>
                  <w:pPr>
                    <w:pStyle w:val="29"/>
                    <w:widowControl w:val="0"/>
                    <w:bidi w:val="0"/>
                    <w:rPr>
                      <w:rFonts w:hint="eastAsia"/>
                      <w:color w:val="auto"/>
                      <w:lang w:val="en-US" w:eastAsia="zh-CN"/>
                    </w:rPr>
                  </w:pPr>
                </w:p>
              </w:tc>
              <w:tc>
                <w:tcPr>
                  <w:tcW w:w="1135" w:type="dxa"/>
                  <w:tcBorders>
                    <w:tl2br w:val="nil"/>
                    <w:tr2bl w:val="nil"/>
                  </w:tcBorders>
                  <w:vAlign w:val="center"/>
                </w:tcPr>
                <w:p>
                  <w:pPr>
                    <w:pStyle w:val="29"/>
                    <w:widowControl w:val="0"/>
                    <w:bidi w:val="0"/>
                    <w:rPr>
                      <w:rFonts w:hint="default"/>
                      <w:color w:val="auto"/>
                      <w:lang w:val="en-US" w:eastAsia="zh-CN"/>
                    </w:rPr>
                  </w:pPr>
                  <w:r>
                    <w:rPr>
                      <w:rFonts w:hint="default"/>
                      <w:color w:val="auto"/>
                      <w:lang w:eastAsia="zh-CN"/>
                    </w:rPr>
                    <w:t>硫化氢</w:t>
                  </w:r>
                </w:p>
              </w:tc>
              <w:tc>
                <w:tcPr>
                  <w:tcW w:w="2550" w:type="dxa"/>
                  <w:vMerge w:val="continue"/>
                  <w:tcBorders>
                    <w:tl2br w:val="nil"/>
                    <w:tr2bl w:val="nil"/>
                  </w:tcBorders>
                  <w:vAlign w:val="center"/>
                </w:tcPr>
                <w:p>
                  <w:pPr>
                    <w:pStyle w:val="29"/>
                    <w:widowControl w:val="0"/>
                    <w:bidi w:val="0"/>
                    <w:rPr>
                      <w:rFonts w:hint="default"/>
                      <w:color w:val="auto"/>
                      <w:lang w:val="en-US" w:eastAsia="zh-CN"/>
                    </w:rPr>
                  </w:pPr>
                </w:p>
              </w:tc>
              <w:tc>
                <w:tcPr>
                  <w:tcW w:w="707" w:type="dxa"/>
                  <w:vMerge w:val="continue"/>
                  <w:tcBorders>
                    <w:tl2br w:val="nil"/>
                    <w:tr2bl w:val="nil"/>
                  </w:tcBorders>
                  <w:vAlign w:val="center"/>
                </w:tcPr>
                <w:p>
                  <w:pPr>
                    <w:pStyle w:val="29"/>
                    <w:widowControl w:val="0"/>
                    <w:bidi w:val="0"/>
                    <w:rPr>
                      <w:rFonts w:hint="default"/>
                      <w:color w:val="auto"/>
                      <w:lang w:val="en-US" w:eastAsia="zh-CN"/>
                    </w:rPr>
                  </w:pPr>
                </w:p>
              </w:tc>
              <w:tc>
                <w:tcPr>
                  <w:tcW w:w="2771" w:type="dxa"/>
                  <w:vMerge w:val="restart"/>
                  <w:tcBorders>
                    <w:tl2br w:val="nil"/>
                    <w:tr2bl w:val="nil"/>
                  </w:tcBorders>
                  <w:vAlign w:val="center"/>
                </w:tcPr>
                <w:p>
                  <w:pPr>
                    <w:pStyle w:val="29"/>
                    <w:widowControl w:val="0"/>
                    <w:bidi w:val="0"/>
                    <w:rPr>
                      <w:rFonts w:hint="default"/>
                      <w:color w:val="auto"/>
                      <w:lang w:val="en-US" w:eastAsia="zh-CN"/>
                    </w:rPr>
                  </w:pPr>
                  <w:r>
                    <w:rPr>
                      <w:rFonts w:hint="default"/>
                      <w:color w:val="auto"/>
                      <w:lang w:val="en-US" w:eastAsia="zh-CN"/>
                    </w:rPr>
                    <w:t>《恶臭污染物排放标准》（GB 19554-93）</w:t>
                  </w:r>
                  <w:r>
                    <w:rPr>
                      <w:rFonts w:hint="eastAsia"/>
                      <w:color w:val="auto"/>
                      <w:lang w:val="en-US" w:eastAsia="zh-CN"/>
                    </w:rPr>
                    <w:t>二</w:t>
                  </w:r>
                  <w:r>
                    <w:rPr>
                      <w:rFonts w:hint="eastAsia" w:eastAsia="宋体"/>
                      <w:color w:val="auto"/>
                      <w:lang w:val="en-US" w:eastAsia="zh-CN"/>
                    </w:rPr>
                    <w:t>级标准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l2br w:val="nil"/>
                    <w:tr2bl w:val="nil"/>
                  </w:tcBorders>
                  <w:vAlign w:val="center"/>
                </w:tcPr>
                <w:p>
                  <w:pPr>
                    <w:pStyle w:val="29"/>
                    <w:widowControl w:val="0"/>
                    <w:bidi w:val="0"/>
                    <w:rPr>
                      <w:rFonts w:hint="eastAsia"/>
                      <w:color w:val="auto"/>
                      <w:lang w:val="en-US" w:eastAsia="zh-CN"/>
                    </w:rPr>
                  </w:pPr>
                </w:p>
              </w:tc>
              <w:tc>
                <w:tcPr>
                  <w:tcW w:w="1135" w:type="dxa"/>
                  <w:tcBorders>
                    <w:tl2br w:val="nil"/>
                    <w:tr2bl w:val="nil"/>
                  </w:tcBorders>
                  <w:vAlign w:val="center"/>
                </w:tcPr>
                <w:p>
                  <w:pPr>
                    <w:pStyle w:val="29"/>
                    <w:widowControl w:val="0"/>
                    <w:bidi w:val="0"/>
                    <w:rPr>
                      <w:rFonts w:hint="eastAsia"/>
                      <w:color w:val="auto"/>
                      <w:lang w:val="en-US" w:eastAsia="zh-CN"/>
                    </w:rPr>
                  </w:pPr>
                  <w:r>
                    <w:rPr>
                      <w:rFonts w:hint="default"/>
                      <w:color w:val="auto"/>
                      <w:lang w:eastAsia="zh-CN"/>
                    </w:rPr>
                    <w:t>氨气</w:t>
                  </w:r>
                </w:p>
              </w:tc>
              <w:tc>
                <w:tcPr>
                  <w:tcW w:w="2550" w:type="dxa"/>
                  <w:vMerge w:val="continue"/>
                  <w:tcBorders>
                    <w:tl2br w:val="nil"/>
                    <w:tr2bl w:val="nil"/>
                  </w:tcBorders>
                  <w:vAlign w:val="center"/>
                </w:tcPr>
                <w:p>
                  <w:pPr>
                    <w:pStyle w:val="29"/>
                    <w:widowControl w:val="0"/>
                    <w:bidi w:val="0"/>
                    <w:rPr>
                      <w:rFonts w:hint="eastAsia"/>
                      <w:color w:val="auto"/>
                      <w:lang w:val="en-US" w:eastAsia="zh-CN"/>
                    </w:rPr>
                  </w:pPr>
                </w:p>
              </w:tc>
              <w:tc>
                <w:tcPr>
                  <w:tcW w:w="707" w:type="dxa"/>
                  <w:vMerge w:val="continue"/>
                  <w:tcBorders>
                    <w:tl2br w:val="nil"/>
                    <w:tr2bl w:val="nil"/>
                  </w:tcBorders>
                  <w:vAlign w:val="center"/>
                </w:tcPr>
                <w:p>
                  <w:pPr>
                    <w:pStyle w:val="29"/>
                    <w:widowControl w:val="0"/>
                    <w:bidi w:val="0"/>
                    <w:rPr>
                      <w:rFonts w:hint="eastAsia"/>
                      <w:color w:val="auto"/>
                      <w:lang w:val="en-US" w:eastAsia="zh-CN"/>
                    </w:rPr>
                  </w:pPr>
                </w:p>
              </w:tc>
              <w:tc>
                <w:tcPr>
                  <w:tcW w:w="2771" w:type="dxa"/>
                  <w:vMerge w:val="continue"/>
                  <w:tcBorders>
                    <w:tl2br w:val="nil"/>
                    <w:tr2bl w:val="nil"/>
                  </w:tcBorders>
                  <w:vAlign w:val="center"/>
                </w:tcPr>
                <w:p>
                  <w:pPr>
                    <w:pStyle w:val="29"/>
                    <w:widowControl w:val="0"/>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l2br w:val="nil"/>
                    <w:tr2bl w:val="nil"/>
                  </w:tcBorders>
                  <w:vAlign w:val="center"/>
                </w:tcPr>
                <w:p>
                  <w:pPr>
                    <w:pStyle w:val="29"/>
                    <w:widowControl w:val="0"/>
                    <w:bidi w:val="0"/>
                    <w:rPr>
                      <w:rFonts w:hint="eastAsia"/>
                      <w:color w:val="auto"/>
                      <w:lang w:val="en-US" w:eastAsia="zh-CN"/>
                    </w:rPr>
                  </w:pPr>
                </w:p>
              </w:tc>
              <w:tc>
                <w:tcPr>
                  <w:tcW w:w="1135" w:type="dxa"/>
                  <w:tcBorders>
                    <w:tl2br w:val="nil"/>
                    <w:tr2bl w:val="nil"/>
                  </w:tcBorders>
                  <w:vAlign w:val="center"/>
                </w:tcPr>
                <w:p>
                  <w:pPr>
                    <w:pStyle w:val="29"/>
                    <w:widowControl w:val="0"/>
                    <w:bidi w:val="0"/>
                    <w:rPr>
                      <w:rFonts w:hint="eastAsia"/>
                      <w:color w:val="auto"/>
                      <w:lang w:val="en-US" w:eastAsia="zh-CN"/>
                    </w:rPr>
                  </w:pPr>
                  <w:r>
                    <w:rPr>
                      <w:rFonts w:hint="eastAsia"/>
                      <w:color w:val="auto"/>
                      <w:lang w:eastAsia="zh-CN"/>
                    </w:rPr>
                    <w:t>臭气浓度</w:t>
                  </w:r>
                </w:p>
              </w:tc>
              <w:tc>
                <w:tcPr>
                  <w:tcW w:w="2550" w:type="dxa"/>
                  <w:vMerge w:val="continue"/>
                  <w:tcBorders>
                    <w:tl2br w:val="nil"/>
                    <w:tr2bl w:val="nil"/>
                  </w:tcBorders>
                  <w:vAlign w:val="center"/>
                </w:tcPr>
                <w:p>
                  <w:pPr>
                    <w:pStyle w:val="29"/>
                    <w:widowControl w:val="0"/>
                    <w:bidi w:val="0"/>
                    <w:rPr>
                      <w:rFonts w:hint="eastAsia"/>
                      <w:color w:val="auto"/>
                      <w:lang w:val="en-US" w:eastAsia="zh-CN"/>
                    </w:rPr>
                  </w:pPr>
                </w:p>
              </w:tc>
              <w:tc>
                <w:tcPr>
                  <w:tcW w:w="707" w:type="dxa"/>
                  <w:vMerge w:val="continue"/>
                  <w:tcBorders>
                    <w:tl2br w:val="nil"/>
                    <w:tr2bl w:val="nil"/>
                  </w:tcBorders>
                  <w:vAlign w:val="center"/>
                </w:tcPr>
                <w:p>
                  <w:pPr>
                    <w:pStyle w:val="29"/>
                    <w:widowControl w:val="0"/>
                    <w:bidi w:val="0"/>
                    <w:rPr>
                      <w:rFonts w:hint="eastAsia"/>
                      <w:color w:val="auto"/>
                      <w:lang w:val="en-US" w:eastAsia="zh-CN"/>
                    </w:rPr>
                  </w:pPr>
                </w:p>
              </w:tc>
              <w:tc>
                <w:tcPr>
                  <w:tcW w:w="2771" w:type="dxa"/>
                  <w:vMerge w:val="continue"/>
                  <w:tcBorders>
                    <w:tl2br w:val="nil"/>
                    <w:tr2bl w:val="nil"/>
                  </w:tcBorders>
                  <w:vAlign w:val="center"/>
                </w:tcPr>
                <w:p>
                  <w:pPr>
                    <w:pStyle w:val="29"/>
                    <w:widowControl w:val="0"/>
                    <w:bidi w:val="0"/>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l2br w:val="nil"/>
                    <w:tr2bl w:val="nil"/>
                  </w:tcBorders>
                  <w:vAlign w:val="center"/>
                </w:tcPr>
                <w:p>
                  <w:pPr>
                    <w:pStyle w:val="29"/>
                    <w:widowControl w:val="0"/>
                    <w:bidi w:val="0"/>
                    <w:rPr>
                      <w:rFonts w:hint="default"/>
                      <w:color w:val="auto"/>
                      <w:lang w:val="en-US" w:eastAsia="zh-CN"/>
                    </w:rPr>
                  </w:pPr>
                </w:p>
              </w:tc>
              <w:tc>
                <w:tcPr>
                  <w:tcW w:w="1135" w:type="dxa"/>
                  <w:tcBorders>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 xml:space="preserve">NH3、H2S、臭气 </w:t>
                  </w:r>
                </w:p>
                <w:p>
                  <w:pPr>
                    <w:pStyle w:val="29"/>
                    <w:widowControl w:val="0"/>
                    <w:bidi w:val="0"/>
                    <w:rPr>
                      <w:rFonts w:hint="eastAsia"/>
                      <w:color w:val="auto"/>
                      <w:lang w:val="en-US" w:eastAsia="zh-CN"/>
                    </w:rPr>
                  </w:pPr>
                  <w:r>
                    <w:rPr>
                      <w:rFonts w:hint="eastAsia"/>
                      <w:color w:val="auto"/>
                      <w:lang w:val="en-US" w:eastAsia="zh-CN"/>
                    </w:rPr>
                    <w:t>浓度</w:t>
                  </w:r>
                </w:p>
              </w:tc>
              <w:tc>
                <w:tcPr>
                  <w:tcW w:w="255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w:t>
                  </w:r>
                </w:p>
              </w:tc>
              <w:tc>
                <w:tcPr>
                  <w:tcW w:w="707" w:type="dxa"/>
                  <w:tcBorders>
                    <w:tl2br w:val="nil"/>
                    <w:tr2bl w:val="nil"/>
                  </w:tcBorders>
                  <w:vAlign w:val="center"/>
                </w:tcPr>
                <w:p>
                  <w:pPr>
                    <w:pStyle w:val="29"/>
                    <w:widowControl w:val="0"/>
                    <w:bidi w:val="0"/>
                    <w:rPr>
                      <w:rFonts w:hint="eastAsia"/>
                      <w:color w:val="auto"/>
                      <w:lang w:val="en-US" w:eastAsia="zh-CN"/>
                    </w:rPr>
                  </w:pPr>
                  <w:r>
                    <w:rPr>
                      <w:rFonts w:hint="eastAsia"/>
                      <w:color w:val="auto"/>
                      <w:lang w:val="en-US" w:eastAsia="zh-CN"/>
                    </w:rPr>
                    <w:t>-</w:t>
                  </w:r>
                </w:p>
              </w:tc>
              <w:tc>
                <w:tcPr>
                  <w:tcW w:w="2771" w:type="dxa"/>
                  <w:tcBorders>
                    <w:tl2br w:val="nil"/>
                    <w:tr2bl w:val="nil"/>
                  </w:tcBorders>
                  <w:vAlign w:val="center"/>
                </w:tcPr>
                <w:p>
                  <w:pPr>
                    <w:pStyle w:val="29"/>
                    <w:widowControl w:val="0"/>
                    <w:bidi w:val="0"/>
                    <w:jc w:val="left"/>
                    <w:rPr>
                      <w:rFonts w:hint="eastAsia"/>
                      <w:color w:val="auto"/>
                      <w:lang w:val="en-US" w:eastAsia="zh-CN"/>
                    </w:rPr>
                  </w:pPr>
                  <w:r>
                    <w:rPr>
                      <w:rFonts w:hint="default"/>
                      <w:color w:val="auto"/>
                      <w:lang w:val="en-US" w:eastAsia="zh-CN"/>
                    </w:rPr>
                    <w:t>恶臭污染物排放标准》（GB 19554-93）无组织排放厂界浓度限值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tcBorders>
                    <w:tl2br w:val="nil"/>
                    <w:tr2bl w:val="nil"/>
                  </w:tcBorders>
                  <w:vAlign w:val="center"/>
                </w:tcPr>
                <w:p>
                  <w:pPr>
                    <w:pStyle w:val="29"/>
                    <w:widowControl w:val="0"/>
                    <w:bidi w:val="0"/>
                    <w:rPr>
                      <w:rFonts w:hint="default"/>
                      <w:color w:val="auto"/>
                      <w:lang w:val="en-US" w:eastAsia="zh-CN"/>
                    </w:rPr>
                  </w:pPr>
                </w:p>
              </w:tc>
              <w:tc>
                <w:tcPr>
                  <w:tcW w:w="113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食堂油烟</w:t>
                  </w:r>
                </w:p>
              </w:tc>
              <w:tc>
                <w:tcPr>
                  <w:tcW w:w="255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油烟净化器</w:t>
                  </w:r>
                </w:p>
              </w:tc>
              <w:tc>
                <w:tcPr>
                  <w:tcW w:w="70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w:t>
                  </w:r>
                </w:p>
              </w:tc>
              <w:tc>
                <w:tcPr>
                  <w:tcW w:w="2771" w:type="dxa"/>
                  <w:tcBorders>
                    <w:tl2br w:val="nil"/>
                    <w:tr2bl w:val="nil"/>
                  </w:tcBorders>
                  <w:vAlign w:val="center"/>
                </w:tcPr>
                <w:p>
                  <w:pPr>
                    <w:pStyle w:val="29"/>
                    <w:widowControl w:val="0"/>
                    <w:bidi w:val="0"/>
                    <w:jc w:val="left"/>
                    <w:rPr>
                      <w:rFonts w:hint="default"/>
                      <w:color w:val="auto"/>
                      <w:lang w:val="en-US" w:eastAsia="zh-CN"/>
                    </w:rPr>
                  </w:pPr>
                  <w:r>
                    <w:rPr>
                      <w:rFonts w:hint="eastAsia"/>
                      <w:color w:val="auto"/>
                      <w:lang w:val="en-US" w:eastAsia="zh-CN"/>
                    </w:rPr>
                    <w:t>《饮食业油烟排放标准》（试行）（GB18483-2001）油烟最高允许排放浓度2.0mg/m</w:t>
                  </w:r>
                  <w:r>
                    <w:rPr>
                      <w:rFonts w:hint="eastAsia"/>
                      <w:color w:val="auto"/>
                      <w:vertAlign w:val="superscript"/>
                      <w:lang w:val="en-US" w:eastAsia="zh-CN"/>
                    </w:rPr>
                    <w:t>3</w:t>
                  </w:r>
                  <w:r>
                    <w:rPr>
                      <w:rFonts w:hint="eastAsia"/>
                      <w:color w:val="auto"/>
                      <w:lang w:val="en-US" w:eastAsia="zh-CN"/>
                    </w:rPr>
                    <w:t>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废水治理</w:t>
                  </w:r>
                </w:p>
              </w:tc>
              <w:tc>
                <w:tcPr>
                  <w:tcW w:w="1135" w:type="dxa"/>
                  <w:tcBorders>
                    <w:tl2br w:val="nil"/>
                    <w:tr2bl w:val="nil"/>
                  </w:tcBorders>
                  <w:vAlign w:val="center"/>
                </w:tcPr>
                <w:p>
                  <w:pPr>
                    <w:pStyle w:val="29"/>
                    <w:widowControl w:val="0"/>
                    <w:bidi w:val="0"/>
                    <w:rPr>
                      <w:rFonts w:hint="default"/>
                      <w:color w:val="auto"/>
                      <w:lang w:val="en-US" w:eastAsia="zh-CN"/>
                    </w:rPr>
                  </w:pPr>
                  <w:r>
                    <w:rPr>
                      <w:rFonts w:hint="default"/>
                      <w:color w:val="auto"/>
                      <w:lang w:eastAsia="zh-CN"/>
                    </w:rPr>
                    <w:t>生产废水</w:t>
                  </w:r>
                  <w:r>
                    <w:rPr>
                      <w:rFonts w:hint="eastAsia"/>
                      <w:color w:val="auto"/>
                      <w:lang w:eastAsia="zh-CN"/>
                    </w:rPr>
                    <w:t>、</w:t>
                  </w:r>
                  <w:r>
                    <w:rPr>
                      <w:rFonts w:hint="eastAsia"/>
                      <w:color w:val="auto"/>
                      <w:lang w:val="en-US" w:eastAsia="zh-CN"/>
                    </w:rPr>
                    <w:t>生活污水</w:t>
                  </w:r>
                </w:p>
              </w:tc>
              <w:tc>
                <w:tcPr>
                  <w:tcW w:w="255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污水收集池，吸污车拉运至昌吉市生活垃圾填埋场</w:t>
                  </w:r>
                </w:p>
              </w:tc>
              <w:tc>
                <w:tcPr>
                  <w:tcW w:w="70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w:t>
                  </w:r>
                </w:p>
              </w:tc>
              <w:tc>
                <w:tcPr>
                  <w:tcW w:w="2771" w:type="dxa"/>
                  <w:tcBorders>
                    <w:tl2br w:val="nil"/>
                    <w:tr2bl w:val="nil"/>
                  </w:tcBorders>
                  <w:vAlign w:val="center"/>
                </w:tcPr>
                <w:p>
                  <w:pPr>
                    <w:pStyle w:val="29"/>
                    <w:widowControl w:val="0"/>
                    <w:bidi w:val="0"/>
                    <w:jc w:val="left"/>
                    <w:rPr>
                      <w:rFonts w:hint="default"/>
                      <w:color w:val="auto"/>
                      <w:lang w:val="en-US" w:eastAsia="zh-CN"/>
                    </w:rPr>
                  </w:pPr>
                  <w:r>
                    <w:rPr>
                      <w:rFonts w:hint="eastAsia"/>
                      <w:color w:val="auto"/>
                      <w:lang w:val="en-US" w:eastAsia="zh-CN"/>
                    </w:rPr>
                    <w:t>待项目建成后，完善并补充污水处理协议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噪声治理</w:t>
                  </w:r>
                </w:p>
              </w:tc>
              <w:tc>
                <w:tcPr>
                  <w:tcW w:w="113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生产设备</w:t>
                  </w:r>
                </w:p>
              </w:tc>
              <w:tc>
                <w:tcPr>
                  <w:tcW w:w="255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基础减震、厂房隔声</w:t>
                  </w:r>
                </w:p>
              </w:tc>
              <w:tc>
                <w:tcPr>
                  <w:tcW w:w="70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w:t>
                  </w:r>
                </w:p>
              </w:tc>
              <w:tc>
                <w:tcPr>
                  <w:tcW w:w="2771" w:type="dxa"/>
                  <w:tcBorders>
                    <w:tl2br w:val="nil"/>
                    <w:tr2bl w:val="nil"/>
                  </w:tcBorders>
                  <w:vAlign w:val="center"/>
                </w:tcPr>
                <w:p>
                  <w:pPr>
                    <w:pStyle w:val="29"/>
                    <w:widowControl w:val="0"/>
                    <w:bidi w:val="0"/>
                    <w:jc w:val="left"/>
                    <w:rPr>
                      <w:rFonts w:hint="default"/>
                      <w:color w:val="auto"/>
                      <w:lang w:val="en-US" w:eastAsia="zh-CN"/>
                    </w:rPr>
                  </w:pPr>
                  <w:r>
                    <w:rPr>
                      <w:rFonts w:hint="default"/>
                      <w:color w:val="auto"/>
                      <w:lang w:val="en-US" w:eastAsia="zh-CN"/>
                    </w:rPr>
                    <w:t>《工业企业厂界环境噪声排放标准》（GB12348-2008）</w:t>
                  </w:r>
                  <w:r>
                    <w:rPr>
                      <w:rFonts w:hint="eastAsia"/>
                      <w:color w:val="auto"/>
                      <w:lang w:val="en-US" w:eastAsia="zh-CN"/>
                    </w:rPr>
                    <w:t>2</w:t>
                  </w:r>
                  <w:r>
                    <w:rPr>
                      <w:rFonts w:hint="default"/>
                      <w:color w:val="auto"/>
                      <w:lang w:val="en-US" w:eastAsia="zh-CN"/>
                    </w:rPr>
                    <w:t xml:space="preserve"> 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固废治理</w:t>
                  </w:r>
                </w:p>
              </w:tc>
              <w:tc>
                <w:tcPr>
                  <w:tcW w:w="1135"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生活垃圾</w:t>
                  </w:r>
                </w:p>
              </w:tc>
              <w:tc>
                <w:tcPr>
                  <w:tcW w:w="2550"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垃圾箱、污泥脱水干化</w:t>
                  </w:r>
                </w:p>
              </w:tc>
              <w:tc>
                <w:tcPr>
                  <w:tcW w:w="707" w:type="dxa"/>
                  <w:tcBorders>
                    <w:tl2br w:val="nil"/>
                    <w:tr2bl w:val="nil"/>
                  </w:tcBorders>
                  <w:vAlign w:val="center"/>
                </w:tcPr>
                <w:p>
                  <w:pPr>
                    <w:pStyle w:val="29"/>
                    <w:widowControl w:val="0"/>
                    <w:bidi w:val="0"/>
                    <w:rPr>
                      <w:rFonts w:hint="default"/>
                      <w:color w:val="auto"/>
                      <w:lang w:val="en-US" w:eastAsia="zh-CN"/>
                    </w:rPr>
                  </w:pPr>
                  <w:r>
                    <w:rPr>
                      <w:rFonts w:hint="eastAsia"/>
                      <w:color w:val="auto"/>
                      <w:lang w:val="en-US" w:eastAsia="zh-CN"/>
                    </w:rPr>
                    <w:t>1</w:t>
                  </w:r>
                </w:p>
              </w:tc>
              <w:tc>
                <w:tcPr>
                  <w:tcW w:w="2771" w:type="dxa"/>
                  <w:tcBorders>
                    <w:tl2br w:val="nil"/>
                    <w:tr2bl w:val="nil"/>
                  </w:tcBorders>
                  <w:vAlign w:val="center"/>
                </w:tcPr>
                <w:p>
                  <w:pPr>
                    <w:pStyle w:val="29"/>
                    <w:widowControl w:val="0"/>
                    <w:bidi w:val="0"/>
                    <w:jc w:val="left"/>
                    <w:rPr>
                      <w:rFonts w:hint="default"/>
                      <w:color w:val="auto"/>
                      <w:lang w:val="en-US" w:eastAsia="zh-CN"/>
                    </w:rPr>
                  </w:pPr>
                  <w:r>
                    <w:rPr>
                      <w:rFonts w:hint="eastAsia"/>
                      <w:color w:val="auto"/>
                      <w:lang w:val="en-US" w:eastAsia="zh-CN"/>
                    </w:rPr>
                    <w:t>集中收集后运至昌吉市生活垃圾填埋场处理</w:t>
                  </w:r>
                </w:p>
              </w:tc>
            </w:tr>
          </w:tbl>
          <w:p>
            <w:pPr>
              <w:pStyle w:val="18"/>
              <w:bidi w:val="0"/>
              <w:ind w:left="0" w:leftChars="0" w:firstLine="0" w:firstLineChars="0"/>
              <w:rPr>
                <w:rFonts w:hint="default"/>
                <w:color w:val="auto"/>
                <w:lang w:val="en-US" w:eastAsia="zh-CN"/>
              </w:rPr>
            </w:pPr>
          </w:p>
        </w:tc>
      </w:tr>
    </w:tbl>
    <w:p>
      <w:pPr>
        <w:numPr>
          <w:ilvl w:val="0"/>
          <w:numId w:val="0"/>
        </w:numPr>
        <w:ind w:leftChars="0"/>
        <w:jc w:val="both"/>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numPr>
          <w:ilvl w:val="0"/>
          <w:numId w:val="2"/>
        </w:numPr>
        <w:bidi w:val="0"/>
        <w:ind w:left="0" w:leftChars="0" w:firstLine="0" w:firstLineChars="0"/>
        <w:rPr>
          <w:rFonts w:hint="eastAsia"/>
          <w:color w:val="auto"/>
        </w:rPr>
      </w:pPr>
      <w:bookmarkStart w:id="11" w:name="_Hlk54167917"/>
      <w:r>
        <w:rPr>
          <w:rFonts w:hint="eastAsia"/>
          <w:color w:val="auto"/>
        </w:rPr>
        <w:t>环境保护措施监督检查清单</w:t>
      </w:r>
      <w:bookmarkEnd w:id="11"/>
    </w:p>
    <w:tbl>
      <w:tblPr>
        <w:tblStyle w:val="22"/>
        <w:tblW w:w="85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736"/>
        <w:gridCol w:w="1438"/>
        <w:gridCol w:w="2237"/>
        <w:gridCol w:w="2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18" w:type="dxa"/>
            <w:tcBorders>
              <w:tl2br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r>
              <w:rPr>
                <w:rFonts w:hint="eastAsia"/>
                <w:color w:val="auto"/>
                <w:vertAlign w:val="baseline"/>
                <w:lang w:val="en-US" w:eastAsia="zh-CN"/>
              </w:rPr>
              <w:t xml:space="preserve"> </w:t>
            </w:r>
            <w:r>
              <w:rPr>
                <w:rFonts w:hint="eastAsia"/>
                <w:color w:val="auto"/>
                <w:vertAlign w:val="baseline"/>
                <w:lang w:eastAsia="zh-CN"/>
              </w:rPr>
              <w:t>内容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color w:val="auto"/>
                <w:vertAlign w:val="baseline"/>
                <w:lang w:eastAsia="zh-CN"/>
              </w:rPr>
            </w:pPr>
            <w:r>
              <w:rPr>
                <w:rFonts w:hint="eastAsia"/>
                <w:color w:val="auto"/>
                <w:vertAlign w:val="baseline"/>
                <w:lang w:eastAsia="zh-CN"/>
              </w:rPr>
              <w:t>要素</w:t>
            </w:r>
          </w:p>
        </w:tc>
        <w:tc>
          <w:tcPr>
            <w:tcW w:w="17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r>
              <w:rPr>
                <w:rFonts w:hint="eastAsia" w:ascii="宋体" w:hAnsi="宋体" w:cs="宋体"/>
                <w:color w:val="auto"/>
                <w:szCs w:val="21"/>
              </w:rPr>
              <w:t>排放口(编号、名称)/污染源</w:t>
            </w:r>
          </w:p>
        </w:tc>
        <w:tc>
          <w:tcPr>
            <w:tcW w:w="1438"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r>
              <w:rPr>
                <w:rFonts w:hint="eastAsia" w:ascii="宋体" w:hAnsi="宋体" w:cs="宋体"/>
                <w:color w:val="auto"/>
                <w:szCs w:val="21"/>
              </w:rPr>
              <w:t>污染物项目</w:t>
            </w:r>
          </w:p>
        </w:tc>
        <w:tc>
          <w:tcPr>
            <w:tcW w:w="223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r>
              <w:rPr>
                <w:rFonts w:hint="eastAsia" w:ascii="宋体" w:hAnsi="宋体" w:cs="宋体"/>
                <w:color w:val="auto"/>
                <w:szCs w:val="21"/>
              </w:rPr>
              <w:t>环境保护措施</w:t>
            </w:r>
          </w:p>
        </w:tc>
        <w:tc>
          <w:tcPr>
            <w:tcW w:w="2304"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r>
              <w:rPr>
                <w:rFonts w:hint="eastAsia" w:ascii="宋体" w:hAnsi="宋体" w:cs="宋体"/>
                <w:color w:val="auto"/>
                <w:szCs w:val="21"/>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r>
              <w:rPr>
                <w:rFonts w:hint="eastAsia" w:ascii="宋体" w:hAnsi="宋体" w:cs="宋体"/>
                <w:color w:val="auto"/>
                <w:szCs w:val="21"/>
              </w:rPr>
              <w:t>大气环境</w:t>
            </w:r>
          </w:p>
        </w:tc>
        <w:tc>
          <w:tcPr>
            <w:tcW w:w="1736"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eastAsia" w:cs="Times New Roman"/>
                <w:b w:val="0"/>
                <w:bCs/>
                <w:color w:val="auto"/>
                <w:sz w:val="24"/>
                <w:szCs w:val="24"/>
                <w:vertAlign w:val="baseline"/>
                <w:lang w:val="en-US" w:eastAsia="zh-CN"/>
              </w:rPr>
              <w:t>废气</w:t>
            </w:r>
            <w:r>
              <w:rPr>
                <w:rFonts w:hint="default" w:ascii="Times New Roman" w:hAnsi="Times New Roman" w:eastAsia="宋体" w:cs="Times New Roman"/>
                <w:b w:val="0"/>
                <w:bCs/>
                <w:color w:val="auto"/>
                <w:sz w:val="24"/>
                <w:szCs w:val="24"/>
                <w:vertAlign w:val="baseline"/>
                <w:lang w:val="en-US" w:eastAsia="zh-CN"/>
              </w:rPr>
              <w:t>排放口</w:t>
            </w:r>
          </w:p>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color w:val="auto"/>
                <w:sz w:val="24"/>
                <w:szCs w:val="24"/>
                <w:vertAlign w:val="baseline"/>
                <w:lang w:val="en-US" w:eastAsia="zh-CN"/>
              </w:rPr>
              <w:t>（DA001）</w:t>
            </w:r>
          </w:p>
        </w:tc>
        <w:tc>
          <w:tcPr>
            <w:tcW w:w="1438"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NH</w:t>
            </w:r>
            <w:r>
              <w:rPr>
                <w:rFonts w:hint="default" w:ascii="Times New Roman" w:hAnsi="Times New Roman" w:eastAsia="宋体" w:cs="Times New Roman"/>
                <w:b w:val="0"/>
                <w:bCs/>
                <w:color w:val="auto"/>
                <w:sz w:val="24"/>
                <w:szCs w:val="24"/>
                <w:vertAlign w:val="subscript"/>
                <w:lang w:val="en-US" w:eastAsia="zh-CN"/>
              </w:rPr>
              <w:t>3</w:t>
            </w:r>
            <w:r>
              <w:rPr>
                <w:rFonts w:hint="eastAsia" w:cs="Times New Roman"/>
                <w:b w:val="0"/>
                <w:bCs/>
                <w:color w:val="auto"/>
                <w:sz w:val="24"/>
                <w:szCs w:val="24"/>
                <w:vertAlign w:val="subscript"/>
                <w:lang w:val="en-US" w:eastAsia="zh-CN"/>
              </w:rPr>
              <w:t>、</w:t>
            </w:r>
            <w:r>
              <w:rPr>
                <w:rFonts w:hint="eastAsia" w:cs="Times New Roman"/>
                <w:b w:val="0"/>
                <w:bCs/>
                <w:color w:val="auto"/>
                <w:sz w:val="24"/>
                <w:szCs w:val="24"/>
                <w:vertAlign w:val="baseline"/>
                <w:lang w:val="en-US" w:eastAsia="zh-CN"/>
              </w:rPr>
              <w:t>H</w:t>
            </w:r>
            <w:r>
              <w:rPr>
                <w:rFonts w:hint="eastAsia" w:cs="Times New Roman"/>
                <w:b w:val="0"/>
                <w:bCs/>
                <w:color w:val="auto"/>
                <w:sz w:val="24"/>
                <w:szCs w:val="24"/>
                <w:vertAlign w:val="subscript"/>
                <w:lang w:val="en-US" w:eastAsia="zh-CN"/>
              </w:rPr>
              <w:t>2</w:t>
            </w:r>
            <w:r>
              <w:rPr>
                <w:rFonts w:hint="eastAsia" w:cs="Times New Roman"/>
                <w:b w:val="0"/>
                <w:bCs/>
                <w:color w:val="auto"/>
                <w:sz w:val="24"/>
                <w:szCs w:val="24"/>
                <w:vertAlign w:val="baseline"/>
                <w:lang w:val="en-US" w:eastAsia="zh-CN"/>
              </w:rPr>
              <w:t>S、颗粒物</w:t>
            </w:r>
          </w:p>
        </w:tc>
        <w:tc>
          <w:tcPr>
            <w:tcW w:w="2237" w:type="dxa"/>
            <w:tcBorders>
              <w:tl2br w:val="nil"/>
              <w:tr2bl w:val="nil"/>
            </w:tcBorders>
            <w:vAlign w:val="center"/>
          </w:tcPr>
          <w:p>
            <w:pPr>
              <w:bidi w:val="0"/>
              <w:jc w:val="both"/>
              <w:rPr>
                <w:rFonts w:hint="default" w:ascii="Times New Roman" w:hAnsi="Times New Roman" w:eastAsia="宋体" w:cs="Times New Roman"/>
                <w:b w:val="0"/>
                <w:bCs/>
                <w:color w:val="auto"/>
                <w:szCs w:val="24"/>
                <w:vertAlign w:val="baseline"/>
                <w:lang w:val="en-US" w:eastAsia="zh-CN"/>
              </w:rPr>
            </w:pPr>
            <w:r>
              <w:rPr>
                <w:rFonts w:hint="eastAsia"/>
                <w:b w:val="0"/>
                <w:bCs/>
                <w:lang w:val="en-US" w:eastAsia="zh-CN"/>
              </w:rPr>
              <w:t>污水收集池</w:t>
            </w:r>
            <w:r>
              <w:rPr>
                <w:rFonts w:hint="default"/>
                <w:b w:val="0"/>
                <w:bCs/>
                <w:lang w:val="en-US" w:eastAsia="zh-CN"/>
              </w:rPr>
              <w:t>产生的废气经管道收集，转运压缩车间产生的废气采用密闭负压收集+前端植物液雾化除臭，两者共用一套末端过滤+水浴除尘+生物降解除臭+植物液分解除臭处理后经15米排气筒排放。</w:t>
            </w:r>
          </w:p>
        </w:tc>
        <w:tc>
          <w:tcPr>
            <w:tcW w:w="2304" w:type="dxa"/>
            <w:tcBorders>
              <w:tl2br w:val="nil"/>
              <w:tr2bl w:val="nil"/>
            </w:tcBorders>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color w:val="auto"/>
                <w:kern w:val="2"/>
                <w:sz w:val="24"/>
                <w:szCs w:val="24"/>
                <w:lang w:val="en-US" w:eastAsia="zh-CN" w:bidi="ar-SA"/>
              </w:rPr>
            </w:pPr>
            <w:r>
              <w:rPr>
                <w:rFonts w:hint="eastAsia"/>
                <w:color w:val="auto"/>
                <w:lang w:val="en-US" w:eastAsia="zh-CN"/>
              </w:rPr>
              <w:t>《大气污染物综合排放标准》（GB16297-1996）排放浓度限值要求；《恶臭污染物排放标准》（GB14554-93）表 2 中恶臭污染物排放标准值要求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p>
        </w:tc>
        <w:tc>
          <w:tcPr>
            <w:tcW w:w="1736"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食堂油烟（DA002)</w:t>
            </w:r>
          </w:p>
        </w:tc>
        <w:tc>
          <w:tcPr>
            <w:tcW w:w="1438"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油烟</w:t>
            </w:r>
          </w:p>
        </w:tc>
        <w:tc>
          <w:tcPr>
            <w:tcW w:w="223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油烟净化设施+专用烟道</w:t>
            </w:r>
          </w:p>
        </w:tc>
        <w:tc>
          <w:tcPr>
            <w:tcW w:w="2304" w:type="dxa"/>
            <w:tcBorders>
              <w:tl2br w:val="nil"/>
              <w:tr2bl w:val="nil"/>
            </w:tcBorders>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饮食业油烟排放标准（试行）》（GB18483－2001）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p>
        </w:tc>
        <w:tc>
          <w:tcPr>
            <w:tcW w:w="1736"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厂界</w:t>
            </w:r>
          </w:p>
        </w:tc>
        <w:tc>
          <w:tcPr>
            <w:tcW w:w="1438"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NH</w:t>
            </w:r>
            <w:r>
              <w:rPr>
                <w:rFonts w:hint="default" w:ascii="Times New Roman" w:hAnsi="Times New Roman" w:eastAsia="宋体" w:cs="Times New Roman"/>
                <w:b w:val="0"/>
                <w:bCs/>
                <w:color w:val="auto"/>
                <w:sz w:val="24"/>
                <w:szCs w:val="24"/>
                <w:vertAlign w:val="subscript"/>
                <w:lang w:val="en-US" w:eastAsia="zh-CN"/>
              </w:rPr>
              <w:t>3</w:t>
            </w:r>
            <w:r>
              <w:rPr>
                <w:rFonts w:hint="eastAsia" w:cs="Times New Roman"/>
                <w:b w:val="0"/>
                <w:bCs/>
                <w:color w:val="auto"/>
                <w:sz w:val="24"/>
                <w:szCs w:val="24"/>
                <w:vertAlign w:val="subscript"/>
                <w:lang w:val="en-US" w:eastAsia="zh-CN"/>
              </w:rPr>
              <w:t>、</w:t>
            </w:r>
            <w:r>
              <w:rPr>
                <w:rFonts w:hint="eastAsia" w:cs="Times New Roman"/>
                <w:b w:val="0"/>
                <w:bCs/>
                <w:color w:val="auto"/>
                <w:sz w:val="24"/>
                <w:szCs w:val="24"/>
                <w:vertAlign w:val="baseline"/>
                <w:lang w:val="en-US" w:eastAsia="zh-CN"/>
              </w:rPr>
              <w:t>H</w:t>
            </w:r>
            <w:r>
              <w:rPr>
                <w:rFonts w:hint="eastAsia" w:cs="Times New Roman"/>
                <w:b w:val="0"/>
                <w:bCs/>
                <w:color w:val="auto"/>
                <w:sz w:val="24"/>
                <w:szCs w:val="24"/>
                <w:vertAlign w:val="subscript"/>
                <w:lang w:val="en-US" w:eastAsia="zh-CN"/>
              </w:rPr>
              <w:t>2</w:t>
            </w:r>
            <w:r>
              <w:rPr>
                <w:rFonts w:hint="eastAsia" w:cs="Times New Roman"/>
                <w:b w:val="0"/>
                <w:bCs/>
                <w:color w:val="auto"/>
                <w:sz w:val="24"/>
                <w:szCs w:val="24"/>
                <w:vertAlign w:val="baseline"/>
                <w:lang w:val="en-US" w:eastAsia="zh-CN"/>
              </w:rPr>
              <w:t>S、颗粒物</w:t>
            </w:r>
          </w:p>
        </w:tc>
        <w:tc>
          <w:tcPr>
            <w:tcW w:w="2237"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厂房封闭、</w:t>
            </w:r>
            <w:r>
              <w:rPr>
                <w:rFonts w:hint="eastAsia" w:cs="Times New Roman"/>
                <w:b w:val="0"/>
                <w:bCs/>
                <w:color w:val="auto"/>
                <w:sz w:val="24"/>
                <w:szCs w:val="24"/>
                <w:vertAlign w:val="baseline"/>
                <w:lang w:val="en-US" w:eastAsia="zh-CN"/>
              </w:rPr>
              <w:t>绿化</w:t>
            </w:r>
          </w:p>
        </w:tc>
        <w:tc>
          <w:tcPr>
            <w:tcW w:w="2304" w:type="dxa"/>
            <w:tcBorders>
              <w:tl2br w:val="nil"/>
              <w:tr2bl w:val="nil"/>
            </w:tcBorders>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olor w:val="auto"/>
                <w:lang w:val="en-US" w:eastAsia="zh-CN"/>
              </w:rPr>
              <w:t>《大气污染物综合排放标准》（GB16297-1996）排放浓度限值要求；《恶臭污染物排放标准》（GB14554-93）表 2 中恶臭污染物排放标准值要求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r>
              <w:rPr>
                <w:rFonts w:hint="eastAsia" w:ascii="宋体" w:hAnsi="宋体" w:cs="宋体"/>
                <w:color w:val="auto"/>
                <w:szCs w:val="21"/>
              </w:rPr>
              <w:t>地</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r>
              <w:rPr>
                <w:rFonts w:hint="eastAsia" w:ascii="宋体" w:hAnsi="宋体" w:cs="宋体"/>
                <w:color w:val="auto"/>
                <w:szCs w:val="21"/>
              </w:rPr>
              <w:t>表</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r>
              <w:rPr>
                <w:rFonts w:hint="eastAsia" w:ascii="宋体" w:hAnsi="宋体" w:cs="宋体"/>
                <w:color w:val="auto"/>
                <w:szCs w:val="21"/>
              </w:rPr>
              <w:t>水</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r>
              <w:rPr>
                <w:rFonts w:hint="eastAsia" w:ascii="宋体" w:hAnsi="宋体" w:cs="宋体"/>
                <w:color w:val="auto"/>
                <w:szCs w:val="21"/>
              </w:rPr>
              <w:t>环</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境</w:t>
            </w:r>
          </w:p>
        </w:tc>
        <w:tc>
          <w:tcPr>
            <w:tcW w:w="1736"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eastAsia="宋体" w:cs="Times New Roman"/>
                <w:b w:val="0"/>
                <w:bCs/>
                <w:color w:val="auto"/>
                <w:sz w:val="24"/>
                <w:szCs w:val="24"/>
                <w:vertAlign w:val="baseline"/>
                <w:lang w:eastAsia="zh-CN"/>
              </w:rPr>
              <w:t>生产废水</w:t>
            </w:r>
          </w:p>
        </w:tc>
        <w:tc>
          <w:tcPr>
            <w:tcW w:w="1438"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eastAsia="宋体" w:cs="Times New Roman"/>
                <w:b w:val="0"/>
                <w:bCs/>
                <w:color w:val="auto"/>
                <w:kern w:val="2"/>
                <w:sz w:val="24"/>
                <w:szCs w:val="24"/>
                <w:vertAlign w:val="baseline"/>
                <w:lang w:val="en-US" w:eastAsia="zh-CN" w:bidi="ar-SA"/>
              </w:rPr>
              <w:t>COD</w:t>
            </w:r>
            <w:r>
              <w:rPr>
                <w:rFonts w:hint="default" w:ascii="Times New Roman" w:hAnsi="Times New Roman" w:eastAsia="宋体" w:cs="Times New Roman"/>
                <w:b w:val="0"/>
                <w:bCs/>
                <w:color w:val="auto"/>
                <w:kern w:val="2"/>
                <w:sz w:val="24"/>
                <w:szCs w:val="24"/>
                <w:vertAlign w:val="subscript"/>
                <w:lang w:val="en-US" w:eastAsia="zh-CN" w:bidi="ar-SA"/>
              </w:rPr>
              <w:t>Cr</w:t>
            </w:r>
            <w:r>
              <w:rPr>
                <w:rFonts w:hint="default" w:ascii="Times New Roman" w:hAnsi="Times New Roman" w:eastAsia="宋体" w:cs="Times New Roman"/>
                <w:b w:val="0"/>
                <w:bCs/>
                <w:color w:val="auto"/>
                <w:kern w:val="2"/>
                <w:sz w:val="24"/>
                <w:szCs w:val="24"/>
                <w:vertAlign w:val="baseline"/>
                <w:lang w:val="en-US" w:eastAsia="zh-CN" w:bidi="ar-SA"/>
              </w:rPr>
              <w:t>、BOD</w:t>
            </w:r>
            <w:r>
              <w:rPr>
                <w:rFonts w:hint="default" w:ascii="Times New Roman" w:hAnsi="Times New Roman" w:eastAsia="宋体" w:cs="Times New Roman"/>
                <w:b w:val="0"/>
                <w:bCs/>
                <w:color w:val="auto"/>
                <w:kern w:val="2"/>
                <w:sz w:val="24"/>
                <w:szCs w:val="24"/>
                <w:vertAlign w:val="subscript"/>
                <w:lang w:val="en-US" w:eastAsia="zh-CN" w:bidi="ar-SA"/>
              </w:rPr>
              <w:t>5</w:t>
            </w:r>
            <w:r>
              <w:rPr>
                <w:rFonts w:hint="default" w:ascii="Times New Roman" w:hAnsi="Times New Roman" w:eastAsia="宋体" w:cs="Times New Roman"/>
                <w:b w:val="0"/>
                <w:bCs/>
                <w:color w:val="auto"/>
                <w:kern w:val="2"/>
                <w:sz w:val="24"/>
                <w:szCs w:val="24"/>
                <w:vertAlign w:val="baseline"/>
                <w:lang w:val="en-US" w:eastAsia="zh-CN" w:bidi="ar-SA"/>
              </w:rPr>
              <w:t>、SS、NH</w:t>
            </w:r>
            <w:r>
              <w:rPr>
                <w:rFonts w:hint="default" w:ascii="Times New Roman" w:hAnsi="Times New Roman" w:eastAsia="宋体" w:cs="Times New Roman"/>
                <w:b w:val="0"/>
                <w:bCs/>
                <w:color w:val="auto"/>
                <w:kern w:val="2"/>
                <w:sz w:val="24"/>
                <w:szCs w:val="24"/>
                <w:vertAlign w:val="subscript"/>
                <w:lang w:val="en-US" w:eastAsia="zh-CN" w:bidi="ar-SA"/>
              </w:rPr>
              <w:t>3</w:t>
            </w:r>
            <w:r>
              <w:rPr>
                <w:rFonts w:hint="default" w:ascii="Times New Roman" w:hAnsi="Times New Roman" w:eastAsia="宋体" w:cs="Times New Roman"/>
                <w:b w:val="0"/>
                <w:bCs/>
                <w:color w:val="auto"/>
                <w:kern w:val="2"/>
                <w:sz w:val="24"/>
                <w:szCs w:val="24"/>
                <w:vertAlign w:val="baseline"/>
                <w:lang w:val="en-US" w:eastAsia="zh-CN" w:bidi="ar-SA"/>
              </w:rPr>
              <w:t>-N</w:t>
            </w:r>
          </w:p>
        </w:tc>
        <w:tc>
          <w:tcPr>
            <w:tcW w:w="2237"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eastAsia" w:cs="Times New Roman"/>
                <w:b w:val="0"/>
                <w:bCs/>
                <w:color w:val="auto"/>
                <w:sz w:val="24"/>
                <w:szCs w:val="24"/>
                <w:vertAlign w:val="baseline"/>
                <w:lang w:val="en-US" w:eastAsia="zh-CN"/>
              </w:rPr>
              <w:t>污水收集池</w:t>
            </w:r>
          </w:p>
        </w:tc>
        <w:tc>
          <w:tcPr>
            <w:tcW w:w="2304" w:type="dxa"/>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eastAsia" w:cs="Times New Roman"/>
                <w:b w:val="0"/>
                <w:bCs/>
                <w:color w:val="auto"/>
                <w:sz w:val="24"/>
                <w:szCs w:val="24"/>
                <w:vertAlign w:val="baseline"/>
                <w:lang w:val="en-US" w:eastAsia="zh-CN"/>
              </w:rPr>
              <w:t>由吸污车拉运至昌吉市生活垃圾填埋场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color w:val="auto"/>
                <w:vertAlign w:val="baseline"/>
                <w:lang w:eastAsia="zh-CN"/>
              </w:rPr>
            </w:pPr>
          </w:p>
        </w:tc>
        <w:tc>
          <w:tcPr>
            <w:tcW w:w="1736"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eastAsia="宋体" w:cs="Times New Roman"/>
                <w:b w:val="0"/>
                <w:bCs/>
                <w:color w:val="auto"/>
                <w:sz w:val="24"/>
                <w:szCs w:val="24"/>
                <w:vertAlign w:val="baseline"/>
                <w:lang w:eastAsia="zh-CN"/>
              </w:rPr>
              <w:t>生活污水</w:t>
            </w:r>
          </w:p>
        </w:tc>
        <w:tc>
          <w:tcPr>
            <w:tcW w:w="1438"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2237"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2304" w:type="dxa"/>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r>
              <w:rPr>
                <w:rFonts w:hint="eastAsia" w:ascii="宋体" w:hAnsi="宋体" w:cs="宋体"/>
                <w:color w:val="auto"/>
                <w:szCs w:val="21"/>
              </w:rPr>
              <w:t>声</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r>
              <w:rPr>
                <w:rFonts w:hint="eastAsia" w:ascii="宋体" w:hAnsi="宋体" w:cs="宋体"/>
                <w:color w:val="auto"/>
                <w:szCs w:val="21"/>
              </w:rPr>
              <w:t>环</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境</w:t>
            </w:r>
          </w:p>
        </w:tc>
        <w:tc>
          <w:tcPr>
            <w:tcW w:w="173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sz w:val="24"/>
                <w:szCs w:val="24"/>
              </w:rPr>
              <w:t>厂界四周</w:t>
            </w:r>
          </w:p>
        </w:tc>
        <w:tc>
          <w:tcPr>
            <w:tcW w:w="1438"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sz w:val="24"/>
                <w:szCs w:val="24"/>
              </w:rPr>
              <w:t>等效A声级</w:t>
            </w:r>
          </w:p>
        </w:tc>
        <w:tc>
          <w:tcPr>
            <w:tcW w:w="223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sz w:val="24"/>
                <w:szCs w:val="24"/>
              </w:rPr>
              <w:t>用低噪声设备、</w:t>
            </w:r>
            <w:r>
              <w:rPr>
                <w:rFonts w:hint="default" w:ascii="Times New Roman" w:hAnsi="Times New Roman" w:eastAsia="宋体" w:cs="Times New Roman"/>
                <w:b w:val="0"/>
                <w:bCs/>
                <w:color w:val="auto"/>
                <w:sz w:val="24"/>
                <w:szCs w:val="24"/>
                <w:lang w:val="en-US" w:eastAsia="zh-CN"/>
              </w:rPr>
              <w:t>基础减震、厂房隔音</w:t>
            </w:r>
          </w:p>
        </w:tc>
        <w:tc>
          <w:tcPr>
            <w:tcW w:w="23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default" w:ascii="Times New Roman" w:hAnsi="Times New Roman" w:eastAsia="宋体" w:cs="Times New Roman"/>
                <w:b w:val="0"/>
                <w:bCs/>
                <w:color w:val="auto"/>
                <w:sz w:val="24"/>
                <w:szCs w:val="24"/>
              </w:rPr>
              <w:t>《工业企业厂界环境噪声排放标准》（GB12348-2008）中的</w:t>
            </w:r>
            <w:r>
              <w:rPr>
                <w:rFonts w:hint="eastAsia" w:cs="Times New Roman"/>
                <w:b w:val="0"/>
                <w:bCs/>
                <w:color w:val="auto"/>
                <w:sz w:val="24"/>
                <w:szCs w:val="24"/>
                <w:lang w:val="en-US" w:eastAsia="zh-CN"/>
              </w:rPr>
              <w:t>2</w:t>
            </w:r>
            <w:r>
              <w:rPr>
                <w:rFonts w:hint="default" w:ascii="Times New Roman" w:hAnsi="Times New Roman" w:eastAsia="宋体" w:cs="Times New Roman"/>
                <w:b w:val="0"/>
                <w:bCs/>
                <w:color w:val="auto"/>
                <w:sz w:val="24"/>
                <w:szCs w:val="24"/>
              </w:rPr>
              <w:t>类标准要求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电磁辐射</w:t>
            </w:r>
          </w:p>
        </w:tc>
        <w:tc>
          <w:tcPr>
            <w:tcW w:w="1736"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w:t>
            </w:r>
          </w:p>
        </w:tc>
        <w:tc>
          <w:tcPr>
            <w:tcW w:w="1438"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w:t>
            </w:r>
          </w:p>
        </w:tc>
        <w:tc>
          <w:tcPr>
            <w:tcW w:w="2237"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w:t>
            </w:r>
          </w:p>
        </w:tc>
        <w:tc>
          <w:tcPr>
            <w:tcW w:w="2304" w:type="dxa"/>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restart"/>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固体废物</w:t>
            </w:r>
          </w:p>
        </w:tc>
        <w:tc>
          <w:tcPr>
            <w:tcW w:w="1736" w:type="dxa"/>
            <w:vMerge w:val="restart"/>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kern w:val="2"/>
                <w:sz w:val="24"/>
                <w:szCs w:val="24"/>
                <w:lang w:val="en-US" w:eastAsia="zh-CN" w:bidi="ar-SA"/>
              </w:rPr>
            </w:pPr>
            <w:r>
              <w:rPr>
                <w:rFonts w:hint="eastAsia" w:cs="Times New Roman"/>
                <w:b w:val="0"/>
                <w:bCs/>
                <w:color w:val="auto"/>
                <w:kern w:val="2"/>
                <w:sz w:val="24"/>
                <w:szCs w:val="24"/>
                <w:lang w:val="en-US" w:eastAsia="zh-CN" w:bidi="ar-SA"/>
              </w:rPr>
              <w:t>一般固废</w:t>
            </w:r>
          </w:p>
        </w:tc>
        <w:tc>
          <w:tcPr>
            <w:tcW w:w="1438" w:type="dxa"/>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lang w:val="en-US" w:eastAsia="zh-CN"/>
              </w:rPr>
            </w:pPr>
            <w:r>
              <w:rPr>
                <w:rFonts w:hint="eastAsia" w:cs="Times New Roman"/>
                <w:b w:val="0"/>
                <w:bCs/>
                <w:color w:val="auto"/>
                <w:sz w:val="24"/>
                <w:szCs w:val="24"/>
                <w:lang w:val="en-US" w:eastAsia="zh-CN"/>
              </w:rPr>
              <w:t>污泥</w:t>
            </w:r>
          </w:p>
        </w:tc>
        <w:tc>
          <w:tcPr>
            <w:tcW w:w="2237" w:type="dxa"/>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sz w:val="24"/>
                <w:szCs w:val="24"/>
                <w:lang w:val="en-US" w:eastAsia="zh-CN"/>
              </w:rPr>
            </w:pPr>
            <w:r>
              <w:rPr>
                <w:rFonts w:hint="eastAsia" w:cs="Times New Roman"/>
                <w:b w:val="0"/>
                <w:bCs/>
                <w:color w:val="auto"/>
                <w:sz w:val="24"/>
                <w:szCs w:val="24"/>
                <w:lang w:val="en-US" w:eastAsia="zh-CN"/>
              </w:rPr>
              <w:t>经脱水干化后运至垃圾填埋场</w:t>
            </w:r>
          </w:p>
        </w:tc>
        <w:tc>
          <w:tcPr>
            <w:tcW w:w="2304" w:type="dxa"/>
            <w:vMerge w:val="restart"/>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sz w:val="24"/>
                <w:szCs w:val="24"/>
                <w:lang w:val="en-US" w:eastAsia="zh-CN"/>
              </w:rPr>
            </w:pPr>
            <w:r>
              <w:rPr>
                <w:rFonts w:hint="eastAsia" w:cs="宋体"/>
                <w:color w:val="auto"/>
                <w:szCs w:val="21"/>
              </w:rPr>
              <w:t>《一般工业固体废物贮存和填埋污染控制标准》（GB18599-2020）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p>
        </w:tc>
        <w:tc>
          <w:tcPr>
            <w:tcW w:w="1736"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color w:val="auto"/>
                <w:kern w:val="2"/>
                <w:sz w:val="24"/>
                <w:szCs w:val="24"/>
                <w:lang w:val="en-US" w:eastAsia="zh-CN" w:bidi="ar-SA"/>
              </w:rPr>
            </w:pPr>
          </w:p>
        </w:tc>
        <w:tc>
          <w:tcPr>
            <w:tcW w:w="1438" w:type="dxa"/>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lang w:val="en-US" w:eastAsia="zh-CN"/>
              </w:rPr>
            </w:pPr>
            <w:r>
              <w:rPr>
                <w:rFonts w:hint="eastAsia" w:cs="Times New Roman"/>
                <w:b w:val="0"/>
                <w:bCs/>
                <w:color w:val="auto"/>
                <w:sz w:val="24"/>
                <w:szCs w:val="24"/>
                <w:lang w:val="en-US" w:eastAsia="zh-CN"/>
              </w:rPr>
              <w:t>压缩垃圾</w:t>
            </w:r>
          </w:p>
        </w:tc>
        <w:tc>
          <w:tcPr>
            <w:tcW w:w="2237" w:type="dxa"/>
            <w:vMerge w:val="restart"/>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sz w:val="24"/>
                <w:szCs w:val="24"/>
                <w:lang w:val="en-US" w:eastAsia="zh-CN"/>
              </w:rPr>
            </w:pPr>
            <w:r>
              <w:rPr>
                <w:rFonts w:hint="eastAsia" w:cs="Times New Roman"/>
                <w:b w:val="0"/>
                <w:bCs/>
                <w:color w:val="auto"/>
                <w:sz w:val="24"/>
                <w:szCs w:val="24"/>
                <w:lang w:val="en-US" w:eastAsia="zh-CN"/>
              </w:rPr>
              <w:t>拉运至昌吉市生活垃圾填埋场</w:t>
            </w:r>
          </w:p>
        </w:tc>
        <w:tc>
          <w:tcPr>
            <w:tcW w:w="2304"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p>
        </w:tc>
        <w:tc>
          <w:tcPr>
            <w:tcW w:w="1736"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cs="Times New Roman"/>
                <w:b w:val="0"/>
                <w:bCs/>
                <w:color w:val="auto"/>
                <w:kern w:val="2"/>
                <w:sz w:val="24"/>
                <w:szCs w:val="24"/>
                <w:lang w:val="en-US" w:eastAsia="zh-CN" w:bidi="ar-SA"/>
              </w:rPr>
            </w:pPr>
          </w:p>
        </w:tc>
        <w:tc>
          <w:tcPr>
            <w:tcW w:w="1438" w:type="dxa"/>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bCs/>
                <w:color w:val="auto"/>
                <w:sz w:val="24"/>
                <w:szCs w:val="24"/>
                <w:lang w:val="en-US" w:eastAsia="zh-CN"/>
              </w:rPr>
            </w:pPr>
            <w:r>
              <w:rPr>
                <w:rFonts w:hint="eastAsia" w:cs="Times New Roman"/>
                <w:b w:val="0"/>
                <w:bCs/>
                <w:color w:val="auto"/>
                <w:sz w:val="24"/>
                <w:szCs w:val="24"/>
                <w:lang w:val="en-US" w:eastAsia="zh-CN"/>
              </w:rPr>
              <w:t>废包装桶</w:t>
            </w:r>
          </w:p>
        </w:tc>
        <w:tc>
          <w:tcPr>
            <w:tcW w:w="2237"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sz w:val="24"/>
                <w:szCs w:val="24"/>
                <w:lang w:val="en-US" w:eastAsia="zh-CN"/>
              </w:rPr>
            </w:pPr>
          </w:p>
        </w:tc>
        <w:tc>
          <w:tcPr>
            <w:tcW w:w="2304"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Merge w:val="continue"/>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cs="宋体"/>
                <w:color w:val="auto"/>
                <w:szCs w:val="21"/>
              </w:rPr>
            </w:pPr>
          </w:p>
        </w:tc>
        <w:tc>
          <w:tcPr>
            <w:tcW w:w="1736"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宋体" w:cs="Times New Roman"/>
                <w:b w:val="0"/>
                <w:bCs/>
                <w:color w:val="auto"/>
                <w:kern w:val="2"/>
                <w:sz w:val="24"/>
                <w:szCs w:val="24"/>
                <w:lang w:val="en-US" w:eastAsia="zh-CN" w:bidi="ar-SA"/>
              </w:rPr>
            </w:pPr>
          </w:p>
        </w:tc>
        <w:tc>
          <w:tcPr>
            <w:tcW w:w="1438" w:type="dxa"/>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2"/>
                <w:sz w:val="24"/>
                <w:szCs w:val="24"/>
                <w:lang w:val="en-US" w:eastAsia="zh-CN" w:bidi="ar-SA"/>
              </w:rPr>
            </w:pPr>
            <w:r>
              <w:rPr>
                <w:rFonts w:hint="default" w:ascii="Times New Roman" w:hAnsi="Times New Roman" w:eastAsia="宋体" w:cs="Times New Roman"/>
                <w:color w:val="auto"/>
                <w:sz w:val="24"/>
                <w:szCs w:val="24"/>
                <w:lang w:val="en-US" w:eastAsia="zh-CN"/>
              </w:rPr>
              <w:t>生活垃圾</w:t>
            </w:r>
          </w:p>
        </w:tc>
        <w:tc>
          <w:tcPr>
            <w:tcW w:w="2237" w:type="dxa"/>
            <w:vMerge w:val="continue"/>
            <w:vAlign w:val="center"/>
          </w:tcPr>
          <w:p>
            <w:pPr>
              <w:pStyle w:val="27"/>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val="0"/>
                <w:color w:val="auto"/>
                <w:kern w:val="2"/>
                <w:sz w:val="24"/>
                <w:szCs w:val="24"/>
                <w:lang w:val="en-US" w:eastAsia="zh-CN" w:bidi="ar-SA"/>
              </w:rPr>
            </w:pPr>
          </w:p>
        </w:tc>
        <w:tc>
          <w:tcPr>
            <w:tcW w:w="2304" w:type="dxa"/>
            <w:vMerge w:val="continue"/>
            <w:vAlign w:val="center"/>
          </w:tcPr>
          <w:p>
            <w:pPr>
              <w:pStyle w:val="27"/>
              <w:bidi w:val="0"/>
              <w:rPr>
                <w:rFonts w:hint="default"/>
                <w:color w:val="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土壤及地下水污染防治措施</w:t>
            </w:r>
          </w:p>
        </w:tc>
        <w:tc>
          <w:tcPr>
            <w:tcW w:w="7715" w:type="dxa"/>
            <w:gridSpan w:val="4"/>
            <w:vAlign w:val="center"/>
          </w:tcPr>
          <w:p>
            <w:pPr>
              <w:pStyle w:val="18"/>
              <w:keepNext w:val="0"/>
              <w:keepLines w:val="0"/>
              <w:pageBreakBefore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 w:val="0"/>
                <w:color w:val="auto"/>
                <w:kern w:val="2"/>
                <w:szCs w:val="24"/>
                <w:lang w:val="en-US" w:eastAsia="zh-CN" w:bidi="ar-SA"/>
              </w:rPr>
            </w:pPr>
            <w:r>
              <w:rPr>
                <w:rFonts w:hint="eastAsia" w:ascii="宋体" w:hAnsi="宋体" w:eastAsia="宋体" w:cs="宋体"/>
                <w:b w:val="0"/>
                <w:color w:val="auto"/>
                <w:kern w:val="2"/>
                <w:szCs w:val="24"/>
                <w:lang w:val="en-US" w:eastAsia="zh-CN" w:bidi="ar-SA"/>
              </w:rPr>
              <w:t>本项目地下水与土壤污染防治措施和对策，坚持“源头控制、分区防治、污染监控、急响应”的原则，本项目拟对整个垃圾转运压缩车间做一般防渗，</w:t>
            </w:r>
            <w:r>
              <w:rPr>
                <w:rFonts w:hint="eastAsia" w:ascii="宋体" w:hAnsi="宋体" w:cs="宋体"/>
                <w:b w:val="0"/>
                <w:color w:val="auto"/>
                <w:kern w:val="2"/>
                <w:szCs w:val="24"/>
                <w:lang w:val="en-US" w:eastAsia="zh-CN" w:bidi="ar-SA"/>
              </w:rPr>
              <w:t>污水收集池</w:t>
            </w:r>
            <w:r>
              <w:rPr>
                <w:rFonts w:hint="eastAsia" w:ascii="宋体" w:hAnsi="宋体" w:eastAsia="宋体" w:cs="宋体"/>
                <w:b w:val="0"/>
                <w:color w:val="auto"/>
                <w:kern w:val="2"/>
                <w:szCs w:val="24"/>
                <w:lang w:val="en-US" w:eastAsia="zh-CN" w:bidi="ar-SA"/>
              </w:rPr>
              <w:t>做重点防渗，其余做简单防渗。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1"/>
                <w:szCs w:val="21"/>
                <w:lang w:val="en-US" w:eastAsia="zh-CN" w:bidi="ar-SA"/>
              </w:rPr>
            </w:pPr>
            <w:r>
              <w:rPr>
                <w:rFonts w:hint="eastAsia" w:ascii="宋体" w:hAnsi="宋体" w:cs="宋体"/>
                <w:color w:val="auto"/>
                <w:szCs w:val="21"/>
              </w:rPr>
              <w:t>生态保护措施</w:t>
            </w:r>
          </w:p>
        </w:tc>
        <w:tc>
          <w:tcPr>
            <w:tcW w:w="7715"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color w:val="auto"/>
                <w:vertAlign w:val="baseline"/>
                <w:lang w:val="en-US" w:eastAsia="zh-CN"/>
              </w:rPr>
            </w:pPr>
            <w:r>
              <w:rPr>
                <w:rFonts w:hint="eastAsia" w:ascii="宋体" w:hAnsi="宋体" w:eastAsia="宋体" w:cs="宋体"/>
                <w:color w:val="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8"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pacing w:val="-8"/>
                <w:szCs w:val="21"/>
              </w:rPr>
            </w:pPr>
            <w:r>
              <w:rPr>
                <w:rFonts w:hint="eastAsia" w:ascii="宋体" w:hAnsi="宋体" w:cs="宋体"/>
                <w:color w:val="auto"/>
                <w:spacing w:val="-8"/>
                <w:szCs w:val="21"/>
              </w:rPr>
              <w:t>环境风险</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pacing w:val="-8"/>
                <w:kern w:val="2"/>
                <w:sz w:val="21"/>
                <w:szCs w:val="21"/>
                <w:lang w:val="en-US" w:eastAsia="zh-CN" w:bidi="ar-SA"/>
              </w:rPr>
            </w:pPr>
            <w:r>
              <w:rPr>
                <w:rFonts w:hint="eastAsia" w:ascii="宋体" w:hAnsi="宋体" w:cs="宋体"/>
                <w:color w:val="auto"/>
                <w:spacing w:val="-8"/>
                <w:szCs w:val="21"/>
              </w:rPr>
              <w:t>防范措施</w:t>
            </w:r>
          </w:p>
        </w:tc>
        <w:tc>
          <w:tcPr>
            <w:tcW w:w="7715" w:type="dxa"/>
            <w:gridSpan w:val="4"/>
            <w:vAlign w:val="center"/>
          </w:tcPr>
          <w:p>
            <w:pPr>
              <w:pStyle w:val="18"/>
              <w:numPr>
                <w:ilvl w:val="0"/>
                <w:numId w:val="0"/>
              </w:numPr>
              <w:bidi w:val="0"/>
              <w:rPr>
                <w:rFonts w:hint="eastAsia" w:ascii="宋体" w:hAnsi="宋体" w:eastAsia="宋体" w:cs="宋体"/>
                <w:color w:val="auto"/>
                <w:vertAlign w:val="baseline"/>
                <w:lang w:eastAsia="zh-CN"/>
              </w:rPr>
            </w:pPr>
            <w:r>
              <w:rPr>
                <w:rFonts w:hint="default" w:ascii="Times New Roman" w:hAnsi="Times New Roman" w:cs="Times New Roman"/>
                <w:color w:val="auto"/>
                <w:lang w:val="en-US" w:eastAsia="zh-CN"/>
              </w:rPr>
              <w:t>根据《关于防范环境风险加强环境影响评价管理的通知》（环发[2005]152号）文件的精神，本项目使用的原辅材料中没有爆炸性物质、易燃物质、活性化学物质和有毒物质；项目不涉及高温、高压、易燃易爆工艺，项目不属于环境敏感地区；项目建设期及营运期所产生的“三废”物质中不存在重大危险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16" w:hRule="atLeast"/>
        </w:trPr>
        <w:tc>
          <w:tcPr>
            <w:tcW w:w="818" w:type="dxa"/>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ascii="宋体" w:hAnsi="宋体" w:cs="宋体"/>
                <w:color w:val="auto"/>
                <w:spacing w:val="-8"/>
                <w:szCs w:val="21"/>
              </w:rPr>
            </w:pPr>
            <w:r>
              <w:rPr>
                <w:rFonts w:hint="eastAsia" w:ascii="宋体" w:hAnsi="宋体" w:cs="宋体"/>
                <w:color w:val="auto"/>
                <w:spacing w:val="-8"/>
                <w:szCs w:val="21"/>
              </w:rPr>
              <w:t>其他环境</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spacing w:val="-8"/>
                <w:kern w:val="2"/>
                <w:sz w:val="21"/>
                <w:szCs w:val="21"/>
                <w:lang w:val="en-US" w:eastAsia="zh-CN" w:bidi="ar-SA"/>
              </w:rPr>
            </w:pPr>
            <w:r>
              <w:rPr>
                <w:rFonts w:hint="eastAsia" w:ascii="宋体" w:hAnsi="宋体" w:cs="宋体"/>
                <w:color w:val="auto"/>
                <w:spacing w:val="-8"/>
                <w:szCs w:val="21"/>
              </w:rPr>
              <w:t>管理要求</w:t>
            </w:r>
          </w:p>
        </w:tc>
        <w:tc>
          <w:tcPr>
            <w:tcW w:w="7715" w:type="dxa"/>
            <w:gridSpan w:val="4"/>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default"/>
                <w:color w:val="auto"/>
                <w:vertAlign w:val="baseline"/>
                <w:lang w:val="en-US" w:eastAsia="zh-CN"/>
              </w:rPr>
            </w:pPr>
            <w:r>
              <w:rPr>
                <w:rFonts w:hint="eastAsia"/>
                <w:color w:val="auto"/>
                <w:vertAlign w:val="baseline"/>
                <w:lang w:val="en-US" w:eastAsia="zh-CN"/>
              </w:rPr>
              <w:t>/</w:t>
            </w:r>
          </w:p>
        </w:tc>
      </w:tr>
    </w:tbl>
    <w:p>
      <w:pPr>
        <w:numPr>
          <w:ilvl w:val="0"/>
          <w:numId w:val="0"/>
        </w:numPr>
        <w:ind w:leftChars="0"/>
        <w:jc w:val="both"/>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4"/>
        <w:numPr>
          <w:ilvl w:val="0"/>
          <w:numId w:val="2"/>
        </w:numPr>
        <w:bidi w:val="0"/>
        <w:ind w:left="0" w:leftChars="0" w:firstLine="0" w:firstLineChars="0"/>
        <w:rPr>
          <w:rFonts w:hint="eastAsia"/>
          <w:color w:val="auto"/>
        </w:rPr>
      </w:pPr>
      <w:r>
        <w:rPr>
          <w:rFonts w:hint="eastAsia"/>
          <w:color w:val="auto"/>
        </w:rPr>
        <w:t>结论</w:t>
      </w:r>
    </w:p>
    <w:tbl>
      <w:tblPr>
        <w:tblStyle w:val="22"/>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23" w:hRule="atLeast"/>
        </w:trPr>
        <w:tc>
          <w:tcPr>
            <w:tcW w:w="8522" w:type="dxa"/>
            <w:tcBorders>
              <w:tl2br w:val="nil"/>
              <w:tr2bl w:val="nil"/>
            </w:tcBorders>
          </w:tcPr>
          <w:p>
            <w:pPr>
              <w:pStyle w:val="18"/>
              <w:bidi w:val="0"/>
              <w:jc w:val="both"/>
              <w:rPr>
                <w:color w:val="auto"/>
              </w:rPr>
            </w:pPr>
            <w:r>
              <w:rPr>
                <w:rFonts w:hint="default"/>
                <w:b w:val="0"/>
                <w:bCs/>
                <w:color w:val="auto"/>
                <w:lang w:val="en-US" w:eastAsia="zh-CN"/>
              </w:rPr>
              <w:t>昌吉市佃坝镇</w:t>
            </w:r>
            <w:r>
              <w:rPr>
                <w:rFonts w:hint="eastAsia"/>
                <w:b w:val="0"/>
                <w:bCs/>
                <w:color w:val="auto"/>
                <w:lang w:val="en-US" w:eastAsia="zh-CN"/>
              </w:rPr>
              <w:t>生活</w:t>
            </w:r>
            <w:r>
              <w:rPr>
                <w:rFonts w:hint="default"/>
                <w:b w:val="0"/>
                <w:bCs/>
                <w:color w:val="auto"/>
                <w:lang w:val="en-US" w:eastAsia="zh-CN"/>
              </w:rPr>
              <w:t>垃圾中转站</w:t>
            </w:r>
            <w:r>
              <w:rPr>
                <w:rFonts w:hint="eastAsia"/>
                <w:color w:val="auto"/>
                <w:lang w:val="en-US" w:eastAsia="zh-CN"/>
              </w:rPr>
              <w:t>位于昌吉市佃坝镇县道122西侧，符合国家产业政策，其厂址选择基本可行、厂区布局合理。采用的生产工艺和设备较为先进，采用的污染防治措施技术可行，可确保废水、废气、噪声达标排放，固废妥善处置。项目投产后具有良好的经济效益和一定的社会效益。只要在工程建设中，严格执行建设项目</w:t>
            </w:r>
            <w:r>
              <w:rPr>
                <w:rFonts w:hint="default"/>
                <w:color w:val="auto"/>
                <w:lang w:val="en-US" w:eastAsia="zh-CN"/>
              </w:rPr>
              <w:t>“</w:t>
            </w:r>
            <w:r>
              <w:rPr>
                <w:rFonts w:hint="eastAsia"/>
                <w:color w:val="auto"/>
                <w:lang w:val="en-US" w:eastAsia="zh-CN"/>
              </w:rPr>
              <w:t>三同时</w:t>
            </w:r>
            <w:r>
              <w:rPr>
                <w:rFonts w:hint="default"/>
                <w:color w:val="auto"/>
                <w:lang w:val="en-US" w:eastAsia="zh-CN"/>
              </w:rPr>
              <w:t>”</w:t>
            </w:r>
            <w:r>
              <w:rPr>
                <w:rFonts w:hint="eastAsia"/>
                <w:color w:val="auto"/>
                <w:lang w:val="en-US" w:eastAsia="zh-CN"/>
              </w:rPr>
              <w:t>制度，使各项环保治理措施得以落实，在工程运行过程中加强生产安全管理，从环境保护角度论证，本项目的建设是可行的。</w:t>
            </w:r>
          </w:p>
          <w:p>
            <w:pPr>
              <w:numPr>
                <w:ilvl w:val="0"/>
                <w:numId w:val="0"/>
              </w:numPr>
              <w:jc w:val="both"/>
              <w:rPr>
                <w:rFonts w:hint="eastAsia"/>
                <w:color w:val="auto"/>
                <w:lang w:eastAsia="zh-CN"/>
              </w:rPr>
            </w:pPr>
          </w:p>
          <w:p>
            <w:pPr>
              <w:pStyle w:val="2"/>
              <w:rPr>
                <w:rFonts w:hint="eastAsia"/>
                <w:color w:val="auto"/>
                <w:lang w:eastAsia="zh-CN"/>
              </w:rPr>
            </w:pPr>
          </w:p>
          <w:p>
            <w:pPr>
              <w:pStyle w:val="10"/>
              <w:rPr>
                <w:rFonts w:hint="eastAsia"/>
                <w:color w:val="auto"/>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rPr>
                <w:rFonts w:hint="eastAsia"/>
                <w:color w:val="auto"/>
                <w:vertAlign w:val="baseline"/>
                <w:lang w:eastAsia="zh-CN"/>
              </w:rPr>
            </w:pPr>
          </w:p>
          <w:p>
            <w:pPr>
              <w:pStyle w:val="11"/>
              <w:jc w:val="both"/>
              <w:rPr>
                <w:rFonts w:hint="eastAsia"/>
                <w:color w:val="auto"/>
                <w:vertAlign w:val="baseline"/>
                <w:lang w:eastAsia="zh-CN"/>
              </w:rPr>
            </w:pPr>
          </w:p>
          <w:p>
            <w:pPr>
              <w:pStyle w:val="11"/>
              <w:jc w:val="both"/>
              <w:rPr>
                <w:rFonts w:hint="eastAsia"/>
                <w:color w:val="auto"/>
                <w:vertAlign w:val="baseline"/>
                <w:lang w:eastAsia="zh-CN"/>
              </w:rPr>
            </w:pPr>
          </w:p>
        </w:tc>
      </w:tr>
    </w:tbl>
    <w:p>
      <w:pPr>
        <w:numPr>
          <w:ilvl w:val="0"/>
          <w:numId w:val="0"/>
        </w:numPr>
        <w:ind w:leftChars="0"/>
        <w:jc w:val="both"/>
        <w:rPr>
          <w:rFonts w:hint="eastAsia"/>
          <w:color w:val="auto"/>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jc w:val="left"/>
        <w:rPr>
          <w:rFonts w:hint="default" w:ascii="Times New Roman" w:hAnsi="Times New Roman" w:eastAsia="黑体" w:cs="Times New Roman"/>
          <w:color w:val="auto"/>
          <w:sz w:val="38"/>
          <w:szCs w:val="38"/>
        </w:rPr>
      </w:pPr>
      <w:r>
        <w:rPr>
          <w:rFonts w:hint="default" w:ascii="Times New Roman" w:hAnsi="Times New Roman" w:eastAsia="黑体" w:cs="Times New Roman"/>
          <w:color w:val="auto"/>
          <w:sz w:val="38"/>
          <w:szCs w:val="38"/>
        </w:rPr>
        <w:t>附表</w:t>
      </w:r>
    </w:p>
    <w:p>
      <w:pPr>
        <w:jc w:val="center"/>
        <w:rPr>
          <w:rFonts w:hint="default" w:ascii="Times New Roman" w:hAnsi="Times New Roman" w:eastAsia="黑体" w:cs="Times New Roman"/>
          <w:color w:val="auto"/>
          <w:sz w:val="38"/>
          <w:szCs w:val="38"/>
        </w:rPr>
      </w:pPr>
      <w:r>
        <w:rPr>
          <w:rFonts w:hint="default" w:ascii="Times New Roman" w:hAnsi="Times New Roman" w:eastAsia="黑体" w:cs="Times New Roman"/>
          <w:color w:val="auto"/>
          <w:sz w:val="38"/>
          <w:szCs w:val="38"/>
        </w:rPr>
        <w:t>建设项目污染物排放量汇总表</w:t>
      </w:r>
    </w:p>
    <w:tbl>
      <w:tblPr>
        <w:tblStyle w:val="21"/>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297"/>
        <w:gridCol w:w="1983"/>
        <w:gridCol w:w="1275"/>
        <w:gridCol w:w="1833"/>
        <w:gridCol w:w="1709"/>
        <w:gridCol w:w="1600"/>
        <w:gridCol w:w="1982"/>
        <w:gridCol w:w="1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tcBorders>
              <w:tl2br w:val="single" w:color="auto" w:sz="4" w:space="0"/>
            </w:tcBorders>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eastAsia" w:ascii="Times New Roman" w:eastAsia="黑体" w:cs="Times New Roman"/>
                <w:snapToGrid w:val="0"/>
                <w:color w:val="auto"/>
                <w:spacing w:val="-6"/>
                <w:kern w:val="21"/>
                <w:sz w:val="21"/>
                <w:szCs w:val="21"/>
                <w:lang w:val="en-US" w:eastAsia="zh-CN"/>
              </w:rPr>
              <w:t xml:space="preserve">    </w:t>
            </w:r>
            <w:r>
              <w:rPr>
                <w:rFonts w:hint="default" w:ascii="Times New Roman" w:hAnsi="Times New Roman" w:eastAsia="黑体" w:cs="Times New Roman"/>
                <w:snapToGrid w:val="0"/>
                <w:color w:val="auto"/>
                <w:spacing w:val="-6"/>
                <w:kern w:val="21"/>
                <w:sz w:val="21"/>
                <w:szCs w:val="21"/>
              </w:rPr>
              <w:t>项目</w:t>
            </w:r>
          </w:p>
          <w:p>
            <w:pPr>
              <w:pStyle w:val="37"/>
              <w:keepNext w:val="0"/>
              <w:keepLines w:val="0"/>
              <w:pageBreakBefore w:val="0"/>
              <w:kinsoku/>
              <w:wordWrap/>
              <w:overflowPunct/>
              <w:topLinePunct w:val="0"/>
              <w:autoSpaceDE/>
              <w:autoSpaceDN/>
              <w:bidi w:val="0"/>
              <w:spacing w:beforeLines="0" w:afterLines="0" w:line="240" w:lineRule="auto"/>
              <w:jc w:val="both"/>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分类</w:t>
            </w:r>
          </w:p>
        </w:tc>
        <w:tc>
          <w:tcPr>
            <w:tcW w:w="463"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污染物名称</w:t>
            </w:r>
          </w:p>
        </w:tc>
        <w:tc>
          <w:tcPr>
            <w:tcW w:w="707"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现有工程排放量</w:t>
            </w:r>
          </w:p>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1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①</w:t>
            </w:r>
            <w:r>
              <w:rPr>
                <w:rFonts w:hint="default" w:ascii="Times New Roman" w:hAnsi="Times New Roman" w:eastAsia="黑体" w:cs="Times New Roman"/>
                <w:snapToGrid w:val="0"/>
                <w:color w:val="auto"/>
                <w:spacing w:val="-6"/>
                <w:kern w:val="21"/>
                <w:sz w:val="21"/>
                <w:szCs w:val="21"/>
              </w:rPr>
              <w:fldChar w:fldCharType="end"/>
            </w:r>
          </w:p>
        </w:tc>
        <w:tc>
          <w:tcPr>
            <w:tcW w:w="455"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现有工程许可排放量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2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snapToGrid w:val="0"/>
                <w:color w:val="auto"/>
                <w:spacing w:val="-6"/>
                <w:kern w:val="21"/>
                <w:sz w:val="21"/>
                <w:szCs w:val="21"/>
              </w:rPr>
              <w:t>②</w:t>
            </w:r>
            <w:r>
              <w:rPr>
                <w:rFonts w:hint="default" w:ascii="Times New Roman" w:hAnsi="Times New Roman" w:eastAsia="黑体" w:cs="Times New Roman"/>
                <w:snapToGrid w:val="0"/>
                <w:color w:val="auto"/>
                <w:spacing w:val="-6"/>
                <w:kern w:val="21"/>
                <w:sz w:val="21"/>
                <w:szCs w:val="21"/>
              </w:rPr>
              <w:fldChar w:fldCharType="end"/>
            </w:r>
          </w:p>
        </w:tc>
        <w:tc>
          <w:tcPr>
            <w:tcW w:w="654"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在建工程排放量（固体废物产生量）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3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③</w:t>
            </w:r>
            <w:r>
              <w:rPr>
                <w:rFonts w:hint="default" w:ascii="Times New Roman" w:hAnsi="Times New Roman" w:eastAsia="黑体" w:cs="Times New Roman"/>
                <w:snapToGrid w:val="0"/>
                <w:color w:val="auto"/>
                <w:spacing w:val="-6"/>
                <w:kern w:val="21"/>
                <w:sz w:val="21"/>
                <w:szCs w:val="21"/>
              </w:rPr>
              <w:fldChar w:fldCharType="end"/>
            </w:r>
          </w:p>
        </w:tc>
        <w:tc>
          <w:tcPr>
            <w:tcW w:w="610"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本项目排放量（固体废物产生量）</w:t>
            </w: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4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④</w:t>
            </w:r>
            <w:r>
              <w:rPr>
                <w:rFonts w:hint="default" w:ascii="Times New Roman" w:hAnsi="Times New Roman" w:eastAsia="黑体" w:cs="Times New Roman"/>
                <w:snapToGrid w:val="0"/>
                <w:color w:val="auto"/>
                <w:spacing w:val="-6"/>
                <w:kern w:val="21"/>
                <w:sz w:val="21"/>
                <w:szCs w:val="21"/>
              </w:rPr>
              <w:fldChar w:fldCharType="end"/>
            </w:r>
          </w:p>
        </w:tc>
        <w:tc>
          <w:tcPr>
            <w:tcW w:w="571"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以新带老削减量（新建项目不填）</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5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⑤</w:t>
            </w:r>
            <w:r>
              <w:rPr>
                <w:rFonts w:hint="default" w:ascii="Times New Roman" w:hAnsi="Times New Roman" w:eastAsia="黑体" w:cs="Times New Roman"/>
                <w:snapToGrid w:val="0"/>
                <w:color w:val="auto"/>
                <w:spacing w:val="-16"/>
                <w:kern w:val="21"/>
                <w:sz w:val="21"/>
                <w:szCs w:val="21"/>
              </w:rPr>
              <w:fldChar w:fldCharType="end"/>
            </w:r>
          </w:p>
        </w:tc>
        <w:tc>
          <w:tcPr>
            <w:tcW w:w="707"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16"/>
                <w:kern w:val="21"/>
                <w:sz w:val="21"/>
                <w:szCs w:val="21"/>
              </w:rPr>
            </w:pPr>
            <w:r>
              <w:rPr>
                <w:rFonts w:hint="default" w:ascii="Times New Roman" w:hAnsi="Times New Roman" w:eastAsia="黑体" w:cs="Times New Roman"/>
                <w:snapToGrid w:val="0"/>
                <w:color w:val="auto"/>
                <w:spacing w:val="-16"/>
                <w:kern w:val="21"/>
                <w:sz w:val="21"/>
                <w:szCs w:val="21"/>
              </w:rPr>
              <w:t>本项目建成后全厂排放量（固体废物产生量）</w:t>
            </w:r>
            <w:r>
              <w:rPr>
                <w:rFonts w:hint="default" w:ascii="Times New Roman" w:hAnsi="Times New Roman" w:eastAsia="黑体" w:cs="Times New Roman"/>
                <w:snapToGrid w:val="0"/>
                <w:color w:val="auto"/>
                <w:spacing w:val="-16"/>
                <w:kern w:val="21"/>
                <w:sz w:val="21"/>
                <w:szCs w:val="21"/>
              </w:rPr>
              <w:fldChar w:fldCharType="begin"/>
            </w:r>
            <w:r>
              <w:rPr>
                <w:rFonts w:hint="default" w:ascii="Times New Roman" w:hAnsi="Times New Roman" w:eastAsia="黑体" w:cs="Times New Roman"/>
                <w:snapToGrid w:val="0"/>
                <w:color w:val="auto"/>
                <w:spacing w:val="-16"/>
                <w:kern w:val="21"/>
                <w:sz w:val="21"/>
                <w:szCs w:val="21"/>
              </w:rPr>
              <w:instrText xml:space="preserve"> = 6 \* GB3 \* MERGEFORMAT </w:instrText>
            </w:r>
            <w:r>
              <w:rPr>
                <w:rFonts w:hint="default" w:ascii="Times New Roman" w:hAnsi="Times New Roman" w:eastAsia="黑体" w:cs="Times New Roman"/>
                <w:snapToGrid w:val="0"/>
                <w:color w:val="auto"/>
                <w:spacing w:val="-16"/>
                <w:kern w:val="21"/>
                <w:sz w:val="21"/>
                <w:szCs w:val="21"/>
              </w:rPr>
              <w:fldChar w:fldCharType="separate"/>
            </w:r>
            <w:r>
              <w:rPr>
                <w:rFonts w:hint="default" w:ascii="Times New Roman" w:hAnsi="Times New Roman" w:eastAsia="黑体" w:cs="Times New Roman"/>
                <w:color w:val="auto"/>
                <w:kern w:val="2"/>
                <w:sz w:val="21"/>
                <w:szCs w:val="21"/>
              </w:rPr>
              <w:t>⑥</w:t>
            </w:r>
            <w:r>
              <w:rPr>
                <w:rFonts w:hint="default" w:ascii="Times New Roman" w:hAnsi="Times New Roman" w:eastAsia="黑体" w:cs="Times New Roman"/>
                <w:snapToGrid w:val="0"/>
                <w:color w:val="auto"/>
                <w:spacing w:val="-16"/>
                <w:kern w:val="21"/>
                <w:sz w:val="21"/>
                <w:szCs w:val="21"/>
              </w:rPr>
              <w:fldChar w:fldCharType="end"/>
            </w:r>
          </w:p>
        </w:tc>
        <w:tc>
          <w:tcPr>
            <w:tcW w:w="445" w:type="pct"/>
            <w:noWrap w:val="0"/>
            <w:tcMar>
              <w:left w:w="28" w:type="dxa"/>
              <w:right w:w="28" w:type="dxa"/>
            </w:tcMar>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t>变化量</w:t>
            </w:r>
          </w:p>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黑体" w:cs="Times New Roman"/>
                <w:snapToGrid w:val="0"/>
                <w:color w:val="auto"/>
                <w:spacing w:val="-6"/>
                <w:kern w:val="21"/>
                <w:sz w:val="21"/>
                <w:szCs w:val="21"/>
              </w:rPr>
            </w:pPr>
            <w:r>
              <w:rPr>
                <w:rFonts w:hint="default" w:ascii="Times New Roman" w:hAnsi="Times New Roman" w:eastAsia="黑体" w:cs="Times New Roman"/>
                <w:snapToGrid w:val="0"/>
                <w:color w:val="auto"/>
                <w:spacing w:val="-6"/>
                <w:kern w:val="21"/>
                <w:sz w:val="21"/>
                <w:szCs w:val="21"/>
              </w:rPr>
              <w:fldChar w:fldCharType="begin"/>
            </w:r>
            <w:r>
              <w:rPr>
                <w:rFonts w:hint="default" w:ascii="Times New Roman" w:hAnsi="Times New Roman" w:eastAsia="黑体" w:cs="Times New Roman"/>
                <w:snapToGrid w:val="0"/>
                <w:color w:val="auto"/>
                <w:spacing w:val="-6"/>
                <w:kern w:val="21"/>
                <w:sz w:val="21"/>
                <w:szCs w:val="21"/>
              </w:rPr>
              <w:instrText xml:space="preserve"> = 7 \* GB3 \* MERGEFORMAT </w:instrText>
            </w:r>
            <w:r>
              <w:rPr>
                <w:rFonts w:hint="default" w:ascii="Times New Roman" w:hAnsi="Times New Roman" w:eastAsia="黑体" w:cs="Times New Roman"/>
                <w:snapToGrid w:val="0"/>
                <w:color w:val="auto"/>
                <w:spacing w:val="-6"/>
                <w:kern w:val="21"/>
                <w:sz w:val="21"/>
                <w:szCs w:val="21"/>
              </w:rPr>
              <w:fldChar w:fldCharType="separate"/>
            </w:r>
            <w:r>
              <w:rPr>
                <w:rFonts w:hint="default" w:ascii="Times New Roman" w:hAnsi="Times New Roman" w:eastAsia="黑体" w:cs="Times New Roman"/>
                <w:color w:val="auto"/>
                <w:kern w:val="2"/>
                <w:sz w:val="21"/>
                <w:szCs w:val="21"/>
              </w:rPr>
              <w:t>⑦</w:t>
            </w:r>
            <w:r>
              <w:rPr>
                <w:rFonts w:hint="default" w:ascii="Times New Roman" w:hAnsi="Times New Roman" w:eastAsia="黑体" w:cs="Times New Roman"/>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5" w:type="pct"/>
            <w:vMerge w:val="restar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rPr>
            </w:pPr>
            <w:r>
              <w:rPr>
                <w:rFonts w:hint="default" w:ascii="Times New Roman" w:hAnsi="Times New Roman" w:cs="Times New Roman"/>
                <w:b w:val="0"/>
                <w:bCs/>
                <w:snapToGrid w:val="0"/>
                <w:color w:val="auto"/>
                <w:kern w:val="21"/>
                <w:sz w:val="21"/>
                <w:szCs w:val="21"/>
              </w:rPr>
              <w:t>废气</w:t>
            </w: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snapToGrid w:val="0"/>
                <w:color w:val="auto"/>
                <w:kern w:val="21"/>
                <w:sz w:val="21"/>
                <w:szCs w:val="21"/>
              </w:rPr>
            </w:pPr>
            <w:r>
              <w:rPr>
                <w:rFonts w:hint="default" w:ascii="Times New Roman" w:hAnsi="Times New Roman" w:cs="Times New Roman"/>
                <w:b w:val="0"/>
                <w:bCs/>
                <w:color w:val="auto"/>
                <w:sz w:val="21"/>
                <w:szCs w:val="21"/>
              </w:rPr>
              <w:t>颗粒物</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0.1591</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0.1591</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ascii="Times New Roman" w:hAnsi="Times New Roman" w:eastAsia="宋体" w:cs="Times New Roman"/>
                <w:b w:val="0"/>
                <w:bCs/>
                <w:color w:val="auto"/>
                <w:sz w:val="21"/>
                <w:szCs w:val="21"/>
                <w:lang w:val="en-US" w:eastAsia="zh-CN"/>
              </w:rPr>
              <w:t>+</w:t>
            </w:r>
            <w:r>
              <w:rPr>
                <w:rFonts w:hint="eastAsia" w:cs="Times New Roman"/>
                <w:b w:val="0"/>
                <w:bCs/>
                <w:color w:val="auto"/>
                <w:sz w:val="21"/>
                <w:szCs w:val="21"/>
                <w:lang w:val="en-US" w:eastAsia="zh-CN"/>
              </w:rPr>
              <w:t>0.1591</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rPr>
            </w:pP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lang w:eastAsia="zh-CN"/>
              </w:rPr>
            </w:pPr>
            <w:r>
              <w:rPr>
                <w:rFonts w:hint="eastAsia" w:cs="Times New Roman"/>
                <w:b w:val="0"/>
                <w:bCs/>
                <w:color w:val="auto"/>
                <w:sz w:val="21"/>
                <w:szCs w:val="21"/>
                <w:lang w:eastAsia="zh-CN"/>
              </w:rPr>
              <w:t>硫化氢</w:t>
            </w:r>
          </w:p>
        </w:tc>
        <w:tc>
          <w:tcPr>
            <w:tcW w:w="707"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0.03678</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0.036776</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+0.03678</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rPr>
            </w:pP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color w:val="auto"/>
                <w:sz w:val="21"/>
                <w:szCs w:val="21"/>
                <w:lang w:eastAsia="zh-CN"/>
              </w:rPr>
            </w:pPr>
            <w:r>
              <w:rPr>
                <w:rFonts w:hint="eastAsia" w:cs="Times New Roman"/>
                <w:b w:val="0"/>
                <w:bCs/>
                <w:color w:val="auto"/>
                <w:sz w:val="21"/>
                <w:szCs w:val="21"/>
                <w:lang w:eastAsia="zh-CN"/>
              </w:rPr>
              <w:t>氨</w:t>
            </w:r>
          </w:p>
        </w:tc>
        <w:tc>
          <w:tcPr>
            <w:tcW w:w="707"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keepNext w:val="0"/>
              <w:keepLines w:val="0"/>
              <w:pageBreakBefore w:val="0"/>
              <w:kinsoku/>
              <w:wordWrap/>
              <w:overflowPunct/>
              <w:topLinePunct w:val="0"/>
              <w:autoSpaceDE/>
              <w:autoSpaceDN/>
              <w:bidi w:val="0"/>
              <w:spacing w:beforeLines="0" w:afterLines="0"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cs="Times New Roman"/>
                <w:b w:val="0"/>
                <w:bCs/>
                <w:color w:val="auto"/>
                <w:sz w:val="21"/>
                <w:szCs w:val="21"/>
                <w:lang w:val="en-US" w:eastAsia="zh-CN"/>
              </w:rPr>
            </w:pPr>
            <w:r>
              <w:rPr>
                <w:rFonts w:hint="eastAsia" w:cs="Times New Roman"/>
                <w:b w:val="0"/>
                <w:bCs/>
                <w:color w:val="auto"/>
                <w:sz w:val="21"/>
                <w:szCs w:val="21"/>
                <w:lang w:val="en-US" w:eastAsia="zh-CN"/>
              </w:rPr>
              <w:t>0.27669</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cs="Times New Roman"/>
                <w:b w:val="0"/>
                <w:bCs/>
                <w:color w:val="auto"/>
                <w:sz w:val="21"/>
                <w:szCs w:val="21"/>
                <w:lang w:val="en-US" w:eastAsia="zh-CN"/>
              </w:rPr>
            </w:pPr>
            <w:r>
              <w:rPr>
                <w:rFonts w:hint="eastAsia" w:cs="Times New Roman"/>
                <w:b w:val="0"/>
                <w:bCs/>
                <w:color w:val="auto"/>
                <w:sz w:val="21"/>
                <w:szCs w:val="21"/>
                <w:lang w:val="en-US" w:eastAsia="zh-CN"/>
              </w:rPr>
              <w:t>0.27669</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+0.27669</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cs="Times New Roman"/>
                <w:b w:val="0"/>
                <w:bCs/>
                <w:snapToGrid w:val="0"/>
                <w:color w:val="auto"/>
                <w:kern w:val="21"/>
                <w:sz w:val="21"/>
                <w:szCs w:val="21"/>
              </w:rPr>
            </w:pPr>
          </w:p>
        </w:tc>
        <w:tc>
          <w:tcPr>
            <w:tcW w:w="46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食堂油烟</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0.73kg/a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0.73kg/a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+0.73kg/a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restar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r>
              <w:rPr>
                <w:rFonts w:hint="default" w:ascii="Times New Roman" w:hAnsi="Times New Roman" w:eastAsia="宋体" w:cs="Times New Roman"/>
                <w:b w:val="0"/>
                <w:bCs/>
                <w:snapToGrid w:val="0"/>
                <w:color w:val="auto"/>
                <w:kern w:val="21"/>
                <w:sz w:val="21"/>
                <w:szCs w:val="21"/>
              </w:rPr>
              <w:t>废水</w:t>
            </w: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化学需氧量</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36.551</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36.551</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36.551</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五日生化</w:t>
            </w:r>
          </w:p>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需氧量</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18.287</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18.287</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18.287</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悬浮物</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10.979</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10.979</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w:t>
            </w:r>
            <w:r>
              <w:rPr>
                <w:rFonts w:hint="eastAsia" w:cs="Times New Roman"/>
                <w:b w:val="0"/>
                <w:bCs/>
                <w:color w:val="auto"/>
                <w:kern w:val="2"/>
                <w:sz w:val="21"/>
                <w:szCs w:val="21"/>
                <w:lang w:val="en-US" w:eastAsia="zh-CN" w:bidi="ar-SA"/>
              </w:rPr>
              <w:t>10.979</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default" w:ascii="Times New Roman" w:hAnsi="Times New Roman" w:eastAsia="宋体" w:cs="Times New Roman"/>
                <w:b w:val="0"/>
                <w:bCs/>
                <w:snapToGrid w:val="0"/>
                <w:color w:val="auto"/>
                <w:kern w:val="21"/>
                <w:sz w:val="21"/>
                <w:szCs w:val="21"/>
                <w:lang w:val="en-US" w:eastAsia="zh-CN"/>
              </w:rPr>
              <w:t>氨氮</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10"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1.831</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1.831</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kern w:val="2"/>
                <w:sz w:val="21"/>
                <w:szCs w:val="21"/>
                <w:lang w:val="en-US" w:eastAsia="zh-CN" w:bidi="ar-SA"/>
              </w:rPr>
              <w:t>+1.831</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3" w:hRule="atLeast"/>
          <w:jc w:val="center"/>
        </w:trPr>
        <w:tc>
          <w:tcPr>
            <w:tcW w:w="385" w:type="pct"/>
            <w:vMerge w:val="restar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r>
              <w:rPr>
                <w:rFonts w:hint="default" w:ascii="Times New Roman" w:hAnsi="Times New Roman" w:eastAsia="宋体" w:cs="Times New Roman"/>
                <w:b w:val="0"/>
                <w:bCs/>
                <w:snapToGrid w:val="0"/>
                <w:color w:val="auto"/>
                <w:kern w:val="21"/>
                <w:sz w:val="21"/>
                <w:szCs w:val="21"/>
              </w:rPr>
              <w:t>一般工业固体废物</w:t>
            </w: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eastAsia" w:ascii="Times New Roman" w:cs="Times New Roman"/>
                <w:b w:val="0"/>
                <w:bCs/>
                <w:snapToGrid w:val="0"/>
                <w:color w:val="auto"/>
                <w:kern w:val="21"/>
                <w:sz w:val="21"/>
                <w:szCs w:val="21"/>
                <w:lang w:val="en-US" w:eastAsia="zh-CN"/>
              </w:rPr>
              <w:t>废包装桶</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10"/>
              <w:keepNext w:val="0"/>
              <w:keepLines w:val="0"/>
              <w:pageBreakBefore w:val="0"/>
              <w:kinsoku/>
              <w:wordWrap/>
              <w:overflowPunct/>
              <w:topLinePunct w:val="0"/>
              <w:autoSpaceDE/>
              <w:autoSpaceDN/>
              <w:bidi w:val="0"/>
              <w:spacing w:before="0" w:after="0" w:line="360" w:lineRule="auto"/>
              <w:ind w:right="0" w:rightChars="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1"/>
                <w:szCs w:val="21"/>
                <w:lang w:val="en-US" w:eastAsia="zh-CN"/>
              </w:rPr>
            </w:pPr>
            <w:r>
              <w:rPr>
                <w:rFonts w:hint="eastAsia" w:cs="Times New Roman"/>
                <w:b w:val="0"/>
                <w:bCs/>
                <w:color w:val="auto"/>
                <w:kern w:val="2"/>
                <w:sz w:val="21"/>
                <w:szCs w:val="21"/>
                <w:lang w:val="en-US" w:eastAsia="zh-CN" w:bidi="ar-SA"/>
              </w:rPr>
              <w:t>0.096</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kern w:val="2"/>
                <w:sz w:val="21"/>
                <w:szCs w:val="21"/>
                <w:lang w:val="en-US" w:eastAsia="zh-CN" w:bidi="ar-SA"/>
              </w:rPr>
              <w:t>0.096</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color w:val="auto"/>
                <w:kern w:val="2"/>
                <w:sz w:val="21"/>
                <w:szCs w:val="21"/>
                <w:lang w:val="en-US" w:eastAsia="zh-CN" w:bidi="ar-SA"/>
              </w:rPr>
            </w:pPr>
            <w:r>
              <w:rPr>
                <w:rFonts w:hint="eastAsia" w:cs="Times New Roman"/>
                <w:b w:val="0"/>
                <w:bCs/>
                <w:color w:val="auto"/>
                <w:kern w:val="2"/>
                <w:sz w:val="21"/>
                <w:szCs w:val="21"/>
                <w:lang w:val="en-US" w:eastAsia="zh-CN" w:bidi="ar-SA"/>
              </w:rPr>
              <w:t>0.096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eastAsia" w:ascii="Times New Roman" w:cs="Times New Roman"/>
                <w:b w:val="0"/>
                <w:bCs/>
                <w:snapToGrid w:val="0"/>
                <w:color w:val="auto"/>
                <w:kern w:val="21"/>
                <w:sz w:val="21"/>
                <w:szCs w:val="21"/>
                <w:lang w:val="en-US" w:eastAsia="zh-CN"/>
              </w:rPr>
              <w:t>污泥</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10"/>
              <w:keepNext w:val="0"/>
              <w:keepLines w:val="0"/>
              <w:pageBreakBefore w:val="0"/>
              <w:kinsoku/>
              <w:wordWrap/>
              <w:overflowPunct/>
              <w:topLinePunct w:val="0"/>
              <w:autoSpaceDE/>
              <w:autoSpaceDN/>
              <w:bidi w:val="0"/>
              <w:spacing w:before="0" w:after="0" w:line="360" w:lineRule="auto"/>
              <w:ind w:right="0" w:rightChars="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109.653</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109.653</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+109.653</w:t>
            </w:r>
            <w:r>
              <w:rPr>
                <w:rFonts w:hint="eastAsia" w:ascii="Times New Roman" w:hAnsi="Times New Roman" w:eastAsia="宋体" w:cs="Times New Roman"/>
                <w:b w:val="0"/>
                <w:bCs/>
                <w:color w:val="auto"/>
                <w:sz w:val="21"/>
                <w:szCs w:val="21"/>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85" w:type="pct"/>
            <w:vMerge w:val="continue"/>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rPr>
            </w:pPr>
          </w:p>
        </w:tc>
        <w:tc>
          <w:tcPr>
            <w:tcW w:w="463" w:type="pct"/>
            <w:noWrap w:val="0"/>
            <w:vAlign w:val="center"/>
          </w:tcPr>
          <w:p>
            <w:pPr>
              <w:pStyle w:val="37"/>
              <w:keepNext w:val="0"/>
              <w:keepLines w:val="0"/>
              <w:pageBreakBefore w:val="0"/>
              <w:kinsoku/>
              <w:wordWrap/>
              <w:overflowPunct/>
              <w:topLinePunct w:val="0"/>
              <w:autoSpaceDE/>
              <w:autoSpaceDN/>
              <w:bidi w:val="0"/>
              <w:spacing w:beforeLines="0" w:afterLines="0" w:line="240" w:lineRule="auto"/>
              <w:jc w:val="center"/>
              <w:textAlignment w:val="auto"/>
              <w:rPr>
                <w:rFonts w:hint="default" w:ascii="Times New Roman" w:hAnsi="Times New Roman" w:eastAsia="宋体" w:cs="Times New Roman"/>
                <w:b w:val="0"/>
                <w:bCs/>
                <w:snapToGrid w:val="0"/>
                <w:color w:val="auto"/>
                <w:kern w:val="21"/>
                <w:sz w:val="21"/>
                <w:szCs w:val="21"/>
                <w:lang w:val="en-US" w:eastAsia="zh-CN"/>
              </w:rPr>
            </w:pPr>
            <w:r>
              <w:rPr>
                <w:rFonts w:hint="eastAsia" w:ascii="Times New Roman" w:cs="Times New Roman"/>
                <w:b w:val="0"/>
                <w:bCs/>
                <w:snapToGrid w:val="0"/>
                <w:color w:val="auto"/>
                <w:kern w:val="21"/>
                <w:sz w:val="21"/>
                <w:szCs w:val="21"/>
                <w:lang w:val="en-US" w:eastAsia="zh-CN"/>
              </w:rPr>
              <w:t>生活垃圾</w:t>
            </w:r>
          </w:p>
        </w:tc>
        <w:tc>
          <w:tcPr>
            <w:tcW w:w="707"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455"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654" w:type="pct"/>
            <w:noWrap w:val="0"/>
            <w:vAlign w:val="center"/>
          </w:tcPr>
          <w:p>
            <w:pPr>
              <w:pStyle w:val="10"/>
              <w:keepNext w:val="0"/>
              <w:keepLines w:val="0"/>
              <w:pageBreakBefore w:val="0"/>
              <w:kinsoku/>
              <w:wordWrap/>
              <w:overflowPunct/>
              <w:topLinePunct w:val="0"/>
              <w:autoSpaceDE/>
              <w:autoSpaceDN/>
              <w:bidi w:val="0"/>
              <w:spacing w:before="0" w:after="0" w:line="360" w:lineRule="auto"/>
              <w:ind w:right="0" w:rightChars="0"/>
              <w:jc w:val="center"/>
              <w:textAlignment w:val="auto"/>
              <w:rPr>
                <w:rFonts w:hint="default" w:ascii="Times New Roman" w:hAnsi="Times New Roman" w:eastAsia="宋体" w:cs="Times New Roman"/>
                <w:snapToGrid w:val="0"/>
                <w:color w:val="auto"/>
                <w:kern w:val="21"/>
                <w:sz w:val="21"/>
                <w:szCs w:val="21"/>
                <w:lang w:eastAsia="zh-CN"/>
              </w:rPr>
            </w:pPr>
            <w:r>
              <w:rPr>
                <w:rFonts w:hint="default" w:ascii="Times New Roman" w:hAnsi="Times New Roman" w:cs="Times New Roman"/>
                <w:color w:val="auto"/>
                <w:sz w:val="21"/>
                <w:szCs w:val="21"/>
                <w:lang w:val="en-US" w:eastAsia="zh-CN"/>
              </w:rPr>
              <w:t>/</w:t>
            </w:r>
          </w:p>
        </w:tc>
        <w:tc>
          <w:tcPr>
            <w:tcW w:w="610" w:type="pct"/>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val="0"/>
                <w:bCs/>
                <w:color w:val="auto"/>
                <w:sz w:val="21"/>
                <w:szCs w:val="21"/>
                <w:lang w:val="en-US" w:eastAsia="zh-CN"/>
              </w:rPr>
            </w:pPr>
            <w:r>
              <w:rPr>
                <w:rFonts w:hint="eastAsia" w:cs="Times New Roman"/>
                <w:b w:val="0"/>
                <w:bCs/>
                <w:color w:val="auto"/>
                <w:sz w:val="21"/>
                <w:szCs w:val="21"/>
                <w:lang w:val="en-US" w:eastAsia="zh-CN"/>
              </w:rPr>
              <w:t>1.825</w:t>
            </w:r>
            <w:r>
              <w:rPr>
                <w:rFonts w:hint="eastAsia" w:ascii="Times New Roman" w:hAnsi="Times New Roman" w:eastAsia="宋体" w:cs="Times New Roman"/>
                <w:b w:val="0"/>
                <w:bCs/>
                <w:color w:val="auto"/>
                <w:sz w:val="21"/>
                <w:szCs w:val="21"/>
                <w:lang w:val="en-US" w:eastAsia="zh-CN"/>
              </w:rPr>
              <w:t>t/a</w:t>
            </w:r>
          </w:p>
        </w:tc>
        <w:tc>
          <w:tcPr>
            <w:tcW w:w="571" w:type="pct"/>
            <w:noWrap w:val="0"/>
            <w:vAlign w:val="center"/>
          </w:tcPr>
          <w:p>
            <w:pPr>
              <w:pStyle w:val="37"/>
              <w:keepNext w:val="0"/>
              <w:keepLines w:val="0"/>
              <w:pageBreakBefore w:val="0"/>
              <w:kinsoku/>
              <w:wordWrap/>
              <w:overflowPunct/>
              <w:topLinePunct w:val="0"/>
              <w:autoSpaceDE/>
              <w:autoSpaceDN/>
              <w:bidi w:val="0"/>
              <w:spacing w:beforeLines="0" w:afterLines="0" w:line="360" w:lineRule="auto"/>
              <w:jc w:val="center"/>
              <w:textAlignment w:val="auto"/>
              <w:rPr>
                <w:rFonts w:hint="default" w:ascii="Times New Roman" w:hAnsi="Times New Roman" w:cs="Times New Roman"/>
                <w:snapToGrid w:val="0"/>
                <w:color w:val="auto"/>
                <w:kern w:val="21"/>
                <w:sz w:val="21"/>
                <w:szCs w:val="21"/>
              </w:rPr>
            </w:pPr>
            <w:r>
              <w:rPr>
                <w:rFonts w:hint="default" w:ascii="Times New Roman" w:hAnsi="Times New Roman" w:cs="Times New Roman"/>
                <w:snapToGrid w:val="0"/>
                <w:color w:val="auto"/>
                <w:kern w:val="21"/>
                <w:sz w:val="21"/>
                <w:szCs w:val="21"/>
              </w:rPr>
              <w:t>/</w:t>
            </w:r>
          </w:p>
        </w:tc>
        <w:tc>
          <w:tcPr>
            <w:tcW w:w="707"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1.825</w:t>
            </w:r>
            <w:r>
              <w:rPr>
                <w:rFonts w:hint="eastAsia" w:ascii="Times New Roman" w:hAnsi="Times New Roman" w:eastAsia="宋体" w:cs="Times New Roman"/>
                <w:b w:val="0"/>
                <w:bCs/>
                <w:color w:val="auto"/>
                <w:sz w:val="21"/>
                <w:szCs w:val="21"/>
                <w:lang w:val="en-US" w:eastAsia="zh-CN"/>
              </w:rPr>
              <w:t>t/a</w:t>
            </w:r>
          </w:p>
        </w:tc>
        <w:tc>
          <w:tcPr>
            <w:tcW w:w="445" w:type="pct"/>
            <w:noWrap w:val="0"/>
            <w:vAlign w:val="center"/>
          </w:tcPr>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default" w:ascii="Times New Roman" w:hAnsi="Times New Roman" w:eastAsia="宋体" w:cs="Times New Roman"/>
                <w:b w:val="0"/>
                <w:bCs/>
                <w:color w:val="auto"/>
                <w:kern w:val="2"/>
                <w:sz w:val="21"/>
                <w:szCs w:val="21"/>
                <w:lang w:val="en-US" w:eastAsia="zh-CN" w:bidi="ar-SA"/>
              </w:rPr>
            </w:pPr>
            <w:r>
              <w:rPr>
                <w:rFonts w:hint="eastAsia" w:cs="Times New Roman"/>
                <w:b w:val="0"/>
                <w:bCs/>
                <w:color w:val="auto"/>
                <w:sz w:val="21"/>
                <w:szCs w:val="21"/>
                <w:lang w:val="en-US" w:eastAsia="zh-CN"/>
              </w:rPr>
              <w:t>+1.825</w:t>
            </w:r>
            <w:r>
              <w:rPr>
                <w:rFonts w:hint="eastAsia" w:ascii="Times New Roman" w:hAnsi="Times New Roman" w:eastAsia="宋体" w:cs="Times New Roman"/>
                <w:b w:val="0"/>
                <w:bCs/>
                <w:color w:val="auto"/>
                <w:sz w:val="21"/>
                <w:szCs w:val="21"/>
                <w:lang w:val="en-US" w:eastAsia="zh-CN"/>
              </w:rPr>
              <w:t>t/a</w:t>
            </w:r>
          </w:p>
        </w:tc>
      </w:tr>
    </w:tbl>
    <w:p>
      <w:pPr>
        <w:pStyle w:val="37"/>
        <w:spacing w:before="192" w:beforeLines="80" w:after="24"/>
        <w:jc w:val="left"/>
        <w:rPr>
          <w:rFonts w:hint="default" w:ascii="Times New Roman" w:hAnsi="Times New Roman" w:cs="Times New Roman"/>
          <w:snapToGrid w:val="0"/>
          <w:color w:val="auto"/>
          <w:spacing w:val="-6"/>
          <w:kern w:val="21"/>
          <w:szCs w:val="21"/>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cs="Times New Roman"/>
          <w:snapToGrid w:val="0"/>
          <w:color w:val="auto"/>
          <w:kern w:val="21"/>
          <w:szCs w:val="21"/>
        </w:rPr>
        <w:t>注：</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3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③</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4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④</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5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⑤</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7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⑦</w:t>
      </w:r>
      <w:r>
        <w:rPr>
          <w:rFonts w:hint="default" w:ascii="Times New Roman" w:hAnsi="Times New Roman" w:cs="Times New Roman"/>
          <w:snapToGrid w:val="0"/>
          <w:color w:val="auto"/>
          <w:spacing w:val="-6"/>
          <w:kern w:val="21"/>
          <w:szCs w:val="21"/>
        </w:rPr>
        <w:fldChar w:fldCharType="end"/>
      </w:r>
      <w:r>
        <w:rPr>
          <w:rFonts w:hint="default" w:ascii="Times New Roman" w:hAnsi="Times New Roman" w:cs="Times New Roman"/>
          <w:snapToGrid w:val="0"/>
          <w:color w:val="auto"/>
          <w:spacing w:val="-6"/>
          <w:kern w:val="21"/>
          <w:szCs w:val="21"/>
        </w:rPr>
        <w:t>=</w:t>
      </w:r>
      <w:r>
        <w:rPr>
          <w:rFonts w:hint="default" w:ascii="Times New Roman" w:hAnsi="Times New Roman" w:cs="Times New Roman"/>
          <w:snapToGrid w:val="0"/>
          <w:color w:val="auto"/>
          <w:spacing w:val="-16"/>
          <w:kern w:val="21"/>
          <w:szCs w:val="21"/>
        </w:rPr>
        <w:fldChar w:fldCharType="begin"/>
      </w:r>
      <w:r>
        <w:rPr>
          <w:rFonts w:hint="default" w:ascii="Times New Roman" w:hAnsi="Times New Roman" w:cs="Times New Roman"/>
          <w:snapToGrid w:val="0"/>
          <w:color w:val="auto"/>
          <w:spacing w:val="-16"/>
          <w:kern w:val="21"/>
          <w:szCs w:val="21"/>
        </w:rPr>
        <w:instrText xml:space="preserve"> = 6 \* GB3 \* MERGEFORMAT </w:instrText>
      </w:r>
      <w:r>
        <w:rPr>
          <w:rFonts w:hint="default" w:ascii="Times New Roman" w:hAnsi="Times New Roman" w:cs="Times New Roman"/>
          <w:snapToGrid w:val="0"/>
          <w:color w:val="auto"/>
          <w:spacing w:val="-16"/>
          <w:kern w:val="21"/>
          <w:szCs w:val="21"/>
        </w:rPr>
        <w:fldChar w:fldCharType="separate"/>
      </w:r>
      <w:r>
        <w:rPr>
          <w:rFonts w:hint="default" w:ascii="Times New Roman" w:hAnsi="Times New Roman" w:cs="Times New Roman"/>
          <w:color w:val="auto"/>
          <w:szCs w:val="21"/>
        </w:rPr>
        <w:t>⑥</w:t>
      </w:r>
      <w:r>
        <w:rPr>
          <w:rFonts w:hint="default" w:ascii="Times New Roman" w:hAnsi="Times New Roman" w:cs="Times New Roman"/>
          <w:snapToGrid w:val="0"/>
          <w:color w:val="auto"/>
          <w:spacing w:val="-16"/>
          <w:kern w:val="21"/>
          <w:szCs w:val="21"/>
        </w:rPr>
        <w:fldChar w:fldCharType="end"/>
      </w:r>
      <w:r>
        <w:rPr>
          <w:rFonts w:hint="default" w:ascii="Times New Roman" w:hAnsi="Times New Roman" w:cs="Times New Roman"/>
          <w:snapToGrid w:val="0"/>
          <w:color w:val="auto"/>
          <w:spacing w:val="-16"/>
          <w:kern w:val="21"/>
          <w:szCs w:val="21"/>
        </w:rPr>
        <w:t>-</w:t>
      </w:r>
      <w:r>
        <w:rPr>
          <w:rFonts w:hint="default" w:ascii="Times New Roman" w:hAnsi="Times New Roman" w:cs="Times New Roman"/>
          <w:snapToGrid w:val="0"/>
          <w:color w:val="auto"/>
          <w:spacing w:val="-6"/>
          <w:kern w:val="21"/>
          <w:szCs w:val="21"/>
        </w:rPr>
        <w:fldChar w:fldCharType="begin"/>
      </w:r>
      <w:r>
        <w:rPr>
          <w:rFonts w:hint="default" w:ascii="Times New Roman" w:hAnsi="Times New Roman" w:cs="Times New Roman"/>
          <w:snapToGrid w:val="0"/>
          <w:color w:val="auto"/>
          <w:spacing w:val="-6"/>
          <w:kern w:val="21"/>
          <w:szCs w:val="21"/>
        </w:rPr>
        <w:instrText xml:space="preserve"> = 1 \* GB3 \* MERGEFORMAT </w:instrText>
      </w:r>
      <w:r>
        <w:rPr>
          <w:rFonts w:hint="default" w:ascii="Times New Roman" w:hAnsi="Times New Roman" w:cs="Times New Roman"/>
          <w:snapToGrid w:val="0"/>
          <w:color w:val="auto"/>
          <w:spacing w:val="-6"/>
          <w:kern w:val="21"/>
          <w:szCs w:val="21"/>
        </w:rPr>
        <w:fldChar w:fldCharType="separate"/>
      </w:r>
      <w:r>
        <w:rPr>
          <w:rFonts w:hint="default" w:ascii="Times New Roman" w:hAnsi="Times New Roman" w:cs="Times New Roman"/>
          <w:color w:val="auto"/>
          <w:szCs w:val="21"/>
        </w:rPr>
        <w:t>①</w:t>
      </w:r>
      <w:r>
        <w:rPr>
          <w:rFonts w:hint="default" w:ascii="Times New Roman" w:hAnsi="Times New Roman" w:cs="Times New Roman"/>
          <w:snapToGrid w:val="0"/>
          <w:color w:val="auto"/>
          <w:spacing w:val="-6"/>
          <w:kern w:val="21"/>
          <w:szCs w:val="21"/>
        </w:rPr>
        <w:fldChar w:fldCharType="end"/>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附图：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附图1：项目地理位置图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b w:val="0"/>
          <w:bCs/>
          <w:color w:val="auto"/>
          <w:sz w:val="24"/>
          <w:szCs w:val="32"/>
          <w:lang w:val="en-US" w:eastAsia="zh-CN"/>
        </w:rPr>
      </w:pPr>
      <w:r>
        <w:rPr>
          <w:rFonts w:hint="default" w:ascii="Times New Roman" w:hAnsi="Times New Roman" w:cs="Times New Roman"/>
          <w:b w:val="0"/>
          <w:bCs/>
          <w:color w:val="auto"/>
          <w:sz w:val="24"/>
          <w:szCs w:val="32"/>
        </w:rPr>
        <w:t>附图2：</w:t>
      </w:r>
      <w:r>
        <w:rPr>
          <w:rFonts w:hint="default" w:ascii="Times New Roman" w:hAnsi="Times New Roman" w:cs="Times New Roman"/>
          <w:b w:val="0"/>
          <w:bCs/>
          <w:color w:val="auto"/>
          <w:sz w:val="24"/>
          <w:szCs w:val="32"/>
          <w:lang w:val="en-US" w:eastAsia="zh-CN"/>
        </w:rPr>
        <w:t>项目区位于佃坝镇总体规划位置图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lang w:val="en-US" w:eastAsia="zh-CN"/>
        </w:rPr>
      </w:pPr>
      <w:r>
        <w:rPr>
          <w:rFonts w:hint="default" w:ascii="Times New Roman" w:hAnsi="Times New Roman" w:cs="Times New Roman"/>
          <w:b w:val="0"/>
          <w:bCs/>
          <w:color w:val="auto"/>
          <w:sz w:val="24"/>
          <w:szCs w:val="32"/>
          <w:lang w:val="en-US" w:eastAsia="zh-CN"/>
        </w:rPr>
        <w:t>附图</w:t>
      </w:r>
      <w:r>
        <w:rPr>
          <w:rFonts w:hint="eastAsia" w:cs="Times New Roman"/>
          <w:b w:val="0"/>
          <w:bCs/>
          <w:color w:val="auto"/>
          <w:sz w:val="24"/>
          <w:szCs w:val="32"/>
          <w:lang w:val="en-US" w:eastAsia="zh-CN"/>
        </w:rPr>
        <w:t>3：</w:t>
      </w:r>
      <w:r>
        <w:rPr>
          <w:rFonts w:hint="default" w:ascii="Times New Roman" w:hAnsi="Times New Roman" w:cs="Times New Roman"/>
          <w:b w:val="0"/>
          <w:bCs/>
          <w:color w:val="auto"/>
          <w:sz w:val="24"/>
          <w:szCs w:val="32"/>
          <w:lang w:val="en-US" w:eastAsia="zh-CN"/>
        </w:rPr>
        <w:t>项目区位于昌吉市总体规划位置图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附图</w:t>
      </w:r>
      <w:r>
        <w:rPr>
          <w:rFonts w:hint="eastAsia" w:ascii="Times New Roman" w:hAnsi="Times New Roman" w:cs="Times New Roman"/>
          <w:b w:val="0"/>
          <w:bCs/>
          <w:color w:val="auto"/>
          <w:sz w:val="24"/>
          <w:szCs w:val="32"/>
          <w:lang w:val="en-US" w:eastAsia="zh-CN"/>
        </w:rPr>
        <w:t>4</w:t>
      </w:r>
      <w:r>
        <w:rPr>
          <w:rFonts w:hint="default" w:ascii="Times New Roman" w:hAnsi="Times New Roman" w:cs="Times New Roman"/>
          <w:b w:val="0"/>
          <w:bCs/>
          <w:color w:val="auto"/>
          <w:sz w:val="24"/>
          <w:szCs w:val="32"/>
        </w:rPr>
        <w:t>：</w:t>
      </w:r>
      <w:r>
        <w:rPr>
          <w:rFonts w:hint="eastAsia" w:cs="Times New Roman"/>
          <w:b w:val="0"/>
          <w:bCs/>
          <w:color w:val="auto"/>
          <w:sz w:val="24"/>
          <w:szCs w:val="32"/>
          <w:lang w:val="en-US" w:eastAsia="zh-CN"/>
        </w:rPr>
        <w:t>项目区周边关系图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附图</w:t>
      </w:r>
      <w:r>
        <w:rPr>
          <w:rFonts w:hint="eastAsia" w:ascii="Times New Roman" w:hAnsi="Times New Roman" w:cs="Times New Roman"/>
          <w:b w:val="0"/>
          <w:bCs/>
          <w:color w:val="auto"/>
          <w:sz w:val="24"/>
          <w:szCs w:val="32"/>
          <w:lang w:val="en-US" w:eastAsia="zh-CN"/>
        </w:rPr>
        <w:t>5</w:t>
      </w:r>
      <w:r>
        <w:rPr>
          <w:rFonts w:hint="default" w:ascii="Times New Roman" w:hAnsi="Times New Roman" w:cs="Times New Roman"/>
          <w:b w:val="0"/>
          <w:bCs/>
          <w:color w:val="auto"/>
          <w:sz w:val="24"/>
          <w:szCs w:val="32"/>
        </w:rPr>
        <w:t>：平面布置图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eastAsia="宋体" w:cs="Times New Roman"/>
          <w:b w:val="0"/>
          <w:bCs/>
          <w:color w:val="auto"/>
          <w:sz w:val="24"/>
          <w:szCs w:val="32"/>
          <w:lang w:val="en-US" w:eastAsia="zh-CN"/>
        </w:rPr>
      </w:pPr>
      <w:r>
        <w:rPr>
          <w:rFonts w:hint="default" w:ascii="Times New Roman" w:hAnsi="Times New Roman" w:cs="Times New Roman"/>
          <w:b w:val="0"/>
          <w:bCs/>
          <w:color w:val="auto"/>
          <w:sz w:val="24"/>
          <w:szCs w:val="32"/>
        </w:rPr>
        <w:t>附图</w:t>
      </w:r>
      <w:r>
        <w:rPr>
          <w:rFonts w:hint="eastAsia" w:ascii="Times New Roman" w:hAnsi="Times New Roman" w:cs="Times New Roman"/>
          <w:b w:val="0"/>
          <w:bCs/>
          <w:color w:val="auto"/>
          <w:sz w:val="24"/>
          <w:szCs w:val="32"/>
          <w:lang w:val="en-US" w:eastAsia="zh-CN"/>
        </w:rPr>
        <w:t>6</w:t>
      </w:r>
      <w:r>
        <w:rPr>
          <w:rFonts w:hint="default" w:ascii="Times New Roman" w:hAnsi="Times New Roman" w:cs="Times New Roman"/>
          <w:b w:val="0"/>
          <w:bCs/>
          <w:color w:val="auto"/>
          <w:sz w:val="24"/>
          <w:szCs w:val="32"/>
        </w:rPr>
        <w:t>：</w:t>
      </w:r>
      <w:r>
        <w:rPr>
          <w:rFonts w:hint="eastAsia" w:ascii="Times New Roman" w:hAnsi="Times New Roman" w:cs="Times New Roman"/>
          <w:b w:val="0"/>
          <w:bCs/>
          <w:color w:val="auto"/>
          <w:sz w:val="24"/>
          <w:szCs w:val="32"/>
          <w:lang w:val="en-US" w:eastAsia="zh-CN"/>
        </w:rPr>
        <w:t>监测点位图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rPr>
      </w:pPr>
      <w:r>
        <w:rPr>
          <w:rFonts w:hint="eastAsia" w:ascii="Times New Roman" w:hAnsi="Times New Roman" w:cs="Times New Roman"/>
          <w:b w:val="0"/>
          <w:bCs/>
          <w:color w:val="auto"/>
          <w:sz w:val="24"/>
          <w:szCs w:val="32"/>
          <w:lang w:val="en-US" w:eastAsia="zh-CN"/>
        </w:rPr>
        <w:t>附图7：</w:t>
      </w:r>
      <w:r>
        <w:rPr>
          <w:rFonts w:hint="default" w:ascii="Times New Roman" w:hAnsi="Times New Roman" w:cs="Times New Roman"/>
          <w:b w:val="0"/>
          <w:bCs/>
          <w:color w:val="auto"/>
          <w:sz w:val="24"/>
          <w:szCs w:val="32"/>
        </w:rPr>
        <w:t>项目环境管控单元图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eastAsia" w:ascii="Times New Roman" w:hAnsi="Times New Roman" w:cs="Times New Roman"/>
          <w:b w:val="0"/>
          <w:bCs/>
          <w:color w:val="auto"/>
          <w:sz w:val="24"/>
          <w:szCs w:val="32"/>
          <w:lang w:val="en-US" w:eastAsia="zh-CN"/>
        </w:rPr>
      </w:pPr>
      <w:r>
        <w:rPr>
          <w:rFonts w:hint="eastAsia" w:ascii="Times New Roman" w:hAnsi="Times New Roman" w:cs="Times New Roman"/>
          <w:b w:val="0"/>
          <w:bCs/>
          <w:color w:val="auto"/>
          <w:sz w:val="24"/>
          <w:szCs w:val="32"/>
          <w:lang w:val="en-US" w:eastAsia="zh-CN"/>
        </w:rPr>
        <w:t>附图8：分区防渗图</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Times New Roman" w:hAnsi="Times New Roman" w:cs="Times New Roman"/>
          <w:b w:val="0"/>
          <w:bCs/>
          <w:color w:val="auto"/>
          <w:sz w:val="24"/>
          <w:szCs w:val="32"/>
          <w:lang w:val="en-US" w:eastAsia="zh-CN"/>
        </w:rPr>
      </w:pPr>
      <w:r>
        <w:rPr>
          <w:rFonts w:hint="default" w:ascii="Times New Roman" w:hAnsi="Times New Roman" w:cs="Times New Roman"/>
          <w:b w:val="0"/>
          <w:bCs/>
          <w:color w:val="auto"/>
          <w:sz w:val="24"/>
          <w:szCs w:val="32"/>
          <w:lang w:val="en-US" w:eastAsia="zh-CN"/>
        </w:rPr>
        <w:t>附图9</w:t>
      </w:r>
      <w:r>
        <w:rPr>
          <w:rFonts w:hint="eastAsia" w:ascii="Times New Roman" w:hAnsi="Times New Roman" w:cs="Times New Roman"/>
          <w:b w:val="0"/>
          <w:bCs/>
          <w:color w:val="auto"/>
          <w:sz w:val="24"/>
          <w:szCs w:val="32"/>
          <w:lang w:val="en-US" w:eastAsia="zh-CN"/>
        </w:rPr>
        <w:t>：</w:t>
      </w:r>
      <w:r>
        <w:rPr>
          <w:rFonts w:hint="default" w:ascii="Times New Roman" w:hAnsi="Times New Roman" w:cs="Times New Roman"/>
          <w:b w:val="0"/>
          <w:bCs/>
          <w:color w:val="auto"/>
          <w:sz w:val="24"/>
          <w:szCs w:val="32"/>
          <w:lang w:val="en-US" w:eastAsia="zh-CN"/>
        </w:rPr>
        <w:t>本项目在乌昌石同防同治区域图位置图</w:t>
      </w:r>
    </w:p>
    <w:p>
      <w:pPr>
        <w:pStyle w:val="18"/>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b/>
          <w:bCs/>
          <w:color w:val="auto"/>
          <w:sz w:val="28"/>
          <w:szCs w:val="36"/>
        </w:rPr>
      </w:pPr>
    </w:p>
    <w:p>
      <w:pPr>
        <w:pStyle w:val="18"/>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b/>
          <w:bCs/>
          <w:color w:val="auto"/>
          <w:sz w:val="28"/>
          <w:szCs w:val="36"/>
        </w:rPr>
      </w:pPr>
    </w:p>
    <w:p>
      <w:pPr>
        <w:pStyle w:val="18"/>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ascii="Times New Roman" w:hAnsi="Times New Roman" w:cs="Times New Roman"/>
          <w:b/>
          <w:bCs/>
          <w:color w:val="auto"/>
          <w:sz w:val="28"/>
          <w:szCs w:val="36"/>
        </w:rPr>
      </w:pPr>
      <w:r>
        <w:rPr>
          <w:rFonts w:hint="default" w:ascii="Times New Roman" w:hAnsi="Times New Roman" w:cs="Times New Roman"/>
          <w:b/>
          <w:bCs/>
          <w:color w:val="auto"/>
          <w:sz w:val="28"/>
          <w:szCs w:val="36"/>
        </w:rPr>
        <w:t>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附件1：委托书</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b w:val="0"/>
          <w:bCs/>
          <w:color w:val="auto"/>
          <w:sz w:val="24"/>
          <w:szCs w:val="32"/>
        </w:rPr>
      </w:pPr>
      <w:r>
        <w:rPr>
          <w:rFonts w:hint="default" w:ascii="Times New Roman" w:hAnsi="Times New Roman" w:cs="Times New Roman"/>
          <w:b w:val="0"/>
          <w:bCs/>
          <w:color w:val="auto"/>
          <w:sz w:val="24"/>
          <w:szCs w:val="32"/>
        </w:rPr>
        <w:t>附件2：</w:t>
      </w:r>
      <w:r>
        <w:rPr>
          <w:rFonts w:hint="default" w:ascii="Times New Roman" w:hAnsi="Times New Roman" w:cs="Times New Roman"/>
          <w:b w:val="0"/>
          <w:bCs/>
          <w:color w:val="auto"/>
          <w:sz w:val="24"/>
          <w:szCs w:val="32"/>
          <w:lang w:val="en-US" w:eastAsia="zh-CN"/>
        </w:rPr>
        <w:t>发改委</w:t>
      </w:r>
      <w:r>
        <w:rPr>
          <w:rFonts w:hint="default" w:ascii="Times New Roman" w:hAnsi="Times New Roman" w:cs="Times New Roman"/>
          <w:b w:val="0"/>
          <w:bCs/>
          <w:color w:val="auto"/>
          <w:sz w:val="24"/>
          <w:szCs w:val="32"/>
        </w:rPr>
        <w:t>立项文件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color w:val="auto"/>
          <w:sz w:val="24"/>
          <w:szCs w:val="32"/>
          <w:lang w:eastAsia="zh-CN"/>
        </w:rPr>
      </w:pPr>
      <w:r>
        <w:rPr>
          <w:rFonts w:hint="default" w:ascii="Times New Roman" w:hAnsi="Times New Roman" w:cs="Times New Roman"/>
          <w:b w:val="0"/>
          <w:bCs/>
          <w:color w:val="auto"/>
          <w:sz w:val="24"/>
          <w:szCs w:val="32"/>
        </w:rPr>
        <w:t>附件3：</w:t>
      </w:r>
      <w:r>
        <w:rPr>
          <w:rFonts w:hint="eastAsia" w:cs="Times New Roman"/>
          <w:b w:val="0"/>
          <w:bCs/>
          <w:color w:val="auto"/>
          <w:sz w:val="24"/>
          <w:szCs w:val="32"/>
          <w:lang w:val="en-US" w:eastAsia="zh-CN"/>
        </w:rPr>
        <w:t>土地手续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color w:val="auto"/>
          <w:sz w:val="24"/>
          <w:szCs w:val="32"/>
          <w:lang w:val="en-US" w:eastAsia="zh-CN"/>
        </w:rPr>
      </w:pPr>
      <w:r>
        <w:rPr>
          <w:rFonts w:hint="default" w:ascii="Times New Roman" w:hAnsi="Times New Roman" w:cs="Times New Roman"/>
          <w:b w:val="0"/>
          <w:bCs/>
          <w:color w:val="auto"/>
          <w:sz w:val="24"/>
          <w:szCs w:val="32"/>
        </w:rPr>
        <w:t>附件4：</w:t>
      </w:r>
      <w:r>
        <w:rPr>
          <w:rFonts w:hint="eastAsia" w:cs="Times New Roman"/>
          <w:b w:val="0"/>
          <w:bCs/>
          <w:color w:val="auto"/>
          <w:sz w:val="24"/>
          <w:szCs w:val="32"/>
          <w:lang w:val="en-US" w:eastAsia="zh-CN"/>
        </w:rPr>
        <w:t>监测报告</w:t>
      </w:r>
    </w:p>
    <w:p>
      <w:pPr>
        <w:rPr>
          <w:rFonts w:hint="default"/>
          <w:color w:val="auto"/>
        </w:rPr>
      </w:pPr>
    </w:p>
    <w:p>
      <w:pPr>
        <w:pStyle w:val="3"/>
        <w:rPr>
          <w:rFonts w:hint="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BC2902"/>
    <w:multiLevelType w:val="singleLevel"/>
    <w:tmpl w:val="89BC2902"/>
    <w:lvl w:ilvl="0" w:tentative="0">
      <w:start w:val="1"/>
      <w:numFmt w:val="decimal"/>
      <w:suff w:val="space"/>
      <w:lvlText w:val="%1."/>
      <w:lvlJc w:val="left"/>
    </w:lvl>
  </w:abstractNum>
  <w:abstractNum w:abstractNumId="1">
    <w:nsid w:val="923FD273"/>
    <w:multiLevelType w:val="singleLevel"/>
    <w:tmpl w:val="923FD273"/>
    <w:lvl w:ilvl="0" w:tentative="0">
      <w:start w:val="1"/>
      <w:numFmt w:val="decimal"/>
      <w:suff w:val="space"/>
      <w:lvlText w:val="（%1）"/>
      <w:lvlJc w:val="left"/>
    </w:lvl>
  </w:abstractNum>
  <w:abstractNum w:abstractNumId="2">
    <w:nsid w:val="9F1BD74C"/>
    <w:multiLevelType w:val="singleLevel"/>
    <w:tmpl w:val="9F1BD74C"/>
    <w:lvl w:ilvl="0" w:tentative="0">
      <w:start w:val="1"/>
      <w:numFmt w:val="decimal"/>
      <w:suff w:val="space"/>
      <w:lvlText w:val="（%1）"/>
      <w:lvlJc w:val="left"/>
    </w:lvl>
  </w:abstractNum>
  <w:abstractNum w:abstractNumId="3">
    <w:nsid w:val="A4D6D474"/>
    <w:multiLevelType w:val="singleLevel"/>
    <w:tmpl w:val="A4D6D474"/>
    <w:lvl w:ilvl="0" w:tentative="0">
      <w:start w:val="1"/>
      <w:numFmt w:val="decimal"/>
      <w:suff w:val="space"/>
      <w:lvlText w:val="%1."/>
      <w:lvlJc w:val="left"/>
    </w:lvl>
  </w:abstractNum>
  <w:abstractNum w:abstractNumId="4">
    <w:nsid w:val="B9EE77B4"/>
    <w:multiLevelType w:val="singleLevel"/>
    <w:tmpl w:val="B9EE77B4"/>
    <w:lvl w:ilvl="0" w:tentative="0">
      <w:start w:val="1"/>
      <w:numFmt w:val="decimal"/>
      <w:suff w:val="nothing"/>
      <w:lvlText w:val="（%1）"/>
      <w:lvlJc w:val="left"/>
      <w:pPr>
        <w:ind w:left="118"/>
      </w:pPr>
    </w:lvl>
  </w:abstractNum>
  <w:abstractNum w:abstractNumId="5">
    <w:nsid w:val="BA810F53"/>
    <w:multiLevelType w:val="singleLevel"/>
    <w:tmpl w:val="BA810F53"/>
    <w:lvl w:ilvl="0" w:tentative="0">
      <w:start w:val="1"/>
      <w:numFmt w:val="decimal"/>
      <w:suff w:val="space"/>
      <w:lvlText w:val="（%1）"/>
      <w:lvlJc w:val="left"/>
    </w:lvl>
  </w:abstractNum>
  <w:abstractNum w:abstractNumId="6">
    <w:nsid w:val="D0EC41C2"/>
    <w:multiLevelType w:val="singleLevel"/>
    <w:tmpl w:val="D0EC41C2"/>
    <w:lvl w:ilvl="0" w:tentative="0">
      <w:start w:val="1"/>
      <w:numFmt w:val="decimal"/>
      <w:suff w:val="space"/>
      <w:lvlText w:val="%1."/>
      <w:lvlJc w:val="left"/>
    </w:lvl>
  </w:abstractNum>
  <w:abstractNum w:abstractNumId="7">
    <w:nsid w:val="D7C4834C"/>
    <w:multiLevelType w:val="multilevel"/>
    <w:tmpl w:val="D7C4834C"/>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DAF91938"/>
    <w:multiLevelType w:val="singleLevel"/>
    <w:tmpl w:val="DAF91938"/>
    <w:lvl w:ilvl="0" w:tentative="0">
      <w:start w:val="1"/>
      <w:numFmt w:val="decimal"/>
      <w:suff w:val="space"/>
      <w:lvlText w:val="（%1）"/>
      <w:lvlJc w:val="left"/>
    </w:lvl>
  </w:abstractNum>
  <w:abstractNum w:abstractNumId="9">
    <w:nsid w:val="DE33A77D"/>
    <w:multiLevelType w:val="singleLevel"/>
    <w:tmpl w:val="DE33A77D"/>
    <w:lvl w:ilvl="0" w:tentative="0">
      <w:start w:val="1"/>
      <w:numFmt w:val="chineseCounting"/>
      <w:suff w:val="nothing"/>
      <w:lvlText w:val="%1、"/>
      <w:lvlJc w:val="left"/>
      <w:rPr>
        <w:rFonts w:hint="eastAsia"/>
      </w:rPr>
    </w:lvl>
  </w:abstractNum>
  <w:abstractNum w:abstractNumId="10">
    <w:nsid w:val="EC2A1805"/>
    <w:multiLevelType w:val="singleLevel"/>
    <w:tmpl w:val="EC2A1805"/>
    <w:lvl w:ilvl="0" w:tentative="0">
      <w:start w:val="1"/>
      <w:numFmt w:val="decimal"/>
      <w:suff w:val="space"/>
      <w:lvlText w:val="（%1）"/>
      <w:lvlJc w:val="left"/>
    </w:lvl>
  </w:abstractNum>
  <w:abstractNum w:abstractNumId="11">
    <w:nsid w:val="EDCDB384"/>
    <w:multiLevelType w:val="singleLevel"/>
    <w:tmpl w:val="EDCDB384"/>
    <w:lvl w:ilvl="0" w:tentative="0">
      <w:start w:val="1"/>
      <w:numFmt w:val="decimal"/>
      <w:suff w:val="space"/>
      <w:lvlText w:val="（%1）"/>
      <w:lvlJc w:val="left"/>
    </w:lvl>
  </w:abstractNum>
  <w:abstractNum w:abstractNumId="12">
    <w:nsid w:val="F0C0A8C4"/>
    <w:multiLevelType w:val="multilevel"/>
    <w:tmpl w:val="F0C0A8C4"/>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F78DBFFF"/>
    <w:multiLevelType w:val="singleLevel"/>
    <w:tmpl w:val="F78DBFFF"/>
    <w:lvl w:ilvl="0" w:tentative="0">
      <w:start w:val="1"/>
      <w:numFmt w:val="decimal"/>
      <w:suff w:val="space"/>
      <w:lvlText w:val="（%1）"/>
      <w:lvlJc w:val="left"/>
    </w:lvl>
  </w:abstractNum>
  <w:abstractNum w:abstractNumId="14">
    <w:nsid w:val="FBF54820"/>
    <w:multiLevelType w:val="multilevel"/>
    <w:tmpl w:val="FBF54820"/>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5">
    <w:nsid w:val="0244FA76"/>
    <w:multiLevelType w:val="singleLevel"/>
    <w:tmpl w:val="0244FA76"/>
    <w:lvl w:ilvl="0" w:tentative="0">
      <w:start w:val="1"/>
      <w:numFmt w:val="decimal"/>
      <w:suff w:val="space"/>
      <w:lvlText w:val="（%1）"/>
      <w:lvlJc w:val="left"/>
    </w:lvl>
  </w:abstractNum>
  <w:abstractNum w:abstractNumId="16">
    <w:nsid w:val="10397054"/>
    <w:multiLevelType w:val="singleLevel"/>
    <w:tmpl w:val="10397054"/>
    <w:lvl w:ilvl="0" w:tentative="0">
      <w:start w:val="1"/>
      <w:numFmt w:val="decimal"/>
      <w:suff w:val="space"/>
      <w:lvlText w:val="（%1）"/>
      <w:lvlJc w:val="left"/>
    </w:lvl>
  </w:abstractNum>
  <w:abstractNum w:abstractNumId="17">
    <w:nsid w:val="13E3A03A"/>
    <w:multiLevelType w:val="singleLevel"/>
    <w:tmpl w:val="13E3A03A"/>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8">
    <w:nsid w:val="141E3176"/>
    <w:multiLevelType w:val="singleLevel"/>
    <w:tmpl w:val="141E3176"/>
    <w:lvl w:ilvl="0" w:tentative="0">
      <w:start w:val="1"/>
      <w:numFmt w:val="decimal"/>
      <w:suff w:val="space"/>
      <w:lvlText w:val="（%1）"/>
      <w:lvlJc w:val="left"/>
    </w:lvl>
  </w:abstractNum>
  <w:abstractNum w:abstractNumId="19">
    <w:nsid w:val="23EBD9C1"/>
    <w:multiLevelType w:val="singleLevel"/>
    <w:tmpl w:val="23EBD9C1"/>
    <w:lvl w:ilvl="0" w:tentative="0">
      <w:start w:val="1"/>
      <w:numFmt w:val="decimal"/>
      <w:suff w:val="space"/>
      <w:lvlText w:val="（%1）"/>
      <w:lvlJc w:val="left"/>
    </w:lvl>
  </w:abstractNum>
  <w:abstractNum w:abstractNumId="20">
    <w:nsid w:val="2AA2DFE6"/>
    <w:multiLevelType w:val="singleLevel"/>
    <w:tmpl w:val="2AA2DFE6"/>
    <w:lvl w:ilvl="0" w:tentative="0">
      <w:start w:val="1"/>
      <w:numFmt w:val="decimal"/>
      <w:suff w:val="space"/>
      <w:lvlText w:val="（%1）"/>
      <w:lvlJc w:val="left"/>
    </w:lvl>
  </w:abstractNum>
  <w:abstractNum w:abstractNumId="21">
    <w:nsid w:val="2C7AE35D"/>
    <w:multiLevelType w:val="singleLevel"/>
    <w:tmpl w:val="2C7AE35D"/>
    <w:lvl w:ilvl="0" w:tentative="0">
      <w:start w:val="1"/>
      <w:numFmt w:val="decimal"/>
      <w:suff w:val="space"/>
      <w:lvlText w:val="（%1）"/>
      <w:lvlJc w:val="left"/>
    </w:lvl>
  </w:abstractNum>
  <w:abstractNum w:abstractNumId="22">
    <w:nsid w:val="30A36BBA"/>
    <w:multiLevelType w:val="singleLevel"/>
    <w:tmpl w:val="30A36BBA"/>
    <w:lvl w:ilvl="0" w:tentative="0">
      <w:start w:val="1"/>
      <w:numFmt w:val="upperLetter"/>
      <w:lvlText w:val="%1."/>
      <w:lvlJc w:val="left"/>
      <w:pPr>
        <w:tabs>
          <w:tab w:val="left" w:pos="312"/>
        </w:tabs>
      </w:pPr>
    </w:lvl>
  </w:abstractNum>
  <w:abstractNum w:abstractNumId="23">
    <w:nsid w:val="406073BD"/>
    <w:multiLevelType w:val="singleLevel"/>
    <w:tmpl w:val="406073BD"/>
    <w:lvl w:ilvl="0" w:tentative="0">
      <w:start w:val="1"/>
      <w:numFmt w:val="decimal"/>
      <w:suff w:val="space"/>
      <w:lvlText w:val="%1."/>
      <w:lvlJc w:val="left"/>
    </w:lvl>
  </w:abstractNum>
  <w:abstractNum w:abstractNumId="24">
    <w:nsid w:val="462D7F40"/>
    <w:multiLevelType w:val="singleLevel"/>
    <w:tmpl w:val="462D7F40"/>
    <w:lvl w:ilvl="0" w:tentative="0">
      <w:start w:val="1"/>
      <w:numFmt w:val="chineseCounting"/>
      <w:suff w:val="space"/>
      <w:lvlText w:val="（%1）"/>
      <w:lvlJc w:val="left"/>
      <w:rPr>
        <w:rFonts w:hint="eastAsia"/>
      </w:rPr>
    </w:lvl>
  </w:abstractNum>
  <w:abstractNum w:abstractNumId="25">
    <w:nsid w:val="57592BF2"/>
    <w:multiLevelType w:val="singleLevel"/>
    <w:tmpl w:val="57592BF2"/>
    <w:lvl w:ilvl="0" w:tentative="0">
      <w:start w:val="1"/>
      <w:numFmt w:val="decimal"/>
      <w:suff w:val="space"/>
      <w:lvlText w:val="（%1）"/>
      <w:lvlJc w:val="left"/>
    </w:lvl>
  </w:abstractNum>
  <w:abstractNum w:abstractNumId="26">
    <w:nsid w:val="5783F24F"/>
    <w:multiLevelType w:val="singleLevel"/>
    <w:tmpl w:val="5783F24F"/>
    <w:lvl w:ilvl="0" w:tentative="0">
      <w:start w:val="1"/>
      <w:numFmt w:val="decimal"/>
      <w:suff w:val="space"/>
      <w:lvlText w:val="%1."/>
      <w:lvlJc w:val="left"/>
    </w:lvl>
  </w:abstractNum>
  <w:abstractNum w:abstractNumId="27">
    <w:nsid w:val="57D4EB46"/>
    <w:multiLevelType w:val="singleLevel"/>
    <w:tmpl w:val="57D4EB46"/>
    <w:lvl w:ilvl="0" w:tentative="0">
      <w:start w:val="5"/>
      <w:numFmt w:val="decimal"/>
      <w:suff w:val="space"/>
      <w:lvlText w:val="%1."/>
      <w:lvlJc w:val="left"/>
    </w:lvl>
  </w:abstractNum>
  <w:abstractNum w:abstractNumId="28">
    <w:nsid w:val="5FDEA2B5"/>
    <w:multiLevelType w:val="singleLevel"/>
    <w:tmpl w:val="5FDEA2B5"/>
    <w:lvl w:ilvl="0" w:tentative="0">
      <w:start w:val="1"/>
      <w:numFmt w:val="decimal"/>
      <w:suff w:val="space"/>
      <w:lvlText w:val="（%1）"/>
      <w:lvlJc w:val="left"/>
    </w:lvl>
  </w:abstractNum>
  <w:abstractNum w:abstractNumId="29">
    <w:nsid w:val="63286C32"/>
    <w:multiLevelType w:val="singleLevel"/>
    <w:tmpl w:val="63286C32"/>
    <w:lvl w:ilvl="0" w:tentative="0">
      <w:start w:val="1"/>
      <w:numFmt w:val="decimal"/>
      <w:suff w:val="space"/>
      <w:lvlText w:val="（%1）"/>
      <w:lvlJc w:val="left"/>
    </w:lvl>
  </w:abstractNum>
  <w:abstractNum w:abstractNumId="30">
    <w:nsid w:val="64C3F15D"/>
    <w:multiLevelType w:val="singleLevel"/>
    <w:tmpl w:val="64C3F15D"/>
    <w:lvl w:ilvl="0" w:tentative="0">
      <w:start w:val="1"/>
      <w:numFmt w:val="decimalEnclosedCircleChinese"/>
      <w:suff w:val="space"/>
      <w:lvlText w:val="%1"/>
      <w:lvlJc w:val="left"/>
      <w:rPr>
        <w:rFonts w:hint="eastAsia"/>
      </w:rPr>
    </w:lvl>
  </w:abstractNum>
  <w:num w:numId="1">
    <w:abstractNumId w:val="17"/>
  </w:num>
  <w:num w:numId="2">
    <w:abstractNumId w:val="9"/>
  </w:num>
  <w:num w:numId="3">
    <w:abstractNumId w:val="14"/>
  </w:num>
  <w:num w:numId="4">
    <w:abstractNumId w:val="25"/>
  </w:num>
  <w:num w:numId="5">
    <w:abstractNumId w:val="26"/>
  </w:num>
  <w:num w:numId="6">
    <w:abstractNumId w:val="16"/>
  </w:num>
  <w:num w:numId="7">
    <w:abstractNumId w:val="21"/>
  </w:num>
  <w:num w:numId="8">
    <w:abstractNumId w:val="12"/>
  </w:num>
  <w:num w:numId="9">
    <w:abstractNumId w:val="5"/>
  </w:num>
  <w:num w:numId="10">
    <w:abstractNumId w:val="10"/>
  </w:num>
  <w:num w:numId="11">
    <w:abstractNumId w:val="3"/>
  </w:num>
  <w:num w:numId="12">
    <w:abstractNumId w:val="11"/>
  </w:num>
  <w:num w:numId="13">
    <w:abstractNumId w:val="29"/>
  </w:num>
  <w:num w:numId="14">
    <w:abstractNumId w:val="27"/>
  </w:num>
  <w:num w:numId="15">
    <w:abstractNumId w:val="23"/>
  </w:num>
  <w:num w:numId="16">
    <w:abstractNumId w:val="0"/>
  </w:num>
  <w:num w:numId="17">
    <w:abstractNumId w:val="6"/>
  </w:num>
  <w:num w:numId="18">
    <w:abstractNumId w:val="28"/>
  </w:num>
  <w:num w:numId="19">
    <w:abstractNumId w:val="18"/>
  </w:num>
  <w:num w:numId="20">
    <w:abstractNumId w:val="7"/>
  </w:num>
  <w:num w:numId="21">
    <w:abstractNumId w:val="20"/>
  </w:num>
  <w:num w:numId="22">
    <w:abstractNumId w:val="4"/>
  </w:num>
  <w:num w:numId="23">
    <w:abstractNumId w:val="22"/>
  </w:num>
  <w:num w:numId="24">
    <w:abstractNumId w:val="13"/>
  </w:num>
  <w:num w:numId="25">
    <w:abstractNumId w:val="8"/>
  </w:num>
  <w:num w:numId="26">
    <w:abstractNumId w:val="19"/>
  </w:num>
  <w:num w:numId="27">
    <w:abstractNumId w:val="24"/>
  </w:num>
  <w:num w:numId="28">
    <w:abstractNumId w:val="2"/>
  </w:num>
  <w:num w:numId="29">
    <w:abstractNumId w:val="30"/>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729AD"/>
    <w:rsid w:val="00177BF8"/>
    <w:rsid w:val="001B0CD9"/>
    <w:rsid w:val="003C5BFE"/>
    <w:rsid w:val="004E78DA"/>
    <w:rsid w:val="00650387"/>
    <w:rsid w:val="00762AFD"/>
    <w:rsid w:val="007E31BF"/>
    <w:rsid w:val="00832AE1"/>
    <w:rsid w:val="008807F3"/>
    <w:rsid w:val="00964E3E"/>
    <w:rsid w:val="00A02F4A"/>
    <w:rsid w:val="00A10638"/>
    <w:rsid w:val="00AA2BBE"/>
    <w:rsid w:val="00B67DE0"/>
    <w:rsid w:val="00BB71F7"/>
    <w:rsid w:val="00CD057E"/>
    <w:rsid w:val="00D4132C"/>
    <w:rsid w:val="00D531C8"/>
    <w:rsid w:val="00E41F14"/>
    <w:rsid w:val="00EC4469"/>
    <w:rsid w:val="00F33370"/>
    <w:rsid w:val="00F43007"/>
    <w:rsid w:val="01017DA9"/>
    <w:rsid w:val="010B7D84"/>
    <w:rsid w:val="011763A1"/>
    <w:rsid w:val="012007E5"/>
    <w:rsid w:val="01207AF0"/>
    <w:rsid w:val="01213866"/>
    <w:rsid w:val="01231F48"/>
    <w:rsid w:val="012B197D"/>
    <w:rsid w:val="01372C6E"/>
    <w:rsid w:val="01462E8A"/>
    <w:rsid w:val="014F71AA"/>
    <w:rsid w:val="01582307"/>
    <w:rsid w:val="016078D7"/>
    <w:rsid w:val="016D10E7"/>
    <w:rsid w:val="0172632E"/>
    <w:rsid w:val="01737D6C"/>
    <w:rsid w:val="01803C13"/>
    <w:rsid w:val="0180414B"/>
    <w:rsid w:val="01887C9C"/>
    <w:rsid w:val="019323AB"/>
    <w:rsid w:val="01A178C1"/>
    <w:rsid w:val="01A2371D"/>
    <w:rsid w:val="01A469B0"/>
    <w:rsid w:val="01B00625"/>
    <w:rsid w:val="01B11EE8"/>
    <w:rsid w:val="01B439E4"/>
    <w:rsid w:val="01B72D1A"/>
    <w:rsid w:val="01BD4306"/>
    <w:rsid w:val="01C050C1"/>
    <w:rsid w:val="01C30851"/>
    <w:rsid w:val="01C66F45"/>
    <w:rsid w:val="01D76E0B"/>
    <w:rsid w:val="01E861CD"/>
    <w:rsid w:val="01EB42D0"/>
    <w:rsid w:val="01F243DA"/>
    <w:rsid w:val="02005BDC"/>
    <w:rsid w:val="02070F9F"/>
    <w:rsid w:val="02091157"/>
    <w:rsid w:val="02137E7B"/>
    <w:rsid w:val="02232F8C"/>
    <w:rsid w:val="0228286A"/>
    <w:rsid w:val="02424AB8"/>
    <w:rsid w:val="02481EB7"/>
    <w:rsid w:val="02497634"/>
    <w:rsid w:val="024E5AF3"/>
    <w:rsid w:val="025111E4"/>
    <w:rsid w:val="02595C07"/>
    <w:rsid w:val="025C2FF5"/>
    <w:rsid w:val="025C657D"/>
    <w:rsid w:val="026F4AA1"/>
    <w:rsid w:val="026F4AFE"/>
    <w:rsid w:val="027239EE"/>
    <w:rsid w:val="027361A1"/>
    <w:rsid w:val="02857815"/>
    <w:rsid w:val="02867A8E"/>
    <w:rsid w:val="029210D5"/>
    <w:rsid w:val="02972323"/>
    <w:rsid w:val="029D0AB9"/>
    <w:rsid w:val="02A833E6"/>
    <w:rsid w:val="02A87AB1"/>
    <w:rsid w:val="02AB0289"/>
    <w:rsid w:val="02B91F78"/>
    <w:rsid w:val="02C06B04"/>
    <w:rsid w:val="02C20E90"/>
    <w:rsid w:val="02C2381D"/>
    <w:rsid w:val="02C27B00"/>
    <w:rsid w:val="02C84698"/>
    <w:rsid w:val="02CC0889"/>
    <w:rsid w:val="02D301F8"/>
    <w:rsid w:val="02D765E6"/>
    <w:rsid w:val="02DD1C24"/>
    <w:rsid w:val="02E47CE3"/>
    <w:rsid w:val="02E5559B"/>
    <w:rsid w:val="02E90454"/>
    <w:rsid w:val="02F148A5"/>
    <w:rsid w:val="02F626E3"/>
    <w:rsid w:val="02F85854"/>
    <w:rsid w:val="031A1681"/>
    <w:rsid w:val="03211686"/>
    <w:rsid w:val="032411DC"/>
    <w:rsid w:val="032578E5"/>
    <w:rsid w:val="03272347"/>
    <w:rsid w:val="03390520"/>
    <w:rsid w:val="0347432C"/>
    <w:rsid w:val="035352B0"/>
    <w:rsid w:val="035622F4"/>
    <w:rsid w:val="036515D6"/>
    <w:rsid w:val="03751B2D"/>
    <w:rsid w:val="039E3388"/>
    <w:rsid w:val="039F1B33"/>
    <w:rsid w:val="03A76DA4"/>
    <w:rsid w:val="03A936FF"/>
    <w:rsid w:val="03A97F7B"/>
    <w:rsid w:val="03B91916"/>
    <w:rsid w:val="03C82119"/>
    <w:rsid w:val="03C84229"/>
    <w:rsid w:val="03E9062F"/>
    <w:rsid w:val="03FC374B"/>
    <w:rsid w:val="03FD78EB"/>
    <w:rsid w:val="040D668A"/>
    <w:rsid w:val="040E2188"/>
    <w:rsid w:val="0425705C"/>
    <w:rsid w:val="04351BCD"/>
    <w:rsid w:val="04394442"/>
    <w:rsid w:val="043A0558"/>
    <w:rsid w:val="04426D56"/>
    <w:rsid w:val="04474836"/>
    <w:rsid w:val="044D6493"/>
    <w:rsid w:val="045B39AD"/>
    <w:rsid w:val="045F7B0A"/>
    <w:rsid w:val="04616029"/>
    <w:rsid w:val="04685075"/>
    <w:rsid w:val="04696787"/>
    <w:rsid w:val="046C6B64"/>
    <w:rsid w:val="047832A9"/>
    <w:rsid w:val="04787212"/>
    <w:rsid w:val="0479444F"/>
    <w:rsid w:val="047B44CA"/>
    <w:rsid w:val="047B6BED"/>
    <w:rsid w:val="047D2B8E"/>
    <w:rsid w:val="04801A9E"/>
    <w:rsid w:val="048057D3"/>
    <w:rsid w:val="048B0601"/>
    <w:rsid w:val="04A257ED"/>
    <w:rsid w:val="04A45F97"/>
    <w:rsid w:val="04A9268A"/>
    <w:rsid w:val="04AD33D4"/>
    <w:rsid w:val="04B303F2"/>
    <w:rsid w:val="04B350BC"/>
    <w:rsid w:val="04B65A1E"/>
    <w:rsid w:val="04B80386"/>
    <w:rsid w:val="04C10B93"/>
    <w:rsid w:val="04CF27E2"/>
    <w:rsid w:val="04F83787"/>
    <w:rsid w:val="05015B7C"/>
    <w:rsid w:val="050D18C6"/>
    <w:rsid w:val="05172057"/>
    <w:rsid w:val="0518296D"/>
    <w:rsid w:val="05240CA2"/>
    <w:rsid w:val="052C3C0E"/>
    <w:rsid w:val="05313A49"/>
    <w:rsid w:val="05366AE9"/>
    <w:rsid w:val="05373C0D"/>
    <w:rsid w:val="05385D98"/>
    <w:rsid w:val="054D2800"/>
    <w:rsid w:val="055E3F57"/>
    <w:rsid w:val="05650A05"/>
    <w:rsid w:val="056971A0"/>
    <w:rsid w:val="05717BAE"/>
    <w:rsid w:val="05761CD9"/>
    <w:rsid w:val="057D1158"/>
    <w:rsid w:val="05812C55"/>
    <w:rsid w:val="05836FC7"/>
    <w:rsid w:val="059D57CB"/>
    <w:rsid w:val="05A94F98"/>
    <w:rsid w:val="05AC109E"/>
    <w:rsid w:val="05AD2CBF"/>
    <w:rsid w:val="05BD72A8"/>
    <w:rsid w:val="05DA3DAA"/>
    <w:rsid w:val="05E023C5"/>
    <w:rsid w:val="05F41DB5"/>
    <w:rsid w:val="06025A06"/>
    <w:rsid w:val="060611D1"/>
    <w:rsid w:val="06063869"/>
    <w:rsid w:val="06064032"/>
    <w:rsid w:val="061B2548"/>
    <w:rsid w:val="061B2C9F"/>
    <w:rsid w:val="061C00A8"/>
    <w:rsid w:val="061C341A"/>
    <w:rsid w:val="06227932"/>
    <w:rsid w:val="062B146D"/>
    <w:rsid w:val="062D5483"/>
    <w:rsid w:val="064A1C94"/>
    <w:rsid w:val="064E7A24"/>
    <w:rsid w:val="06593708"/>
    <w:rsid w:val="065B02A0"/>
    <w:rsid w:val="065C1B78"/>
    <w:rsid w:val="065E4F1F"/>
    <w:rsid w:val="066C3365"/>
    <w:rsid w:val="06A06146"/>
    <w:rsid w:val="06A95B70"/>
    <w:rsid w:val="06AC6482"/>
    <w:rsid w:val="06B478EB"/>
    <w:rsid w:val="06B80E29"/>
    <w:rsid w:val="06B937D6"/>
    <w:rsid w:val="06BD7EB1"/>
    <w:rsid w:val="06C24C18"/>
    <w:rsid w:val="06DC697B"/>
    <w:rsid w:val="06E131B1"/>
    <w:rsid w:val="06EA1921"/>
    <w:rsid w:val="06EA592F"/>
    <w:rsid w:val="06EC7257"/>
    <w:rsid w:val="06F5520B"/>
    <w:rsid w:val="06FA5880"/>
    <w:rsid w:val="06FB757B"/>
    <w:rsid w:val="070B47D1"/>
    <w:rsid w:val="07124C2B"/>
    <w:rsid w:val="073742E4"/>
    <w:rsid w:val="07381BC3"/>
    <w:rsid w:val="07387FB0"/>
    <w:rsid w:val="074151A5"/>
    <w:rsid w:val="074854FD"/>
    <w:rsid w:val="07491A5B"/>
    <w:rsid w:val="074D4A77"/>
    <w:rsid w:val="0751137D"/>
    <w:rsid w:val="075479AE"/>
    <w:rsid w:val="07554868"/>
    <w:rsid w:val="075B50A5"/>
    <w:rsid w:val="076C3B81"/>
    <w:rsid w:val="078270A5"/>
    <w:rsid w:val="078726FB"/>
    <w:rsid w:val="078D30FE"/>
    <w:rsid w:val="07921A26"/>
    <w:rsid w:val="07922DAA"/>
    <w:rsid w:val="07A66218"/>
    <w:rsid w:val="07A9021B"/>
    <w:rsid w:val="07B36D98"/>
    <w:rsid w:val="07B65E09"/>
    <w:rsid w:val="07CB0DE8"/>
    <w:rsid w:val="07DE599F"/>
    <w:rsid w:val="07DF7DD1"/>
    <w:rsid w:val="07F13EF7"/>
    <w:rsid w:val="080135BA"/>
    <w:rsid w:val="080A14EF"/>
    <w:rsid w:val="08143A78"/>
    <w:rsid w:val="08143F07"/>
    <w:rsid w:val="08174CE7"/>
    <w:rsid w:val="08194EC1"/>
    <w:rsid w:val="082612E9"/>
    <w:rsid w:val="082B708E"/>
    <w:rsid w:val="082F43A2"/>
    <w:rsid w:val="08323FD7"/>
    <w:rsid w:val="083745AB"/>
    <w:rsid w:val="08386B20"/>
    <w:rsid w:val="084925D7"/>
    <w:rsid w:val="084B6833"/>
    <w:rsid w:val="084D5407"/>
    <w:rsid w:val="08504DDE"/>
    <w:rsid w:val="08560EF5"/>
    <w:rsid w:val="08687B8B"/>
    <w:rsid w:val="086C13DA"/>
    <w:rsid w:val="086F7A65"/>
    <w:rsid w:val="0876529A"/>
    <w:rsid w:val="08806D04"/>
    <w:rsid w:val="08870B27"/>
    <w:rsid w:val="08897FF4"/>
    <w:rsid w:val="0892013F"/>
    <w:rsid w:val="089471CB"/>
    <w:rsid w:val="089670AE"/>
    <w:rsid w:val="08A91634"/>
    <w:rsid w:val="08C10475"/>
    <w:rsid w:val="08C22966"/>
    <w:rsid w:val="08C67651"/>
    <w:rsid w:val="08CB6822"/>
    <w:rsid w:val="08D552CA"/>
    <w:rsid w:val="08DE1D2E"/>
    <w:rsid w:val="08E80F22"/>
    <w:rsid w:val="08EF0964"/>
    <w:rsid w:val="08FD22CC"/>
    <w:rsid w:val="08FD652C"/>
    <w:rsid w:val="08FF0070"/>
    <w:rsid w:val="0900337B"/>
    <w:rsid w:val="09010220"/>
    <w:rsid w:val="09041952"/>
    <w:rsid w:val="09117FA0"/>
    <w:rsid w:val="09177189"/>
    <w:rsid w:val="091D33B4"/>
    <w:rsid w:val="092C04C1"/>
    <w:rsid w:val="092D5F6F"/>
    <w:rsid w:val="092F3162"/>
    <w:rsid w:val="09371CE5"/>
    <w:rsid w:val="093D7EFE"/>
    <w:rsid w:val="094C44E3"/>
    <w:rsid w:val="09505852"/>
    <w:rsid w:val="095C557C"/>
    <w:rsid w:val="096C3401"/>
    <w:rsid w:val="097F70A9"/>
    <w:rsid w:val="09853444"/>
    <w:rsid w:val="09934BB5"/>
    <w:rsid w:val="099A1DD0"/>
    <w:rsid w:val="099C6924"/>
    <w:rsid w:val="09A0385D"/>
    <w:rsid w:val="09B260ED"/>
    <w:rsid w:val="09B66000"/>
    <w:rsid w:val="09B863E1"/>
    <w:rsid w:val="09C85D6F"/>
    <w:rsid w:val="09CB2AC9"/>
    <w:rsid w:val="09D929A3"/>
    <w:rsid w:val="09DB7DF4"/>
    <w:rsid w:val="09E96A79"/>
    <w:rsid w:val="09EA5569"/>
    <w:rsid w:val="09EB09DB"/>
    <w:rsid w:val="09F0797A"/>
    <w:rsid w:val="09F61D17"/>
    <w:rsid w:val="09F61D4D"/>
    <w:rsid w:val="09F626CE"/>
    <w:rsid w:val="0A023E3D"/>
    <w:rsid w:val="0A042B0D"/>
    <w:rsid w:val="0A07584F"/>
    <w:rsid w:val="0A0D2C0E"/>
    <w:rsid w:val="0A0F4478"/>
    <w:rsid w:val="0A1844B3"/>
    <w:rsid w:val="0A307589"/>
    <w:rsid w:val="0A366318"/>
    <w:rsid w:val="0A464557"/>
    <w:rsid w:val="0A4C3698"/>
    <w:rsid w:val="0A527929"/>
    <w:rsid w:val="0A60088B"/>
    <w:rsid w:val="0A735F6D"/>
    <w:rsid w:val="0A7B5B07"/>
    <w:rsid w:val="0A800407"/>
    <w:rsid w:val="0A851ADE"/>
    <w:rsid w:val="0A8D52F2"/>
    <w:rsid w:val="0A927604"/>
    <w:rsid w:val="0A996075"/>
    <w:rsid w:val="0A9E6C97"/>
    <w:rsid w:val="0A9E7981"/>
    <w:rsid w:val="0AA65496"/>
    <w:rsid w:val="0AAC5195"/>
    <w:rsid w:val="0AAD7774"/>
    <w:rsid w:val="0AAF2118"/>
    <w:rsid w:val="0AB33CEE"/>
    <w:rsid w:val="0AB61302"/>
    <w:rsid w:val="0AC86146"/>
    <w:rsid w:val="0ACF1D5A"/>
    <w:rsid w:val="0ADF574B"/>
    <w:rsid w:val="0AE1789B"/>
    <w:rsid w:val="0AE30A64"/>
    <w:rsid w:val="0AEE7F78"/>
    <w:rsid w:val="0AEF2198"/>
    <w:rsid w:val="0AEF2288"/>
    <w:rsid w:val="0AF53045"/>
    <w:rsid w:val="0AF61C3A"/>
    <w:rsid w:val="0AF729B4"/>
    <w:rsid w:val="0AFE5B22"/>
    <w:rsid w:val="0B0E1F15"/>
    <w:rsid w:val="0B237BFE"/>
    <w:rsid w:val="0B4A5FAE"/>
    <w:rsid w:val="0B4B46CA"/>
    <w:rsid w:val="0B4C4571"/>
    <w:rsid w:val="0B4D7E38"/>
    <w:rsid w:val="0B515EF0"/>
    <w:rsid w:val="0B676F7D"/>
    <w:rsid w:val="0B806972"/>
    <w:rsid w:val="0B8D6529"/>
    <w:rsid w:val="0B911D8C"/>
    <w:rsid w:val="0B914450"/>
    <w:rsid w:val="0B945DFC"/>
    <w:rsid w:val="0BA07C0E"/>
    <w:rsid w:val="0BB7132F"/>
    <w:rsid w:val="0BC26BB8"/>
    <w:rsid w:val="0BCE4339"/>
    <w:rsid w:val="0BD03841"/>
    <w:rsid w:val="0BD05882"/>
    <w:rsid w:val="0BD222CE"/>
    <w:rsid w:val="0BE21CA7"/>
    <w:rsid w:val="0BEB6221"/>
    <w:rsid w:val="0BF44FDB"/>
    <w:rsid w:val="0BFA6DDB"/>
    <w:rsid w:val="0BFD4069"/>
    <w:rsid w:val="0C066135"/>
    <w:rsid w:val="0C2433AF"/>
    <w:rsid w:val="0C2D0A20"/>
    <w:rsid w:val="0C2E4CB5"/>
    <w:rsid w:val="0C321E24"/>
    <w:rsid w:val="0C3C40B3"/>
    <w:rsid w:val="0C5C49CE"/>
    <w:rsid w:val="0C7A22E4"/>
    <w:rsid w:val="0C973498"/>
    <w:rsid w:val="0C9E3828"/>
    <w:rsid w:val="0CA75518"/>
    <w:rsid w:val="0CA76B66"/>
    <w:rsid w:val="0CA91CCA"/>
    <w:rsid w:val="0CB01BCB"/>
    <w:rsid w:val="0CB675B5"/>
    <w:rsid w:val="0CC16226"/>
    <w:rsid w:val="0CDE1EA1"/>
    <w:rsid w:val="0CF30203"/>
    <w:rsid w:val="0D0A2995"/>
    <w:rsid w:val="0D1544B2"/>
    <w:rsid w:val="0D177791"/>
    <w:rsid w:val="0D217829"/>
    <w:rsid w:val="0D2D6AE8"/>
    <w:rsid w:val="0D3E48E7"/>
    <w:rsid w:val="0D436DB3"/>
    <w:rsid w:val="0D5B2C57"/>
    <w:rsid w:val="0D5C420B"/>
    <w:rsid w:val="0D5F1F83"/>
    <w:rsid w:val="0D6149B3"/>
    <w:rsid w:val="0D660C1A"/>
    <w:rsid w:val="0D687C1B"/>
    <w:rsid w:val="0D697D46"/>
    <w:rsid w:val="0D6C68F4"/>
    <w:rsid w:val="0D845AC4"/>
    <w:rsid w:val="0D86353A"/>
    <w:rsid w:val="0DA258DC"/>
    <w:rsid w:val="0DA67ADA"/>
    <w:rsid w:val="0DB5363E"/>
    <w:rsid w:val="0DB86DF8"/>
    <w:rsid w:val="0DD07DC9"/>
    <w:rsid w:val="0DD71D96"/>
    <w:rsid w:val="0DD81974"/>
    <w:rsid w:val="0DDD377D"/>
    <w:rsid w:val="0DDE73EA"/>
    <w:rsid w:val="0DF61ADF"/>
    <w:rsid w:val="0DF70E8C"/>
    <w:rsid w:val="0DFE2A87"/>
    <w:rsid w:val="0E057123"/>
    <w:rsid w:val="0E057C6A"/>
    <w:rsid w:val="0E070EDC"/>
    <w:rsid w:val="0E0B3D2F"/>
    <w:rsid w:val="0E0D233D"/>
    <w:rsid w:val="0E1171C8"/>
    <w:rsid w:val="0E1949F8"/>
    <w:rsid w:val="0E22180B"/>
    <w:rsid w:val="0E343A4B"/>
    <w:rsid w:val="0E47058B"/>
    <w:rsid w:val="0E503B05"/>
    <w:rsid w:val="0E5256B6"/>
    <w:rsid w:val="0E570853"/>
    <w:rsid w:val="0E5F5D88"/>
    <w:rsid w:val="0E6D76B0"/>
    <w:rsid w:val="0E6F0CE9"/>
    <w:rsid w:val="0E847590"/>
    <w:rsid w:val="0E8A07EC"/>
    <w:rsid w:val="0E8F7A02"/>
    <w:rsid w:val="0E9A47B2"/>
    <w:rsid w:val="0E9D182E"/>
    <w:rsid w:val="0EA015B0"/>
    <w:rsid w:val="0EA8721D"/>
    <w:rsid w:val="0EAA3E90"/>
    <w:rsid w:val="0EAC4537"/>
    <w:rsid w:val="0EAD7D6E"/>
    <w:rsid w:val="0EB55AE3"/>
    <w:rsid w:val="0EC12110"/>
    <w:rsid w:val="0EC613F3"/>
    <w:rsid w:val="0EC85388"/>
    <w:rsid w:val="0EF37803"/>
    <w:rsid w:val="0EFF2700"/>
    <w:rsid w:val="0EFF489D"/>
    <w:rsid w:val="0F023598"/>
    <w:rsid w:val="0F024154"/>
    <w:rsid w:val="0F05296B"/>
    <w:rsid w:val="0F2A7F65"/>
    <w:rsid w:val="0F3F36C5"/>
    <w:rsid w:val="0F435C60"/>
    <w:rsid w:val="0F627D60"/>
    <w:rsid w:val="0F6E2001"/>
    <w:rsid w:val="0F7438F9"/>
    <w:rsid w:val="0F7A0CE0"/>
    <w:rsid w:val="0F816D85"/>
    <w:rsid w:val="0F8536DA"/>
    <w:rsid w:val="0F8D6EA2"/>
    <w:rsid w:val="0F8F47E3"/>
    <w:rsid w:val="0F927D7E"/>
    <w:rsid w:val="0F963764"/>
    <w:rsid w:val="0F98106E"/>
    <w:rsid w:val="0F985946"/>
    <w:rsid w:val="0F9967CD"/>
    <w:rsid w:val="0FA41FAB"/>
    <w:rsid w:val="0FAC10EB"/>
    <w:rsid w:val="0FAF7946"/>
    <w:rsid w:val="0FB33F34"/>
    <w:rsid w:val="0FCB42C4"/>
    <w:rsid w:val="0FD45593"/>
    <w:rsid w:val="0FD522F0"/>
    <w:rsid w:val="0FD86850"/>
    <w:rsid w:val="0FE20957"/>
    <w:rsid w:val="0FE47720"/>
    <w:rsid w:val="0FEB2F72"/>
    <w:rsid w:val="0FEB6643"/>
    <w:rsid w:val="0FED735A"/>
    <w:rsid w:val="0FF22992"/>
    <w:rsid w:val="10067A3A"/>
    <w:rsid w:val="10145E5B"/>
    <w:rsid w:val="10225DF8"/>
    <w:rsid w:val="10235465"/>
    <w:rsid w:val="102D53BB"/>
    <w:rsid w:val="1041118C"/>
    <w:rsid w:val="106419C8"/>
    <w:rsid w:val="106B58FC"/>
    <w:rsid w:val="107C007A"/>
    <w:rsid w:val="10805251"/>
    <w:rsid w:val="108F1A98"/>
    <w:rsid w:val="109167D3"/>
    <w:rsid w:val="10997C68"/>
    <w:rsid w:val="109A3BD4"/>
    <w:rsid w:val="10A0400E"/>
    <w:rsid w:val="10A20D0B"/>
    <w:rsid w:val="10B452D0"/>
    <w:rsid w:val="10B95DFE"/>
    <w:rsid w:val="10BD0508"/>
    <w:rsid w:val="10BF3671"/>
    <w:rsid w:val="10C031C3"/>
    <w:rsid w:val="10CD6E11"/>
    <w:rsid w:val="10D736B1"/>
    <w:rsid w:val="10E11406"/>
    <w:rsid w:val="10E24A58"/>
    <w:rsid w:val="10ED62C9"/>
    <w:rsid w:val="10F45B00"/>
    <w:rsid w:val="10F74511"/>
    <w:rsid w:val="110F3902"/>
    <w:rsid w:val="111A01C1"/>
    <w:rsid w:val="11272147"/>
    <w:rsid w:val="11387160"/>
    <w:rsid w:val="113D0261"/>
    <w:rsid w:val="11422360"/>
    <w:rsid w:val="114408F4"/>
    <w:rsid w:val="11591EC2"/>
    <w:rsid w:val="1164096F"/>
    <w:rsid w:val="11694844"/>
    <w:rsid w:val="11757139"/>
    <w:rsid w:val="118169F3"/>
    <w:rsid w:val="118F3710"/>
    <w:rsid w:val="119211FE"/>
    <w:rsid w:val="11960AC4"/>
    <w:rsid w:val="119841A8"/>
    <w:rsid w:val="119C61F9"/>
    <w:rsid w:val="11A1409D"/>
    <w:rsid w:val="11A84792"/>
    <w:rsid w:val="11AF610A"/>
    <w:rsid w:val="11B52A7C"/>
    <w:rsid w:val="11C643BE"/>
    <w:rsid w:val="11CF3202"/>
    <w:rsid w:val="11CF6E9F"/>
    <w:rsid w:val="11D64860"/>
    <w:rsid w:val="11D77818"/>
    <w:rsid w:val="11E556EC"/>
    <w:rsid w:val="11EF2ABE"/>
    <w:rsid w:val="11FB7263"/>
    <w:rsid w:val="120511CA"/>
    <w:rsid w:val="12074453"/>
    <w:rsid w:val="12187542"/>
    <w:rsid w:val="124D02E6"/>
    <w:rsid w:val="12536C6A"/>
    <w:rsid w:val="125D7A8C"/>
    <w:rsid w:val="12610A27"/>
    <w:rsid w:val="126443A1"/>
    <w:rsid w:val="128E6FB3"/>
    <w:rsid w:val="129F1B77"/>
    <w:rsid w:val="12A668CB"/>
    <w:rsid w:val="12AE4669"/>
    <w:rsid w:val="12B15F6E"/>
    <w:rsid w:val="12BE61AE"/>
    <w:rsid w:val="12CF66B9"/>
    <w:rsid w:val="12E26FC8"/>
    <w:rsid w:val="12EF4942"/>
    <w:rsid w:val="12F641EE"/>
    <w:rsid w:val="12F7713B"/>
    <w:rsid w:val="12FC0B84"/>
    <w:rsid w:val="1304765D"/>
    <w:rsid w:val="130D37CB"/>
    <w:rsid w:val="1312467E"/>
    <w:rsid w:val="13262CC4"/>
    <w:rsid w:val="132B03E2"/>
    <w:rsid w:val="132E5ABE"/>
    <w:rsid w:val="13381148"/>
    <w:rsid w:val="1345144A"/>
    <w:rsid w:val="1348010F"/>
    <w:rsid w:val="134F094E"/>
    <w:rsid w:val="13527516"/>
    <w:rsid w:val="13536BAC"/>
    <w:rsid w:val="13547644"/>
    <w:rsid w:val="135A007A"/>
    <w:rsid w:val="136247B4"/>
    <w:rsid w:val="137B6357"/>
    <w:rsid w:val="138A1D2C"/>
    <w:rsid w:val="138F413B"/>
    <w:rsid w:val="139679D5"/>
    <w:rsid w:val="13974112"/>
    <w:rsid w:val="139C7E9F"/>
    <w:rsid w:val="13CC0F3D"/>
    <w:rsid w:val="13E147DA"/>
    <w:rsid w:val="13E40B0D"/>
    <w:rsid w:val="13F932DB"/>
    <w:rsid w:val="13F9553D"/>
    <w:rsid w:val="140575E4"/>
    <w:rsid w:val="1419322E"/>
    <w:rsid w:val="141D78C5"/>
    <w:rsid w:val="14233C4A"/>
    <w:rsid w:val="14292A24"/>
    <w:rsid w:val="14335F47"/>
    <w:rsid w:val="143F7A7C"/>
    <w:rsid w:val="144F5A29"/>
    <w:rsid w:val="145267A1"/>
    <w:rsid w:val="1454016C"/>
    <w:rsid w:val="14545B87"/>
    <w:rsid w:val="14575B69"/>
    <w:rsid w:val="145D2017"/>
    <w:rsid w:val="14606BBF"/>
    <w:rsid w:val="146C7C3C"/>
    <w:rsid w:val="1479169C"/>
    <w:rsid w:val="14803D26"/>
    <w:rsid w:val="148271FE"/>
    <w:rsid w:val="14911462"/>
    <w:rsid w:val="149B2415"/>
    <w:rsid w:val="14A0633F"/>
    <w:rsid w:val="14A46AC3"/>
    <w:rsid w:val="14A94CED"/>
    <w:rsid w:val="14B66F5B"/>
    <w:rsid w:val="14CB7588"/>
    <w:rsid w:val="14CC78F3"/>
    <w:rsid w:val="14D279B4"/>
    <w:rsid w:val="14DF1BD5"/>
    <w:rsid w:val="14E953FD"/>
    <w:rsid w:val="14EE541C"/>
    <w:rsid w:val="14F3352F"/>
    <w:rsid w:val="14FC58F2"/>
    <w:rsid w:val="14FE79A5"/>
    <w:rsid w:val="150063A0"/>
    <w:rsid w:val="150117A8"/>
    <w:rsid w:val="150B001C"/>
    <w:rsid w:val="15135793"/>
    <w:rsid w:val="15154F6B"/>
    <w:rsid w:val="152119E5"/>
    <w:rsid w:val="152571A3"/>
    <w:rsid w:val="152E435F"/>
    <w:rsid w:val="152F5FAA"/>
    <w:rsid w:val="1566572F"/>
    <w:rsid w:val="1574215A"/>
    <w:rsid w:val="157D0E9D"/>
    <w:rsid w:val="157F7533"/>
    <w:rsid w:val="1587432E"/>
    <w:rsid w:val="158C4D72"/>
    <w:rsid w:val="158D3108"/>
    <w:rsid w:val="158F714A"/>
    <w:rsid w:val="15922A63"/>
    <w:rsid w:val="159A5CDC"/>
    <w:rsid w:val="159E6824"/>
    <w:rsid w:val="159F1F9D"/>
    <w:rsid w:val="15AC1E7C"/>
    <w:rsid w:val="15AC7CA9"/>
    <w:rsid w:val="15B87207"/>
    <w:rsid w:val="15E45511"/>
    <w:rsid w:val="15E555E5"/>
    <w:rsid w:val="15EB4DF3"/>
    <w:rsid w:val="160022D2"/>
    <w:rsid w:val="160E443B"/>
    <w:rsid w:val="1619582C"/>
    <w:rsid w:val="161B4433"/>
    <w:rsid w:val="161C1760"/>
    <w:rsid w:val="16214607"/>
    <w:rsid w:val="16257E60"/>
    <w:rsid w:val="162D71E8"/>
    <w:rsid w:val="16410673"/>
    <w:rsid w:val="16443A44"/>
    <w:rsid w:val="16501384"/>
    <w:rsid w:val="165D6D35"/>
    <w:rsid w:val="16600A22"/>
    <w:rsid w:val="166B221D"/>
    <w:rsid w:val="16706804"/>
    <w:rsid w:val="16817530"/>
    <w:rsid w:val="16830799"/>
    <w:rsid w:val="16935F86"/>
    <w:rsid w:val="169408EA"/>
    <w:rsid w:val="169916F7"/>
    <w:rsid w:val="16A353F9"/>
    <w:rsid w:val="16A60D5F"/>
    <w:rsid w:val="16B12199"/>
    <w:rsid w:val="16B56E58"/>
    <w:rsid w:val="16BE584F"/>
    <w:rsid w:val="16BF701F"/>
    <w:rsid w:val="16C0050D"/>
    <w:rsid w:val="16CA2F40"/>
    <w:rsid w:val="16CC16CE"/>
    <w:rsid w:val="16CF654F"/>
    <w:rsid w:val="16D87923"/>
    <w:rsid w:val="16DB1AC1"/>
    <w:rsid w:val="16E060CA"/>
    <w:rsid w:val="16E60DF9"/>
    <w:rsid w:val="16F32E01"/>
    <w:rsid w:val="17014F36"/>
    <w:rsid w:val="170651A4"/>
    <w:rsid w:val="170949A7"/>
    <w:rsid w:val="17187A03"/>
    <w:rsid w:val="171F70DD"/>
    <w:rsid w:val="172150F6"/>
    <w:rsid w:val="172171F6"/>
    <w:rsid w:val="17252038"/>
    <w:rsid w:val="172D42CE"/>
    <w:rsid w:val="172E1417"/>
    <w:rsid w:val="17430688"/>
    <w:rsid w:val="174411E0"/>
    <w:rsid w:val="174672E5"/>
    <w:rsid w:val="175A5403"/>
    <w:rsid w:val="17691BB2"/>
    <w:rsid w:val="17696F5D"/>
    <w:rsid w:val="176A5E19"/>
    <w:rsid w:val="176B183A"/>
    <w:rsid w:val="176E70B3"/>
    <w:rsid w:val="17745F1B"/>
    <w:rsid w:val="17756461"/>
    <w:rsid w:val="177A4ECD"/>
    <w:rsid w:val="178677B1"/>
    <w:rsid w:val="178B0A17"/>
    <w:rsid w:val="17913549"/>
    <w:rsid w:val="17940548"/>
    <w:rsid w:val="179A0052"/>
    <w:rsid w:val="179E1BF7"/>
    <w:rsid w:val="17A55F78"/>
    <w:rsid w:val="17B906D9"/>
    <w:rsid w:val="17BB4F50"/>
    <w:rsid w:val="17BE2E86"/>
    <w:rsid w:val="17C622CB"/>
    <w:rsid w:val="17D00A3A"/>
    <w:rsid w:val="17E7572C"/>
    <w:rsid w:val="17E87351"/>
    <w:rsid w:val="17EF4FFC"/>
    <w:rsid w:val="1810433F"/>
    <w:rsid w:val="18181E8D"/>
    <w:rsid w:val="182D4122"/>
    <w:rsid w:val="182F3072"/>
    <w:rsid w:val="18334789"/>
    <w:rsid w:val="18354663"/>
    <w:rsid w:val="18386A70"/>
    <w:rsid w:val="184327DE"/>
    <w:rsid w:val="184A503E"/>
    <w:rsid w:val="18503BB3"/>
    <w:rsid w:val="18535ABC"/>
    <w:rsid w:val="18557D7D"/>
    <w:rsid w:val="185F2DAF"/>
    <w:rsid w:val="188B4AFF"/>
    <w:rsid w:val="18A3668F"/>
    <w:rsid w:val="18A9617F"/>
    <w:rsid w:val="18AB2B24"/>
    <w:rsid w:val="18B142EE"/>
    <w:rsid w:val="18B32480"/>
    <w:rsid w:val="18B34A2A"/>
    <w:rsid w:val="18BE7650"/>
    <w:rsid w:val="18CF4878"/>
    <w:rsid w:val="18D857B1"/>
    <w:rsid w:val="18E64911"/>
    <w:rsid w:val="18F33E1D"/>
    <w:rsid w:val="18FB5146"/>
    <w:rsid w:val="19085771"/>
    <w:rsid w:val="190A6308"/>
    <w:rsid w:val="190F5795"/>
    <w:rsid w:val="19134827"/>
    <w:rsid w:val="19163C62"/>
    <w:rsid w:val="191D2C9B"/>
    <w:rsid w:val="19224845"/>
    <w:rsid w:val="192D1125"/>
    <w:rsid w:val="192F3FF0"/>
    <w:rsid w:val="193337F3"/>
    <w:rsid w:val="19365277"/>
    <w:rsid w:val="19366C94"/>
    <w:rsid w:val="193B5442"/>
    <w:rsid w:val="195357A7"/>
    <w:rsid w:val="19554B74"/>
    <w:rsid w:val="195C3F25"/>
    <w:rsid w:val="196F4370"/>
    <w:rsid w:val="197B4380"/>
    <w:rsid w:val="197C5716"/>
    <w:rsid w:val="198454CC"/>
    <w:rsid w:val="198465F3"/>
    <w:rsid w:val="19A3762F"/>
    <w:rsid w:val="19AF6F72"/>
    <w:rsid w:val="19B80595"/>
    <w:rsid w:val="19BC350E"/>
    <w:rsid w:val="19BF795C"/>
    <w:rsid w:val="19CE1B53"/>
    <w:rsid w:val="19D46A04"/>
    <w:rsid w:val="19D754F4"/>
    <w:rsid w:val="19E50FDE"/>
    <w:rsid w:val="19E877B3"/>
    <w:rsid w:val="19EF1920"/>
    <w:rsid w:val="19FE1E73"/>
    <w:rsid w:val="19FE6418"/>
    <w:rsid w:val="1A026B5D"/>
    <w:rsid w:val="1A054EE9"/>
    <w:rsid w:val="1A072B59"/>
    <w:rsid w:val="1A0B6F32"/>
    <w:rsid w:val="1A0C4BCD"/>
    <w:rsid w:val="1A1542BA"/>
    <w:rsid w:val="1A1600B2"/>
    <w:rsid w:val="1A18098A"/>
    <w:rsid w:val="1A1E64FF"/>
    <w:rsid w:val="1A2B66B5"/>
    <w:rsid w:val="1A3D355B"/>
    <w:rsid w:val="1A481AA8"/>
    <w:rsid w:val="1A4927E5"/>
    <w:rsid w:val="1A5865FF"/>
    <w:rsid w:val="1A5A29EE"/>
    <w:rsid w:val="1A5B207C"/>
    <w:rsid w:val="1A634824"/>
    <w:rsid w:val="1A691988"/>
    <w:rsid w:val="1A6A545B"/>
    <w:rsid w:val="1A74215F"/>
    <w:rsid w:val="1A77464F"/>
    <w:rsid w:val="1A7A1B33"/>
    <w:rsid w:val="1A7C6383"/>
    <w:rsid w:val="1A802E6C"/>
    <w:rsid w:val="1A937FFB"/>
    <w:rsid w:val="1AAA66D6"/>
    <w:rsid w:val="1AAE10EC"/>
    <w:rsid w:val="1ABB2456"/>
    <w:rsid w:val="1ABC6045"/>
    <w:rsid w:val="1AC64FF5"/>
    <w:rsid w:val="1AC968F2"/>
    <w:rsid w:val="1ACA64E8"/>
    <w:rsid w:val="1ACA67C8"/>
    <w:rsid w:val="1AD24430"/>
    <w:rsid w:val="1AD30604"/>
    <w:rsid w:val="1AD41CB4"/>
    <w:rsid w:val="1AEF59B8"/>
    <w:rsid w:val="1AF01459"/>
    <w:rsid w:val="1AF90D4D"/>
    <w:rsid w:val="1AFC510C"/>
    <w:rsid w:val="1AFD0A64"/>
    <w:rsid w:val="1B0C120E"/>
    <w:rsid w:val="1B0D4108"/>
    <w:rsid w:val="1B0F4711"/>
    <w:rsid w:val="1B12628B"/>
    <w:rsid w:val="1B130D13"/>
    <w:rsid w:val="1B1970BA"/>
    <w:rsid w:val="1B1B7BF4"/>
    <w:rsid w:val="1B2A45A7"/>
    <w:rsid w:val="1B477BFC"/>
    <w:rsid w:val="1B5B5FDA"/>
    <w:rsid w:val="1B6C0367"/>
    <w:rsid w:val="1B7371D9"/>
    <w:rsid w:val="1B7406C7"/>
    <w:rsid w:val="1B7E67C6"/>
    <w:rsid w:val="1B7F280B"/>
    <w:rsid w:val="1B85484D"/>
    <w:rsid w:val="1B913FEF"/>
    <w:rsid w:val="1B971BA9"/>
    <w:rsid w:val="1B9F099B"/>
    <w:rsid w:val="1BA517A1"/>
    <w:rsid w:val="1BB66F61"/>
    <w:rsid w:val="1BB959AA"/>
    <w:rsid w:val="1BC6633A"/>
    <w:rsid w:val="1BC70323"/>
    <w:rsid w:val="1BC90051"/>
    <w:rsid w:val="1BC97C41"/>
    <w:rsid w:val="1BCD7E6B"/>
    <w:rsid w:val="1BD118B1"/>
    <w:rsid w:val="1BD12E87"/>
    <w:rsid w:val="1BD72B13"/>
    <w:rsid w:val="1BF67FDC"/>
    <w:rsid w:val="1BFA5749"/>
    <w:rsid w:val="1C025112"/>
    <w:rsid w:val="1C0565D6"/>
    <w:rsid w:val="1C0E6482"/>
    <w:rsid w:val="1C241C3D"/>
    <w:rsid w:val="1C267F4F"/>
    <w:rsid w:val="1C2B4641"/>
    <w:rsid w:val="1C4723EA"/>
    <w:rsid w:val="1C490921"/>
    <w:rsid w:val="1C49257F"/>
    <w:rsid w:val="1C501F09"/>
    <w:rsid w:val="1C516588"/>
    <w:rsid w:val="1C522447"/>
    <w:rsid w:val="1C64435B"/>
    <w:rsid w:val="1C670D00"/>
    <w:rsid w:val="1C842F55"/>
    <w:rsid w:val="1C864F11"/>
    <w:rsid w:val="1C8B140C"/>
    <w:rsid w:val="1C8D11AB"/>
    <w:rsid w:val="1CB32B6D"/>
    <w:rsid w:val="1CB91DEC"/>
    <w:rsid w:val="1CC30290"/>
    <w:rsid w:val="1CD36D62"/>
    <w:rsid w:val="1CDF1CDF"/>
    <w:rsid w:val="1CE75623"/>
    <w:rsid w:val="1CF67955"/>
    <w:rsid w:val="1D005D35"/>
    <w:rsid w:val="1D01031E"/>
    <w:rsid w:val="1D076AC5"/>
    <w:rsid w:val="1D154BE0"/>
    <w:rsid w:val="1D222A36"/>
    <w:rsid w:val="1D286EE6"/>
    <w:rsid w:val="1D310521"/>
    <w:rsid w:val="1D3C1A50"/>
    <w:rsid w:val="1D4170C5"/>
    <w:rsid w:val="1D4218D7"/>
    <w:rsid w:val="1D4E6761"/>
    <w:rsid w:val="1D5B1F3A"/>
    <w:rsid w:val="1D5E1BB3"/>
    <w:rsid w:val="1D776411"/>
    <w:rsid w:val="1D792DEC"/>
    <w:rsid w:val="1D983F49"/>
    <w:rsid w:val="1DA51673"/>
    <w:rsid w:val="1DAA4B96"/>
    <w:rsid w:val="1DAB5340"/>
    <w:rsid w:val="1DBA25A3"/>
    <w:rsid w:val="1DE04776"/>
    <w:rsid w:val="1DE318BC"/>
    <w:rsid w:val="1DF120A7"/>
    <w:rsid w:val="1DF816DA"/>
    <w:rsid w:val="1E0233E2"/>
    <w:rsid w:val="1E196591"/>
    <w:rsid w:val="1E1E012C"/>
    <w:rsid w:val="1E1F5BAF"/>
    <w:rsid w:val="1E2178BB"/>
    <w:rsid w:val="1E2707B8"/>
    <w:rsid w:val="1E2A6E8A"/>
    <w:rsid w:val="1E3625F6"/>
    <w:rsid w:val="1E4C46B6"/>
    <w:rsid w:val="1E5B02F0"/>
    <w:rsid w:val="1E5B387D"/>
    <w:rsid w:val="1E5D6AF5"/>
    <w:rsid w:val="1E604D89"/>
    <w:rsid w:val="1E632413"/>
    <w:rsid w:val="1E65221B"/>
    <w:rsid w:val="1E691F90"/>
    <w:rsid w:val="1E6C4753"/>
    <w:rsid w:val="1E7070EB"/>
    <w:rsid w:val="1E741642"/>
    <w:rsid w:val="1E806861"/>
    <w:rsid w:val="1E885E5D"/>
    <w:rsid w:val="1E9620D3"/>
    <w:rsid w:val="1EB1193F"/>
    <w:rsid w:val="1EB35599"/>
    <w:rsid w:val="1EC01F32"/>
    <w:rsid w:val="1EC45AD1"/>
    <w:rsid w:val="1EC56A8E"/>
    <w:rsid w:val="1EC746CA"/>
    <w:rsid w:val="1EC8219B"/>
    <w:rsid w:val="1EC94019"/>
    <w:rsid w:val="1ED44572"/>
    <w:rsid w:val="1ED50D55"/>
    <w:rsid w:val="1EE40F81"/>
    <w:rsid w:val="1EEA3A5F"/>
    <w:rsid w:val="1EEF7422"/>
    <w:rsid w:val="1EFD123D"/>
    <w:rsid w:val="1F040AF8"/>
    <w:rsid w:val="1F1574B5"/>
    <w:rsid w:val="1F1D7F1A"/>
    <w:rsid w:val="1F1F207D"/>
    <w:rsid w:val="1F283944"/>
    <w:rsid w:val="1F2D2773"/>
    <w:rsid w:val="1F3231B4"/>
    <w:rsid w:val="1F3A4472"/>
    <w:rsid w:val="1F3E3810"/>
    <w:rsid w:val="1F42345E"/>
    <w:rsid w:val="1F4A2B88"/>
    <w:rsid w:val="1F537636"/>
    <w:rsid w:val="1F60485C"/>
    <w:rsid w:val="1F607B77"/>
    <w:rsid w:val="1F6B3F39"/>
    <w:rsid w:val="1F7322DF"/>
    <w:rsid w:val="1F751935"/>
    <w:rsid w:val="1F796431"/>
    <w:rsid w:val="1F7B1866"/>
    <w:rsid w:val="1F907953"/>
    <w:rsid w:val="1F912FCF"/>
    <w:rsid w:val="1F9761A4"/>
    <w:rsid w:val="1F99613A"/>
    <w:rsid w:val="1F9B1ABB"/>
    <w:rsid w:val="1F9C6DF7"/>
    <w:rsid w:val="1F9F06F0"/>
    <w:rsid w:val="1FA32C58"/>
    <w:rsid w:val="1FAB59E6"/>
    <w:rsid w:val="1FAC4405"/>
    <w:rsid w:val="1FB017D6"/>
    <w:rsid w:val="1FB56B13"/>
    <w:rsid w:val="1FBF58BF"/>
    <w:rsid w:val="1FC1184A"/>
    <w:rsid w:val="1FD55B10"/>
    <w:rsid w:val="1FDE4EC2"/>
    <w:rsid w:val="1FE3606E"/>
    <w:rsid w:val="1FE62394"/>
    <w:rsid w:val="1FE637D7"/>
    <w:rsid w:val="1FEF682C"/>
    <w:rsid w:val="1FFD24A2"/>
    <w:rsid w:val="1FFD2DED"/>
    <w:rsid w:val="1FFF0860"/>
    <w:rsid w:val="200F7724"/>
    <w:rsid w:val="20175624"/>
    <w:rsid w:val="202B6D90"/>
    <w:rsid w:val="20313FB9"/>
    <w:rsid w:val="20407A64"/>
    <w:rsid w:val="20443CB9"/>
    <w:rsid w:val="20457D0E"/>
    <w:rsid w:val="205D0C5E"/>
    <w:rsid w:val="205E737F"/>
    <w:rsid w:val="206B67EA"/>
    <w:rsid w:val="207545DC"/>
    <w:rsid w:val="20782A0A"/>
    <w:rsid w:val="207B7041"/>
    <w:rsid w:val="20940384"/>
    <w:rsid w:val="20987637"/>
    <w:rsid w:val="20BD5190"/>
    <w:rsid w:val="20C472B3"/>
    <w:rsid w:val="20D8591C"/>
    <w:rsid w:val="20DE4594"/>
    <w:rsid w:val="20E837A7"/>
    <w:rsid w:val="20EA712D"/>
    <w:rsid w:val="20FE314A"/>
    <w:rsid w:val="213E6C0A"/>
    <w:rsid w:val="21424995"/>
    <w:rsid w:val="2145715A"/>
    <w:rsid w:val="214844C3"/>
    <w:rsid w:val="21534886"/>
    <w:rsid w:val="216A7931"/>
    <w:rsid w:val="216F189E"/>
    <w:rsid w:val="21731DAF"/>
    <w:rsid w:val="217E7E91"/>
    <w:rsid w:val="2181722A"/>
    <w:rsid w:val="218B7D40"/>
    <w:rsid w:val="21942239"/>
    <w:rsid w:val="21A5276F"/>
    <w:rsid w:val="21AA16B2"/>
    <w:rsid w:val="21B96164"/>
    <w:rsid w:val="21BC6F8D"/>
    <w:rsid w:val="21C87E9E"/>
    <w:rsid w:val="21E15CD5"/>
    <w:rsid w:val="21F50E74"/>
    <w:rsid w:val="21F91DA9"/>
    <w:rsid w:val="21F94701"/>
    <w:rsid w:val="22015FEE"/>
    <w:rsid w:val="2217035E"/>
    <w:rsid w:val="22173086"/>
    <w:rsid w:val="221C1CA2"/>
    <w:rsid w:val="22352FE1"/>
    <w:rsid w:val="2242103D"/>
    <w:rsid w:val="22451F67"/>
    <w:rsid w:val="22470C4C"/>
    <w:rsid w:val="22471527"/>
    <w:rsid w:val="224A27FE"/>
    <w:rsid w:val="22626B9C"/>
    <w:rsid w:val="226A0E31"/>
    <w:rsid w:val="227D186C"/>
    <w:rsid w:val="227E7390"/>
    <w:rsid w:val="227F5862"/>
    <w:rsid w:val="22832BF1"/>
    <w:rsid w:val="2283710F"/>
    <w:rsid w:val="228D4C74"/>
    <w:rsid w:val="228F226B"/>
    <w:rsid w:val="22A923B4"/>
    <w:rsid w:val="22BA03DD"/>
    <w:rsid w:val="22BE777D"/>
    <w:rsid w:val="22C431AE"/>
    <w:rsid w:val="22C53012"/>
    <w:rsid w:val="22D658DC"/>
    <w:rsid w:val="22E55F04"/>
    <w:rsid w:val="22E72EA8"/>
    <w:rsid w:val="22E92090"/>
    <w:rsid w:val="230D2C3F"/>
    <w:rsid w:val="23121B4A"/>
    <w:rsid w:val="23135E84"/>
    <w:rsid w:val="23312EAF"/>
    <w:rsid w:val="23325965"/>
    <w:rsid w:val="233804A4"/>
    <w:rsid w:val="23396C08"/>
    <w:rsid w:val="233A4B0D"/>
    <w:rsid w:val="234102CD"/>
    <w:rsid w:val="23575BDF"/>
    <w:rsid w:val="235E5A2E"/>
    <w:rsid w:val="23662640"/>
    <w:rsid w:val="236B5402"/>
    <w:rsid w:val="237065DA"/>
    <w:rsid w:val="238307B1"/>
    <w:rsid w:val="238B640D"/>
    <w:rsid w:val="238C4775"/>
    <w:rsid w:val="23A17298"/>
    <w:rsid w:val="23A71122"/>
    <w:rsid w:val="23CB0ED0"/>
    <w:rsid w:val="23DA5DEF"/>
    <w:rsid w:val="23DF01E7"/>
    <w:rsid w:val="23DF4F24"/>
    <w:rsid w:val="23E90C73"/>
    <w:rsid w:val="23F15E22"/>
    <w:rsid w:val="24006C15"/>
    <w:rsid w:val="2401637B"/>
    <w:rsid w:val="24021630"/>
    <w:rsid w:val="24037337"/>
    <w:rsid w:val="24064FA3"/>
    <w:rsid w:val="240B41C1"/>
    <w:rsid w:val="24132780"/>
    <w:rsid w:val="241F11F0"/>
    <w:rsid w:val="241F4F39"/>
    <w:rsid w:val="243549A7"/>
    <w:rsid w:val="2439389C"/>
    <w:rsid w:val="244200D9"/>
    <w:rsid w:val="244F0FD2"/>
    <w:rsid w:val="24650660"/>
    <w:rsid w:val="2468113A"/>
    <w:rsid w:val="246F0BF0"/>
    <w:rsid w:val="24790865"/>
    <w:rsid w:val="247B03C3"/>
    <w:rsid w:val="248E7FDA"/>
    <w:rsid w:val="249371C1"/>
    <w:rsid w:val="24967EF4"/>
    <w:rsid w:val="24A02EFC"/>
    <w:rsid w:val="24A40686"/>
    <w:rsid w:val="24A864B6"/>
    <w:rsid w:val="24AC1823"/>
    <w:rsid w:val="24B63543"/>
    <w:rsid w:val="24C71522"/>
    <w:rsid w:val="24CE49EA"/>
    <w:rsid w:val="24D5576B"/>
    <w:rsid w:val="24DC25AF"/>
    <w:rsid w:val="24E90E8E"/>
    <w:rsid w:val="24E94A9B"/>
    <w:rsid w:val="24F72BD5"/>
    <w:rsid w:val="24F8164E"/>
    <w:rsid w:val="2509511A"/>
    <w:rsid w:val="251E044D"/>
    <w:rsid w:val="2522186B"/>
    <w:rsid w:val="2537702A"/>
    <w:rsid w:val="25410903"/>
    <w:rsid w:val="254537D8"/>
    <w:rsid w:val="254D1F81"/>
    <w:rsid w:val="254D4832"/>
    <w:rsid w:val="25502385"/>
    <w:rsid w:val="255026DA"/>
    <w:rsid w:val="25532054"/>
    <w:rsid w:val="25553E19"/>
    <w:rsid w:val="255908BE"/>
    <w:rsid w:val="25617B68"/>
    <w:rsid w:val="257A344B"/>
    <w:rsid w:val="257C7E29"/>
    <w:rsid w:val="258F17A1"/>
    <w:rsid w:val="25941823"/>
    <w:rsid w:val="259C5381"/>
    <w:rsid w:val="25A06774"/>
    <w:rsid w:val="25AA6505"/>
    <w:rsid w:val="25B52B93"/>
    <w:rsid w:val="25B7674F"/>
    <w:rsid w:val="25BA2F2C"/>
    <w:rsid w:val="25BE15D1"/>
    <w:rsid w:val="25C96E85"/>
    <w:rsid w:val="25D4309B"/>
    <w:rsid w:val="25D61788"/>
    <w:rsid w:val="25E1040B"/>
    <w:rsid w:val="25E929AA"/>
    <w:rsid w:val="25EB07A2"/>
    <w:rsid w:val="25ED2654"/>
    <w:rsid w:val="25FE0AFB"/>
    <w:rsid w:val="26137CFA"/>
    <w:rsid w:val="261E32B9"/>
    <w:rsid w:val="26240869"/>
    <w:rsid w:val="262B0183"/>
    <w:rsid w:val="263C4716"/>
    <w:rsid w:val="264D41A4"/>
    <w:rsid w:val="26572466"/>
    <w:rsid w:val="26693D5F"/>
    <w:rsid w:val="266B0F56"/>
    <w:rsid w:val="266B2624"/>
    <w:rsid w:val="267D1396"/>
    <w:rsid w:val="26827404"/>
    <w:rsid w:val="2684677B"/>
    <w:rsid w:val="268624ED"/>
    <w:rsid w:val="269E2238"/>
    <w:rsid w:val="26AA5266"/>
    <w:rsid w:val="26BB0AC2"/>
    <w:rsid w:val="26C40A9F"/>
    <w:rsid w:val="26C41A4E"/>
    <w:rsid w:val="26D41D9C"/>
    <w:rsid w:val="26E608E7"/>
    <w:rsid w:val="26E95599"/>
    <w:rsid w:val="26EC58DC"/>
    <w:rsid w:val="2705521C"/>
    <w:rsid w:val="270F5985"/>
    <w:rsid w:val="27115711"/>
    <w:rsid w:val="271454AD"/>
    <w:rsid w:val="271E456D"/>
    <w:rsid w:val="27217E52"/>
    <w:rsid w:val="27263EF2"/>
    <w:rsid w:val="272711F0"/>
    <w:rsid w:val="272B1609"/>
    <w:rsid w:val="273112C2"/>
    <w:rsid w:val="27381C5A"/>
    <w:rsid w:val="273D1941"/>
    <w:rsid w:val="273F2493"/>
    <w:rsid w:val="27450BF0"/>
    <w:rsid w:val="275F4685"/>
    <w:rsid w:val="277545C5"/>
    <w:rsid w:val="277702D7"/>
    <w:rsid w:val="27867F1C"/>
    <w:rsid w:val="27A06325"/>
    <w:rsid w:val="27B931F8"/>
    <w:rsid w:val="27B939C5"/>
    <w:rsid w:val="27BC1E7A"/>
    <w:rsid w:val="27BF3FDB"/>
    <w:rsid w:val="27C46164"/>
    <w:rsid w:val="27C64E63"/>
    <w:rsid w:val="27CC406E"/>
    <w:rsid w:val="27E13374"/>
    <w:rsid w:val="27E62F33"/>
    <w:rsid w:val="27EB293F"/>
    <w:rsid w:val="27EF4666"/>
    <w:rsid w:val="27FB38C0"/>
    <w:rsid w:val="280E5984"/>
    <w:rsid w:val="281009B8"/>
    <w:rsid w:val="28127C99"/>
    <w:rsid w:val="281411CD"/>
    <w:rsid w:val="28162678"/>
    <w:rsid w:val="28187D56"/>
    <w:rsid w:val="28275150"/>
    <w:rsid w:val="28312DD0"/>
    <w:rsid w:val="2835231A"/>
    <w:rsid w:val="283711A1"/>
    <w:rsid w:val="283870F5"/>
    <w:rsid w:val="283B63BD"/>
    <w:rsid w:val="284E5C24"/>
    <w:rsid w:val="285044F3"/>
    <w:rsid w:val="286E6DDD"/>
    <w:rsid w:val="287134BA"/>
    <w:rsid w:val="28746132"/>
    <w:rsid w:val="2884003E"/>
    <w:rsid w:val="288C0653"/>
    <w:rsid w:val="288F702E"/>
    <w:rsid w:val="28934117"/>
    <w:rsid w:val="289C3008"/>
    <w:rsid w:val="28A44A06"/>
    <w:rsid w:val="28B33500"/>
    <w:rsid w:val="28B555A8"/>
    <w:rsid w:val="28BD31A5"/>
    <w:rsid w:val="28C849A8"/>
    <w:rsid w:val="28D07266"/>
    <w:rsid w:val="28DA55D4"/>
    <w:rsid w:val="28E7211F"/>
    <w:rsid w:val="28E725A8"/>
    <w:rsid w:val="28F14933"/>
    <w:rsid w:val="28F7315B"/>
    <w:rsid w:val="28FD68C7"/>
    <w:rsid w:val="291727AB"/>
    <w:rsid w:val="29310375"/>
    <w:rsid w:val="29352B40"/>
    <w:rsid w:val="293F312A"/>
    <w:rsid w:val="294262B9"/>
    <w:rsid w:val="29431BAE"/>
    <w:rsid w:val="294C2F70"/>
    <w:rsid w:val="294F4615"/>
    <w:rsid w:val="295D6ADE"/>
    <w:rsid w:val="295F1CB2"/>
    <w:rsid w:val="296158E7"/>
    <w:rsid w:val="29630FD4"/>
    <w:rsid w:val="296D52A1"/>
    <w:rsid w:val="297D5829"/>
    <w:rsid w:val="29827B2E"/>
    <w:rsid w:val="29834178"/>
    <w:rsid w:val="29865CC7"/>
    <w:rsid w:val="298D7242"/>
    <w:rsid w:val="299B0448"/>
    <w:rsid w:val="299C30F1"/>
    <w:rsid w:val="299F19D2"/>
    <w:rsid w:val="29A40D6B"/>
    <w:rsid w:val="29A45B53"/>
    <w:rsid w:val="29AA7DB4"/>
    <w:rsid w:val="29B036B5"/>
    <w:rsid w:val="29B772F9"/>
    <w:rsid w:val="29C879A0"/>
    <w:rsid w:val="29D95D68"/>
    <w:rsid w:val="29E9291C"/>
    <w:rsid w:val="29FE3B8E"/>
    <w:rsid w:val="2A030C7D"/>
    <w:rsid w:val="2A166020"/>
    <w:rsid w:val="2A1B4642"/>
    <w:rsid w:val="2A1D409C"/>
    <w:rsid w:val="2A2320CF"/>
    <w:rsid w:val="2A277653"/>
    <w:rsid w:val="2A30605C"/>
    <w:rsid w:val="2A35718D"/>
    <w:rsid w:val="2A3B777E"/>
    <w:rsid w:val="2A3D1827"/>
    <w:rsid w:val="2A4738AF"/>
    <w:rsid w:val="2A532B82"/>
    <w:rsid w:val="2A5F5886"/>
    <w:rsid w:val="2A611121"/>
    <w:rsid w:val="2A7175A1"/>
    <w:rsid w:val="2A9E7255"/>
    <w:rsid w:val="2AA27047"/>
    <w:rsid w:val="2AA5080F"/>
    <w:rsid w:val="2AA739BC"/>
    <w:rsid w:val="2AAC30E2"/>
    <w:rsid w:val="2AB8024A"/>
    <w:rsid w:val="2ABF7E0F"/>
    <w:rsid w:val="2AC75FE8"/>
    <w:rsid w:val="2ACA4DE4"/>
    <w:rsid w:val="2AD73AAA"/>
    <w:rsid w:val="2AE80414"/>
    <w:rsid w:val="2AE93057"/>
    <w:rsid w:val="2AF10FC4"/>
    <w:rsid w:val="2AFA1BEF"/>
    <w:rsid w:val="2AFB2D49"/>
    <w:rsid w:val="2B0A0935"/>
    <w:rsid w:val="2B0A1D97"/>
    <w:rsid w:val="2B130CE6"/>
    <w:rsid w:val="2B2515CB"/>
    <w:rsid w:val="2B25752B"/>
    <w:rsid w:val="2B282F05"/>
    <w:rsid w:val="2B331284"/>
    <w:rsid w:val="2B376480"/>
    <w:rsid w:val="2B44271B"/>
    <w:rsid w:val="2B5917F8"/>
    <w:rsid w:val="2B5949B1"/>
    <w:rsid w:val="2B5D2D15"/>
    <w:rsid w:val="2B6200F2"/>
    <w:rsid w:val="2B636A95"/>
    <w:rsid w:val="2B71099F"/>
    <w:rsid w:val="2B7D1204"/>
    <w:rsid w:val="2B7F0A18"/>
    <w:rsid w:val="2B8027DA"/>
    <w:rsid w:val="2B8C3147"/>
    <w:rsid w:val="2B90559F"/>
    <w:rsid w:val="2B912078"/>
    <w:rsid w:val="2B955D28"/>
    <w:rsid w:val="2BA15BBA"/>
    <w:rsid w:val="2BA215F0"/>
    <w:rsid w:val="2BA21FAD"/>
    <w:rsid w:val="2BA3260E"/>
    <w:rsid w:val="2BA47C5D"/>
    <w:rsid w:val="2BA8078D"/>
    <w:rsid w:val="2BAB3791"/>
    <w:rsid w:val="2BB61AE5"/>
    <w:rsid w:val="2BD00DFF"/>
    <w:rsid w:val="2BE2316D"/>
    <w:rsid w:val="2BE94C96"/>
    <w:rsid w:val="2BEA79C8"/>
    <w:rsid w:val="2BEB2F9E"/>
    <w:rsid w:val="2C0460FA"/>
    <w:rsid w:val="2C0D32DF"/>
    <w:rsid w:val="2C0D7863"/>
    <w:rsid w:val="2C1278E8"/>
    <w:rsid w:val="2C15675A"/>
    <w:rsid w:val="2C1E29BF"/>
    <w:rsid w:val="2C1E4681"/>
    <w:rsid w:val="2C2F3B77"/>
    <w:rsid w:val="2C31778E"/>
    <w:rsid w:val="2C3936FA"/>
    <w:rsid w:val="2C405E5E"/>
    <w:rsid w:val="2C5807EF"/>
    <w:rsid w:val="2C6C3678"/>
    <w:rsid w:val="2C6E0B7D"/>
    <w:rsid w:val="2C731569"/>
    <w:rsid w:val="2C8C5B08"/>
    <w:rsid w:val="2C8E38A2"/>
    <w:rsid w:val="2C9411C3"/>
    <w:rsid w:val="2C976847"/>
    <w:rsid w:val="2C9B0FB9"/>
    <w:rsid w:val="2C9E7F03"/>
    <w:rsid w:val="2CA2397C"/>
    <w:rsid w:val="2CA43263"/>
    <w:rsid w:val="2CA843FA"/>
    <w:rsid w:val="2CAE1688"/>
    <w:rsid w:val="2CBB2EFA"/>
    <w:rsid w:val="2CBC44CC"/>
    <w:rsid w:val="2CC00849"/>
    <w:rsid w:val="2CC05842"/>
    <w:rsid w:val="2CC5764A"/>
    <w:rsid w:val="2CC95E54"/>
    <w:rsid w:val="2CD1535C"/>
    <w:rsid w:val="2CD613D6"/>
    <w:rsid w:val="2CDE2BC5"/>
    <w:rsid w:val="2CE65C7D"/>
    <w:rsid w:val="2CF26D71"/>
    <w:rsid w:val="2CF61EDE"/>
    <w:rsid w:val="2CF954B7"/>
    <w:rsid w:val="2CFC70F4"/>
    <w:rsid w:val="2CFF7460"/>
    <w:rsid w:val="2D000018"/>
    <w:rsid w:val="2D01054B"/>
    <w:rsid w:val="2D0B3D7B"/>
    <w:rsid w:val="2D155826"/>
    <w:rsid w:val="2D2554B3"/>
    <w:rsid w:val="2D280B7D"/>
    <w:rsid w:val="2D371F49"/>
    <w:rsid w:val="2D396113"/>
    <w:rsid w:val="2D5A7705"/>
    <w:rsid w:val="2D677722"/>
    <w:rsid w:val="2D6C6D9B"/>
    <w:rsid w:val="2D6D0E47"/>
    <w:rsid w:val="2D743AE8"/>
    <w:rsid w:val="2D7C63D0"/>
    <w:rsid w:val="2D7D1B84"/>
    <w:rsid w:val="2D7D2A99"/>
    <w:rsid w:val="2D7F46F6"/>
    <w:rsid w:val="2D8F58B1"/>
    <w:rsid w:val="2D97608D"/>
    <w:rsid w:val="2D977A59"/>
    <w:rsid w:val="2D9B3856"/>
    <w:rsid w:val="2D9B3904"/>
    <w:rsid w:val="2DA5501C"/>
    <w:rsid w:val="2DAA42B1"/>
    <w:rsid w:val="2DAD697B"/>
    <w:rsid w:val="2DB013D1"/>
    <w:rsid w:val="2DB26641"/>
    <w:rsid w:val="2DB50E33"/>
    <w:rsid w:val="2DC02F7B"/>
    <w:rsid w:val="2DC22F7B"/>
    <w:rsid w:val="2DC92A81"/>
    <w:rsid w:val="2DD23A7A"/>
    <w:rsid w:val="2DDA107B"/>
    <w:rsid w:val="2DE300D1"/>
    <w:rsid w:val="2DF96685"/>
    <w:rsid w:val="2DFB47A1"/>
    <w:rsid w:val="2DFC70A1"/>
    <w:rsid w:val="2E1A1528"/>
    <w:rsid w:val="2E1F3018"/>
    <w:rsid w:val="2E200533"/>
    <w:rsid w:val="2E2341DD"/>
    <w:rsid w:val="2E29512F"/>
    <w:rsid w:val="2E2C020B"/>
    <w:rsid w:val="2E310171"/>
    <w:rsid w:val="2E3658D7"/>
    <w:rsid w:val="2E3F7374"/>
    <w:rsid w:val="2E5D370D"/>
    <w:rsid w:val="2E606953"/>
    <w:rsid w:val="2E670766"/>
    <w:rsid w:val="2E675364"/>
    <w:rsid w:val="2E7972C8"/>
    <w:rsid w:val="2E7C518F"/>
    <w:rsid w:val="2E800DF1"/>
    <w:rsid w:val="2E80518F"/>
    <w:rsid w:val="2E932916"/>
    <w:rsid w:val="2E977742"/>
    <w:rsid w:val="2E993F45"/>
    <w:rsid w:val="2E9B33F9"/>
    <w:rsid w:val="2EB12291"/>
    <w:rsid w:val="2EC8033E"/>
    <w:rsid w:val="2ECB3816"/>
    <w:rsid w:val="2ECE050C"/>
    <w:rsid w:val="2EDE20C7"/>
    <w:rsid w:val="2EE41A0E"/>
    <w:rsid w:val="2EED0919"/>
    <w:rsid w:val="2EEE4A50"/>
    <w:rsid w:val="2EF11762"/>
    <w:rsid w:val="2EF17E5C"/>
    <w:rsid w:val="2EF22560"/>
    <w:rsid w:val="2EF93F4B"/>
    <w:rsid w:val="2EFF6271"/>
    <w:rsid w:val="2F04796F"/>
    <w:rsid w:val="2F0735FF"/>
    <w:rsid w:val="2F0D3DA3"/>
    <w:rsid w:val="2F15600D"/>
    <w:rsid w:val="2F1A08A9"/>
    <w:rsid w:val="2F212DDD"/>
    <w:rsid w:val="2F251C76"/>
    <w:rsid w:val="2F27202C"/>
    <w:rsid w:val="2F3C05AB"/>
    <w:rsid w:val="2F4B3B31"/>
    <w:rsid w:val="2F6E4C8D"/>
    <w:rsid w:val="2F74558F"/>
    <w:rsid w:val="2F7768F0"/>
    <w:rsid w:val="2F7B4AEA"/>
    <w:rsid w:val="2F7B6B7C"/>
    <w:rsid w:val="2F864264"/>
    <w:rsid w:val="2F917F4B"/>
    <w:rsid w:val="2FA61233"/>
    <w:rsid w:val="2FB06639"/>
    <w:rsid w:val="2FBC1590"/>
    <w:rsid w:val="2FD50DC3"/>
    <w:rsid w:val="2FDE015F"/>
    <w:rsid w:val="2FE21452"/>
    <w:rsid w:val="2FFC6171"/>
    <w:rsid w:val="2FFD4BC6"/>
    <w:rsid w:val="2FFE1750"/>
    <w:rsid w:val="30051B31"/>
    <w:rsid w:val="3006237F"/>
    <w:rsid w:val="30086806"/>
    <w:rsid w:val="30090AAE"/>
    <w:rsid w:val="3014689D"/>
    <w:rsid w:val="301A61F8"/>
    <w:rsid w:val="301F545A"/>
    <w:rsid w:val="30360F64"/>
    <w:rsid w:val="303A50FA"/>
    <w:rsid w:val="303B7C6D"/>
    <w:rsid w:val="304D16A9"/>
    <w:rsid w:val="30544806"/>
    <w:rsid w:val="30601F58"/>
    <w:rsid w:val="3061162A"/>
    <w:rsid w:val="30616D08"/>
    <w:rsid w:val="306A5296"/>
    <w:rsid w:val="30703191"/>
    <w:rsid w:val="30791B3A"/>
    <w:rsid w:val="30852D42"/>
    <w:rsid w:val="309051B6"/>
    <w:rsid w:val="309275A7"/>
    <w:rsid w:val="30A06B69"/>
    <w:rsid w:val="30A23E47"/>
    <w:rsid w:val="30B24A44"/>
    <w:rsid w:val="30B52813"/>
    <w:rsid w:val="30B57AC2"/>
    <w:rsid w:val="30BA43E3"/>
    <w:rsid w:val="30BC360F"/>
    <w:rsid w:val="30D00561"/>
    <w:rsid w:val="30D139C1"/>
    <w:rsid w:val="30D14B15"/>
    <w:rsid w:val="30D90014"/>
    <w:rsid w:val="30DF2CD7"/>
    <w:rsid w:val="30F85B11"/>
    <w:rsid w:val="31015F42"/>
    <w:rsid w:val="3128113D"/>
    <w:rsid w:val="312F3EC4"/>
    <w:rsid w:val="31334FC7"/>
    <w:rsid w:val="31357889"/>
    <w:rsid w:val="3136169B"/>
    <w:rsid w:val="313C46F6"/>
    <w:rsid w:val="313D6A41"/>
    <w:rsid w:val="31473CF4"/>
    <w:rsid w:val="31544D87"/>
    <w:rsid w:val="31590699"/>
    <w:rsid w:val="31674B18"/>
    <w:rsid w:val="316E33B4"/>
    <w:rsid w:val="317B2B05"/>
    <w:rsid w:val="317D30C4"/>
    <w:rsid w:val="31800117"/>
    <w:rsid w:val="318111FC"/>
    <w:rsid w:val="31856158"/>
    <w:rsid w:val="318D30B8"/>
    <w:rsid w:val="318E0D2E"/>
    <w:rsid w:val="319C2A82"/>
    <w:rsid w:val="31A051C9"/>
    <w:rsid w:val="31A95DDB"/>
    <w:rsid w:val="31A97850"/>
    <w:rsid w:val="31B12042"/>
    <w:rsid w:val="31B123E9"/>
    <w:rsid w:val="31B83178"/>
    <w:rsid w:val="31BA11D6"/>
    <w:rsid w:val="31CB053B"/>
    <w:rsid w:val="31E52168"/>
    <w:rsid w:val="31F46FF8"/>
    <w:rsid w:val="322540B8"/>
    <w:rsid w:val="323420ED"/>
    <w:rsid w:val="32361136"/>
    <w:rsid w:val="324B0148"/>
    <w:rsid w:val="32546373"/>
    <w:rsid w:val="3257627A"/>
    <w:rsid w:val="326246BE"/>
    <w:rsid w:val="3269507D"/>
    <w:rsid w:val="32717DF3"/>
    <w:rsid w:val="32735C95"/>
    <w:rsid w:val="327377C9"/>
    <w:rsid w:val="3282353D"/>
    <w:rsid w:val="328A3FE5"/>
    <w:rsid w:val="329248B7"/>
    <w:rsid w:val="329641D3"/>
    <w:rsid w:val="329D2C38"/>
    <w:rsid w:val="329F776B"/>
    <w:rsid w:val="32A25251"/>
    <w:rsid w:val="32B72DF8"/>
    <w:rsid w:val="32B97FF0"/>
    <w:rsid w:val="32BE5522"/>
    <w:rsid w:val="32C044C4"/>
    <w:rsid w:val="32C71C0D"/>
    <w:rsid w:val="32CE74C9"/>
    <w:rsid w:val="32DF508C"/>
    <w:rsid w:val="32EC6B8F"/>
    <w:rsid w:val="32EC7AEE"/>
    <w:rsid w:val="3312497A"/>
    <w:rsid w:val="331E66B0"/>
    <w:rsid w:val="331F5ACC"/>
    <w:rsid w:val="331F708D"/>
    <w:rsid w:val="332D0608"/>
    <w:rsid w:val="332D460B"/>
    <w:rsid w:val="33301DB6"/>
    <w:rsid w:val="33322DA4"/>
    <w:rsid w:val="33451BC8"/>
    <w:rsid w:val="335C49A0"/>
    <w:rsid w:val="335D361A"/>
    <w:rsid w:val="335E091A"/>
    <w:rsid w:val="3370411F"/>
    <w:rsid w:val="338509E0"/>
    <w:rsid w:val="3385477F"/>
    <w:rsid w:val="338567E9"/>
    <w:rsid w:val="338F447E"/>
    <w:rsid w:val="33947A59"/>
    <w:rsid w:val="33961DA5"/>
    <w:rsid w:val="339B3289"/>
    <w:rsid w:val="339C0600"/>
    <w:rsid w:val="33A60F1B"/>
    <w:rsid w:val="33AC2EC2"/>
    <w:rsid w:val="33BE46A4"/>
    <w:rsid w:val="33CF1F9F"/>
    <w:rsid w:val="33D42CE3"/>
    <w:rsid w:val="33DE472A"/>
    <w:rsid w:val="33F656C4"/>
    <w:rsid w:val="340359B4"/>
    <w:rsid w:val="340364D7"/>
    <w:rsid w:val="340C0251"/>
    <w:rsid w:val="341F2A15"/>
    <w:rsid w:val="34207B82"/>
    <w:rsid w:val="34230D21"/>
    <w:rsid w:val="34251695"/>
    <w:rsid w:val="34263F82"/>
    <w:rsid w:val="342C06C3"/>
    <w:rsid w:val="342C283D"/>
    <w:rsid w:val="342D7CA9"/>
    <w:rsid w:val="342F7FA6"/>
    <w:rsid w:val="343C238F"/>
    <w:rsid w:val="344828D8"/>
    <w:rsid w:val="346E367C"/>
    <w:rsid w:val="34B15526"/>
    <w:rsid w:val="34B34EAD"/>
    <w:rsid w:val="34B6287C"/>
    <w:rsid w:val="34C20046"/>
    <w:rsid w:val="34C81959"/>
    <w:rsid w:val="34CA502B"/>
    <w:rsid w:val="34D13A99"/>
    <w:rsid w:val="34D14809"/>
    <w:rsid w:val="34D66025"/>
    <w:rsid w:val="34D7150C"/>
    <w:rsid w:val="34DF54E7"/>
    <w:rsid w:val="34E33532"/>
    <w:rsid w:val="34E8012D"/>
    <w:rsid w:val="34EF18D2"/>
    <w:rsid w:val="350158DF"/>
    <w:rsid w:val="3504237A"/>
    <w:rsid w:val="35054751"/>
    <w:rsid w:val="35091F23"/>
    <w:rsid w:val="350C796F"/>
    <w:rsid w:val="350D4BE1"/>
    <w:rsid w:val="352411E1"/>
    <w:rsid w:val="352C6DA4"/>
    <w:rsid w:val="352F73A0"/>
    <w:rsid w:val="35365259"/>
    <w:rsid w:val="35370862"/>
    <w:rsid w:val="35422A7F"/>
    <w:rsid w:val="35463542"/>
    <w:rsid w:val="35474883"/>
    <w:rsid w:val="3547620A"/>
    <w:rsid w:val="354B1DD2"/>
    <w:rsid w:val="354E6235"/>
    <w:rsid w:val="35516F6C"/>
    <w:rsid w:val="35612418"/>
    <w:rsid w:val="356255D3"/>
    <w:rsid w:val="35717291"/>
    <w:rsid w:val="35764901"/>
    <w:rsid w:val="357E1C36"/>
    <w:rsid w:val="358844D7"/>
    <w:rsid w:val="359510B7"/>
    <w:rsid w:val="35A1251F"/>
    <w:rsid w:val="35B65DBF"/>
    <w:rsid w:val="35B96760"/>
    <w:rsid w:val="35C438FC"/>
    <w:rsid w:val="35C8202E"/>
    <w:rsid w:val="35CE0DDC"/>
    <w:rsid w:val="36077684"/>
    <w:rsid w:val="360A735F"/>
    <w:rsid w:val="36257FD9"/>
    <w:rsid w:val="362B3DDA"/>
    <w:rsid w:val="362E3F9B"/>
    <w:rsid w:val="36424BCE"/>
    <w:rsid w:val="36710FB7"/>
    <w:rsid w:val="36724133"/>
    <w:rsid w:val="3675490E"/>
    <w:rsid w:val="3684440F"/>
    <w:rsid w:val="36892D9A"/>
    <w:rsid w:val="368A62D0"/>
    <w:rsid w:val="368B2EFE"/>
    <w:rsid w:val="36A941D3"/>
    <w:rsid w:val="36AE7E4D"/>
    <w:rsid w:val="36BE3B62"/>
    <w:rsid w:val="36BE3C31"/>
    <w:rsid w:val="36C53202"/>
    <w:rsid w:val="36C94C72"/>
    <w:rsid w:val="36D75DF5"/>
    <w:rsid w:val="36DB4894"/>
    <w:rsid w:val="36EE3652"/>
    <w:rsid w:val="36F51070"/>
    <w:rsid w:val="36FC3DB1"/>
    <w:rsid w:val="36FE04A5"/>
    <w:rsid w:val="3700060A"/>
    <w:rsid w:val="370056AD"/>
    <w:rsid w:val="37033F75"/>
    <w:rsid w:val="37180A99"/>
    <w:rsid w:val="371A4D18"/>
    <w:rsid w:val="37243C1B"/>
    <w:rsid w:val="37287091"/>
    <w:rsid w:val="3729571E"/>
    <w:rsid w:val="372C701F"/>
    <w:rsid w:val="3731311B"/>
    <w:rsid w:val="373408A5"/>
    <w:rsid w:val="374070DE"/>
    <w:rsid w:val="3741494B"/>
    <w:rsid w:val="37442EB7"/>
    <w:rsid w:val="37443747"/>
    <w:rsid w:val="374870C0"/>
    <w:rsid w:val="374E77C8"/>
    <w:rsid w:val="374F69DC"/>
    <w:rsid w:val="37502D61"/>
    <w:rsid w:val="375318EC"/>
    <w:rsid w:val="37616ED6"/>
    <w:rsid w:val="37640266"/>
    <w:rsid w:val="376D7534"/>
    <w:rsid w:val="37770BDD"/>
    <w:rsid w:val="377B4845"/>
    <w:rsid w:val="37AC403D"/>
    <w:rsid w:val="37B25A57"/>
    <w:rsid w:val="37C11BAF"/>
    <w:rsid w:val="37C3612D"/>
    <w:rsid w:val="37C44757"/>
    <w:rsid w:val="37C44D03"/>
    <w:rsid w:val="37CA4EEE"/>
    <w:rsid w:val="37CC2DB8"/>
    <w:rsid w:val="37CD7F1E"/>
    <w:rsid w:val="37CE3BFD"/>
    <w:rsid w:val="37D3136D"/>
    <w:rsid w:val="37D62B7D"/>
    <w:rsid w:val="37D71CEA"/>
    <w:rsid w:val="37E15FE5"/>
    <w:rsid w:val="37E77885"/>
    <w:rsid w:val="37F565FF"/>
    <w:rsid w:val="380460F4"/>
    <w:rsid w:val="380D12B4"/>
    <w:rsid w:val="380D6910"/>
    <w:rsid w:val="383716AB"/>
    <w:rsid w:val="383C5FE0"/>
    <w:rsid w:val="383D413A"/>
    <w:rsid w:val="38475D2A"/>
    <w:rsid w:val="38477BCF"/>
    <w:rsid w:val="384F3CB1"/>
    <w:rsid w:val="3853376C"/>
    <w:rsid w:val="3859075A"/>
    <w:rsid w:val="385E429B"/>
    <w:rsid w:val="38624159"/>
    <w:rsid w:val="38646325"/>
    <w:rsid w:val="386B3A5B"/>
    <w:rsid w:val="387653CA"/>
    <w:rsid w:val="387E769F"/>
    <w:rsid w:val="388B2005"/>
    <w:rsid w:val="388F477D"/>
    <w:rsid w:val="38925F64"/>
    <w:rsid w:val="38940F0B"/>
    <w:rsid w:val="38993CC6"/>
    <w:rsid w:val="38A310FB"/>
    <w:rsid w:val="38AC248F"/>
    <w:rsid w:val="38AE178D"/>
    <w:rsid w:val="38B273A0"/>
    <w:rsid w:val="38B66756"/>
    <w:rsid w:val="38C308FB"/>
    <w:rsid w:val="38C96FCD"/>
    <w:rsid w:val="38DB6A3C"/>
    <w:rsid w:val="38DC5427"/>
    <w:rsid w:val="38DE1D0F"/>
    <w:rsid w:val="38F27B88"/>
    <w:rsid w:val="38FD03D1"/>
    <w:rsid w:val="39090018"/>
    <w:rsid w:val="391639A4"/>
    <w:rsid w:val="39263173"/>
    <w:rsid w:val="392A2F44"/>
    <w:rsid w:val="392C6FE4"/>
    <w:rsid w:val="392D4038"/>
    <w:rsid w:val="3936770E"/>
    <w:rsid w:val="394D229C"/>
    <w:rsid w:val="39653B7F"/>
    <w:rsid w:val="396C1913"/>
    <w:rsid w:val="396C3C01"/>
    <w:rsid w:val="396E05E2"/>
    <w:rsid w:val="397C34BB"/>
    <w:rsid w:val="399F3E9D"/>
    <w:rsid w:val="39B734AF"/>
    <w:rsid w:val="39BC7231"/>
    <w:rsid w:val="39BF58CD"/>
    <w:rsid w:val="39C07F2A"/>
    <w:rsid w:val="39C30DEE"/>
    <w:rsid w:val="39C8341B"/>
    <w:rsid w:val="39CC14F3"/>
    <w:rsid w:val="39DE630A"/>
    <w:rsid w:val="39EE7BDC"/>
    <w:rsid w:val="39F01723"/>
    <w:rsid w:val="39FD260D"/>
    <w:rsid w:val="3A024CAE"/>
    <w:rsid w:val="3A0C69E4"/>
    <w:rsid w:val="3A123C36"/>
    <w:rsid w:val="3A183E8B"/>
    <w:rsid w:val="3A201D84"/>
    <w:rsid w:val="3A206B1E"/>
    <w:rsid w:val="3A2161EB"/>
    <w:rsid w:val="3A2967CE"/>
    <w:rsid w:val="3A3214CC"/>
    <w:rsid w:val="3A4028E8"/>
    <w:rsid w:val="3A526642"/>
    <w:rsid w:val="3A532654"/>
    <w:rsid w:val="3A600652"/>
    <w:rsid w:val="3A6F1D50"/>
    <w:rsid w:val="3A84753C"/>
    <w:rsid w:val="3A8C7C59"/>
    <w:rsid w:val="3A9F027C"/>
    <w:rsid w:val="3AA20330"/>
    <w:rsid w:val="3AA27753"/>
    <w:rsid w:val="3AA51D80"/>
    <w:rsid w:val="3AC03A36"/>
    <w:rsid w:val="3AC142F1"/>
    <w:rsid w:val="3AC37A18"/>
    <w:rsid w:val="3ACC2C17"/>
    <w:rsid w:val="3ACF169C"/>
    <w:rsid w:val="3AD80004"/>
    <w:rsid w:val="3AD83785"/>
    <w:rsid w:val="3ADC6E4E"/>
    <w:rsid w:val="3AE151E5"/>
    <w:rsid w:val="3AE62A08"/>
    <w:rsid w:val="3AEC48FA"/>
    <w:rsid w:val="3AF17928"/>
    <w:rsid w:val="3AF6669A"/>
    <w:rsid w:val="3AFD4F44"/>
    <w:rsid w:val="3B0311B9"/>
    <w:rsid w:val="3B044178"/>
    <w:rsid w:val="3B173BF2"/>
    <w:rsid w:val="3B1D4CD4"/>
    <w:rsid w:val="3B2232D4"/>
    <w:rsid w:val="3B263EDB"/>
    <w:rsid w:val="3B264EE0"/>
    <w:rsid w:val="3B2A329F"/>
    <w:rsid w:val="3B2B4EB0"/>
    <w:rsid w:val="3B405151"/>
    <w:rsid w:val="3B526DCC"/>
    <w:rsid w:val="3B6D24F5"/>
    <w:rsid w:val="3B6E2755"/>
    <w:rsid w:val="3B774A76"/>
    <w:rsid w:val="3B7C46E8"/>
    <w:rsid w:val="3B7E23AF"/>
    <w:rsid w:val="3B7E69CB"/>
    <w:rsid w:val="3B8132BD"/>
    <w:rsid w:val="3B8F148F"/>
    <w:rsid w:val="3B98242C"/>
    <w:rsid w:val="3B9C0921"/>
    <w:rsid w:val="3BA1059E"/>
    <w:rsid w:val="3BAD4B47"/>
    <w:rsid w:val="3BB46028"/>
    <w:rsid w:val="3BC4467B"/>
    <w:rsid w:val="3BCD233D"/>
    <w:rsid w:val="3BD412DA"/>
    <w:rsid w:val="3BF72E59"/>
    <w:rsid w:val="3BFB1A37"/>
    <w:rsid w:val="3C02216E"/>
    <w:rsid w:val="3C0F1E1C"/>
    <w:rsid w:val="3C0F45C4"/>
    <w:rsid w:val="3C1C512B"/>
    <w:rsid w:val="3C264B94"/>
    <w:rsid w:val="3C2D302D"/>
    <w:rsid w:val="3C2F5D6D"/>
    <w:rsid w:val="3C403A78"/>
    <w:rsid w:val="3C432795"/>
    <w:rsid w:val="3C48260D"/>
    <w:rsid w:val="3C4C63CA"/>
    <w:rsid w:val="3C4D337F"/>
    <w:rsid w:val="3C5B71D2"/>
    <w:rsid w:val="3C686A8A"/>
    <w:rsid w:val="3C737607"/>
    <w:rsid w:val="3C771367"/>
    <w:rsid w:val="3C7B55E4"/>
    <w:rsid w:val="3C8D6729"/>
    <w:rsid w:val="3C925213"/>
    <w:rsid w:val="3C9A45A8"/>
    <w:rsid w:val="3CAA4867"/>
    <w:rsid w:val="3CAC79B9"/>
    <w:rsid w:val="3CBC6341"/>
    <w:rsid w:val="3CC16D3F"/>
    <w:rsid w:val="3CC7056B"/>
    <w:rsid w:val="3CCC2B0D"/>
    <w:rsid w:val="3CCD0BC4"/>
    <w:rsid w:val="3CD22C45"/>
    <w:rsid w:val="3CDC0658"/>
    <w:rsid w:val="3CE162E7"/>
    <w:rsid w:val="3CE23FFF"/>
    <w:rsid w:val="3CE41E03"/>
    <w:rsid w:val="3CE51764"/>
    <w:rsid w:val="3CFE1A11"/>
    <w:rsid w:val="3D0156BE"/>
    <w:rsid w:val="3D0C2743"/>
    <w:rsid w:val="3D0D33AB"/>
    <w:rsid w:val="3D1E09A4"/>
    <w:rsid w:val="3D2044EF"/>
    <w:rsid w:val="3D2E3078"/>
    <w:rsid w:val="3D49420E"/>
    <w:rsid w:val="3D497FBC"/>
    <w:rsid w:val="3D6962D3"/>
    <w:rsid w:val="3DA70F36"/>
    <w:rsid w:val="3DAB715D"/>
    <w:rsid w:val="3DAE7DCE"/>
    <w:rsid w:val="3DBA5C3A"/>
    <w:rsid w:val="3DC9257A"/>
    <w:rsid w:val="3DC95A8B"/>
    <w:rsid w:val="3DD54684"/>
    <w:rsid w:val="3DD564C3"/>
    <w:rsid w:val="3DD57856"/>
    <w:rsid w:val="3DDE0B48"/>
    <w:rsid w:val="3DE701FE"/>
    <w:rsid w:val="3DF0506E"/>
    <w:rsid w:val="3E0C379E"/>
    <w:rsid w:val="3E235947"/>
    <w:rsid w:val="3E2A006A"/>
    <w:rsid w:val="3E2D50C6"/>
    <w:rsid w:val="3E3A663A"/>
    <w:rsid w:val="3E3A73E3"/>
    <w:rsid w:val="3E3F4C76"/>
    <w:rsid w:val="3E3F73A7"/>
    <w:rsid w:val="3E562A67"/>
    <w:rsid w:val="3E5A17AD"/>
    <w:rsid w:val="3E5B7702"/>
    <w:rsid w:val="3E5D1630"/>
    <w:rsid w:val="3E605D79"/>
    <w:rsid w:val="3E634FAF"/>
    <w:rsid w:val="3E664265"/>
    <w:rsid w:val="3E6F7963"/>
    <w:rsid w:val="3E7162AE"/>
    <w:rsid w:val="3E8160DA"/>
    <w:rsid w:val="3E897D84"/>
    <w:rsid w:val="3E8E07A6"/>
    <w:rsid w:val="3E912E79"/>
    <w:rsid w:val="3EA847F2"/>
    <w:rsid w:val="3EA92717"/>
    <w:rsid w:val="3EBA244F"/>
    <w:rsid w:val="3EDA4180"/>
    <w:rsid w:val="3EE15410"/>
    <w:rsid w:val="3EE41DD1"/>
    <w:rsid w:val="3EE65614"/>
    <w:rsid w:val="3EEE07F8"/>
    <w:rsid w:val="3EF26F72"/>
    <w:rsid w:val="3F14143C"/>
    <w:rsid w:val="3F1B6A16"/>
    <w:rsid w:val="3F1F3C47"/>
    <w:rsid w:val="3F2112DE"/>
    <w:rsid w:val="3F2720AF"/>
    <w:rsid w:val="3F39625E"/>
    <w:rsid w:val="3F4574DA"/>
    <w:rsid w:val="3F4B5B5E"/>
    <w:rsid w:val="3F4B6C90"/>
    <w:rsid w:val="3F522077"/>
    <w:rsid w:val="3F592ADF"/>
    <w:rsid w:val="3F5A650B"/>
    <w:rsid w:val="3F645126"/>
    <w:rsid w:val="3F7104F7"/>
    <w:rsid w:val="3F7938EA"/>
    <w:rsid w:val="3F890593"/>
    <w:rsid w:val="3F9058A8"/>
    <w:rsid w:val="3F95689F"/>
    <w:rsid w:val="3F9C6353"/>
    <w:rsid w:val="3FA638B5"/>
    <w:rsid w:val="3FAA40F9"/>
    <w:rsid w:val="3FAB42DE"/>
    <w:rsid w:val="3FAF687E"/>
    <w:rsid w:val="3FB019F3"/>
    <w:rsid w:val="3FB24E5C"/>
    <w:rsid w:val="3FB52F51"/>
    <w:rsid w:val="3FB66FCC"/>
    <w:rsid w:val="3FB71B3C"/>
    <w:rsid w:val="3FC21BA0"/>
    <w:rsid w:val="3FC72484"/>
    <w:rsid w:val="3FC82845"/>
    <w:rsid w:val="3FC94057"/>
    <w:rsid w:val="3FD65C03"/>
    <w:rsid w:val="3FD74587"/>
    <w:rsid w:val="3FDA4E1B"/>
    <w:rsid w:val="3FDB43DA"/>
    <w:rsid w:val="3FDE4346"/>
    <w:rsid w:val="3FE7624D"/>
    <w:rsid w:val="3FE94BD7"/>
    <w:rsid w:val="3FF714A8"/>
    <w:rsid w:val="3FF81229"/>
    <w:rsid w:val="40014EE0"/>
    <w:rsid w:val="4003513D"/>
    <w:rsid w:val="40114D22"/>
    <w:rsid w:val="401251F4"/>
    <w:rsid w:val="4014461A"/>
    <w:rsid w:val="40180C28"/>
    <w:rsid w:val="402022DE"/>
    <w:rsid w:val="402B6A5D"/>
    <w:rsid w:val="402E6C20"/>
    <w:rsid w:val="403468FB"/>
    <w:rsid w:val="40397424"/>
    <w:rsid w:val="40405564"/>
    <w:rsid w:val="405E087F"/>
    <w:rsid w:val="405F207C"/>
    <w:rsid w:val="40671C80"/>
    <w:rsid w:val="406E4984"/>
    <w:rsid w:val="40706B5C"/>
    <w:rsid w:val="407266AE"/>
    <w:rsid w:val="40763DA4"/>
    <w:rsid w:val="408B43F2"/>
    <w:rsid w:val="409D5514"/>
    <w:rsid w:val="409F5B4F"/>
    <w:rsid w:val="40A02416"/>
    <w:rsid w:val="40B02A5C"/>
    <w:rsid w:val="40B9613B"/>
    <w:rsid w:val="40BD7F53"/>
    <w:rsid w:val="40C04C42"/>
    <w:rsid w:val="40C70288"/>
    <w:rsid w:val="40C720FB"/>
    <w:rsid w:val="40CD027A"/>
    <w:rsid w:val="40D27627"/>
    <w:rsid w:val="40FF7B85"/>
    <w:rsid w:val="4102085A"/>
    <w:rsid w:val="41035FA5"/>
    <w:rsid w:val="410743DE"/>
    <w:rsid w:val="41170448"/>
    <w:rsid w:val="41223B95"/>
    <w:rsid w:val="41364227"/>
    <w:rsid w:val="41400D97"/>
    <w:rsid w:val="4144738B"/>
    <w:rsid w:val="41483ADF"/>
    <w:rsid w:val="414E7258"/>
    <w:rsid w:val="41657749"/>
    <w:rsid w:val="416C59A5"/>
    <w:rsid w:val="416D614F"/>
    <w:rsid w:val="4170137B"/>
    <w:rsid w:val="41872CF1"/>
    <w:rsid w:val="4189248C"/>
    <w:rsid w:val="418A5390"/>
    <w:rsid w:val="419D6876"/>
    <w:rsid w:val="41A27001"/>
    <w:rsid w:val="41A70716"/>
    <w:rsid w:val="41BC428A"/>
    <w:rsid w:val="41BF7940"/>
    <w:rsid w:val="41D20A0F"/>
    <w:rsid w:val="41D42390"/>
    <w:rsid w:val="41E77EB0"/>
    <w:rsid w:val="41E85CFB"/>
    <w:rsid w:val="41EE16B8"/>
    <w:rsid w:val="41F458D5"/>
    <w:rsid w:val="41F73FBD"/>
    <w:rsid w:val="41FA1194"/>
    <w:rsid w:val="4201488A"/>
    <w:rsid w:val="42074B61"/>
    <w:rsid w:val="420A6FAA"/>
    <w:rsid w:val="420E0199"/>
    <w:rsid w:val="420F6EBB"/>
    <w:rsid w:val="421F4058"/>
    <w:rsid w:val="42233FB3"/>
    <w:rsid w:val="423A0574"/>
    <w:rsid w:val="423D0F96"/>
    <w:rsid w:val="42674502"/>
    <w:rsid w:val="426C0E4F"/>
    <w:rsid w:val="427051ED"/>
    <w:rsid w:val="42746839"/>
    <w:rsid w:val="427A20D1"/>
    <w:rsid w:val="42A548A2"/>
    <w:rsid w:val="42B172B7"/>
    <w:rsid w:val="42C46125"/>
    <w:rsid w:val="42C568BF"/>
    <w:rsid w:val="42E17DA2"/>
    <w:rsid w:val="42E813C0"/>
    <w:rsid w:val="42E91084"/>
    <w:rsid w:val="42E95DC2"/>
    <w:rsid w:val="42EE71D6"/>
    <w:rsid w:val="42F00936"/>
    <w:rsid w:val="430E6037"/>
    <w:rsid w:val="43152DA6"/>
    <w:rsid w:val="4329195E"/>
    <w:rsid w:val="43321D6F"/>
    <w:rsid w:val="43452DD1"/>
    <w:rsid w:val="435209F6"/>
    <w:rsid w:val="43533887"/>
    <w:rsid w:val="43657D9A"/>
    <w:rsid w:val="437348AA"/>
    <w:rsid w:val="43745558"/>
    <w:rsid w:val="43816108"/>
    <w:rsid w:val="438219D4"/>
    <w:rsid w:val="438B74D5"/>
    <w:rsid w:val="43A55E31"/>
    <w:rsid w:val="43B4503F"/>
    <w:rsid w:val="43BB1FCC"/>
    <w:rsid w:val="43C659F5"/>
    <w:rsid w:val="43C9229E"/>
    <w:rsid w:val="43D020E1"/>
    <w:rsid w:val="43DF7967"/>
    <w:rsid w:val="43E0340E"/>
    <w:rsid w:val="43E414F5"/>
    <w:rsid w:val="43E57388"/>
    <w:rsid w:val="43EA5BEF"/>
    <w:rsid w:val="44000FD4"/>
    <w:rsid w:val="44015BAF"/>
    <w:rsid w:val="4403141B"/>
    <w:rsid w:val="44093E45"/>
    <w:rsid w:val="440B219C"/>
    <w:rsid w:val="440B70DD"/>
    <w:rsid w:val="441507D1"/>
    <w:rsid w:val="441B5E9C"/>
    <w:rsid w:val="44221393"/>
    <w:rsid w:val="442A70F4"/>
    <w:rsid w:val="442F777D"/>
    <w:rsid w:val="4440182E"/>
    <w:rsid w:val="44427222"/>
    <w:rsid w:val="44523886"/>
    <w:rsid w:val="445D0C54"/>
    <w:rsid w:val="446A44AB"/>
    <w:rsid w:val="446C71A7"/>
    <w:rsid w:val="446E622D"/>
    <w:rsid w:val="4477025B"/>
    <w:rsid w:val="449004A8"/>
    <w:rsid w:val="4496744E"/>
    <w:rsid w:val="44992F67"/>
    <w:rsid w:val="449979A8"/>
    <w:rsid w:val="449E27C4"/>
    <w:rsid w:val="44A702C0"/>
    <w:rsid w:val="44AA3933"/>
    <w:rsid w:val="44AA701E"/>
    <w:rsid w:val="44AB7881"/>
    <w:rsid w:val="44B67473"/>
    <w:rsid w:val="44B971D4"/>
    <w:rsid w:val="44BB2022"/>
    <w:rsid w:val="44C01965"/>
    <w:rsid w:val="44E91DA0"/>
    <w:rsid w:val="44EA4BDC"/>
    <w:rsid w:val="44FA0924"/>
    <w:rsid w:val="4512725F"/>
    <w:rsid w:val="452A7B79"/>
    <w:rsid w:val="45327D49"/>
    <w:rsid w:val="45345371"/>
    <w:rsid w:val="453B57BD"/>
    <w:rsid w:val="453D7631"/>
    <w:rsid w:val="4551515C"/>
    <w:rsid w:val="45627D2E"/>
    <w:rsid w:val="456A18B9"/>
    <w:rsid w:val="456C328C"/>
    <w:rsid w:val="45795020"/>
    <w:rsid w:val="45821F09"/>
    <w:rsid w:val="4582326B"/>
    <w:rsid w:val="458D711B"/>
    <w:rsid w:val="45904BD8"/>
    <w:rsid w:val="459D29E8"/>
    <w:rsid w:val="45A13F65"/>
    <w:rsid w:val="45A93D1A"/>
    <w:rsid w:val="45B557B6"/>
    <w:rsid w:val="45BC1AF1"/>
    <w:rsid w:val="45BC6267"/>
    <w:rsid w:val="45BF72AF"/>
    <w:rsid w:val="45BF7E22"/>
    <w:rsid w:val="45C36122"/>
    <w:rsid w:val="45CB57BB"/>
    <w:rsid w:val="45CD3597"/>
    <w:rsid w:val="45CE7839"/>
    <w:rsid w:val="45E3190C"/>
    <w:rsid w:val="45EA0D31"/>
    <w:rsid w:val="45EA150D"/>
    <w:rsid w:val="45FA3231"/>
    <w:rsid w:val="45FC52AC"/>
    <w:rsid w:val="45FF06B2"/>
    <w:rsid w:val="46091496"/>
    <w:rsid w:val="461B7355"/>
    <w:rsid w:val="461C388C"/>
    <w:rsid w:val="461F15C7"/>
    <w:rsid w:val="462D52F5"/>
    <w:rsid w:val="464652F0"/>
    <w:rsid w:val="464C4E2C"/>
    <w:rsid w:val="465F28D5"/>
    <w:rsid w:val="466B770E"/>
    <w:rsid w:val="467B79F8"/>
    <w:rsid w:val="467D255F"/>
    <w:rsid w:val="467F7C9F"/>
    <w:rsid w:val="4687556D"/>
    <w:rsid w:val="468C77F7"/>
    <w:rsid w:val="46966AFE"/>
    <w:rsid w:val="46983ADC"/>
    <w:rsid w:val="46A71013"/>
    <w:rsid w:val="46AE2714"/>
    <w:rsid w:val="46AE7DD8"/>
    <w:rsid w:val="46B324FE"/>
    <w:rsid w:val="46B56E76"/>
    <w:rsid w:val="46CD41E6"/>
    <w:rsid w:val="46D2354C"/>
    <w:rsid w:val="46D26719"/>
    <w:rsid w:val="46D35896"/>
    <w:rsid w:val="46D91229"/>
    <w:rsid w:val="46E21401"/>
    <w:rsid w:val="46EA544F"/>
    <w:rsid w:val="46EA5C7B"/>
    <w:rsid w:val="46EF63DC"/>
    <w:rsid w:val="46F0301E"/>
    <w:rsid w:val="47055C07"/>
    <w:rsid w:val="470E53D5"/>
    <w:rsid w:val="47116300"/>
    <w:rsid w:val="471B5214"/>
    <w:rsid w:val="471C1EF2"/>
    <w:rsid w:val="471D6AD1"/>
    <w:rsid w:val="471D7878"/>
    <w:rsid w:val="47232C3A"/>
    <w:rsid w:val="47295681"/>
    <w:rsid w:val="472A26AC"/>
    <w:rsid w:val="47424D52"/>
    <w:rsid w:val="47492400"/>
    <w:rsid w:val="47495A3D"/>
    <w:rsid w:val="47585A9A"/>
    <w:rsid w:val="476B76CA"/>
    <w:rsid w:val="476D24E0"/>
    <w:rsid w:val="477702CB"/>
    <w:rsid w:val="477A04D7"/>
    <w:rsid w:val="478E02A1"/>
    <w:rsid w:val="479413A3"/>
    <w:rsid w:val="479B6D32"/>
    <w:rsid w:val="47A345C4"/>
    <w:rsid w:val="47A93E40"/>
    <w:rsid w:val="47B16438"/>
    <w:rsid w:val="47B33247"/>
    <w:rsid w:val="47B8344E"/>
    <w:rsid w:val="47BD56E5"/>
    <w:rsid w:val="47C55475"/>
    <w:rsid w:val="47CF39BE"/>
    <w:rsid w:val="480660D7"/>
    <w:rsid w:val="48110B7A"/>
    <w:rsid w:val="48147F28"/>
    <w:rsid w:val="481806DB"/>
    <w:rsid w:val="481D7AAE"/>
    <w:rsid w:val="482B417E"/>
    <w:rsid w:val="48461E94"/>
    <w:rsid w:val="486A1135"/>
    <w:rsid w:val="486E2853"/>
    <w:rsid w:val="48804A9C"/>
    <w:rsid w:val="48850DC0"/>
    <w:rsid w:val="488D761F"/>
    <w:rsid w:val="489A7E9C"/>
    <w:rsid w:val="48AA7124"/>
    <w:rsid w:val="48AE62EA"/>
    <w:rsid w:val="48BA63E5"/>
    <w:rsid w:val="48BC4A06"/>
    <w:rsid w:val="48BF7D2B"/>
    <w:rsid w:val="48D13041"/>
    <w:rsid w:val="48E56107"/>
    <w:rsid w:val="48E61440"/>
    <w:rsid w:val="48EA7806"/>
    <w:rsid w:val="4906799A"/>
    <w:rsid w:val="491958B9"/>
    <w:rsid w:val="4926444D"/>
    <w:rsid w:val="49266EAB"/>
    <w:rsid w:val="49274D05"/>
    <w:rsid w:val="492B6005"/>
    <w:rsid w:val="49313094"/>
    <w:rsid w:val="49315BB1"/>
    <w:rsid w:val="493308BF"/>
    <w:rsid w:val="493F24FC"/>
    <w:rsid w:val="49402B6C"/>
    <w:rsid w:val="49453A90"/>
    <w:rsid w:val="49492647"/>
    <w:rsid w:val="494D5F89"/>
    <w:rsid w:val="495023FB"/>
    <w:rsid w:val="4956580F"/>
    <w:rsid w:val="495B6FDA"/>
    <w:rsid w:val="495D3DF8"/>
    <w:rsid w:val="4970355D"/>
    <w:rsid w:val="4976415E"/>
    <w:rsid w:val="497C19B5"/>
    <w:rsid w:val="4992019B"/>
    <w:rsid w:val="499D52EC"/>
    <w:rsid w:val="49A00C98"/>
    <w:rsid w:val="49A861D1"/>
    <w:rsid w:val="49B02067"/>
    <w:rsid w:val="49B43537"/>
    <w:rsid w:val="49BB0A0C"/>
    <w:rsid w:val="49BB1589"/>
    <w:rsid w:val="49C455C3"/>
    <w:rsid w:val="49C9126E"/>
    <w:rsid w:val="49CC1AA2"/>
    <w:rsid w:val="49D76CD8"/>
    <w:rsid w:val="49D85622"/>
    <w:rsid w:val="49D92D54"/>
    <w:rsid w:val="49DA4F57"/>
    <w:rsid w:val="49F06870"/>
    <w:rsid w:val="4A08433A"/>
    <w:rsid w:val="4A1809EE"/>
    <w:rsid w:val="4A2C7FBF"/>
    <w:rsid w:val="4A367DC9"/>
    <w:rsid w:val="4A385DC6"/>
    <w:rsid w:val="4A436F6A"/>
    <w:rsid w:val="4A44252C"/>
    <w:rsid w:val="4A511BB0"/>
    <w:rsid w:val="4A557521"/>
    <w:rsid w:val="4A5C5634"/>
    <w:rsid w:val="4A674035"/>
    <w:rsid w:val="4A683E2D"/>
    <w:rsid w:val="4A690FAF"/>
    <w:rsid w:val="4A7A1CD7"/>
    <w:rsid w:val="4A7B5E55"/>
    <w:rsid w:val="4A8B09F3"/>
    <w:rsid w:val="4A8B43C9"/>
    <w:rsid w:val="4AA33382"/>
    <w:rsid w:val="4AA466DB"/>
    <w:rsid w:val="4AA64F47"/>
    <w:rsid w:val="4AA863C1"/>
    <w:rsid w:val="4AAB6C21"/>
    <w:rsid w:val="4AB30AAE"/>
    <w:rsid w:val="4ABC2D4A"/>
    <w:rsid w:val="4ABF7097"/>
    <w:rsid w:val="4AC03B87"/>
    <w:rsid w:val="4ACB764B"/>
    <w:rsid w:val="4ADA1681"/>
    <w:rsid w:val="4AED1DBA"/>
    <w:rsid w:val="4AF51A4F"/>
    <w:rsid w:val="4AF82570"/>
    <w:rsid w:val="4B0E6A3E"/>
    <w:rsid w:val="4B2B1A79"/>
    <w:rsid w:val="4B3A5748"/>
    <w:rsid w:val="4B3C5727"/>
    <w:rsid w:val="4B4C55F8"/>
    <w:rsid w:val="4B5E6C72"/>
    <w:rsid w:val="4B7557F7"/>
    <w:rsid w:val="4B854878"/>
    <w:rsid w:val="4B9B7FB0"/>
    <w:rsid w:val="4BAA5463"/>
    <w:rsid w:val="4BAD1869"/>
    <w:rsid w:val="4BBE4157"/>
    <w:rsid w:val="4BD30473"/>
    <w:rsid w:val="4BD86D57"/>
    <w:rsid w:val="4BDD24D2"/>
    <w:rsid w:val="4C0845B9"/>
    <w:rsid w:val="4C13619C"/>
    <w:rsid w:val="4C143CE2"/>
    <w:rsid w:val="4C167C35"/>
    <w:rsid w:val="4C204A92"/>
    <w:rsid w:val="4C2577FF"/>
    <w:rsid w:val="4C2B0D22"/>
    <w:rsid w:val="4C2E1CC1"/>
    <w:rsid w:val="4C32269B"/>
    <w:rsid w:val="4C4B1E4A"/>
    <w:rsid w:val="4C4E4FDD"/>
    <w:rsid w:val="4C4E5A55"/>
    <w:rsid w:val="4C6D4932"/>
    <w:rsid w:val="4C8F5834"/>
    <w:rsid w:val="4CB07C88"/>
    <w:rsid w:val="4CC45A35"/>
    <w:rsid w:val="4CC90787"/>
    <w:rsid w:val="4CEC2985"/>
    <w:rsid w:val="4CED6F5E"/>
    <w:rsid w:val="4CF100A3"/>
    <w:rsid w:val="4CF27F10"/>
    <w:rsid w:val="4CF4062E"/>
    <w:rsid w:val="4CF80B4D"/>
    <w:rsid w:val="4CFE0CCC"/>
    <w:rsid w:val="4D102397"/>
    <w:rsid w:val="4D145BD5"/>
    <w:rsid w:val="4D1C23CB"/>
    <w:rsid w:val="4D1C2599"/>
    <w:rsid w:val="4D272B73"/>
    <w:rsid w:val="4D280A86"/>
    <w:rsid w:val="4D3A1670"/>
    <w:rsid w:val="4D3A5965"/>
    <w:rsid w:val="4D405DB8"/>
    <w:rsid w:val="4D447ACC"/>
    <w:rsid w:val="4D504306"/>
    <w:rsid w:val="4D531869"/>
    <w:rsid w:val="4D5A1DF1"/>
    <w:rsid w:val="4D663F2B"/>
    <w:rsid w:val="4D6C1F47"/>
    <w:rsid w:val="4D7B2AC0"/>
    <w:rsid w:val="4D824589"/>
    <w:rsid w:val="4D83238D"/>
    <w:rsid w:val="4D864FA1"/>
    <w:rsid w:val="4D867157"/>
    <w:rsid w:val="4D8F1F25"/>
    <w:rsid w:val="4D907ADE"/>
    <w:rsid w:val="4D93263F"/>
    <w:rsid w:val="4DAA2DF3"/>
    <w:rsid w:val="4DAF2A8E"/>
    <w:rsid w:val="4DB203CE"/>
    <w:rsid w:val="4DB32F5A"/>
    <w:rsid w:val="4DBA514A"/>
    <w:rsid w:val="4DBE6EA4"/>
    <w:rsid w:val="4DC564B9"/>
    <w:rsid w:val="4DE03A45"/>
    <w:rsid w:val="4DE1708D"/>
    <w:rsid w:val="4DE430CC"/>
    <w:rsid w:val="4DE4512B"/>
    <w:rsid w:val="4DF60B23"/>
    <w:rsid w:val="4DF63134"/>
    <w:rsid w:val="4DFD1DF6"/>
    <w:rsid w:val="4E011D6D"/>
    <w:rsid w:val="4E080364"/>
    <w:rsid w:val="4E196A91"/>
    <w:rsid w:val="4E1B282B"/>
    <w:rsid w:val="4E1F448C"/>
    <w:rsid w:val="4E351C41"/>
    <w:rsid w:val="4E387150"/>
    <w:rsid w:val="4E3F346B"/>
    <w:rsid w:val="4E434961"/>
    <w:rsid w:val="4E552CA5"/>
    <w:rsid w:val="4E592BD4"/>
    <w:rsid w:val="4E714D85"/>
    <w:rsid w:val="4E761827"/>
    <w:rsid w:val="4E7B2B8D"/>
    <w:rsid w:val="4E7F64F1"/>
    <w:rsid w:val="4E922FFC"/>
    <w:rsid w:val="4E9B245D"/>
    <w:rsid w:val="4E9F1430"/>
    <w:rsid w:val="4EA918F7"/>
    <w:rsid w:val="4EA94205"/>
    <w:rsid w:val="4EB85C2B"/>
    <w:rsid w:val="4EBD5DF9"/>
    <w:rsid w:val="4EC56D86"/>
    <w:rsid w:val="4EC966C5"/>
    <w:rsid w:val="4ECB2CC2"/>
    <w:rsid w:val="4EDB57AF"/>
    <w:rsid w:val="4EDE17B5"/>
    <w:rsid w:val="4EDE600D"/>
    <w:rsid w:val="4EE348C8"/>
    <w:rsid w:val="4EE61D62"/>
    <w:rsid w:val="4EF529CD"/>
    <w:rsid w:val="4EFE7134"/>
    <w:rsid w:val="4F044A22"/>
    <w:rsid w:val="4F3105A4"/>
    <w:rsid w:val="4F4531D3"/>
    <w:rsid w:val="4F477E65"/>
    <w:rsid w:val="4F520A65"/>
    <w:rsid w:val="4F602385"/>
    <w:rsid w:val="4F625AD8"/>
    <w:rsid w:val="4F672F12"/>
    <w:rsid w:val="4F6E6F23"/>
    <w:rsid w:val="4F6F2AB0"/>
    <w:rsid w:val="4F7156CC"/>
    <w:rsid w:val="4F727E5D"/>
    <w:rsid w:val="4F79232C"/>
    <w:rsid w:val="4F8E6E2A"/>
    <w:rsid w:val="4F967BDF"/>
    <w:rsid w:val="4F97346B"/>
    <w:rsid w:val="4F9B3EA6"/>
    <w:rsid w:val="4F9D3290"/>
    <w:rsid w:val="4FA56B4D"/>
    <w:rsid w:val="4FA91628"/>
    <w:rsid w:val="4FA91AB7"/>
    <w:rsid w:val="4FB11DBF"/>
    <w:rsid w:val="4FBB4ACE"/>
    <w:rsid w:val="4FC136E7"/>
    <w:rsid w:val="4FCC2F58"/>
    <w:rsid w:val="4FD24A8F"/>
    <w:rsid w:val="4FE46F56"/>
    <w:rsid w:val="4FE70854"/>
    <w:rsid w:val="4FF56780"/>
    <w:rsid w:val="5003084A"/>
    <w:rsid w:val="500B500F"/>
    <w:rsid w:val="5019494D"/>
    <w:rsid w:val="50224B06"/>
    <w:rsid w:val="50362EF9"/>
    <w:rsid w:val="50407A59"/>
    <w:rsid w:val="50497336"/>
    <w:rsid w:val="504B0035"/>
    <w:rsid w:val="50612832"/>
    <w:rsid w:val="506C1659"/>
    <w:rsid w:val="506E36EA"/>
    <w:rsid w:val="50730073"/>
    <w:rsid w:val="50741864"/>
    <w:rsid w:val="507977C0"/>
    <w:rsid w:val="507B60CF"/>
    <w:rsid w:val="50835324"/>
    <w:rsid w:val="50875729"/>
    <w:rsid w:val="50A55C69"/>
    <w:rsid w:val="50AA6401"/>
    <w:rsid w:val="50B851CE"/>
    <w:rsid w:val="50CA6229"/>
    <w:rsid w:val="50F83999"/>
    <w:rsid w:val="51065C9E"/>
    <w:rsid w:val="51216039"/>
    <w:rsid w:val="513663DB"/>
    <w:rsid w:val="513833F9"/>
    <w:rsid w:val="515376B9"/>
    <w:rsid w:val="51622043"/>
    <w:rsid w:val="5169052A"/>
    <w:rsid w:val="517224F3"/>
    <w:rsid w:val="51800EE8"/>
    <w:rsid w:val="51883C9A"/>
    <w:rsid w:val="51952BC5"/>
    <w:rsid w:val="519E78D2"/>
    <w:rsid w:val="519F2D2C"/>
    <w:rsid w:val="51B007CA"/>
    <w:rsid w:val="51B2723B"/>
    <w:rsid w:val="51B33EFA"/>
    <w:rsid w:val="51B71C82"/>
    <w:rsid w:val="51C71491"/>
    <w:rsid w:val="51CE3DE8"/>
    <w:rsid w:val="51DE2EDE"/>
    <w:rsid w:val="51E50D09"/>
    <w:rsid w:val="51ED625C"/>
    <w:rsid w:val="51F712B8"/>
    <w:rsid w:val="51FD3F5E"/>
    <w:rsid w:val="52010037"/>
    <w:rsid w:val="520B0763"/>
    <w:rsid w:val="52157172"/>
    <w:rsid w:val="521E4261"/>
    <w:rsid w:val="52263EE2"/>
    <w:rsid w:val="52265797"/>
    <w:rsid w:val="52280467"/>
    <w:rsid w:val="522B2D96"/>
    <w:rsid w:val="52316B3E"/>
    <w:rsid w:val="523A6B31"/>
    <w:rsid w:val="52442D54"/>
    <w:rsid w:val="52516D08"/>
    <w:rsid w:val="526079A7"/>
    <w:rsid w:val="52612386"/>
    <w:rsid w:val="526F3629"/>
    <w:rsid w:val="5276383A"/>
    <w:rsid w:val="52783E71"/>
    <w:rsid w:val="528C614E"/>
    <w:rsid w:val="529A4104"/>
    <w:rsid w:val="52A47C0E"/>
    <w:rsid w:val="52A6710E"/>
    <w:rsid w:val="52B24C19"/>
    <w:rsid w:val="52BA5554"/>
    <w:rsid w:val="52C14A1A"/>
    <w:rsid w:val="52CC5E32"/>
    <w:rsid w:val="52CC76D1"/>
    <w:rsid w:val="52D6499F"/>
    <w:rsid w:val="52E24E57"/>
    <w:rsid w:val="52E75B7C"/>
    <w:rsid w:val="52EA4FDB"/>
    <w:rsid w:val="52FF004D"/>
    <w:rsid w:val="53053D0D"/>
    <w:rsid w:val="53105DAE"/>
    <w:rsid w:val="53154F7C"/>
    <w:rsid w:val="53193BE6"/>
    <w:rsid w:val="531E532B"/>
    <w:rsid w:val="53225DE2"/>
    <w:rsid w:val="533E6F18"/>
    <w:rsid w:val="53426BBF"/>
    <w:rsid w:val="534E0309"/>
    <w:rsid w:val="534E311E"/>
    <w:rsid w:val="535126EC"/>
    <w:rsid w:val="5356226F"/>
    <w:rsid w:val="53691933"/>
    <w:rsid w:val="537C15C1"/>
    <w:rsid w:val="537E7FD9"/>
    <w:rsid w:val="5392563E"/>
    <w:rsid w:val="53952289"/>
    <w:rsid w:val="53987DB3"/>
    <w:rsid w:val="539C4087"/>
    <w:rsid w:val="53B25E52"/>
    <w:rsid w:val="53B4516A"/>
    <w:rsid w:val="53C61C25"/>
    <w:rsid w:val="53DB6F34"/>
    <w:rsid w:val="53EC1857"/>
    <w:rsid w:val="53FA5969"/>
    <w:rsid w:val="54065CEC"/>
    <w:rsid w:val="540F762E"/>
    <w:rsid w:val="54141A03"/>
    <w:rsid w:val="54175EDF"/>
    <w:rsid w:val="542021A5"/>
    <w:rsid w:val="54330F82"/>
    <w:rsid w:val="54333F3D"/>
    <w:rsid w:val="543511B8"/>
    <w:rsid w:val="543E3FE6"/>
    <w:rsid w:val="544C4D8B"/>
    <w:rsid w:val="545A462C"/>
    <w:rsid w:val="546106DE"/>
    <w:rsid w:val="546C5D7F"/>
    <w:rsid w:val="546D1ABE"/>
    <w:rsid w:val="546E47F5"/>
    <w:rsid w:val="54704386"/>
    <w:rsid w:val="547A52F1"/>
    <w:rsid w:val="547E1797"/>
    <w:rsid w:val="54920EE8"/>
    <w:rsid w:val="5493440E"/>
    <w:rsid w:val="54956660"/>
    <w:rsid w:val="54AD1579"/>
    <w:rsid w:val="54AE6D43"/>
    <w:rsid w:val="54BA11FF"/>
    <w:rsid w:val="54BA6E1F"/>
    <w:rsid w:val="54C17112"/>
    <w:rsid w:val="54C227E0"/>
    <w:rsid w:val="54C64427"/>
    <w:rsid w:val="54D43BFA"/>
    <w:rsid w:val="54D6053B"/>
    <w:rsid w:val="54E30ACD"/>
    <w:rsid w:val="54E80C2F"/>
    <w:rsid w:val="54EF259B"/>
    <w:rsid w:val="55097E56"/>
    <w:rsid w:val="55114C5C"/>
    <w:rsid w:val="55154190"/>
    <w:rsid w:val="55325A37"/>
    <w:rsid w:val="55371493"/>
    <w:rsid w:val="55371A2E"/>
    <w:rsid w:val="553F4D49"/>
    <w:rsid w:val="55452F19"/>
    <w:rsid w:val="55545183"/>
    <w:rsid w:val="555604F2"/>
    <w:rsid w:val="556163B5"/>
    <w:rsid w:val="556D4C19"/>
    <w:rsid w:val="556F7686"/>
    <w:rsid w:val="557747EE"/>
    <w:rsid w:val="557943A5"/>
    <w:rsid w:val="55827588"/>
    <w:rsid w:val="55835045"/>
    <w:rsid w:val="558C490B"/>
    <w:rsid w:val="558F09D2"/>
    <w:rsid w:val="55957201"/>
    <w:rsid w:val="55970198"/>
    <w:rsid w:val="559D301D"/>
    <w:rsid w:val="559F1B3B"/>
    <w:rsid w:val="55A57E73"/>
    <w:rsid w:val="55A6040A"/>
    <w:rsid w:val="55AC0F0B"/>
    <w:rsid w:val="55C44CFF"/>
    <w:rsid w:val="55D27455"/>
    <w:rsid w:val="55DA0456"/>
    <w:rsid w:val="55DB1802"/>
    <w:rsid w:val="55F07611"/>
    <w:rsid w:val="55FA081A"/>
    <w:rsid w:val="55FC242E"/>
    <w:rsid w:val="56035998"/>
    <w:rsid w:val="56076315"/>
    <w:rsid w:val="560A2BB2"/>
    <w:rsid w:val="561D7E0A"/>
    <w:rsid w:val="56300F2A"/>
    <w:rsid w:val="563E58EF"/>
    <w:rsid w:val="56491403"/>
    <w:rsid w:val="5669176D"/>
    <w:rsid w:val="566B56EB"/>
    <w:rsid w:val="56753C8D"/>
    <w:rsid w:val="567A6FD2"/>
    <w:rsid w:val="568104EF"/>
    <w:rsid w:val="568D7467"/>
    <w:rsid w:val="568F066A"/>
    <w:rsid w:val="56991B10"/>
    <w:rsid w:val="569C3F31"/>
    <w:rsid w:val="56B40C1F"/>
    <w:rsid w:val="56C347E8"/>
    <w:rsid w:val="56E47444"/>
    <w:rsid w:val="56E71EC2"/>
    <w:rsid w:val="56F26B86"/>
    <w:rsid w:val="56F706AE"/>
    <w:rsid w:val="56F919E5"/>
    <w:rsid w:val="57037347"/>
    <w:rsid w:val="57045951"/>
    <w:rsid w:val="57052050"/>
    <w:rsid w:val="57081581"/>
    <w:rsid w:val="57105851"/>
    <w:rsid w:val="571100C3"/>
    <w:rsid w:val="57327464"/>
    <w:rsid w:val="574148B8"/>
    <w:rsid w:val="574952D1"/>
    <w:rsid w:val="57497DF5"/>
    <w:rsid w:val="574A6593"/>
    <w:rsid w:val="574C05C4"/>
    <w:rsid w:val="57516EF7"/>
    <w:rsid w:val="575265BF"/>
    <w:rsid w:val="57634084"/>
    <w:rsid w:val="57682C5C"/>
    <w:rsid w:val="57765C4C"/>
    <w:rsid w:val="57794FE0"/>
    <w:rsid w:val="57815251"/>
    <w:rsid w:val="57846D8C"/>
    <w:rsid w:val="5798745C"/>
    <w:rsid w:val="57A06E5D"/>
    <w:rsid w:val="57A82ED1"/>
    <w:rsid w:val="57AA6F52"/>
    <w:rsid w:val="57AC661C"/>
    <w:rsid w:val="57B020D0"/>
    <w:rsid w:val="57B24E60"/>
    <w:rsid w:val="57B71519"/>
    <w:rsid w:val="57B86CDB"/>
    <w:rsid w:val="57BE3D95"/>
    <w:rsid w:val="57C35F98"/>
    <w:rsid w:val="57F40292"/>
    <w:rsid w:val="58024877"/>
    <w:rsid w:val="58062A08"/>
    <w:rsid w:val="58075BF2"/>
    <w:rsid w:val="581B7ADB"/>
    <w:rsid w:val="58253466"/>
    <w:rsid w:val="58270DB6"/>
    <w:rsid w:val="58272449"/>
    <w:rsid w:val="58357E05"/>
    <w:rsid w:val="583D7329"/>
    <w:rsid w:val="584A30B0"/>
    <w:rsid w:val="584C1B15"/>
    <w:rsid w:val="585131E6"/>
    <w:rsid w:val="58533AED"/>
    <w:rsid w:val="585D0C27"/>
    <w:rsid w:val="58730A74"/>
    <w:rsid w:val="58811218"/>
    <w:rsid w:val="588505A7"/>
    <w:rsid w:val="58A17DC9"/>
    <w:rsid w:val="58AC7A82"/>
    <w:rsid w:val="58AD1092"/>
    <w:rsid w:val="58AE74DA"/>
    <w:rsid w:val="58B978CB"/>
    <w:rsid w:val="58C825A0"/>
    <w:rsid w:val="58C94A90"/>
    <w:rsid w:val="58C94DE9"/>
    <w:rsid w:val="58ED0B01"/>
    <w:rsid w:val="58EF37CF"/>
    <w:rsid w:val="58F346A1"/>
    <w:rsid w:val="58FA1F94"/>
    <w:rsid w:val="590D5EE8"/>
    <w:rsid w:val="591E4D6B"/>
    <w:rsid w:val="591E61AC"/>
    <w:rsid w:val="5922006D"/>
    <w:rsid w:val="592F36B6"/>
    <w:rsid w:val="59333E87"/>
    <w:rsid w:val="593A4598"/>
    <w:rsid w:val="593D143C"/>
    <w:rsid w:val="5947415A"/>
    <w:rsid w:val="59641949"/>
    <w:rsid w:val="596A140C"/>
    <w:rsid w:val="59715CD0"/>
    <w:rsid w:val="597B0D1F"/>
    <w:rsid w:val="5981515B"/>
    <w:rsid w:val="5983147C"/>
    <w:rsid w:val="5983761E"/>
    <w:rsid w:val="598B4E36"/>
    <w:rsid w:val="59971C6D"/>
    <w:rsid w:val="59CC2FFD"/>
    <w:rsid w:val="59DC2A13"/>
    <w:rsid w:val="59E01C2D"/>
    <w:rsid w:val="59E52B65"/>
    <w:rsid w:val="59FF57B4"/>
    <w:rsid w:val="5A012CB6"/>
    <w:rsid w:val="5A0A008F"/>
    <w:rsid w:val="5A1A164E"/>
    <w:rsid w:val="5A1D7FB0"/>
    <w:rsid w:val="5A2314FB"/>
    <w:rsid w:val="5A250154"/>
    <w:rsid w:val="5A2E0E59"/>
    <w:rsid w:val="5A3522CD"/>
    <w:rsid w:val="5A3530DC"/>
    <w:rsid w:val="5A3822B8"/>
    <w:rsid w:val="5A395C01"/>
    <w:rsid w:val="5A3C4CE4"/>
    <w:rsid w:val="5A3F2E62"/>
    <w:rsid w:val="5A4240B6"/>
    <w:rsid w:val="5A425850"/>
    <w:rsid w:val="5A456470"/>
    <w:rsid w:val="5A4861B3"/>
    <w:rsid w:val="5A4E4978"/>
    <w:rsid w:val="5A503136"/>
    <w:rsid w:val="5A543C1B"/>
    <w:rsid w:val="5A603A55"/>
    <w:rsid w:val="5A6159BD"/>
    <w:rsid w:val="5A6B3A0D"/>
    <w:rsid w:val="5A705F4B"/>
    <w:rsid w:val="5A8B1A08"/>
    <w:rsid w:val="5A917E3A"/>
    <w:rsid w:val="5A950619"/>
    <w:rsid w:val="5AA1213B"/>
    <w:rsid w:val="5AA64A5C"/>
    <w:rsid w:val="5AA81E47"/>
    <w:rsid w:val="5AC33A75"/>
    <w:rsid w:val="5ACD538E"/>
    <w:rsid w:val="5ADC6993"/>
    <w:rsid w:val="5AE05E0B"/>
    <w:rsid w:val="5B002175"/>
    <w:rsid w:val="5B1262B0"/>
    <w:rsid w:val="5B176115"/>
    <w:rsid w:val="5B2264B1"/>
    <w:rsid w:val="5B312BC1"/>
    <w:rsid w:val="5B3B3C7D"/>
    <w:rsid w:val="5B3F36D3"/>
    <w:rsid w:val="5B41671D"/>
    <w:rsid w:val="5B440603"/>
    <w:rsid w:val="5B5B35B3"/>
    <w:rsid w:val="5B612CF4"/>
    <w:rsid w:val="5B6210A0"/>
    <w:rsid w:val="5B71764E"/>
    <w:rsid w:val="5B7857D5"/>
    <w:rsid w:val="5B7C2D39"/>
    <w:rsid w:val="5B87686F"/>
    <w:rsid w:val="5B8B34BD"/>
    <w:rsid w:val="5B8D0623"/>
    <w:rsid w:val="5B967EE3"/>
    <w:rsid w:val="5B991E70"/>
    <w:rsid w:val="5BB40455"/>
    <w:rsid w:val="5BB814B8"/>
    <w:rsid w:val="5BCA0056"/>
    <w:rsid w:val="5BF27F86"/>
    <w:rsid w:val="5BFB5910"/>
    <w:rsid w:val="5BFD6FCE"/>
    <w:rsid w:val="5C034B3A"/>
    <w:rsid w:val="5C0E2186"/>
    <w:rsid w:val="5C124FFE"/>
    <w:rsid w:val="5C136DDF"/>
    <w:rsid w:val="5C1372DE"/>
    <w:rsid w:val="5C155957"/>
    <w:rsid w:val="5C273792"/>
    <w:rsid w:val="5C286DA1"/>
    <w:rsid w:val="5C2B592A"/>
    <w:rsid w:val="5C52616A"/>
    <w:rsid w:val="5C5920A1"/>
    <w:rsid w:val="5C5E7002"/>
    <w:rsid w:val="5C6904EE"/>
    <w:rsid w:val="5C703E0D"/>
    <w:rsid w:val="5C91181F"/>
    <w:rsid w:val="5C9C215C"/>
    <w:rsid w:val="5CA4528C"/>
    <w:rsid w:val="5CA455F4"/>
    <w:rsid w:val="5CAA4F27"/>
    <w:rsid w:val="5CB11BE9"/>
    <w:rsid w:val="5CBC6124"/>
    <w:rsid w:val="5CC45DBD"/>
    <w:rsid w:val="5CC81BD5"/>
    <w:rsid w:val="5CD1112B"/>
    <w:rsid w:val="5CDC4F0C"/>
    <w:rsid w:val="5CE241EB"/>
    <w:rsid w:val="5CE32E02"/>
    <w:rsid w:val="5CE5561F"/>
    <w:rsid w:val="5CFF0D6B"/>
    <w:rsid w:val="5D08473E"/>
    <w:rsid w:val="5D120878"/>
    <w:rsid w:val="5D137C8F"/>
    <w:rsid w:val="5D157EB0"/>
    <w:rsid w:val="5D180999"/>
    <w:rsid w:val="5D260644"/>
    <w:rsid w:val="5D291694"/>
    <w:rsid w:val="5D321D86"/>
    <w:rsid w:val="5D465E28"/>
    <w:rsid w:val="5D5007AD"/>
    <w:rsid w:val="5D587747"/>
    <w:rsid w:val="5D6E7128"/>
    <w:rsid w:val="5D6F2D39"/>
    <w:rsid w:val="5D714BFC"/>
    <w:rsid w:val="5D796D82"/>
    <w:rsid w:val="5D884FD3"/>
    <w:rsid w:val="5D8A1834"/>
    <w:rsid w:val="5D8F6448"/>
    <w:rsid w:val="5D923908"/>
    <w:rsid w:val="5D924BBA"/>
    <w:rsid w:val="5DA100D5"/>
    <w:rsid w:val="5DA11B55"/>
    <w:rsid w:val="5DA1671E"/>
    <w:rsid w:val="5DB1142D"/>
    <w:rsid w:val="5DBF56D2"/>
    <w:rsid w:val="5DC94EAA"/>
    <w:rsid w:val="5DC9667E"/>
    <w:rsid w:val="5DDE1827"/>
    <w:rsid w:val="5DE0344F"/>
    <w:rsid w:val="5DE137E5"/>
    <w:rsid w:val="5DE13B4B"/>
    <w:rsid w:val="5DE17815"/>
    <w:rsid w:val="5DF911E9"/>
    <w:rsid w:val="5E164717"/>
    <w:rsid w:val="5E1B66B2"/>
    <w:rsid w:val="5E2C648C"/>
    <w:rsid w:val="5E300107"/>
    <w:rsid w:val="5E365ACE"/>
    <w:rsid w:val="5E3A5DC1"/>
    <w:rsid w:val="5E4C5828"/>
    <w:rsid w:val="5E4C6F4A"/>
    <w:rsid w:val="5E5249D9"/>
    <w:rsid w:val="5E694493"/>
    <w:rsid w:val="5E79740E"/>
    <w:rsid w:val="5E7A0A4B"/>
    <w:rsid w:val="5E7B0BDE"/>
    <w:rsid w:val="5E7E5674"/>
    <w:rsid w:val="5E944335"/>
    <w:rsid w:val="5E9807B9"/>
    <w:rsid w:val="5E9F531B"/>
    <w:rsid w:val="5EA51946"/>
    <w:rsid w:val="5EAC1A00"/>
    <w:rsid w:val="5EB06FC4"/>
    <w:rsid w:val="5EC938DD"/>
    <w:rsid w:val="5ECC1F57"/>
    <w:rsid w:val="5ED341CD"/>
    <w:rsid w:val="5ED4696B"/>
    <w:rsid w:val="5ED644D8"/>
    <w:rsid w:val="5EF431E8"/>
    <w:rsid w:val="5EFD0650"/>
    <w:rsid w:val="5F11097E"/>
    <w:rsid w:val="5F135AD9"/>
    <w:rsid w:val="5F225F94"/>
    <w:rsid w:val="5F3A5E30"/>
    <w:rsid w:val="5F454B86"/>
    <w:rsid w:val="5F4726FA"/>
    <w:rsid w:val="5F4D23F1"/>
    <w:rsid w:val="5F5070CC"/>
    <w:rsid w:val="5F65288D"/>
    <w:rsid w:val="5F661CA7"/>
    <w:rsid w:val="5F681234"/>
    <w:rsid w:val="5F7675D0"/>
    <w:rsid w:val="5F7A0D18"/>
    <w:rsid w:val="5F7F73C0"/>
    <w:rsid w:val="5F8139F4"/>
    <w:rsid w:val="5F9216A3"/>
    <w:rsid w:val="5FA34062"/>
    <w:rsid w:val="5FAE12AA"/>
    <w:rsid w:val="5FCD770E"/>
    <w:rsid w:val="5FCE26B8"/>
    <w:rsid w:val="5FD14004"/>
    <w:rsid w:val="5FEC07C1"/>
    <w:rsid w:val="5FF600B7"/>
    <w:rsid w:val="5FF607C4"/>
    <w:rsid w:val="5FFC200D"/>
    <w:rsid w:val="600168C7"/>
    <w:rsid w:val="60093A2E"/>
    <w:rsid w:val="60147DA4"/>
    <w:rsid w:val="60222833"/>
    <w:rsid w:val="602F0186"/>
    <w:rsid w:val="60356D91"/>
    <w:rsid w:val="60361BAD"/>
    <w:rsid w:val="6037335C"/>
    <w:rsid w:val="603E7D7E"/>
    <w:rsid w:val="604031DB"/>
    <w:rsid w:val="6055022A"/>
    <w:rsid w:val="6055507D"/>
    <w:rsid w:val="6056540E"/>
    <w:rsid w:val="605D5E0D"/>
    <w:rsid w:val="60611002"/>
    <w:rsid w:val="6061643F"/>
    <w:rsid w:val="60623E1F"/>
    <w:rsid w:val="607131BE"/>
    <w:rsid w:val="60723264"/>
    <w:rsid w:val="607D470B"/>
    <w:rsid w:val="6086721E"/>
    <w:rsid w:val="6087530D"/>
    <w:rsid w:val="608C5A13"/>
    <w:rsid w:val="60976E00"/>
    <w:rsid w:val="60AE0913"/>
    <w:rsid w:val="60AF4ADF"/>
    <w:rsid w:val="60B160EA"/>
    <w:rsid w:val="60BB459F"/>
    <w:rsid w:val="60BE0AE9"/>
    <w:rsid w:val="60CB1591"/>
    <w:rsid w:val="60CF494B"/>
    <w:rsid w:val="60D430BC"/>
    <w:rsid w:val="60DF1762"/>
    <w:rsid w:val="60E048D5"/>
    <w:rsid w:val="60F97A9B"/>
    <w:rsid w:val="60FE3AFB"/>
    <w:rsid w:val="610C5250"/>
    <w:rsid w:val="610C5B76"/>
    <w:rsid w:val="610C629B"/>
    <w:rsid w:val="610C76EE"/>
    <w:rsid w:val="6111263D"/>
    <w:rsid w:val="61147A32"/>
    <w:rsid w:val="611A0837"/>
    <w:rsid w:val="611A6F14"/>
    <w:rsid w:val="611B41D3"/>
    <w:rsid w:val="612719CE"/>
    <w:rsid w:val="6129316A"/>
    <w:rsid w:val="61334045"/>
    <w:rsid w:val="61407C51"/>
    <w:rsid w:val="61543232"/>
    <w:rsid w:val="6158248A"/>
    <w:rsid w:val="615A4EF5"/>
    <w:rsid w:val="61644FE7"/>
    <w:rsid w:val="6164686A"/>
    <w:rsid w:val="616E4528"/>
    <w:rsid w:val="61736385"/>
    <w:rsid w:val="619962E2"/>
    <w:rsid w:val="619F0059"/>
    <w:rsid w:val="61A70152"/>
    <w:rsid w:val="61A909F1"/>
    <w:rsid w:val="61AE197B"/>
    <w:rsid w:val="61AF5651"/>
    <w:rsid w:val="61B052CF"/>
    <w:rsid w:val="61B42529"/>
    <w:rsid w:val="61B73502"/>
    <w:rsid w:val="61C92322"/>
    <w:rsid w:val="61D712D5"/>
    <w:rsid w:val="61DC5AEA"/>
    <w:rsid w:val="61E82A7D"/>
    <w:rsid w:val="61E873DA"/>
    <w:rsid w:val="620D7CFC"/>
    <w:rsid w:val="621A071E"/>
    <w:rsid w:val="621B6CC8"/>
    <w:rsid w:val="621E7ECE"/>
    <w:rsid w:val="62200A31"/>
    <w:rsid w:val="62221E0D"/>
    <w:rsid w:val="62250FC8"/>
    <w:rsid w:val="62293607"/>
    <w:rsid w:val="6249158B"/>
    <w:rsid w:val="624B1FDE"/>
    <w:rsid w:val="624B61B2"/>
    <w:rsid w:val="62610804"/>
    <w:rsid w:val="6261590B"/>
    <w:rsid w:val="62634F10"/>
    <w:rsid w:val="62651E55"/>
    <w:rsid w:val="62687C46"/>
    <w:rsid w:val="626C2D78"/>
    <w:rsid w:val="626E3CC8"/>
    <w:rsid w:val="6285656B"/>
    <w:rsid w:val="628C2EB8"/>
    <w:rsid w:val="62920336"/>
    <w:rsid w:val="629A7990"/>
    <w:rsid w:val="62AD67B6"/>
    <w:rsid w:val="62AE2023"/>
    <w:rsid w:val="62B937F7"/>
    <w:rsid w:val="62BA24A2"/>
    <w:rsid w:val="62BE0F00"/>
    <w:rsid w:val="62BE43D2"/>
    <w:rsid w:val="62CD0E1C"/>
    <w:rsid w:val="62CD7748"/>
    <w:rsid w:val="62D30F8A"/>
    <w:rsid w:val="62D82519"/>
    <w:rsid w:val="62E013B1"/>
    <w:rsid w:val="62E01EC4"/>
    <w:rsid w:val="62E97739"/>
    <w:rsid w:val="62EC5C38"/>
    <w:rsid w:val="630162F6"/>
    <w:rsid w:val="630B228C"/>
    <w:rsid w:val="630D6478"/>
    <w:rsid w:val="630F6C8D"/>
    <w:rsid w:val="63184C6C"/>
    <w:rsid w:val="631A4A47"/>
    <w:rsid w:val="631C5D60"/>
    <w:rsid w:val="631D653F"/>
    <w:rsid w:val="631F6B73"/>
    <w:rsid w:val="632A4016"/>
    <w:rsid w:val="632C223A"/>
    <w:rsid w:val="63311F80"/>
    <w:rsid w:val="633B1E87"/>
    <w:rsid w:val="633E3785"/>
    <w:rsid w:val="63401365"/>
    <w:rsid w:val="635330EC"/>
    <w:rsid w:val="636B11B1"/>
    <w:rsid w:val="637830FB"/>
    <w:rsid w:val="637C6F72"/>
    <w:rsid w:val="63816E79"/>
    <w:rsid w:val="63877A66"/>
    <w:rsid w:val="639318AD"/>
    <w:rsid w:val="63956E21"/>
    <w:rsid w:val="639C53D2"/>
    <w:rsid w:val="63A37553"/>
    <w:rsid w:val="63A47706"/>
    <w:rsid w:val="63A73190"/>
    <w:rsid w:val="63A80370"/>
    <w:rsid w:val="63AA1345"/>
    <w:rsid w:val="63B34D1F"/>
    <w:rsid w:val="63B73B5B"/>
    <w:rsid w:val="63C10369"/>
    <w:rsid w:val="63C84CDC"/>
    <w:rsid w:val="63DD6924"/>
    <w:rsid w:val="63E2149B"/>
    <w:rsid w:val="63FF1866"/>
    <w:rsid w:val="64015A35"/>
    <w:rsid w:val="64025CCB"/>
    <w:rsid w:val="64077E60"/>
    <w:rsid w:val="640C2128"/>
    <w:rsid w:val="640F079D"/>
    <w:rsid w:val="641B3078"/>
    <w:rsid w:val="6432146B"/>
    <w:rsid w:val="643C6145"/>
    <w:rsid w:val="644D3D14"/>
    <w:rsid w:val="64573C08"/>
    <w:rsid w:val="64587970"/>
    <w:rsid w:val="645C2E28"/>
    <w:rsid w:val="645E651F"/>
    <w:rsid w:val="64623690"/>
    <w:rsid w:val="647543EB"/>
    <w:rsid w:val="64916FED"/>
    <w:rsid w:val="64924634"/>
    <w:rsid w:val="649752E4"/>
    <w:rsid w:val="649C10AD"/>
    <w:rsid w:val="64A05E79"/>
    <w:rsid w:val="64A63434"/>
    <w:rsid w:val="64AB3381"/>
    <w:rsid w:val="64B81EB5"/>
    <w:rsid w:val="64C82500"/>
    <w:rsid w:val="64C94FF0"/>
    <w:rsid w:val="64CA3DD2"/>
    <w:rsid w:val="64EB370D"/>
    <w:rsid w:val="65065AB6"/>
    <w:rsid w:val="65132ADF"/>
    <w:rsid w:val="651D26A1"/>
    <w:rsid w:val="652A3402"/>
    <w:rsid w:val="654628C9"/>
    <w:rsid w:val="65467B16"/>
    <w:rsid w:val="654776BB"/>
    <w:rsid w:val="654A5B37"/>
    <w:rsid w:val="6556794C"/>
    <w:rsid w:val="656124B3"/>
    <w:rsid w:val="656909FE"/>
    <w:rsid w:val="65820F0E"/>
    <w:rsid w:val="65930D07"/>
    <w:rsid w:val="65A73C7A"/>
    <w:rsid w:val="65B47EDF"/>
    <w:rsid w:val="65D427DB"/>
    <w:rsid w:val="65E5228A"/>
    <w:rsid w:val="65FE557F"/>
    <w:rsid w:val="660E6FC0"/>
    <w:rsid w:val="66110EC7"/>
    <w:rsid w:val="661A02DA"/>
    <w:rsid w:val="662356C6"/>
    <w:rsid w:val="662C36BF"/>
    <w:rsid w:val="66307D70"/>
    <w:rsid w:val="66341D23"/>
    <w:rsid w:val="663D3A56"/>
    <w:rsid w:val="664002BE"/>
    <w:rsid w:val="6646766D"/>
    <w:rsid w:val="66475879"/>
    <w:rsid w:val="665E75A0"/>
    <w:rsid w:val="66612387"/>
    <w:rsid w:val="66631C4F"/>
    <w:rsid w:val="66646249"/>
    <w:rsid w:val="66761EE6"/>
    <w:rsid w:val="667E4280"/>
    <w:rsid w:val="6681678C"/>
    <w:rsid w:val="66931BEC"/>
    <w:rsid w:val="669C6179"/>
    <w:rsid w:val="66A454F2"/>
    <w:rsid w:val="66B30BD3"/>
    <w:rsid w:val="66BC2339"/>
    <w:rsid w:val="66BD5B8A"/>
    <w:rsid w:val="66C70092"/>
    <w:rsid w:val="66CE3A79"/>
    <w:rsid w:val="66EB03AE"/>
    <w:rsid w:val="66EC277A"/>
    <w:rsid w:val="6705488D"/>
    <w:rsid w:val="670A63F8"/>
    <w:rsid w:val="671473D7"/>
    <w:rsid w:val="671604E7"/>
    <w:rsid w:val="6727127D"/>
    <w:rsid w:val="672A0297"/>
    <w:rsid w:val="672E40D5"/>
    <w:rsid w:val="6737032F"/>
    <w:rsid w:val="6739288B"/>
    <w:rsid w:val="675375CF"/>
    <w:rsid w:val="675826C2"/>
    <w:rsid w:val="67587852"/>
    <w:rsid w:val="675C63DC"/>
    <w:rsid w:val="67604DBC"/>
    <w:rsid w:val="676776F7"/>
    <w:rsid w:val="677526EE"/>
    <w:rsid w:val="677531D6"/>
    <w:rsid w:val="6776387B"/>
    <w:rsid w:val="67854E2C"/>
    <w:rsid w:val="678846A7"/>
    <w:rsid w:val="6791279C"/>
    <w:rsid w:val="67AD27D7"/>
    <w:rsid w:val="67BA5C01"/>
    <w:rsid w:val="67C3109B"/>
    <w:rsid w:val="67C31806"/>
    <w:rsid w:val="67C62FB3"/>
    <w:rsid w:val="67CF4726"/>
    <w:rsid w:val="67DB6D92"/>
    <w:rsid w:val="67E97065"/>
    <w:rsid w:val="68127979"/>
    <w:rsid w:val="68151AB0"/>
    <w:rsid w:val="681D261C"/>
    <w:rsid w:val="6828621E"/>
    <w:rsid w:val="682A7C88"/>
    <w:rsid w:val="683C524E"/>
    <w:rsid w:val="685230BB"/>
    <w:rsid w:val="68544A88"/>
    <w:rsid w:val="68585A0D"/>
    <w:rsid w:val="685A28EA"/>
    <w:rsid w:val="685B786B"/>
    <w:rsid w:val="68670F13"/>
    <w:rsid w:val="686F3ED2"/>
    <w:rsid w:val="68720205"/>
    <w:rsid w:val="68731391"/>
    <w:rsid w:val="68747FC1"/>
    <w:rsid w:val="68B2190A"/>
    <w:rsid w:val="68B2519B"/>
    <w:rsid w:val="68B63144"/>
    <w:rsid w:val="68BD52C3"/>
    <w:rsid w:val="68C53B3E"/>
    <w:rsid w:val="68D92A15"/>
    <w:rsid w:val="68DB4723"/>
    <w:rsid w:val="68DC11D9"/>
    <w:rsid w:val="68DD1DE6"/>
    <w:rsid w:val="68E04191"/>
    <w:rsid w:val="68E47FED"/>
    <w:rsid w:val="68E554DB"/>
    <w:rsid w:val="68EB4E0B"/>
    <w:rsid w:val="6901203E"/>
    <w:rsid w:val="69036A27"/>
    <w:rsid w:val="69116ACA"/>
    <w:rsid w:val="691C62D0"/>
    <w:rsid w:val="69210824"/>
    <w:rsid w:val="692D5624"/>
    <w:rsid w:val="6934422B"/>
    <w:rsid w:val="69344839"/>
    <w:rsid w:val="6935288E"/>
    <w:rsid w:val="69371955"/>
    <w:rsid w:val="69385685"/>
    <w:rsid w:val="69402BF8"/>
    <w:rsid w:val="69551A76"/>
    <w:rsid w:val="695E52B7"/>
    <w:rsid w:val="69600855"/>
    <w:rsid w:val="696C6F94"/>
    <w:rsid w:val="69744294"/>
    <w:rsid w:val="69757BD6"/>
    <w:rsid w:val="69784FBE"/>
    <w:rsid w:val="698010DB"/>
    <w:rsid w:val="699F077D"/>
    <w:rsid w:val="69AA5BBC"/>
    <w:rsid w:val="69B266DE"/>
    <w:rsid w:val="69B44B75"/>
    <w:rsid w:val="69B87885"/>
    <w:rsid w:val="69BA11A7"/>
    <w:rsid w:val="69C650CD"/>
    <w:rsid w:val="69C66504"/>
    <w:rsid w:val="69D53AF9"/>
    <w:rsid w:val="69D64DD2"/>
    <w:rsid w:val="69DB0968"/>
    <w:rsid w:val="69E54278"/>
    <w:rsid w:val="69EF253C"/>
    <w:rsid w:val="69F109A3"/>
    <w:rsid w:val="6A0067D7"/>
    <w:rsid w:val="6A1047C4"/>
    <w:rsid w:val="6A1265C0"/>
    <w:rsid w:val="6A1973EB"/>
    <w:rsid w:val="6A221DF4"/>
    <w:rsid w:val="6A26111C"/>
    <w:rsid w:val="6A291911"/>
    <w:rsid w:val="6A435E96"/>
    <w:rsid w:val="6A49718E"/>
    <w:rsid w:val="6A4C271E"/>
    <w:rsid w:val="6A4F2E1A"/>
    <w:rsid w:val="6A5469E4"/>
    <w:rsid w:val="6A5B3471"/>
    <w:rsid w:val="6A6A5225"/>
    <w:rsid w:val="6A6E0176"/>
    <w:rsid w:val="6A7157A9"/>
    <w:rsid w:val="6A793769"/>
    <w:rsid w:val="6A8246F4"/>
    <w:rsid w:val="6A8E57CD"/>
    <w:rsid w:val="6AA86AB1"/>
    <w:rsid w:val="6ABD4DBC"/>
    <w:rsid w:val="6ACB4E31"/>
    <w:rsid w:val="6AD77E2D"/>
    <w:rsid w:val="6AD903BB"/>
    <w:rsid w:val="6ADC1E9D"/>
    <w:rsid w:val="6AE74869"/>
    <w:rsid w:val="6AF77361"/>
    <w:rsid w:val="6B025A6F"/>
    <w:rsid w:val="6B046E59"/>
    <w:rsid w:val="6B066991"/>
    <w:rsid w:val="6B1C4F90"/>
    <w:rsid w:val="6B1F0677"/>
    <w:rsid w:val="6B2A5874"/>
    <w:rsid w:val="6B385EB4"/>
    <w:rsid w:val="6B3C1670"/>
    <w:rsid w:val="6B476C2D"/>
    <w:rsid w:val="6B4B1036"/>
    <w:rsid w:val="6B4F61BF"/>
    <w:rsid w:val="6B507294"/>
    <w:rsid w:val="6B5C5BB5"/>
    <w:rsid w:val="6B684B4C"/>
    <w:rsid w:val="6B81028B"/>
    <w:rsid w:val="6B91660C"/>
    <w:rsid w:val="6B95347C"/>
    <w:rsid w:val="6B9853AF"/>
    <w:rsid w:val="6BA348FB"/>
    <w:rsid w:val="6BAA0D42"/>
    <w:rsid w:val="6BAA5BA6"/>
    <w:rsid w:val="6BB7368E"/>
    <w:rsid w:val="6BBB3E48"/>
    <w:rsid w:val="6BC37D58"/>
    <w:rsid w:val="6BC63F3A"/>
    <w:rsid w:val="6BDD2F6C"/>
    <w:rsid w:val="6BDE1541"/>
    <w:rsid w:val="6BDE4E99"/>
    <w:rsid w:val="6BE12084"/>
    <w:rsid w:val="6BF110CF"/>
    <w:rsid w:val="6BF26915"/>
    <w:rsid w:val="6BF637E3"/>
    <w:rsid w:val="6BF84E53"/>
    <w:rsid w:val="6BF8798E"/>
    <w:rsid w:val="6C001882"/>
    <w:rsid w:val="6C0139F0"/>
    <w:rsid w:val="6C052128"/>
    <w:rsid w:val="6C090C57"/>
    <w:rsid w:val="6C190CFF"/>
    <w:rsid w:val="6C1C314D"/>
    <w:rsid w:val="6C1C3356"/>
    <w:rsid w:val="6C1F36D1"/>
    <w:rsid w:val="6C2008BD"/>
    <w:rsid w:val="6C2934E8"/>
    <w:rsid w:val="6C2B3640"/>
    <w:rsid w:val="6C341537"/>
    <w:rsid w:val="6C3746D6"/>
    <w:rsid w:val="6C3876CA"/>
    <w:rsid w:val="6C3F3781"/>
    <w:rsid w:val="6C3F3F7C"/>
    <w:rsid w:val="6C414E16"/>
    <w:rsid w:val="6C4242DA"/>
    <w:rsid w:val="6C4476FA"/>
    <w:rsid w:val="6C453A26"/>
    <w:rsid w:val="6C467464"/>
    <w:rsid w:val="6C4D0140"/>
    <w:rsid w:val="6C504377"/>
    <w:rsid w:val="6C547DE8"/>
    <w:rsid w:val="6C64761B"/>
    <w:rsid w:val="6C6B559C"/>
    <w:rsid w:val="6C7308D9"/>
    <w:rsid w:val="6C77797C"/>
    <w:rsid w:val="6C8D09BE"/>
    <w:rsid w:val="6C917A19"/>
    <w:rsid w:val="6C971DBA"/>
    <w:rsid w:val="6CAE643E"/>
    <w:rsid w:val="6CB0430A"/>
    <w:rsid w:val="6CB669EB"/>
    <w:rsid w:val="6CD53438"/>
    <w:rsid w:val="6CE36B4B"/>
    <w:rsid w:val="6CE46DF0"/>
    <w:rsid w:val="6CE54DBF"/>
    <w:rsid w:val="6CEC150E"/>
    <w:rsid w:val="6CED6E0A"/>
    <w:rsid w:val="6CF9021D"/>
    <w:rsid w:val="6CFB26FD"/>
    <w:rsid w:val="6D013E44"/>
    <w:rsid w:val="6D181AF9"/>
    <w:rsid w:val="6D287DD7"/>
    <w:rsid w:val="6D2F1E6A"/>
    <w:rsid w:val="6D303E5D"/>
    <w:rsid w:val="6D454822"/>
    <w:rsid w:val="6D524541"/>
    <w:rsid w:val="6D5D5F11"/>
    <w:rsid w:val="6D5E47ED"/>
    <w:rsid w:val="6D6539A0"/>
    <w:rsid w:val="6D6B4264"/>
    <w:rsid w:val="6D6C1375"/>
    <w:rsid w:val="6D74033C"/>
    <w:rsid w:val="6D780E19"/>
    <w:rsid w:val="6D7D22A5"/>
    <w:rsid w:val="6D7F296A"/>
    <w:rsid w:val="6D85612D"/>
    <w:rsid w:val="6D967B0A"/>
    <w:rsid w:val="6D9733B9"/>
    <w:rsid w:val="6D986F75"/>
    <w:rsid w:val="6DB02FDD"/>
    <w:rsid w:val="6DB47310"/>
    <w:rsid w:val="6DBB6A0D"/>
    <w:rsid w:val="6DBC1D8B"/>
    <w:rsid w:val="6DC5712B"/>
    <w:rsid w:val="6DCD5EEB"/>
    <w:rsid w:val="6DDF3059"/>
    <w:rsid w:val="6DF13F1B"/>
    <w:rsid w:val="6DF2036B"/>
    <w:rsid w:val="6DF55674"/>
    <w:rsid w:val="6DF63C69"/>
    <w:rsid w:val="6E022344"/>
    <w:rsid w:val="6E1010AF"/>
    <w:rsid w:val="6E193B7A"/>
    <w:rsid w:val="6E233ABF"/>
    <w:rsid w:val="6E27620E"/>
    <w:rsid w:val="6E281C6D"/>
    <w:rsid w:val="6E3A26AB"/>
    <w:rsid w:val="6E4334F3"/>
    <w:rsid w:val="6E4574F2"/>
    <w:rsid w:val="6E4A6B8C"/>
    <w:rsid w:val="6E590265"/>
    <w:rsid w:val="6E674A87"/>
    <w:rsid w:val="6E70000E"/>
    <w:rsid w:val="6E9E4EA3"/>
    <w:rsid w:val="6E9F7FE1"/>
    <w:rsid w:val="6EAA516E"/>
    <w:rsid w:val="6EB071D1"/>
    <w:rsid w:val="6EBC5733"/>
    <w:rsid w:val="6EC440DF"/>
    <w:rsid w:val="6EC978BE"/>
    <w:rsid w:val="6ED26EEB"/>
    <w:rsid w:val="6ED3187C"/>
    <w:rsid w:val="6EDF0F11"/>
    <w:rsid w:val="6EDF6383"/>
    <w:rsid w:val="6EEB6902"/>
    <w:rsid w:val="6EEB6CE5"/>
    <w:rsid w:val="6EEE2A89"/>
    <w:rsid w:val="6EF16C22"/>
    <w:rsid w:val="6EF274D9"/>
    <w:rsid w:val="6EF83DD7"/>
    <w:rsid w:val="6EF95E62"/>
    <w:rsid w:val="6EFA07C6"/>
    <w:rsid w:val="6EFE2749"/>
    <w:rsid w:val="6F030D06"/>
    <w:rsid w:val="6F030FB4"/>
    <w:rsid w:val="6F05121A"/>
    <w:rsid w:val="6F0859D8"/>
    <w:rsid w:val="6F092045"/>
    <w:rsid w:val="6F094CB0"/>
    <w:rsid w:val="6F1103E5"/>
    <w:rsid w:val="6F2C03CD"/>
    <w:rsid w:val="6F42621A"/>
    <w:rsid w:val="6F466A9E"/>
    <w:rsid w:val="6F502CE5"/>
    <w:rsid w:val="6F5542DA"/>
    <w:rsid w:val="6F6948C0"/>
    <w:rsid w:val="6F73194A"/>
    <w:rsid w:val="6F7D30DE"/>
    <w:rsid w:val="6F7E47DB"/>
    <w:rsid w:val="6F80261F"/>
    <w:rsid w:val="6F836FCE"/>
    <w:rsid w:val="6F855C67"/>
    <w:rsid w:val="6F917C7D"/>
    <w:rsid w:val="6F955B30"/>
    <w:rsid w:val="6F962654"/>
    <w:rsid w:val="6F9A176F"/>
    <w:rsid w:val="6FAB19FA"/>
    <w:rsid w:val="6FAF13ED"/>
    <w:rsid w:val="6FBA295A"/>
    <w:rsid w:val="6FBF1211"/>
    <w:rsid w:val="6FBF3A3B"/>
    <w:rsid w:val="6FC12511"/>
    <w:rsid w:val="6FC628AC"/>
    <w:rsid w:val="6FC70FEC"/>
    <w:rsid w:val="6FC80D63"/>
    <w:rsid w:val="6FCB2F5F"/>
    <w:rsid w:val="6FE46D0A"/>
    <w:rsid w:val="6FE5484F"/>
    <w:rsid w:val="6FED55F9"/>
    <w:rsid w:val="70027205"/>
    <w:rsid w:val="700A3022"/>
    <w:rsid w:val="700D6055"/>
    <w:rsid w:val="70124AF0"/>
    <w:rsid w:val="701B617F"/>
    <w:rsid w:val="701D27F2"/>
    <w:rsid w:val="702D0C71"/>
    <w:rsid w:val="702F1BCD"/>
    <w:rsid w:val="70391526"/>
    <w:rsid w:val="70397B2E"/>
    <w:rsid w:val="703C1AF2"/>
    <w:rsid w:val="705C0686"/>
    <w:rsid w:val="70624AA5"/>
    <w:rsid w:val="70696275"/>
    <w:rsid w:val="706A076E"/>
    <w:rsid w:val="706B72E9"/>
    <w:rsid w:val="707703C6"/>
    <w:rsid w:val="707924DE"/>
    <w:rsid w:val="708A2490"/>
    <w:rsid w:val="7093000E"/>
    <w:rsid w:val="70A22892"/>
    <w:rsid w:val="70B166D1"/>
    <w:rsid w:val="70B22511"/>
    <w:rsid w:val="70B452BC"/>
    <w:rsid w:val="70BC3377"/>
    <w:rsid w:val="70BF65BA"/>
    <w:rsid w:val="70D3259D"/>
    <w:rsid w:val="70D37EBE"/>
    <w:rsid w:val="70D46DE8"/>
    <w:rsid w:val="70E970B4"/>
    <w:rsid w:val="70F31F6D"/>
    <w:rsid w:val="70FA4428"/>
    <w:rsid w:val="710203C4"/>
    <w:rsid w:val="71084C3D"/>
    <w:rsid w:val="710B1736"/>
    <w:rsid w:val="711B4EA6"/>
    <w:rsid w:val="711B69C2"/>
    <w:rsid w:val="71201650"/>
    <w:rsid w:val="712C0089"/>
    <w:rsid w:val="712E7A17"/>
    <w:rsid w:val="71367F51"/>
    <w:rsid w:val="71421DD4"/>
    <w:rsid w:val="714734AD"/>
    <w:rsid w:val="714D2290"/>
    <w:rsid w:val="714F0A66"/>
    <w:rsid w:val="71594887"/>
    <w:rsid w:val="715D5E53"/>
    <w:rsid w:val="71635F5C"/>
    <w:rsid w:val="716C7B4C"/>
    <w:rsid w:val="717700EC"/>
    <w:rsid w:val="718A4E8A"/>
    <w:rsid w:val="718C06C8"/>
    <w:rsid w:val="71930BD3"/>
    <w:rsid w:val="7195377D"/>
    <w:rsid w:val="71975A9D"/>
    <w:rsid w:val="719F6E44"/>
    <w:rsid w:val="71A07496"/>
    <w:rsid w:val="71AC656D"/>
    <w:rsid w:val="71AF5F44"/>
    <w:rsid w:val="71B72099"/>
    <w:rsid w:val="71BA53B9"/>
    <w:rsid w:val="71E15445"/>
    <w:rsid w:val="71E27F8C"/>
    <w:rsid w:val="71E37FE1"/>
    <w:rsid w:val="71E759E0"/>
    <w:rsid w:val="71E76837"/>
    <w:rsid w:val="71F00B3D"/>
    <w:rsid w:val="71F41151"/>
    <w:rsid w:val="71F41C95"/>
    <w:rsid w:val="71FB20C0"/>
    <w:rsid w:val="71FC5476"/>
    <w:rsid w:val="71FE6EE6"/>
    <w:rsid w:val="72090944"/>
    <w:rsid w:val="72097936"/>
    <w:rsid w:val="720D5015"/>
    <w:rsid w:val="721E25AF"/>
    <w:rsid w:val="721F7EEB"/>
    <w:rsid w:val="722315F1"/>
    <w:rsid w:val="722570B1"/>
    <w:rsid w:val="722F3262"/>
    <w:rsid w:val="72317208"/>
    <w:rsid w:val="723414D5"/>
    <w:rsid w:val="723D3896"/>
    <w:rsid w:val="72426FFA"/>
    <w:rsid w:val="725A0E4E"/>
    <w:rsid w:val="725C503F"/>
    <w:rsid w:val="72743CEF"/>
    <w:rsid w:val="7275396F"/>
    <w:rsid w:val="7276127B"/>
    <w:rsid w:val="727E6B96"/>
    <w:rsid w:val="72904389"/>
    <w:rsid w:val="7298612F"/>
    <w:rsid w:val="72A65382"/>
    <w:rsid w:val="72AD76B6"/>
    <w:rsid w:val="72D728E3"/>
    <w:rsid w:val="72E0339F"/>
    <w:rsid w:val="72E40B34"/>
    <w:rsid w:val="72F072B0"/>
    <w:rsid w:val="72F1282E"/>
    <w:rsid w:val="72F43A0C"/>
    <w:rsid w:val="72F6757D"/>
    <w:rsid w:val="732855E2"/>
    <w:rsid w:val="733158E0"/>
    <w:rsid w:val="7349598F"/>
    <w:rsid w:val="735E082A"/>
    <w:rsid w:val="736A56BF"/>
    <w:rsid w:val="73732993"/>
    <w:rsid w:val="73824229"/>
    <w:rsid w:val="738362F2"/>
    <w:rsid w:val="739001B7"/>
    <w:rsid w:val="73A61D75"/>
    <w:rsid w:val="73AF56DD"/>
    <w:rsid w:val="73B10181"/>
    <w:rsid w:val="73C8044D"/>
    <w:rsid w:val="73CB1645"/>
    <w:rsid w:val="73CE0806"/>
    <w:rsid w:val="73D5257E"/>
    <w:rsid w:val="73E76F91"/>
    <w:rsid w:val="73E819A5"/>
    <w:rsid w:val="73F112D6"/>
    <w:rsid w:val="73F36140"/>
    <w:rsid w:val="73F54526"/>
    <w:rsid w:val="741337FF"/>
    <w:rsid w:val="7418684A"/>
    <w:rsid w:val="742A3671"/>
    <w:rsid w:val="743D5B60"/>
    <w:rsid w:val="744463E4"/>
    <w:rsid w:val="745078D0"/>
    <w:rsid w:val="74573C7D"/>
    <w:rsid w:val="745A0297"/>
    <w:rsid w:val="745D1DF2"/>
    <w:rsid w:val="746B02DE"/>
    <w:rsid w:val="7470070A"/>
    <w:rsid w:val="747C7B03"/>
    <w:rsid w:val="748050C8"/>
    <w:rsid w:val="7481100B"/>
    <w:rsid w:val="74861C89"/>
    <w:rsid w:val="74863F93"/>
    <w:rsid w:val="74883614"/>
    <w:rsid w:val="749C48A6"/>
    <w:rsid w:val="74A83017"/>
    <w:rsid w:val="74A92DB1"/>
    <w:rsid w:val="74AD2004"/>
    <w:rsid w:val="74D05E32"/>
    <w:rsid w:val="74D73693"/>
    <w:rsid w:val="74D95A94"/>
    <w:rsid w:val="74DC5D39"/>
    <w:rsid w:val="74DD0693"/>
    <w:rsid w:val="74E03F9D"/>
    <w:rsid w:val="74E66303"/>
    <w:rsid w:val="74E71189"/>
    <w:rsid w:val="74EC6A40"/>
    <w:rsid w:val="74F37229"/>
    <w:rsid w:val="74F45B9C"/>
    <w:rsid w:val="74FF2FA7"/>
    <w:rsid w:val="75037125"/>
    <w:rsid w:val="7504746A"/>
    <w:rsid w:val="750F1A37"/>
    <w:rsid w:val="75145A45"/>
    <w:rsid w:val="751634FE"/>
    <w:rsid w:val="75211CF0"/>
    <w:rsid w:val="752B7F16"/>
    <w:rsid w:val="754C5594"/>
    <w:rsid w:val="75560FE8"/>
    <w:rsid w:val="75640917"/>
    <w:rsid w:val="75751540"/>
    <w:rsid w:val="75787C5A"/>
    <w:rsid w:val="75790B8C"/>
    <w:rsid w:val="75805BB6"/>
    <w:rsid w:val="758354A2"/>
    <w:rsid w:val="75976523"/>
    <w:rsid w:val="759B72E6"/>
    <w:rsid w:val="759C4EF4"/>
    <w:rsid w:val="759E7102"/>
    <w:rsid w:val="75A05205"/>
    <w:rsid w:val="75A37EBA"/>
    <w:rsid w:val="75B144DC"/>
    <w:rsid w:val="75BF1BC5"/>
    <w:rsid w:val="75C22A91"/>
    <w:rsid w:val="75C61709"/>
    <w:rsid w:val="75CD5A50"/>
    <w:rsid w:val="75D06D38"/>
    <w:rsid w:val="75D37A22"/>
    <w:rsid w:val="75D8385C"/>
    <w:rsid w:val="75DA32E5"/>
    <w:rsid w:val="75EA1F29"/>
    <w:rsid w:val="75F96221"/>
    <w:rsid w:val="7606408C"/>
    <w:rsid w:val="76071E66"/>
    <w:rsid w:val="760E58F2"/>
    <w:rsid w:val="761C7D99"/>
    <w:rsid w:val="761F544A"/>
    <w:rsid w:val="76214099"/>
    <w:rsid w:val="762A18ED"/>
    <w:rsid w:val="76315454"/>
    <w:rsid w:val="76316710"/>
    <w:rsid w:val="76367EA1"/>
    <w:rsid w:val="76373058"/>
    <w:rsid w:val="763B3D06"/>
    <w:rsid w:val="763F7C1C"/>
    <w:rsid w:val="764A7757"/>
    <w:rsid w:val="76507A9D"/>
    <w:rsid w:val="76533F0B"/>
    <w:rsid w:val="765B2E6F"/>
    <w:rsid w:val="76654E7F"/>
    <w:rsid w:val="76671D59"/>
    <w:rsid w:val="76675C3B"/>
    <w:rsid w:val="767228B5"/>
    <w:rsid w:val="76794EAF"/>
    <w:rsid w:val="7682647B"/>
    <w:rsid w:val="768844A6"/>
    <w:rsid w:val="769F1C96"/>
    <w:rsid w:val="769F6864"/>
    <w:rsid w:val="76A32642"/>
    <w:rsid w:val="76AB3F46"/>
    <w:rsid w:val="76B25017"/>
    <w:rsid w:val="76B44B7C"/>
    <w:rsid w:val="76B51574"/>
    <w:rsid w:val="76BF071E"/>
    <w:rsid w:val="76CF109E"/>
    <w:rsid w:val="76CF6530"/>
    <w:rsid w:val="76D12520"/>
    <w:rsid w:val="76D2457D"/>
    <w:rsid w:val="76D64A64"/>
    <w:rsid w:val="76E40E51"/>
    <w:rsid w:val="76ED4281"/>
    <w:rsid w:val="76EF6C97"/>
    <w:rsid w:val="76F6287A"/>
    <w:rsid w:val="76FD191C"/>
    <w:rsid w:val="770611C6"/>
    <w:rsid w:val="77104CB6"/>
    <w:rsid w:val="771137B1"/>
    <w:rsid w:val="77126D41"/>
    <w:rsid w:val="771D5CCB"/>
    <w:rsid w:val="7730030E"/>
    <w:rsid w:val="7735770E"/>
    <w:rsid w:val="77520274"/>
    <w:rsid w:val="777613EC"/>
    <w:rsid w:val="777A1857"/>
    <w:rsid w:val="778721B7"/>
    <w:rsid w:val="778E4BDC"/>
    <w:rsid w:val="778F3379"/>
    <w:rsid w:val="7798319D"/>
    <w:rsid w:val="77A35292"/>
    <w:rsid w:val="77A91023"/>
    <w:rsid w:val="77B164B3"/>
    <w:rsid w:val="77B4189C"/>
    <w:rsid w:val="77B661C7"/>
    <w:rsid w:val="77C217CE"/>
    <w:rsid w:val="77C47A51"/>
    <w:rsid w:val="77C60F55"/>
    <w:rsid w:val="77CD4D9A"/>
    <w:rsid w:val="77D4784B"/>
    <w:rsid w:val="77DC6F3D"/>
    <w:rsid w:val="77EA418E"/>
    <w:rsid w:val="77EE25AC"/>
    <w:rsid w:val="77F22330"/>
    <w:rsid w:val="77FF5B8E"/>
    <w:rsid w:val="78007550"/>
    <w:rsid w:val="780250F0"/>
    <w:rsid w:val="780C20BB"/>
    <w:rsid w:val="781A645E"/>
    <w:rsid w:val="781E5B7E"/>
    <w:rsid w:val="7833750B"/>
    <w:rsid w:val="78473460"/>
    <w:rsid w:val="78476B80"/>
    <w:rsid w:val="785B7AEC"/>
    <w:rsid w:val="78633BB9"/>
    <w:rsid w:val="7866480C"/>
    <w:rsid w:val="78695D2B"/>
    <w:rsid w:val="78697340"/>
    <w:rsid w:val="786E205E"/>
    <w:rsid w:val="78723A52"/>
    <w:rsid w:val="787C1597"/>
    <w:rsid w:val="788B2898"/>
    <w:rsid w:val="78917805"/>
    <w:rsid w:val="78965E4A"/>
    <w:rsid w:val="789E6309"/>
    <w:rsid w:val="78BA152E"/>
    <w:rsid w:val="78C563D4"/>
    <w:rsid w:val="78D36A6B"/>
    <w:rsid w:val="78E46179"/>
    <w:rsid w:val="78EF2783"/>
    <w:rsid w:val="78F1327B"/>
    <w:rsid w:val="78F166CE"/>
    <w:rsid w:val="78F87697"/>
    <w:rsid w:val="78FF5307"/>
    <w:rsid w:val="7915054A"/>
    <w:rsid w:val="791F5C70"/>
    <w:rsid w:val="793A1D16"/>
    <w:rsid w:val="79433E60"/>
    <w:rsid w:val="795378C2"/>
    <w:rsid w:val="795D0A33"/>
    <w:rsid w:val="796138D7"/>
    <w:rsid w:val="7961683A"/>
    <w:rsid w:val="7969129E"/>
    <w:rsid w:val="796B47EC"/>
    <w:rsid w:val="7985274B"/>
    <w:rsid w:val="79892F17"/>
    <w:rsid w:val="798E36DA"/>
    <w:rsid w:val="79902D65"/>
    <w:rsid w:val="79947930"/>
    <w:rsid w:val="799559BB"/>
    <w:rsid w:val="799B7BCE"/>
    <w:rsid w:val="79B9330B"/>
    <w:rsid w:val="79C36345"/>
    <w:rsid w:val="79C91AFC"/>
    <w:rsid w:val="79D24C8C"/>
    <w:rsid w:val="79DD1412"/>
    <w:rsid w:val="79E4516F"/>
    <w:rsid w:val="79E462FC"/>
    <w:rsid w:val="79E9404F"/>
    <w:rsid w:val="79EB279B"/>
    <w:rsid w:val="79EF0484"/>
    <w:rsid w:val="79F672EA"/>
    <w:rsid w:val="79FE7282"/>
    <w:rsid w:val="7A02130C"/>
    <w:rsid w:val="7A0554A4"/>
    <w:rsid w:val="7A093C81"/>
    <w:rsid w:val="7A1E1264"/>
    <w:rsid w:val="7A25475F"/>
    <w:rsid w:val="7A2E5DB1"/>
    <w:rsid w:val="7A2F7D3E"/>
    <w:rsid w:val="7A3B11AA"/>
    <w:rsid w:val="7A5C4692"/>
    <w:rsid w:val="7A5D7C6A"/>
    <w:rsid w:val="7A667AB5"/>
    <w:rsid w:val="7A6A2192"/>
    <w:rsid w:val="7A7B4F6C"/>
    <w:rsid w:val="7A841936"/>
    <w:rsid w:val="7A88520F"/>
    <w:rsid w:val="7A8A5729"/>
    <w:rsid w:val="7A95198B"/>
    <w:rsid w:val="7A990535"/>
    <w:rsid w:val="7AA41AC2"/>
    <w:rsid w:val="7AB124AD"/>
    <w:rsid w:val="7ABA46F2"/>
    <w:rsid w:val="7ABE3E51"/>
    <w:rsid w:val="7ADB7996"/>
    <w:rsid w:val="7ADC1408"/>
    <w:rsid w:val="7AE21AF2"/>
    <w:rsid w:val="7AE502BA"/>
    <w:rsid w:val="7AE575DB"/>
    <w:rsid w:val="7AF52785"/>
    <w:rsid w:val="7B0749C7"/>
    <w:rsid w:val="7B1C747A"/>
    <w:rsid w:val="7B1D68AD"/>
    <w:rsid w:val="7B203F27"/>
    <w:rsid w:val="7B2C01F1"/>
    <w:rsid w:val="7B333078"/>
    <w:rsid w:val="7B38119B"/>
    <w:rsid w:val="7B38715D"/>
    <w:rsid w:val="7B492D83"/>
    <w:rsid w:val="7B581051"/>
    <w:rsid w:val="7B583E02"/>
    <w:rsid w:val="7B630405"/>
    <w:rsid w:val="7B6326CC"/>
    <w:rsid w:val="7B732647"/>
    <w:rsid w:val="7B8321F9"/>
    <w:rsid w:val="7B8D60F3"/>
    <w:rsid w:val="7BAE03BE"/>
    <w:rsid w:val="7BAF1D95"/>
    <w:rsid w:val="7BC2401A"/>
    <w:rsid w:val="7BC80791"/>
    <w:rsid w:val="7BDB33AA"/>
    <w:rsid w:val="7BE239A7"/>
    <w:rsid w:val="7BE64FBE"/>
    <w:rsid w:val="7BF57AED"/>
    <w:rsid w:val="7BFE016D"/>
    <w:rsid w:val="7C0E7382"/>
    <w:rsid w:val="7C1259B6"/>
    <w:rsid w:val="7C143AD8"/>
    <w:rsid w:val="7C15504B"/>
    <w:rsid w:val="7C1F387A"/>
    <w:rsid w:val="7C286BC1"/>
    <w:rsid w:val="7C343E10"/>
    <w:rsid w:val="7C384D5B"/>
    <w:rsid w:val="7C440BE5"/>
    <w:rsid w:val="7C4458CC"/>
    <w:rsid w:val="7C4660A6"/>
    <w:rsid w:val="7C5219EE"/>
    <w:rsid w:val="7C521B7C"/>
    <w:rsid w:val="7C635583"/>
    <w:rsid w:val="7C6860B0"/>
    <w:rsid w:val="7C6879D4"/>
    <w:rsid w:val="7C860296"/>
    <w:rsid w:val="7C8A2035"/>
    <w:rsid w:val="7C8A620E"/>
    <w:rsid w:val="7C936F49"/>
    <w:rsid w:val="7C9865C8"/>
    <w:rsid w:val="7C992B5F"/>
    <w:rsid w:val="7C9A1222"/>
    <w:rsid w:val="7CA22456"/>
    <w:rsid w:val="7CA2697F"/>
    <w:rsid w:val="7CBC5361"/>
    <w:rsid w:val="7CBD6B2A"/>
    <w:rsid w:val="7CC124B0"/>
    <w:rsid w:val="7CC77678"/>
    <w:rsid w:val="7CCE7D48"/>
    <w:rsid w:val="7CDE3CF8"/>
    <w:rsid w:val="7CFB604F"/>
    <w:rsid w:val="7D072780"/>
    <w:rsid w:val="7D0C76D0"/>
    <w:rsid w:val="7D197F35"/>
    <w:rsid w:val="7D2569AA"/>
    <w:rsid w:val="7D2B2DDE"/>
    <w:rsid w:val="7D2D069E"/>
    <w:rsid w:val="7D2F2F60"/>
    <w:rsid w:val="7D317177"/>
    <w:rsid w:val="7D461A2A"/>
    <w:rsid w:val="7D465FC8"/>
    <w:rsid w:val="7D49070E"/>
    <w:rsid w:val="7D4A1D97"/>
    <w:rsid w:val="7D5D30F3"/>
    <w:rsid w:val="7D5E4D55"/>
    <w:rsid w:val="7D5F5CD7"/>
    <w:rsid w:val="7D68318B"/>
    <w:rsid w:val="7D732FF0"/>
    <w:rsid w:val="7D79534F"/>
    <w:rsid w:val="7D7A3DA6"/>
    <w:rsid w:val="7D8A7D63"/>
    <w:rsid w:val="7D937BB3"/>
    <w:rsid w:val="7D947DEE"/>
    <w:rsid w:val="7D973F15"/>
    <w:rsid w:val="7D9C4475"/>
    <w:rsid w:val="7D9F3AB7"/>
    <w:rsid w:val="7DB63F5A"/>
    <w:rsid w:val="7DBD20C0"/>
    <w:rsid w:val="7DC1182B"/>
    <w:rsid w:val="7DD23BEB"/>
    <w:rsid w:val="7DD302BC"/>
    <w:rsid w:val="7DD86A7B"/>
    <w:rsid w:val="7DD9051A"/>
    <w:rsid w:val="7DDF5BA7"/>
    <w:rsid w:val="7DF157F3"/>
    <w:rsid w:val="7DF26EF2"/>
    <w:rsid w:val="7DFD1722"/>
    <w:rsid w:val="7E0547FB"/>
    <w:rsid w:val="7E0667DF"/>
    <w:rsid w:val="7E0E3764"/>
    <w:rsid w:val="7E0F5C0B"/>
    <w:rsid w:val="7E165D60"/>
    <w:rsid w:val="7E285E41"/>
    <w:rsid w:val="7E343B5B"/>
    <w:rsid w:val="7E37679A"/>
    <w:rsid w:val="7E4F377D"/>
    <w:rsid w:val="7E5533A9"/>
    <w:rsid w:val="7E5C4EFF"/>
    <w:rsid w:val="7E66788B"/>
    <w:rsid w:val="7E6E1C40"/>
    <w:rsid w:val="7E700D50"/>
    <w:rsid w:val="7E7C4F2E"/>
    <w:rsid w:val="7E7D156B"/>
    <w:rsid w:val="7E834E22"/>
    <w:rsid w:val="7E876F14"/>
    <w:rsid w:val="7E8E266E"/>
    <w:rsid w:val="7E9149BA"/>
    <w:rsid w:val="7EA05563"/>
    <w:rsid w:val="7EA6334F"/>
    <w:rsid w:val="7EAA6A11"/>
    <w:rsid w:val="7EB22A1D"/>
    <w:rsid w:val="7EB95BF8"/>
    <w:rsid w:val="7EBD69B8"/>
    <w:rsid w:val="7ED16DE7"/>
    <w:rsid w:val="7EE53694"/>
    <w:rsid w:val="7EF11EAA"/>
    <w:rsid w:val="7EFE4B8C"/>
    <w:rsid w:val="7EFF28BB"/>
    <w:rsid w:val="7F017854"/>
    <w:rsid w:val="7F112C33"/>
    <w:rsid w:val="7F116CAB"/>
    <w:rsid w:val="7F1949EB"/>
    <w:rsid w:val="7F1D501C"/>
    <w:rsid w:val="7F2514E7"/>
    <w:rsid w:val="7F2712C4"/>
    <w:rsid w:val="7F2A2345"/>
    <w:rsid w:val="7F2E04CD"/>
    <w:rsid w:val="7F3924D3"/>
    <w:rsid w:val="7F3A1854"/>
    <w:rsid w:val="7F590614"/>
    <w:rsid w:val="7F670D60"/>
    <w:rsid w:val="7F6E4F2C"/>
    <w:rsid w:val="7F731EA8"/>
    <w:rsid w:val="7F7D572F"/>
    <w:rsid w:val="7F7E5056"/>
    <w:rsid w:val="7F83401D"/>
    <w:rsid w:val="7F85081C"/>
    <w:rsid w:val="7F8759F2"/>
    <w:rsid w:val="7F8C0830"/>
    <w:rsid w:val="7F935CC2"/>
    <w:rsid w:val="7F9F4D2B"/>
    <w:rsid w:val="7FA8300C"/>
    <w:rsid w:val="7FB9157B"/>
    <w:rsid w:val="7FCC605A"/>
    <w:rsid w:val="7FD7685E"/>
    <w:rsid w:val="7FE021F4"/>
    <w:rsid w:val="7FE7641E"/>
    <w:rsid w:val="7FEC059A"/>
    <w:rsid w:val="7FEF3629"/>
    <w:rsid w:val="7FF32C78"/>
    <w:rsid w:val="7FF4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left"/>
    </w:pPr>
    <w:rPr>
      <w:rFonts w:ascii="Times New Roman" w:hAnsi="Times New Roman" w:eastAsia="宋体" w:cstheme="minorBidi"/>
      <w:b/>
      <w:kern w:val="2"/>
      <w:sz w:val="24"/>
      <w:szCs w:val="24"/>
      <w:lang w:val="en-US" w:eastAsia="zh-CN" w:bidi="ar-SA"/>
    </w:rPr>
  </w:style>
  <w:style w:type="paragraph" w:styleId="4">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kern w:val="44"/>
      <w:sz w:val="30"/>
    </w:rPr>
  </w:style>
  <w:style w:type="paragraph" w:styleId="5">
    <w:name w:val="heading 2"/>
    <w:basedOn w:val="1"/>
    <w:next w:val="1"/>
    <w:unhideWhenUsed/>
    <w:qFormat/>
    <w:uiPriority w:val="0"/>
    <w:pPr>
      <w:keepNext/>
      <w:keepLines/>
      <w:spacing w:beforeLines="0" w:beforeAutospacing="0" w:afterLines="0" w:afterAutospacing="0" w:line="240" w:lineRule="auto"/>
      <w:jc w:val="left"/>
      <w:outlineLvl w:val="1"/>
    </w:pPr>
    <w:rPr>
      <w:rFonts w:ascii="Times New Roman" w:hAnsi="Times New Roman" w:eastAsia="宋体"/>
      <w:sz w:val="28"/>
    </w:rPr>
  </w:style>
  <w:style w:type="paragraph" w:styleId="6">
    <w:name w:val="heading 3"/>
    <w:basedOn w:val="1"/>
    <w:next w:val="1"/>
    <w:unhideWhenUsed/>
    <w:qFormat/>
    <w:uiPriority w:val="0"/>
    <w:pPr>
      <w:keepNext/>
      <w:keepLines/>
      <w:spacing w:beforeLines="0" w:beforeAutospacing="0" w:afterLines="0" w:afterAutospacing="0" w:line="360" w:lineRule="auto"/>
      <w:jc w:val="left"/>
      <w:outlineLvl w:val="2"/>
    </w:pPr>
    <w:rPr>
      <w:rFonts w:ascii="Times New Roman" w:hAnsi="Times New Roman"/>
    </w:rPr>
  </w:style>
  <w:style w:type="paragraph" w:styleId="7">
    <w:name w:val="heading 4"/>
    <w:basedOn w:val="1"/>
    <w:next w:val="1"/>
    <w:unhideWhenUsed/>
    <w:qFormat/>
    <w:uiPriority w:val="0"/>
    <w:pPr>
      <w:keepNext/>
      <w:keepLines/>
      <w:spacing w:line="360" w:lineRule="auto"/>
      <w:jc w:val="left"/>
      <w:outlineLvl w:val="3"/>
    </w:pPr>
    <w:rPr>
      <w:bCs/>
      <w:szCs w:val="28"/>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Calibri" w:hAnsi="Calibri"/>
      <w:sz w:val="28"/>
      <w:szCs w:val="22"/>
    </w:rPr>
  </w:style>
  <w:style w:type="paragraph" w:styleId="3">
    <w:name w:val="Body Text Indent"/>
    <w:basedOn w:val="1"/>
    <w:next w:val="1"/>
    <w:qFormat/>
    <w:uiPriority w:val="0"/>
    <w:pPr>
      <w:spacing w:after="120"/>
      <w:ind w:left="420" w:leftChars="200"/>
    </w:pPr>
    <w:rPr>
      <w:kern w:val="0"/>
      <w:sz w:val="24"/>
      <w:szCs w:val="20"/>
    </w:rPr>
  </w:style>
  <w:style w:type="paragraph" w:styleId="8">
    <w:name w:val="Normal Indent"/>
    <w:basedOn w:val="1"/>
    <w:next w:val="1"/>
    <w:qFormat/>
    <w:uiPriority w:val="0"/>
    <w:pPr>
      <w:ind w:firstLine="420" w:firstLineChars="200"/>
    </w:pPr>
  </w:style>
  <w:style w:type="paragraph" w:styleId="9">
    <w:name w:val="caption"/>
    <w:basedOn w:val="1"/>
    <w:next w:val="1"/>
    <w:qFormat/>
    <w:uiPriority w:val="35"/>
    <w:pPr>
      <w:ind w:firstLine="0" w:firstLineChars="0"/>
      <w:jc w:val="center"/>
    </w:pPr>
    <w:rPr>
      <w:szCs w:val="20"/>
    </w:rPr>
  </w:style>
  <w:style w:type="paragraph" w:styleId="10">
    <w:name w:val="Body Text"/>
    <w:basedOn w:val="1"/>
    <w:next w:val="11"/>
    <w:qFormat/>
    <w:uiPriority w:val="0"/>
    <w:pPr>
      <w:widowControl/>
      <w:snapToGrid w:val="0"/>
      <w:spacing w:before="60" w:after="160" w:line="259" w:lineRule="auto"/>
      <w:ind w:right="113"/>
    </w:pPr>
    <w:rPr>
      <w:kern w:val="0"/>
      <w:sz w:val="18"/>
      <w:szCs w:val="20"/>
    </w:rPr>
  </w:style>
  <w:style w:type="paragraph" w:customStyle="1" w:styleId="11">
    <w:name w:val="Body Text 21"/>
    <w:basedOn w:val="1"/>
    <w:qFormat/>
    <w:uiPriority w:val="0"/>
    <w:pPr>
      <w:spacing w:after="120" w:line="480" w:lineRule="auto"/>
    </w:pPr>
  </w:style>
  <w:style w:type="paragraph" w:styleId="12">
    <w:name w:val="Plain Text"/>
    <w:basedOn w:val="1"/>
    <w:qFormat/>
    <w:uiPriority w:val="0"/>
    <w:rPr>
      <w:rFonts w:hAnsi="Courier New" w:cs="Courier New"/>
      <w:szCs w:val="21"/>
    </w:rPr>
  </w:style>
  <w:style w:type="paragraph" w:styleId="13">
    <w:name w:val="List Bullet 5"/>
    <w:basedOn w:val="1"/>
    <w:qFormat/>
    <w:uiPriority w:val="0"/>
    <w:pPr>
      <w:numPr>
        <w:ilvl w:val="0"/>
        <w:numId w:val="1"/>
      </w:numPr>
    </w:pPr>
  </w:style>
  <w:style w:type="paragraph" w:styleId="14">
    <w:name w:val="Body Text Indent 2"/>
    <w:basedOn w:val="1"/>
    <w:next w:val="2"/>
    <w:qFormat/>
    <w:uiPriority w:val="99"/>
    <w:pPr>
      <w:spacing w:after="120" w:line="480" w:lineRule="auto"/>
      <w:ind w:left="420" w:leftChars="200"/>
    </w:pPr>
  </w:style>
  <w:style w:type="paragraph" w:styleId="15">
    <w:name w:val="Balloon Text"/>
    <w:basedOn w:val="1"/>
    <w:semiHidden/>
    <w:qFormat/>
    <w:uiPriority w:val="0"/>
    <w:rPr>
      <w:kern w:val="0"/>
      <w:sz w:val="18"/>
      <w:szCs w:val="20"/>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Body Text 2"/>
    <w:basedOn w:val="1"/>
    <w:link w:val="48"/>
    <w:unhideWhenUsed/>
    <w:qFormat/>
    <w:uiPriority w:val="99"/>
    <w:pPr>
      <w:spacing w:line="360" w:lineRule="auto"/>
      <w:ind w:firstLine="602" w:firstLineChars="200"/>
      <w:jc w:val="left"/>
    </w:pPr>
    <w:rPr>
      <w:rFonts w:ascii="Times New Roman" w:hAnsi="Times New Roman" w:eastAsia="宋体"/>
      <w:b w:val="0"/>
      <w:sz w:val="24"/>
    </w:rPr>
  </w:style>
  <w:style w:type="paragraph" w:styleId="19">
    <w:name w:val="Normal (Web)"/>
    <w:basedOn w:val="1"/>
    <w:link w:val="47"/>
    <w:qFormat/>
    <w:uiPriority w:val="0"/>
    <w:pPr>
      <w:widowControl/>
      <w:spacing w:before="100" w:beforeAutospacing="1" w:after="100" w:afterAutospacing="1"/>
      <w:jc w:val="left"/>
    </w:pPr>
    <w:rPr>
      <w:rFonts w:ascii="宋体" w:hAnsi="宋体"/>
      <w:kern w:val="0"/>
      <w:sz w:val="24"/>
      <w:szCs w:val="20"/>
    </w:rPr>
  </w:style>
  <w:style w:type="paragraph" w:styleId="20">
    <w:name w:val="Body Text First Indent"/>
    <w:basedOn w:val="10"/>
    <w:next w:val="1"/>
    <w:qFormat/>
    <w:uiPriority w:val="0"/>
    <w:pPr>
      <w:ind w:firstLine="420" w:firstLineChars="1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正文1"/>
    <w:basedOn w:val="8"/>
    <w:next w:val="8"/>
    <w:qFormat/>
    <w:uiPriority w:val="0"/>
    <w:pPr>
      <w:adjustRightInd/>
      <w:snapToGrid/>
      <w:spacing w:line="240" w:lineRule="auto"/>
      <w:ind w:firstLine="0" w:firstLineChars="0"/>
      <w:jc w:val="center"/>
    </w:pPr>
    <w:rPr>
      <w:rFonts w:ascii="Times New Roman" w:hAnsi="Times New Roman" w:eastAsia="宋体"/>
      <w:b w:val="0"/>
      <w:sz w:val="21"/>
    </w:rPr>
  </w:style>
  <w:style w:type="paragraph" w:customStyle="1" w:styleId="27">
    <w:name w:val="表格字体"/>
    <w:basedOn w:val="28"/>
    <w:qFormat/>
    <w:uiPriority w:val="0"/>
    <w:pPr>
      <w:spacing w:line="240" w:lineRule="auto"/>
    </w:pPr>
    <w:rPr>
      <w:rFonts w:ascii="Times New Roman" w:hAnsi="Times New Roman" w:eastAsia="宋体"/>
      <w:b w:val="0"/>
    </w:rPr>
  </w:style>
  <w:style w:type="paragraph" w:customStyle="1" w:styleId="28">
    <w:name w:val="表头字体"/>
    <w:basedOn w:val="1"/>
    <w:qFormat/>
    <w:uiPriority w:val="0"/>
    <w:pPr>
      <w:spacing w:line="360" w:lineRule="auto"/>
      <w:jc w:val="center"/>
    </w:pPr>
  </w:style>
  <w:style w:type="paragraph" w:customStyle="1" w:styleId="29">
    <w:name w:val="表格内容"/>
    <w:next w:val="30"/>
    <w:qFormat/>
    <w:uiPriority w:val="0"/>
    <w:pPr>
      <w:spacing w:line="240" w:lineRule="auto"/>
      <w:jc w:val="center"/>
    </w:pPr>
    <w:rPr>
      <w:rFonts w:ascii="Times New Roman" w:hAnsi="Times New Roman" w:eastAsia="宋体" w:cs="Times New Roman"/>
      <w:kern w:val="2"/>
      <w:sz w:val="21"/>
      <w:szCs w:val="24"/>
      <w:lang w:val="zh-TW" w:eastAsia="zh-TW" w:bidi="ar-SA"/>
    </w:rPr>
  </w:style>
  <w:style w:type="paragraph" w:customStyle="1" w:styleId="30">
    <w:name w:val="文本正文"/>
    <w:basedOn w:val="1"/>
    <w:qFormat/>
    <w:uiPriority w:val="0"/>
    <w:pPr>
      <w:ind w:firstLine="480"/>
    </w:pPr>
  </w:style>
  <w:style w:type="paragraph" w:customStyle="1" w:styleId="31">
    <w:name w:val="正文格式"/>
    <w:basedOn w:val="1"/>
    <w:qFormat/>
    <w:uiPriority w:val="0"/>
    <w:pPr>
      <w:spacing w:before="78" w:beforeLines="25" w:after="78" w:afterLines="25" w:line="360" w:lineRule="auto"/>
      <w:ind w:firstLine="40"/>
    </w:pPr>
    <w:rPr>
      <w:rFonts w:ascii="Times New Roman" w:hAnsi="Times New Roman"/>
    </w:rPr>
  </w:style>
  <w:style w:type="paragraph" w:customStyle="1" w:styleId="32">
    <w:name w:val="正文首行缩进 21"/>
    <w:basedOn w:val="33"/>
    <w:next w:val="10"/>
    <w:qFormat/>
    <w:uiPriority w:val="0"/>
    <w:pPr>
      <w:spacing w:after="120"/>
      <w:ind w:left="420" w:leftChars="200" w:firstLine="420" w:firstLineChars="200"/>
    </w:pPr>
    <w:rPr>
      <w:sz w:val="21"/>
    </w:rPr>
  </w:style>
  <w:style w:type="paragraph" w:customStyle="1" w:styleId="33">
    <w:name w:val="正文文本缩进1"/>
    <w:basedOn w:val="1"/>
    <w:qFormat/>
    <w:uiPriority w:val="0"/>
    <w:pPr>
      <w:ind w:firstLine="538" w:firstLineChars="192"/>
    </w:pPr>
    <w:rPr>
      <w:kern w:val="0"/>
      <w:sz w:val="28"/>
    </w:rPr>
  </w:style>
  <w:style w:type="paragraph" w:customStyle="1" w:styleId="34">
    <w:name w:val="1"/>
    <w:basedOn w:val="1"/>
    <w:qFormat/>
    <w:uiPriority w:val="0"/>
    <w:pPr>
      <w:ind w:firstLine="720" w:firstLineChars="200"/>
      <w:jc w:val="left"/>
    </w:pPr>
    <w:rPr>
      <w:rFonts w:hint="eastAsia" w:ascii="Times New Roman" w:hAnsi="Times New Roman" w:cs="Times New Roman"/>
      <w:sz w:val="24"/>
      <w:szCs w:val="32"/>
    </w:rPr>
  </w:style>
  <w:style w:type="paragraph" w:customStyle="1" w:styleId="35">
    <w:name w:val="样式 正文缩进正文缩进2正文缩进 Char Char正文缩进 Char Char Char Char正文缩进 Char ..."/>
    <w:basedOn w:val="8"/>
    <w:qFormat/>
    <w:uiPriority w:val="0"/>
    <w:pPr>
      <w:widowControl w:val="0"/>
      <w:tabs>
        <w:tab w:val="left" w:pos="840"/>
      </w:tabs>
      <w:spacing w:line="360" w:lineRule="auto"/>
      <w:ind w:firstLine="200" w:firstLineChars="200"/>
      <w:jc w:val="both"/>
    </w:pPr>
    <w:rPr>
      <w:kern w:val="2"/>
      <w:sz w:val="24"/>
      <w:szCs w:val="24"/>
      <w:lang w:val="en-US" w:eastAsia="zh-CN" w:bidi="ar-SA"/>
    </w:rPr>
  </w:style>
  <w:style w:type="paragraph" w:customStyle="1" w:styleId="36">
    <w:name w:val="表头"/>
    <w:basedOn w:val="8"/>
    <w:next w:val="1"/>
    <w:qFormat/>
    <w:uiPriority w:val="0"/>
    <w:pPr>
      <w:spacing w:line="240" w:lineRule="auto"/>
      <w:ind w:firstLine="0" w:firstLineChars="0"/>
      <w:jc w:val="center"/>
    </w:pPr>
    <w:rPr>
      <w:bCs/>
      <w:sz w:val="21"/>
      <w:szCs w:val="21"/>
    </w:rPr>
  </w:style>
  <w:style w:type="paragraph" w:customStyle="1" w:styleId="37">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8">
    <w:name w:val="正文001"/>
    <w:basedOn w:val="1"/>
    <w:qFormat/>
    <w:uiPriority w:val="0"/>
    <w:pPr>
      <w:spacing w:before="60" w:line="460" w:lineRule="exact"/>
      <w:ind w:firstLine="482"/>
    </w:pPr>
    <w:rPr>
      <w:sz w:val="24"/>
      <w:szCs w:val="20"/>
    </w:rPr>
  </w:style>
  <w:style w:type="paragraph" w:customStyle="1" w:styleId="39">
    <w:name w:val="表格001"/>
    <w:basedOn w:val="1"/>
    <w:qFormat/>
    <w:uiPriority w:val="0"/>
    <w:pPr>
      <w:jc w:val="center"/>
    </w:pPr>
    <w:rPr>
      <w:szCs w:val="20"/>
    </w:rPr>
  </w:style>
  <w:style w:type="paragraph" w:customStyle="1" w:styleId="40">
    <w:name w:val="M正文"/>
    <w:basedOn w:val="1"/>
    <w:qFormat/>
    <w:uiPriority w:val="0"/>
    <w:pPr>
      <w:ind w:firstLine="200"/>
    </w:pPr>
    <w:rPr>
      <w:szCs w:val="21"/>
    </w:rPr>
  </w:style>
  <w:style w:type="paragraph" w:customStyle="1" w:styleId="41">
    <w:name w:val="德源报告表表格"/>
    <w:qFormat/>
    <w:uiPriority w:val="0"/>
    <w:pPr>
      <w:adjustRightInd w:val="0"/>
      <w:snapToGrid w:val="0"/>
      <w:spacing w:line="360" w:lineRule="exact"/>
      <w:jc w:val="center"/>
    </w:pPr>
    <w:rPr>
      <w:rFonts w:ascii="Times New Roman" w:hAnsi="Times New Roman" w:eastAsia="宋体" w:cs="Times New Roman"/>
      <w:snapToGrid w:val="0"/>
      <w:sz w:val="21"/>
      <w:szCs w:val="21"/>
      <w:lang w:val="en-US" w:eastAsia="zh-CN" w:bidi="ar-SA"/>
    </w:rPr>
  </w:style>
  <w:style w:type="paragraph" w:customStyle="1" w:styleId="42">
    <w:name w:val="表中文字"/>
    <w:next w:val="1"/>
    <w:qFormat/>
    <w:uiPriority w:val="0"/>
    <w:pPr>
      <w:jc w:val="center"/>
    </w:pPr>
    <w:rPr>
      <w:rFonts w:ascii="Times New Roman" w:hAnsi="Times New Roman" w:eastAsia="宋体" w:cstheme="minorBidi"/>
      <w:color w:val="000000"/>
      <w:kern w:val="2"/>
      <w:sz w:val="21"/>
      <w:szCs w:val="24"/>
      <w:lang w:val="en-US" w:eastAsia="zh-CN" w:bidi="ar-SA"/>
    </w:rPr>
  </w:style>
  <w:style w:type="paragraph" w:customStyle="1" w:styleId="43">
    <w:name w:val="图表后空行"/>
    <w:next w:val="1"/>
    <w:qFormat/>
    <w:uiPriority w:val="0"/>
    <w:pPr>
      <w:ind w:firstLine="200"/>
    </w:pPr>
    <w:rPr>
      <w:rFonts w:ascii="Times New Roman" w:hAnsi="Times New Roman" w:eastAsia="宋体" w:cstheme="minorBidi"/>
      <w:kern w:val="2"/>
      <w:sz w:val="18"/>
      <w:szCs w:val="24"/>
      <w:lang w:val="en-US" w:eastAsia="zh-CN" w:bidi="ar-SA"/>
    </w:rPr>
  </w:style>
  <w:style w:type="paragraph" w:customStyle="1" w:styleId="44">
    <w:name w:val="表格1"/>
    <w:basedOn w:val="1"/>
    <w:qFormat/>
    <w:uiPriority w:val="0"/>
    <w:pPr>
      <w:adjustRightInd w:val="0"/>
      <w:snapToGrid w:val="0"/>
      <w:jc w:val="center"/>
    </w:pPr>
    <w:rPr>
      <w:rFonts w:ascii="Times New Roman" w:hAnsi="Times New Roman" w:eastAsia="方正仿宋_GBK"/>
      <w:color w:val="000000"/>
      <w:kern w:val="0"/>
      <w:szCs w:val="24"/>
    </w:rPr>
  </w:style>
  <w:style w:type="paragraph" w:customStyle="1" w:styleId="45">
    <w:name w:val="表格正文"/>
    <w:basedOn w:val="46"/>
    <w:qFormat/>
    <w:uiPriority w:val="0"/>
    <w:pPr>
      <w:wordWrap w:val="0"/>
    </w:pPr>
    <w:rPr>
      <w:b w:val="0"/>
    </w:rPr>
  </w:style>
  <w:style w:type="paragraph" w:customStyle="1" w:styleId="46">
    <w:name w:val="表格标题"/>
    <w:basedOn w:val="36"/>
    <w:qFormat/>
    <w:uiPriority w:val="0"/>
    <w:rPr>
      <w:rFonts w:hint="default"/>
    </w:rPr>
  </w:style>
  <w:style w:type="character" w:customStyle="1" w:styleId="47">
    <w:name w:val="普通(网站) Char"/>
    <w:link w:val="19"/>
    <w:qFormat/>
    <w:uiPriority w:val="0"/>
    <w:rPr>
      <w:rFonts w:ascii="宋体" w:hAnsi="宋体"/>
      <w:kern w:val="0"/>
      <w:sz w:val="24"/>
      <w:szCs w:val="20"/>
    </w:rPr>
  </w:style>
  <w:style w:type="character" w:customStyle="1" w:styleId="48">
    <w:name w:val="正文文本 2 Char1"/>
    <w:link w:val="18"/>
    <w:qFormat/>
    <w:uiPriority w:val="99"/>
    <w:rPr>
      <w:rFonts w:ascii="Times New Roman" w:hAnsi="Times New Roman" w:eastAsia="宋体"/>
      <w:sz w:val="24"/>
    </w:rPr>
  </w:style>
  <w:style w:type="paragraph" w:customStyle="1" w:styleId="49">
    <w:name w:val="Default"/>
    <w:basedOn w:val="50"/>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纯文本1"/>
    <w:basedOn w:val="1"/>
    <w:qFormat/>
    <w:uiPriority w:val="0"/>
    <w:rPr>
      <w:rFonts w:ascii="宋体" w:hAnsi="Courier New" w:cs="Courier New"/>
      <w:kern w:val="2"/>
      <w:sz w:val="21"/>
      <w:szCs w:val="21"/>
    </w:rPr>
  </w:style>
  <w:style w:type="paragraph" w:customStyle="1" w:styleId="51">
    <w:name w:val="1 表头"/>
    <w:basedOn w:val="1"/>
    <w:qFormat/>
    <w:uiPriority w:val="0"/>
    <w:pPr>
      <w:adjustRightInd w:val="0"/>
      <w:snapToGrid w:val="0"/>
      <w:spacing w:line="240" w:lineRule="auto"/>
      <w:ind w:firstLine="0" w:firstLineChars="0"/>
      <w:jc w:val="center"/>
    </w:pPr>
    <w:rPr>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wmf"/><Relationship Id="rId14" Type="http://schemas.openxmlformats.org/officeDocument/2006/relationships/oleObject" Target="embeddings/oleObject2.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2020-11-16T09:40:00Z</dcterms:created>
  <dc:creator>Administrator</dc:creator>
  <cp:lastModifiedBy>Damon</cp:lastModifiedBy>
  <cp:lastPrinted>2021-11-22T03:57:36Z</cp:lastPrinted>
  <dcterms:modified xsi:type="dcterms:W3CDTF">2021-11-22T04:01:29Z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EE70B87E6F3840768D6D150279359076</vt:lpwstr>
  </property>
</Properties>
</file>