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bookmarkStart w:id="0" w:name="_Hlk57883707"/>
      <w:bookmarkStart w:id="1" w:name="_Hlk86049607"/>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bookmarkEnd w:id="0"/>
    <w:p>
      <w:pPr>
        <w:adjustRightInd w:val="0"/>
        <w:snapToGrid w:val="0"/>
        <w:jc w:val="center"/>
        <w:outlineLvl w:val="0"/>
        <w:rPr>
          <w:rFonts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（生态影响类）</w:t>
      </w:r>
    </w:p>
    <w:p>
      <w:pPr>
        <w:adjustRightInd w:val="0"/>
        <w:snapToGrid w:val="0"/>
        <w:spacing w:line="288" w:lineRule="auto"/>
        <w:jc w:val="center"/>
        <w:outlineLvl w:val="0"/>
        <w:rPr>
          <w:rFonts w:ascii="华文仿宋" w:hAnsi="华文仿宋" w:eastAsia="华文仿宋" w:cs="华文仿宋"/>
          <w:kern w:val="44"/>
          <w:sz w:val="44"/>
          <w:szCs w:val="44"/>
        </w:rPr>
      </w:pPr>
      <w:bookmarkStart w:id="2" w:name="_Hlk57883728"/>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bookmarkEnd w:id="2"/>
    <w:p>
      <w:pPr>
        <w:adjustRightInd w:val="0"/>
        <w:snapToGrid w:val="0"/>
        <w:spacing w:line="288" w:lineRule="auto"/>
        <w:ind w:firstLine="720" w:firstLineChars="200"/>
        <w:rPr>
          <w:rFonts w:ascii="仿宋_GB2312" w:eastAsia="仿宋_GB2312"/>
          <w:sz w:val="36"/>
          <w:szCs w:val="36"/>
          <w:u w:val="single"/>
        </w:rPr>
      </w:pPr>
      <w:r>
        <w:rPr>
          <w:rFonts w:hint="eastAsia" w:ascii="仿宋_GB2312" w:eastAsia="仿宋_GB2312"/>
          <w:sz w:val="36"/>
          <w:szCs w:val="36"/>
        </w:rPr>
        <w:t>项目名称：</w:t>
      </w:r>
      <w:r>
        <w:rPr>
          <w:rFonts w:hint="eastAsia" w:ascii="仿宋_GB2312" w:eastAsia="仿宋_GB2312"/>
          <w:sz w:val="36"/>
          <w:szCs w:val="36"/>
          <w:u w:val="single"/>
        </w:rPr>
        <w:t xml:space="preserve">新疆阜康市规划四号石英砂矿采矿项目            </w:t>
      </w:r>
    </w:p>
    <w:p>
      <w:pPr>
        <w:adjustRightInd w:val="0"/>
        <w:snapToGrid w:val="0"/>
        <w:spacing w:line="288" w:lineRule="auto"/>
        <w:ind w:firstLine="720" w:firstLineChars="200"/>
        <w:rPr>
          <w:rFonts w:ascii="仿宋_GB2312" w:eastAsia="仿宋_GB2312"/>
          <w:sz w:val="36"/>
          <w:szCs w:val="36"/>
          <w:u w:val="single"/>
        </w:rPr>
      </w:pPr>
      <w:r>
        <w:rPr>
          <w:rFonts w:hint="eastAsia" w:ascii="仿宋_GB2312" w:eastAsia="仿宋_GB2312"/>
          <w:sz w:val="36"/>
          <w:szCs w:val="36"/>
        </w:rPr>
        <w:t>建设单位（盖章）：</w:t>
      </w:r>
      <w:r>
        <w:rPr>
          <w:rFonts w:hint="eastAsia" w:ascii="仿宋_GB2312" w:eastAsia="仿宋_GB2312"/>
          <w:sz w:val="36"/>
          <w:szCs w:val="36"/>
          <w:u w:val="single"/>
        </w:rPr>
        <w:t xml:space="preserve">新疆世纪能源集团有限公司    </w:t>
      </w:r>
    </w:p>
    <w:p>
      <w:pPr>
        <w:adjustRightInd w:val="0"/>
        <w:snapToGrid w:val="0"/>
        <w:spacing w:line="288" w:lineRule="auto"/>
        <w:ind w:firstLine="720" w:firstLineChars="200"/>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rPr>
        <w:t>2021年</w:t>
      </w:r>
      <w:r>
        <w:rPr>
          <w:rFonts w:ascii="仿宋_GB2312" w:eastAsia="仿宋_GB2312"/>
          <w:sz w:val="36"/>
          <w:szCs w:val="36"/>
          <w:u w:val="single"/>
        </w:rPr>
        <w:t>10</w:t>
      </w:r>
      <w:r>
        <w:rPr>
          <w:rFonts w:hint="eastAsia" w:ascii="仿宋_GB2312" w:eastAsia="仿宋_GB2312"/>
          <w:sz w:val="36"/>
          <w:szCs w:val="36"/>
          <w:u w:val="single"/>
        </w:rPr>
        <w:t>月</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pPr>
        <w:adjustRightInd w:val="0"/>
        <w:snapToGrid w:val="0"/>
        <w:spacing w:line="288" w:lineRule="auto"/>
        <w:ind w:firstLine="1040"/>
        <w:rPr>
          <w:rFonts w:ascii="仿宋_GB2312" w:eastAsia="仿宋_GB2312"/>
          <w:sz w:val="36"/>
          <w:szCs w:val="36"/>
          <w:u w:val="single"/>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bookmarkEnd w:id="1"/>
    <w:p>
      <w:pPr>
        <w:adjustRightInd w:val="0"/>
        <w:snapToGrid w:val="0"/>
        <w:spacing w:line="288" w:lineRule="auto"/>
        <w:ind w:firstLine="1040"/>
        <w:rPr>
          <w:rFonts w:ascii="仿宋_GB2312" w:eastAsia="仿宋_GB2312"/>
          <w:sz w:val="36"/>
          <w:szCs w:val="36"/>
        </w:rPr>
      </w:pPr>
    </w:p>
    <w:p>
      <w:pPr>
        <w:pStyle w:val="36"/>
        <w:rPr>
          <w:color w:val="auto"/>
        </w:rPr>
        <w:sectPr>
          <w:footerReference r:id="rId3" w:type="default"/>
          <w:footerReference r:id="rId4" w:type="even"/>
          <w:pgSz w:w="11906" w:h="16838"/>
          <w:pgMar w:top="1701" w:right="1531" w:bottom="1701" w:left="1531" w:header="851" w:footer="1077" w:gutter="0"/>
          <w:pgNumType w:start="21"/>
          <w:cols w:space="720" w:num="1"/>
          <w:docGrid w:linePitch="312" w:charSpace="0"/>
        </w:sectPr>
      </w:pPr>
    </w:p>
    <w:p>
      <w:pPr>
        <w:pStyle w:val="28"/>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31"/>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26"/>
        <w:gridCol w:w="2043"/>
        <w:gridCol w:w="2238"/>
        <w:gridCol w:w="2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建设项目名称</w:t>
            </w:r>
          </w:p>
        </w:tc>
        <w:tc>
          <w:tcPr>
            <w:tcW w:w="6813" w:type="dxa"/>
            <w:gridSpan w:val="3"/>
            <w:vAlign w:val="center"/>
          </w:tcPr>
          <w:p>
            <w:pPr>
              <w:adjustRightInd w:val="0"/>
              <w:snapToGrid w:val="0"/>
              <w:jc w:val="center"/>
              <w:rPr>
                <w:rFonts w:ascii="宋体" w:hAnsi="宋体" w:cs="宋体"/>
                <w:sz w:val="24"/>
              </w:rPr>
            </w:pPr>
            <w:r>
              <w:rPr>
                <w:rFonts w:hint="eastAsia"/>
                <w:sz w:val="24"/>
              </w:rPr>
              <w:t>新疆阜康市规划四号石英砂矿采矿项目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55"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项目代码</w:t>
            </w:r>
          </w:p>
        </w:tc>
        <w:tc>
          <w:tcPr>
            <w:tcW w:w="6813" w:type="dxa"/>
            <w:gridSpan w:val="3"/>
            <w:vAlign w:val="center"/>
          </w:tcPr>
          <w:p>
            <w:pPr>
              <w:adjustRightInd w:val="0"/>
              <w:snapToGrid w:val="0"/>
              <w:jc w:val="center"/>
              <w:rPr>
                <w:rFonts w:ascii="宋体" w:hAnsi="宋体" w:cs="宋体"/>
                <w:sz w:val="24"/>
              </w:rPr>
            </w:pPr>
            <w:r>
              <w:rPr>
                <w:rFonts w:hint="eastAsia" w:ascii="宋体" w:hAnsi="宋体" w:cs="宋体"/>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建设单位联系人</w:t>
            </w:r>
          </w:p>
        </w:tc>
        <w:tc>
          <w:tcPr>
            <w:tcW w:w="2043" w:type="dxa"/>
            <w:vAlign w:val="center"/>
          </w:tcPr>
          <w:p>
            <w:pPr>
              <w:adjustRightInd w:val="0"/>
              <w:snapToGrid w:val="0"/>
              <w:jc w:val="center"/>
              <w:rPr>
                <w:rFonts w:ascii="宋体" w:hAnsi="宋体" w:cs="宋体"/>
                <w:sz w:val="24"/>
              </w:rPr>
            </w:pPr>
            <w:bookmarkStart w:id="3" w:name="_Hlk86050325"/>
            <w:r>
              <w:rPr>
                <w:rFonts w:hint="eastAsia" w:ascii="宋体" w:hAnsi="宋体" w:cs="宋体"/>
                <w:sz w:val="24"/>
              </w:rPr>
              <w:t>王国义</w:t>
            </w:r>
            <w:bookmarkEnd w:id="3"/>
          </w:p>
        </w:tc>
        <w:tc>
          <w:tcPr>
            <w:tcW w:w="2238" w:type="dxa"/>
            <w:vAlign w:val="center"/>
          </w:tcPr>
          <w:p>
            <w:pPr>
              <w:adjustRightInd w:val="0"/>
              <w:snapToGrid w:val="0"/>
              <w:jc w:val="center"/>
              <w:rPr>
                <w:rFonts w:ascii="宋体" w:hAnsi="宋体" w:cs="宋体"/>
                <w:sz w:val="24"/>
              </w:rPr>
            </w:pPr>
            <w:r>
              <w:rPr>
                <w:rFonts w:hint="eastAsia" w:ascii="宋体" w:hAnsi="宋体" w:cs="宋体"/>
                <w:sz w:val="24"/>
              </w:rPr>
              <w:t>联系方式</w:t>
            </w:r>
          </w:p>
        </w:tc>
        <w:tc>
          <w:tcPr>
            <w:tcW w:w="2532" w:type="dxa"/>
            <w:vAlign w:val="center"/>
          </w:tcPr>
          <w:p>
            <w:pPr>
              <w:adjustRightInd w:val="0"/>
              <w:snapToGrid w:val="0"/>
              <w:jc w:val="center"/>
              <w:rPr>
                <w:rFonts w:ascii="宋体" w:hAnsi="宋体" w:cs="宋体"/>
                <w:sz w:val="24"/>
              </w:rPr>
            </w:pPr>
            <w:bookmarkStart w:id="4" w:name="_Hlk86050331"/>
            <w:r>
              <w:rPr>
                <w:sz w:val="24"/>
              </w:rPr>
              <w:t>13999837188</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建设地点</w:t>
            </w:r>
          </w:p>
        </w:tc>
        <w:tc>
          <w:tcPr>
            <w:tcW w:w="6813" w:type="dxa"/>
            <w:gridSpan w:val="3"/>
            <w:vAlign w:val="center"/>
          </w:tcPr>
          <w:p>
            <w:pPr>
              <w:adjustRightInd w:val="0"/>
              <w:snapToGrid w:val="0"/>
              <w:jc w:val="center"/>
              <w:rPr>
                <w:rFonts w:ascii="宋体" w:hAnsi="宋体" w:cs="宋体"/>
                <w:sz w:val="24"/>
              </w:rPr>
            </w:pPr>
            <w:r>
              <w:rPr>
                <w:rFonts w:hint="eastAsia"/>
                <w:sz w:val="24"/>
              </w:rPr>
              <w:t>新疆维吾尔自治区昌吉回族自治州阜康市北部准格尔盆地古尔班通古特沙漠东部，阜康市城区1</w:t>
            </w:r>
            <w:r>
              <w:rPr>
                <w:sz w:val="24"/>
              </w:rPr>
              <w:t>7</w:t>
            </w:r>
            <w:r>
              <w:rPr>
                <w:rFonts w:hint="eastAsia"/>
                <w:sz w:val="24"/>
              </w:rPr>
              <w:t>°方位，距离阜康市直线距离78km处。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55"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地理坐标</w:t>
            </w:r>
          </w:p>
        </w:tc>
        <w:tc>
          <w:tcPr>
            <w:tcW w:w="6813" w:type="dxa"/>
            <w:gridSpan w:val="3"/>
            <w:vAlign w:val="center"/>
          </w:tcPr>
          <w:p>
            <w:pPr>
              <w:adjustRightInd w:val="0"/>
              <w:snapToGrid w:val="0"/>
              <w:jc w:val="center"/>
              <w:rPr>
                <w:rFonts w:ascii="宋体" w:hAnsi="宋体" w:cs="宋体"/>
                <w:sz w:val="24"/>
              </w:rPr>
            </w:pPr>
            <w:r>
              <w:rPr>
                <w:sz w:val="24"/>
              </w:rPr>
              <w:t>（</w:t>
            </w:r>
            <w:r>
              <w:rPr>
                <w:rFonts w:hint="eastAsia"/>
                <w:sz w:val="24"/>
                <w:u w:val="single"/>
              </w:rPr>
              <w:t>8</w:t>
            </w:r>
            <w:r>
              <w:rPr>
                <w:sz w:val="24"/>
                <w:u w:val="single"/>
              </w:rPr>
              <w:t>8</w:t>
            </w:r>
            <w:r>
              <w:rPr>
                <w:sz w:val="24"/>
              </w:rPr>
              <w:t>度</w:t>
            </w:r>
            <w:r>
              <w:rPr>
                <w:sz w:val="24"/>
                <w:u w:val="single"/>
              </w:rPr>
              <w:t>16</w:t>
            </w:r>
            <w:r>
              <w:rPr>
                <w:sz w:val="24"/>
              </w:rPr>
              <w:t>分</w:t>
            </w:r>
            <w:r>
              <w:rPr>
                <w:rFonts w:hint="eastAsia"/>
                <w:sz w:val="24"/>
                <w:u w:val="single"/>
              </w:rPr>
              <w:t>1</w:t>
            </w:r>
            <w:r>
              <w:rPr>
                <w:sz w:val="24"/>
                <w:u w:val="single"/>
              </w:rPr>
              <w:t>.500</w:t>
            </w:r>
            <w:r>
              <w:rPr>
                <w:sz w:val="24"/>
              </w:rPr>
              <w:t>秒，</w:t>
            </w:r>
            <w:r>
              <w:rPr>
                <w:rFonts w:hint="eastAsia"/>
                <w:sz w:val="24"/>
                <w:u w:val="single"/>
              </w:rPr>
              <w:t>4</w:t>
            </w:r>
            <w:r>
              <w:rPr>
                <w:sz w:val="24"/>
                <w:u w:val="single"/>
              </w:rPr>
              <w:t>4</w:t>
            </w:r>
            <w:r>
              <w:rPr>
                <w:sz w:val="24"/>
              </w:rPr>
              <w:t>度</w:t>
            </w:r>
            <w:r>
              <w:rPr>
                <w:sz w:val="24"/>
                <w:u w:val="single"/>
              </w:rPr>
              <w:t>49</w:t>
            </w:r>
            <w:r>
              <w:rPr>
                <w:sz w:val="24"/>
              </w:rPr>
              <w:t>分</w:t>
            </w:r>
            <w:r>
              <w:rPr>
                <w:sz w:val="24"/>
                <w:u w:val="single"/>
              </w:rPr>
              <w:t>33.000</w:t>
            </w:r>
            <w:r>
              <w:rPr>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15"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建设项目</w:t>
            </w:r>
          </w:p>
          <w:p>
            <w:pPr>
              <w:adjustRightInd w:val="0"/>
              <w:snapToGrid w:val="0"/>
              <w:jc w:val="center"/>
              <w:rPr>
                <w:rFonts w:ascii="宋体" w:hAnsi="宋体" w:cs="宋体"/>
                <w:sz w:val="24"/>
              </w:rPr>
            </w:pPr>
            <w:r>
              <w:rPr>
                <w:rFonts w:hint="eastAsia" w:ascii="宋体" w:hAnsi="宋体" w:cs="宋体"/>
                <w:sz w:val="24"/>
              </w:rPr>
              <w:t>行业类别</w:t>
            </w:r>
          </w:p>
        </w:tc>
        <w:tc>
          <w:tcPr>
            <w:tcW w:w="2043" w:type="dxa"/>
            <w:vAlign w:val="center"/>
          </w:tcPr>
          <w:p>
            <w:pPr>
              <w:adjustRightInd w:val="0"/>
              <w:snapToGrid w:val="0"/>
              <w:jc w:val="center"/>
              <w:rPr>
                <w:rFonts w:ascii="宋体" w:hAnsi="宋体" w:cs="宋体"/>
                <w:sz w:val="24"/>
              </w:rPr>
            </w:pPr>
            <w:r>
              <w:rPr>
                <w:rFonts w:hint="eastAsia"/>
                <w:sz w:val="24"/>
              </w:rPr>
              <w:t>八</w:t>
            </w:r>
            <w:r>
              <w:rPr>
                <w:sz w:val="24"/>
              </w:rPr>
              <w:t>、</w:t>
            </w:r>
            <w:r>
              <w:rPr>
                <w:rFonts w:hint="eastAsia"/>
                <w:sz w:val="24"/>
              </w:rPr>
              <w:t>非金属矿采选业</w:t>
            </w:r>
            <w:r>
              <w:rPr>
                <w:sz w:val="24"/>
              </w:rPr>
              <w:t xml:space="preserve"> </w:t>
            </w:r>
            <w:r>
              <w:rPr>
                <w:rFonts w:hint="eastAsia"/>
                <w:sz w:val="24"/>
              </w:rPr>
              <w:t>11土砂石开采101（不含河道采砂项目）</w:t>
            </w:r>
          </w:p>
        </w:tc>
        <w:tc>
          <w:tcPr>
            <w:tcW w:w="2238" w:type="dxa"/>
            <w:vAlign w:val="center"/>
          </w:tcPr>
          <w:p>
            <w:pPr>
              <w:adjustRightInd w:val="0"/>
              <w:snapToGrid w:val="0"/>
              <w:jc w:val="center"/>
              <w:rPr>
                <w:rFonts w:ascii="宋体" w:hAnsi="宋体" w:cs="宋体"/>
                <w:sz w:val="24"/>
              </w:rPr>
            </w:pPr>
            <w:r>
              <w:rPr>
                <w:sz w:val="24"/>
              </w:rPr>
              <w:t>用地（用海）面积（m</w:t>
            </w:r>
            <w:r>
              <w:rPr>
                <w:sz w:val="24"/>
                <w:vertAlign w:val="superscript"/>
              </w:rPr>
              <w:t>2</w:t>
            </w:r>
            <w:r>
              <w:rPr>
                <w:sz w:val="24"/>
              </w:rPr>
              <w:t>）/长度（km）</w:t>
            </w:r>
          </w:p>
        </w:tc>
        <w:tc>
          <w:tcPr>
            <w:tcW w:w="2532" w:type="dxa"/>
            <w:vAlign w:val="center"/>
          </w:tcPr>
          <w:p>
            <w:pPr>
              <w:adjustRightInd w:val="0"/>
              <w:snapToGrid w:val="0"/>
              <w:jc w:val="center"/>
              <w:rPr>
                <w:rFonts w:ascii="宋体" w:hAnsi="宋体" w:cs="宋体"/>
                <w:sz w:val="24"/>
              </w:rPr>
            </w:pPr>
            <w:r>
              <w:rPr>
                <w:sz w:val="24"/>
              </w:rPr>
              <w:t>2680000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04"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建设性质</w:t>
            </w:r>
          </w:p>
        </w:tc>
        <w:tc>
          <w:tcPr>
            <w:tcW w:w="2043" w:type="dxa"/>
            <w:vAlign w:val="center"/>
          </w:tcPr>
          <w:p>
            <w:pPr>
              <w:adjustRightInd w:val="0"/>
              <w:snapToGrid w:val="0"/>
              <w:jc w:val="left"/>
              <w:rPr>
                <w:rFonts w:ascii="宋体" w:hAnsi="宋体" w:cs="宋体"/>
                <w:sz w:val="24"/>
              </w:rPr>
            </w:pPr>
            <w:r>
              <w:rPr>
                <w:rFonts w:hint="eastAsia" w:ascii="宋体" w:hAnsi="宋体" w:cs="宋体"/>
                <w:sz w:val="24"/>
              </w:rPr>
              <w:sym w:font="Wingdings 2" w:char="0052"/>
            </w:r>
            <w:r>
              <w:rPr>
                <w:rFonts w:hint="eastAsia" w:ascii="宋体" w:hAnsi="宋体" w:cs="宋体"/>
                <w:sz w:val="24"/>
              </w:rPr>
              <w:t>新建（迁建）</w:t>
            </w:r>
          </w:p>
          <w:p>
            <w:pPr>
              <w:adjustRightInd w:val="0"/>
              <w:snapToGrid w:val="0"/>
              <w:jc w:val="left"/>
              <w:rPr>
                <w:rFonts w:ascii="宋体" w:hAnsi="宋体" w:cs="宋体"/>
                <w:sz w:val="24"/>
              </w:rPr>
            </w:pPr>
            <w:r>
              <w:rPr>
                <w:rFonts w:hint="eastAsia" w:ascii="宋体" w:hAnsi="宋体" w:cs="宋体"/>
                <w:sz w:val="24"/>
              </w:rPr>
              <w:t>□改建</w:t>
            </w:r>
          </w:p>
          <w:p>
            <w:pPr>
              <w:adjustRightInd w:val="0"/>
              <w:snapToGrid w:val="0"/>
              <w:jc w:val="left"/>
              <w:rPr>
                <w:rFonts w:ascii="宋体" w:hAnsi="宋体" w:cs="宋体"/>
                <w:sz w:val="24"/>
              </w:rPr>
            </w:pPr>
            <w:r>
              <w:rPr>
                <w:rFonts w:hint="eastAsia" w:ascii="宋体" w:hAnsi="宋体" w:cs="宋体"/>
                <w:sz w:val="24"/>
              </w:rPr>
              <w:t>□扩建</w:t>
            </w:r>
          </w:p>
          <w:p>
            <w:pPr>
              <w:adjustRightInd w:val="0"/>
              <w:snapToGrid w:val="0"/>
              <w:jc w:val="left"/>
              <w:rPr>
                <w:rFonts w:ascii="宋体" w:hAnsi="宋体" w:cs="宋体"/>
                <w:sz w:val="24"/>
              </w:rPr>
            </w:pPr>
            <w:r>
              <w:rPr>
                <w:rFonts w:hint="eastAsia" w:ascii="宋体" w:hAnsi="宋体" w:cs="宋体"/>
                <w:sz w:val="24"/>
              </w:rPr>
              <w:t>□技术改造</w:t>
            </w:r>
          </w:p>
        </w:tc>
        <w:tc>
          <w:tcPr>
            <w:tcW w:w="2238" w:type="dxa"/>
            <w:vAlign w:val="center"/>
          </w:tcPr>
          <w:p>
            <w:pPr>
              <w:adjustRightInd w:val="0"/>
              <w:snapToGrid w:val="0"/>
              <w:jc w:val="center"/>
              <w:rPr>
                <w:rFonts w:ascii="宋体" w:hAnsi="宋体" w:cs="宋体"/>
                <w:sz w:val="24"/>
              </w:rPr>
            </w:pPr>
            <w:r>
              <w:rPr>
                <w:rFonts w:hint="eastAsia" w:ascii="宋体" w:hAnsi="宋体" w:cs="宋体"/>
                <w:sz w:val="24"/>
              </w:rPr>
              <w:t>建设项目</w:t>
            </w:r>
          </w:p>
          <w:p>
            <w:pPr>
              <w:adjustRightInd w:val="0"/>
              <w:snapToGrid w:val="0"/>
              <w:jc w:val="center"/>
              <w:rPr>
                <w:rFonts w:ascii="宋体" w:hAnsi="宋体" w:cs="宋体"/>
                <w:sz w:val="24"/>
              </w:rPr>
            </w:pPr>
            <w:r>
              <w:rPr>
                <w:rFonts w:hint="eastAsia" w:ascii="宋体" w:hAnsi="宋体" w:cs="宋体"/>
                <w:sz w:val="24"/>
              </w:rPr>
              <w:t>申报情形</w:t>
            </w:r>
          </w:p>
        </w:tc>
        <w:tc>
          <w:tcPr>
            <w:tcW w:w="2532" w:type="dxa"/>
            <w:vAlign w:val="center"/>
          </w:tcPr>
          <w:p>
            <w:pPr>
              <w:adjustRightInd w:val="0"/>
              <w:snapToGrid w:val="0"/>
              <w:jc w:val="left"/>
              <w:rPr>
                <w:rFonts w:ascii="宋体" w:hAnsi="宋体" w:cs="宋体"/>
                <w:sz w:val="24"/>
              </w:rPr>
            </w:pPr>
            <w:r>
              <w:rPr>
                <w:rFonts w:hint="eastAsia" w:ascii="宋体" w:hAnsi="宋体" w:cs="宋体"/>
                <w:sz w:val="24"/>
              </w:rPr>
              <w:sym w:font="Wingdings 2" w:char="0052"/>
            </w:r>
            <w:r>
              <w:rPr>
                <w:rFonts w:hint="eastAsia" w:ascii="宋体" w:hAnsi="宋体" w:cs="宋体"/>
                <w:sz w:val="24"/>
              </w:rPr>
              <w:t>首次申报项目</w:t>
            </w:r>
          </w:p>
          <w:p>
            <w:pPr>
              <w:adjustRightInd w:val="0"/>
              <w:snapToGrid w:val="0"/>
              <w:jc w:val="left"/>
              <w:rPr>
                <w:rFonts w:ascii="宋体" w:hAnsi="宋体" w:cs="宋体"/>
                <w:sz w:val="24"/>
              </w:rPr>
            </w:pPr>
            <w:r>
              <w:rPr>
                <w:rFonts w:hint="eastAsia" w:ascii="宋体" w:hAnsi="宋体" w:cs="宋体"/>
                <w:sz w:val="24"/>
              </w:rPr>
              <w:t>□不予批准后再次申报项目</w:t>
            </w:r>
          </w:p>
          <w:p>
            <w:pPr>
              <w:adjustRightInd w:val="0"/>
              <w:snapToGrid w:val="0"/>
              <w:jc w:val="left"/>
              <w:rPr>
                <w:rFonts w:ascii="宋体" w:hAnsi="宋体" w:cs="宋体"/>
                <w:sz w:val="24"/>
              </w:rPr>
            </w:pPr>
            <w:r>
              <w:rPr>
                <w:rFonts w:hint="eastAsia" w:ascii="宋体" w:hAnsi="宋体" w:cs="宋体"/>
                <w:sz w:val="24"/>
              </w:rPr>
              <w:t>□超五年重新审核项目</w:t>
            </w:r>
          </w:p>
          <w:p>
            <w:pPr>
              <w:adjustRightInd w:val="0"/>
              <w:snapToGrid w:val="0"/>
              <w:rPr>
                <w:rFonts w:ascii="宋体" w:hAnsi="宋体" w:cs="宋体"/>
                <w:sz w:val="24"/>
              </w:rPr>
            </w:pPr>
            <w:r>
              <w:rPr>
                <w:rFonts w:hint="eastAsia" w:ascii="宋体" w:hAnsi="宋体" w:cs="宋体"/>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项目审批（核准</w:t>
            </w:r>
            <w:r>
              <w:rPr>
                <w:rFonts w:ascii="宋体" w:hAnsi="宋体" w:cs="宋体"/>
                <w:sz w:val="24"/>
              </w:rPr>
              <w:t>/</w:t>
            </w:r>
          </w:p>
          <w:p>
            <w:pPr>
              <w:adjustRightInd w:val="0"/>
              <w:snapToGrid w:val="0"/>
              <w:jc w:val="center"/>
              <w:rPr>
                <w:rFonts w:ascii="宋体" w:hAnsi="宋体" w:cs="宋体"/>
                <w:sz w:val="24"/>
              </w:rPr>
            </w:pPr>
            <w:r>
              <w:rPr>
                <w:rFonts w:hint="eastAsia" w:ascii="宋体" w:hAnsi="宋体" w:cs="宋体"/>
                <w:sz w:val="24"/>
              </w:rPr>
              <w:t>备案）部门（选填）</w:t>
            </w:r>
          </w:p>
        </w:tc>
        <w:tc>
          <w:tcPr>
            <w:tcW w:w="2043" w:type="dxa"/>
            <w:vAlign w:val="center"/>
          </w:tcPr>
          <w:p>
            <w:pPr>
              <w:adjustRightInd w:val="0"/>
              <w:snapToGrid w:val="0"/>
              <w:jc w:val="center"/>
              <w:rPr>
                <w:rFonts w:ascii="宋体" w:hAnsi="宋体" w:cs="宋体"/>
                <w:sz w:val="24"/>
              </w:rPr>
            </w:pPr>
            <w:r>
              <w:rPr>
                <w:rFonts w:hint="eastAsia" w:ascii="宋体" w:hAnsi="宋体" w:cs="宋体"/>
                <w:sz w:val="24"/>
              </w:rPr>
              <w:t>/</w:t>
            </w:r>
          </w:p>
        </w:tc>
        <w:tc>
          <w:tcPr>
            <w:tcW w:w="2238" w:type="dxa"/>
            <w:vAlign w:val="center"/>
          </w:tcPr>
          <w:p>
            <w:pPr>
              <w:adjustRightInd w:val="0"/>
              <w:snapToGrid w:val="0"/>
              <w:jc w:val="center"/>
              <w:rPr>
                <w:rFonts w:ascii="宋体" w:hAnsi="宋体" w:cs="宋体"/>
                <w:sz w:val="24"/>
              </w:rPr>
            </w:pPr>
            <w:r>
              <w:rPr>
                <w:rFonts w:hint="eastAsia" w:ascii="宋体" w:hAnsi="宋体" w:cs="宋体"/>
                <w:sz w:val="24"/>
              </w:rPr>
              <w:t>项目审批（核准</w:t>
            </w:r>
            <w:r>
              <w:rPr>
                <w:rFonts w:ascii="宋体" w:hAnsi="宋体" w:cs="宋体"/>
                <w:sz w:val="24"/>
              </w:rPr>
              <w:t>/</w:t>
            </w:r>
          </w:p>
          <w:p>
            <w:pPr>
              <w:adjustRightInd w:val="0"/>
              <w:snapToGrid w:val="0"/>
              <w:jc w:val="center"/>
              <w:rPr>
                <w:rFonts w:ascii="宋体" w:hAnsi="宋体" w:cs="宋体"/>
                <w:sz w:val="24"/>
              </w:rPr>
            </w:pPr>
            <w:r>
              <w:rPr>
                <w:rFonts w:hint="eastAsia" w:ascii="宋体" w:hAnsi="宋体" w:cs="宋体"/>
                <w:sz w:val="24"/>
              </w:rPr>
              <w:t>备案）文号（选填）</w:t>
            </w:r>
          </w:p>
        </w:tc>
        <w:tc>
          <w:tcPr>
            <w:tcW w:w="2532" w:type="dxa"/>
            <w:vAlign w:val="center"/>
          </w:tcPr>
          <w:p>
            <w:pPr>
              <w:adjustRightInd w:val="0"/>
              <w:snapToGrid w:val="0"/>
              <w:jc w:val="center"/>
              <w:rPr>
                <w:rFonts w:ascii="宋体" w:hAnsi="宋体" w:cs="宋体"/>
                <w:sz w:val="24"/>
              </w:rPr>
            </w:pPr>
            <w:r>
              <w:rPr>
                <w:rFonts w:hint="eastAsia" w:ascii="宋体" w:hAnsi="宋体" w:cs="宋体"/>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总投资（万元）</w:t>
            </w:r>
          </w:p>
        </w:tc>
        <w:tc>
          <w:tcPr>
            <w:tcW w:w="2043" w:type="dxa"/>
            <w:vAlign w:val="center"/>
          </w:tcPr>
          <w:p>
            <w:pPr>
              <w:adjustRightInd w:val="0"/>
              <w:snapToGrid w:val="0"/>
              <w:jc w:val="center"/>
              <w:rPr>
                <w:sz w:val="24"/>
              </w:rPr>
            </w:pPr>
            <w:r>
              <w:rPr>
                <w:rFonts w:hint="eastAsia"/>
                <w:sz w:val="24"/>
              </w:rPr>
              <w:t>40084.78</w:t>
            </w:r>
          </w:p>
        </w:tc>
        <w:tc>
          <w:tcPr>
            <w:tcW w:w="2238" w:type="dxa"/>
            <w:tcMar>
              <w:top w:w="16" w:type="dxa"/>
              <w:left w:w="16" w:type="dxa"/>
              <w:right w:w="16" w:type="dxa"/>
            </w:tcMar>
            <w:vAlign w:val="center"/>
          </w:tcPr>
          <w:p>
            <w:pPr>
              <w:adjustRightInd w:val="0"/>
              <w:snapToGrid w:val="0"/>
              <w:jc w:val="center"/>
              <w:rPr>
                <w:sz w:val="24"/>
              </w:rPr>
            </w:pPr>
            <w:r>
              <w:rPr>
                <w:sz w:val="24"/>
              </w:rPr>
              <w:t>环保投资（万元）</w:t>
            </w:r>
          </w:p>
        </w:tc>
        <w:tc>
          <w:tcPr>
            <w:tcW w:w="2532" w:type="dxa"/>
            <w:vAlign w:val="center"/>
          </w:tcPr>
          <w:p>
            <w:pPr>
              <w:adjustRightInd w:val="0"/>
              <w:snapToGrid w:val="0"/>
              <w:jc w:val="center"/>
              <w:rPr>
                <w:sz w:val="24"/>
              </w:rPr>
            </w:pPr>
            <w:r>
              <w:rPr>
                <w:sz w:val="24"/>
              </w:rPr>
              <w:t>1517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64"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环保投资占比</w:t>
            </w:r>
            <w:r>
              <w:rPr>
                <w:sz w:val="24"/>
              </w:rPr>
              <w:t>（%</w:t>
            </w:r>
            <w:r>
              <w:rPr>
                <w:rFonts w:hint="eastAsia" w:ascii="宋体" w:hAnsi="宋体" w:cs="宋体"/>
                <w:sz w:val="24"/>
              </w:rPr>
              <w:t>）</w:t>
            </w:r>
          </w:p>
        </w:tc>
        <w:tc>
          <w:tcPr>
            <w:tcW w:w="2043" w:type="dxa"/>
            <w:vAlign w:val="center"/>
          </w:tcPr>
          <w:p>
            <w:pPr>
              <w:adjustRightInd w:val="0"/>
              <w:snapToGrid w:val="0"/>
              <w:jc w:val="center"/>
              <w:rPr>
                <w:sz w:val="24"/>
              </w:rPr>
            </w:pPr>
            <w:r>
              <w:rPr>
                <w:sz w:val="24"/>
              </w:rPr>
              <w:t>3.78</w:t>
            </w:r>
          </w:p>
        </w:tc>
        <w:tc>
          <w:tcPr>
            <w:tcW w:w="2238" w:type="dxa"/>
            <w:tcMar>
              <w:top w:w="16" w:type="dxa"/>
              <w:left w:w="16" w:type="dxa"/>
              <w:right w:w="16" w:type="dxa"/>
            </w:tcMar>
            <w:vAlign w:val="center"/>
          </w:tcPr>
          <w:p>
            <w:pPr>
              <w:adjustRightInd w:val="0"/>
              <w:snapToGrid w:val="0"/>
              <w:jc w:val="center"/>
              <w:rPr>
                <w:sz w:val="24"/>
              </w:rPr>
            </w:pPr>
            <w:r>
              <w:rPr>
                <w:sz w:val="24"/>
              </w:rPr>
              <w:t>施工工期</w:t>
            </w:r>
          </w:p>
        </w:tc>
        <w:tc>
          <w:tcPr>
            <w:tcW w:w="2532" w:type="dxa"/>
            <w:vAlign w:val="center"/>
          </w:tcPr>
          <w:p>
            <w:pPr>
              <w:jc w:val="center"/>
              <w:rPr>
                <w:sz w:val="24"/>
              </w:rPr>
            </w:pPr>
            <w:r>
              <w:rPr>
                <w:rFonts w:hint="eastAsia"/>
                <w:sz w:val="24"/>
              </w:rPr>
              <w:t>20</w:t>
            </w:r>
            <w:r>
              <w:rPr>
                <w:sz w:val="24"/>
              </w:rPr>
              <w:t>21</w:t>
            </w:r>
            <w:r>
              <w:rPr>
                <w:rFonts w:hint="eastAsia" w:ascii="宋体" w:hAnsi="宋体"/>
                <w:sz w:val="24"/>
              </w:rPr>
              <w:t>年</w:t>
            </w:r>
            <w:r>
              <w:rPr>
                <w:rFonts w:hint="eastAsia"/>
                <w:sz w:val="24"/>
              </w:rPr>
              <w:t>1</w:t>
            </w:r>
            <w:r>
              <w:rPr>
                <w:sz w:val="24"/>
              </w:rPr>
              <w:t>1</w:t>
            </w:r>
            <w:r>
              <w:rPr>
                <w:rFonts w:hint="eastAsia" w:ascii="宋体" w:hAnsi="宋体"/>
                <w:sz w:val="24"/>
              </w:rPr>
              <w:t>月</w:t>
            </w:r>
            <w:r>
              <w:rPr>
                <w:rFonts w:hint="eastAsia"/>
                <w:sz w:val="24"/>
              </w:rPr>
              <w:t>-20</w:t>
            </w:r>
            <w:r>
              <w:rPr>
                <w:sz w:val="24"/>
              </w:rPr>
              <w:t>21</w:t>
            </w:r>
            <w:r>
              <w:rPr>
                <w:rFonts w:hint="eastAsia" w:ascii="宋体" w:hAnsi="宋体"/>
                <w:sz w:val="24"/>
              </w:rPr>
              <w:t>年</w:t>
            </w:r>
            <w:r>
              <w:rPr>
                <w:rFonts w:hint="eastAsia"/>
                <w:sz w:val="24"/>
              </w:rPr>
              <w:t>12</w:t>
            </w:r>
            <w:r>
              <w:rPr>
                <w:rFonts w:hint="eastAsia" w:ascii="宋体" w:hAnsi="宋体"/>
                <w:sz w:val="24"/>
              </w:rPr>
              <w:t>月（1个月）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11" w:hRule="atLeast"/>
        </w:trPr>
        <w:tc>
          <w:tcPr>
            <w:tcW w:w="2226" w:type="dxa"/>
            <w:tcMar>
              <w:top w:w="16" w:type="dxa"/>
              <w:left w:w="16" w:type="dxa"/>
              <w:right w:w="16" w:type="dxa"/>
            </w:tcMar>
            <w:vAlign w:val="center"/>
          </w:tcPr>
          <w:p>
            <w:pPr>
              <w:adjustRightInd w:val="0"/>
              <w:snapToGrid w:val="0"/>
              <w:jc w:val="center"/>
              <w:rPr>
                <w:rFonts w:ascii="宋体" w:hAnsi="宋体" w:cs="宋体"/>
                <w:sz w:val="24"/>
              </w:rPr>
            </w:pPr>
            <w:r>
              <w:rPr>
                <w:rFonts w:hint="eastAsia" w:ascii="宋体" w:hAnsi="宋体" w:cs="宋体"/>
                <w:sz w:val="24"/>
              </w:rPr>
              <w:t>是否开工建设</w:t>
            </w:r>
          </w:p>
        </w:tc>
        <w:tc>
          <w:tcPr>
            <w:tcW w:w="6813" w:type="dxa"/>
            <w:gridSpan w:val="3"/>
            <w:vAlign w:val="center"/>
          </w:tcPr>
          <w:p>
            <w:pPr>
              <w:adjustRightInd w:val="0"/>
              <w:snapToGrid w:val="0"/>
              <w:ind w:firstLine="105"/>
              <w:jc w:val="left"/>
              <w:rPr>
                <w:rFonts w:ascii="宋体" w:hAnsi="宋体" w:cs="宋体"/>
                <w:sz w:val="24"/>
              </w:rPr>
            </w:pPr>
            <w:r>
              <w:rPr>
                <w:rFonts w:hint="eastAsia" w:ascii="宋体" w:hAnsi="宋体" w:cs="宋体"/>
                <w:sz w:val="24"/>
              </w:rPr>
              <w:sym w:font="Wingdings 2" w:char="0052"/>
            </w:r>
            <w:r>
              <w:rPr>
                <w:rFonts w:hint="eastAsia" w:ascii="宋体" w:hAnsi="宋体" w:cs="宋体"/>
                <w:sz w:val="24"/>
              </w:rPr>
              <w:t>否</w:t>
            </w:r>
          </w:p>
          <w:p>
            <w:pPr>
              <w:adjustRightInd w:val="0"/>
              <w:snapToGrid w:val="0"/>
              <w:ind w:firstLine="92"/>
              <w:jc w:val="left"/>
              <w:rPr>
                <w:rFonts w:ascii="宋体" w:hAnsi="宋体" w:cs="宋体"/>
                <w:sz w:val="24"/>
              </w:rPr>
            </w:pPr>
            <w:r>
              <w:rPr>
                <w:rFonts w:hint="eastAsia" w:ascii="宋体" w:hAnsi="宋体" w:cs="宋体"/>
                <w:sz w:val="24"/>
              </w:rPr>
              <w:t>□是：</w:t>
            </w:r>
            <w:r>
              <w:rPr>
                <w:rFonts w:hint="eastAsia"/>
                <w:sz w:val="24"/>
                <w:u w:val="single"/>
                <w:lang w:val="zh-CN"/>
              </w:rPr>
              <w:t xml:space="preserve"> </w:t>
            </w:r>
            <w:r>
              <w:rPr>
                <w:sz w:val="24"/>
                <w:u w:val="single"/>
                <w:lang w:val="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19"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ascii="宋体" w:hAnsi="宋体" w:cs="宋体"/>
                <w:kern w:val="0"/>
                <w:sz w:val="24"/>
              </w:rPr>
              <w:t>专项评价设置情况</w:t>
            </w:r>
          </w:p>
        </w:tc>
        <w:tc>
          <w:tcPr>
            <w:tcW w:w="6813" w:type="dxa"/>
            <w:gridSpan w:val="3"/>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46"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ascii="宋体" w:hAnsi="宋体" w:cs="宋体"/>
                <w:sz w:val="24"/>
              </w:rPr>
              <w:t>规划情况</w:t>
            </w:r>
          </w:p>
        </w:tc>
        <w:tc>
          <w:tcPr>
            <w:tcW w:w="6813" w:type="dxa"/>
            <w:gridSpan w:val="3"/>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11"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sz w:val="24"/>
              </w:rPr>
            </w:pPr>
            <w:r>
              <w:rPr>
                <w:rFonts w:hint="eastAsia" w:ascii="宋体" w:hAnsi="宋体" w:cs="宋体"/>
                <w:sz w:val="24"/>
              </w:rPr>
              <w:t>规划环境影响</w:t>
            </w:r>
          </w:p>
          <w:p>
            <w:pPr>
              <w:autoSpaceDE w:val="0"/>
              <w:autoSpaceDN w:val="0"/>
              <w:adjustRightInd w:val="0"/>
              <w:snapToGrid w:val="0"/>
              <w:jc w:val="center"/>
              <w:rPr>
                <w:rFonts w:ascii="宋体" w:hAnsi="宋体" w:cs="宋体"/>
                <w:kern w:val="0"/>
                <w:sz w:val="24"/>
              </w:rPr>
            </w:pPr>
            <w:r>
              <w:rPr>
                <w:rFonts w:hint="eastAsia" w:ascii="宋体" w:hAnsi="宋体" w:cs="宋体"/>
                <w:sz w:val="24"/>
              </w:rPr>
              <w:t>评价情况</w:t>
            </w:r>
          </w:p>
        </w:tc>
        <w:tc>
          <w:tcPr>
            <w:tcW w:w="6813" w:type="dxa"/>
            <w:gridSpan w:val="3"/>
            <w:tcMar>
              <w:top w:w="16" w:type="dxa"/>
              <w:left w:w="16" w:type="dxa"/>
              <w:right w:w="16" w:type="dxa"/>
            </w:tcMar>
            <w:vAlign w:val="center"/>
          </w:tcPr>
          <w:p>
            <w:pPr>
              <w:adjustRightInd w:val="0"/>
              <w:snapToGrid w:val="0"/>
              <w:jc w:val="center"/>
              <w:rPr>
                <w:rFonts w:ascii="宋体" w:hAnsi="宋体" w:cs="宋体"/>
                <w:kern w:val="0"/>
                <w:sz w:val="24"/>
              </w:rPr>
            </w:pPr>
            <w:r>
              <w:rPr>
                <w:rFonts w:hint="eastAsia"/>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557"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ascii="宋体" w:hAnsi="宋体" w:cs="宋体"/>
                <w:kern w:val="0"/>
                <w:sz w:val="24"/>
              </w:rPr>
              <w:t>规划及</w:t>
            </w:r>
            <w:r>
              <w:rPr>
                <w:rFonts w:hint="eastAsia" w:ascii="宋体" w:hAnsi="宋体" w:cs="宋体"/>
                <w:sz w:val="24"/>
              </w:rPr>
              <w:t>规划环境影响评价</w:t>
            </w:r>
            <w:r>
              <w:rPr>
                <w:rFonts w:hint="eastAsia" w:ascii="宋体" w:hAnsi="宋体" w:cs="宋体"/>
                <w:kern w:val="0"/>
                <w:sz w:val="24"/>
              </w:rPr>
              <w:t>符合性分析</w:t>
            </w:r>
          </w:p>
        </w:tc>
        <w:tc>
          <w:tcPr>
            <w:tcW w:w="6813" w:type="dxa"/>
            <w:gridSpan w:val="3"/>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r>
              <w:rPr>
                <w:rFonts w:hint="eastAsia"/>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648" w:hRule="atLeast"/>
        </w:trPr>
        <w:tc>
          <w:tcPr>
            <w:tcW w:w="2226" w:type="dxa"/>
            <w:tcMar>
              <w:top w:w="16" w:type="dxa"/>
              <w:left w:w="16" w:type="dxa"/>
              <w:right w:w="16" w:type="dxa"/>
            </w:tcMar>
            <w:vAlign w:val="center"/>
          </w:tcPr>
          <w:p>
            <w:pPr>
              <w:autoSpaceDE w:val="0"/>
              <w:autoSpaceDN w:val="0"/>
              <w:adjustRightInd w:val="0"/>
              <w:snapToGrid w:val="0"/>
              <w:jc w:val="center"/>
              <w:rPr>
                <w:rFonts w:ascii="宋体" w:hAnsi="宋体" w:cs="宋体"/>
                <w:kern w:val="0"/>
                <w:sz w:val="24"/>
              </w:rPr>
            </w:pPr>
            <w:bookmarkStart w:id="5" w:name="_Hlk56690880"/>
            <w:r>
              <w:rPr>
                <w:rFonts w:hint="eastAsia" w:ascii="宋体" w:hAnsi="宋体" w:cs="宋体"/>
                <w:kern w:val="0"/>
                <w:sz w:val="24"/>
              </w:rPr>
              <w:t>其他符合性分析</w:t>
            </w:r>
            <w:bookmarkEnd w:id="5"/>
          </w:p>
        </w:tc>
        <w:tc>
          <w:tcPr>
            <w:tcW w:w="6813" w:type="dxa"/>
            <w:gridSpan w:val="3"/>
            <w:tcMar>
              <w:top w:w="16" w:type="dxa"/>
              <w:left w:w="16" w:type="dxa"/>
              <w:right w:w="16" w:type="dxa"/>
            </w:tcMar>
            <w:vAlign w:val="center"/>
          </w:tcPr>
          <w:p>
            <w:pPr>
              <w:numPr>
                <w:ilvl w:val="0"/>
                <w:numId w:val="3"/>
              </w:numPr>
              <w:autoSpaceDE w:val="0"/>
              <w:autoSpaceDN w:val="0"/>
              <w:adjustRightInd w:val="0"/>
              <w:snapToGrid w:val="0"/>
              <w:spacing w:line="520" w:lineRule="exact"/>
              <w:rPr>
                <w:b/>
                <w:bCs/>
                <w:sz w:val="24"/>
              </w:rPr>
            </w:pPr>
            <w:r>
              <w:rPr>
                <w:b/>
                <w:bCs/>
                <w:sz w:val="24"/>
              </w:rPr>
              <w:t>项目“三线一单”符合性分析</w:t>
            </w:r>
          </w:p>
          <w:p>
            <w:pPr>
              <w:autoSpaceDE w:val="0"/>
              <w:autoSpaceDN w:val="0"/>
              <w:adjustRightInd w:val="0"/>
              <w:snapToGrid w:val="0"/>
              <w:spacing w:line="520" w:lineRule="exact"/>
              <w:ind w:firstLine="480" w:firstLineChars="200"/>
              <w:rPr>
                <w:sz w:val="24"/>
              </w:rPr>
            </w:pPr>
            <w:r>
              <w:rPr>
                <w:sz w:val="24"/>
              </w:rPr>
              <w:t>根据《关于以改善环境质量为核心加强环境影响评价管理的通知》（环环评</w:t>
            </w:r>
            <w:r>
              <w:rPr>
                <w:rFonts w:hint="eastAsia" w:eastAsia="微软雅黑" w:cs="微软雅黑"/>
                <w:sz w:val="24"/>
              </w:rPr>
              <w:t>〔</w:t>
            </w:r>
            <w:r>
              <w:rPr>
                <w:sz w:val="24"/>
              </w:rPr>
              <w:t>2016</w:t>
            </w:r>
            <w:r>
              <w:rPr>
                <w:rFonts w:hint="eastAsia" w:eastAsia="微软雅黑" w:cs="微软雅黑"/>
                <w:sz w:val="24"/>
              </w:rPr>
              <w:t>〕</w:t>
            </w:r>
            <w:r>
              <w:rPr>
                <w:sz w:val="24"/>
              </w:rPr>
              <w:t>150号）</w:t>
            </w:r>
            <w:r>
              <w:rPr>
                <w:rFonts w:hint="eastAsia"/>
                <w:sz w:val="24"/>
              </w:rPr>
              <w:t>、《新疆维吾尔自治区“三线一单”生态环境分区管控方案》的通知</w:t>
            </w:r>
            <w:r>
              <w:rPr>
                <w:sz w:val="24"/>
              </w:rPr>
              <w:t>（</w:t>
            </w:r>
            <w:r>
              <w:rPr>
                <w:rFonts w:hint="eastAsia"/>
                <w:sz w:val="24"/>
              </w:rPr>
              <w:t>新政发</w:t>
            </w:r>
            <w:r>
              <w:rPr>
                <w:rFonts w:hint="eastAsia" w:eastAsia="微软雅黑" w:cs="微软雅黑"/>
                <w:sz w:val="24"/>
              </w:rPr>
              <w:t>〔</w:t>
            </w:r>
            <w:r>
              <w:rPr>
                <w:rFonts w:hint="eastAsia" w:eastAsia="微软雅黑"/>
                <w:sz w:val="24"/>
              </w:rPr>
              <w:t>2021</w:t>
            </w:r>
            <w:r>
              <w:rPr>
                <w:rFonts w:hint="eastAsia" w:eastAsia="微软雅黑" w:cs="微软雅黑"/>
                <w:sz w:val="24"/>
              </w:rPr>
              <w:t>〕</w:t>
            </w:r>
            <w:r>
              <w:rPr>
                <w:sz w:val="24"/>
              </w:rPr>
              <w:t>1</w:t>
            </w:r>
            <w:r>
              <w:rPr>
                <w:rFonts w:hint="eastAsia"/>
                <w:sz w:val="24"/>
              </w:rPr>
              <w:t>8</w:t>
            </w:r>
            <w:r>
              <w:rPr>
                <w:sz w:val="24"/>
              </w:rPr>
              <w:t>号）</w:t>
            </w:r>
            <w:r>
              <w:rPr>
                <w:rFonts w:hint="eastAsia"/>
                <w:sz w:val="24"/>
              </w:rPr>
              <w:t>及《昌吉回族自治州“三线一单”生态环境分区管控方案及生态环境准入清单》（昌州政办发〔2021〕41号），</w:t>
            </w:r>
            <w:r>
              <w:rPr>
                <w:sz w:val="24"/>
              </w:rPr>
              <w:t>本工程与</w:t>
            </w:r>
            <w:r>
              <w:rPr>
                <w:rFonts w:hint="eastAsia"/>
                <w:sz w:val="24"/>
              </w:rPr>
              <w:t>“</w:t>
            </w:r>
            <w:r>
              <w:rPr>
                <w:sz w:val="24"/>
              </w:rPr>
              <w:t>三线一单</w:t>
            </w:r>
            <w:r>
              <w:rPr>
                <w:rFonts w:hint="eastAsia"/>
                <w:sz w:val="24"/>
              </w:rPr>
              <w:t>”</w:t>
            </w:r>
            <w:r>
              <w:rPr>
                <w:sz w:val="24"/>
              </w:rPr>
              <w:t>符合性分析如下：</w:t>
            </w:r>
          </w:p>
          <w:p>
            <w:pPr>
              <w:autoSpaceDE w:val="0"/>
              <w:autoSpaceDN w:val="0"/>
              <w:adjustRightInd w:val="0"/>
              <w:snapToGrid w:val="0"/>
              <w:spacing w:line="520" w:lineRule="exact"/>
              <w:ind w:firstLine="482" w:firstLineChars="200"/>
              <w:rPr>
                <w:sz w:val="24"/>
              </w:rPr>
            </w:pPr>
            <w:r>
              <w:rPr>
                <w:b/>
                <w:bCs/>
                <w:sz w:val="24"/>
              </w:rPr>
              <w:t>生态保护红线：</w:t>
            </w:r>
            <w:bookmarkStart w:id="6" w:name="_Hlk76634041"/>
            <w:r>
              <w:rPr>
                <w:sz w:val="24"/>
              </w:rPr>
              <w:t>本项目</w:t>
            </w:r>
            <w:r>
              <w:rPr>
                <w:rFonts w:hint="eastAsia"/>
                <w:sz w:val="24"/>
              </w:rPr>
              <w:t>位于阜康市北部准格尔盆地古尔班通古特沙漠东部，卡拉麦里山西侧，阜康市城区23°方位，距离阜康市直线距离78km处。东侧距离卡拉麦里山有蹄类自然保护区</w:t>
            </w:r>
            <w:r>
              <w:rPr>
                <w:sz w:val="24"/>
              </w:rPr>
              <w:t>17.5</w:t>
            </w:r>
            <w:r>
              <w:rPr>
                <w:rFonts w:hint="eastAsia"/>
                <w:sz w:val="24"/>
              </w:rPr>
              <w:t>km，</w:t>
            </w:r>
            <w:r>
              <w:rPr>
                <w:sz w:val="24"/>
              </w:rPr>
              <w:t>项目建设区域不涉及自然保护区、风景名胜区、饮用水水源保护区等需要特别保护的区域，</w:t>
            </w:r>
            <w:r>
              <w:rPr>
                <w:rFonts w:hint="eastAsia"/>
                <w:sz w:val="24"/>
              </w:rPr>
              <w:t>项目位于阜康市一般管控单元内（见附图</w:t>
            </w:r>
            <w:r>
              <w:rPr>
                <w:sz w:val="24"/>
              </w:rPr>
              <w:t>1</w:t>
            </w:r>
            <w:r>
              <w:rPr>
                <w:rFonts w:hint="eastAsia"/>
                <w:sz w:val="24"/>
              </w:rPr>
              <w:t>），项目用地不涉及生态保护红线，</w:t>
            </w:r>
            <w:r>
              <w:rPr>
                <w:sz w:val="24"/>
              </w:rPr>
              <w:t>符合生态保护红线的要求。</w:t>
            </w:r>
            <w:bookmarkEnd w:id="6"/>
          </w:p>
          <w:p>
            <w:pPr>
              <w:autoSpaceDE w:val="0"/>
              <w:autoSpaceDN w:val="0"/>
              <w:adjustRightInd w:val="0"/>
              <w:snapToGrid w:val="0"/>
              <w:spacing w:line="520" w:lineRule="exact"/>
              <w:ind w:firstLine="482" w:firstLineChars="200"/>
            </w:pPr>
            <w:r>
              <w:rPr>
                <w:b/>
                <w:bCs/>
                <w:sz w:val="24"/>
              </w:rPr>
              <w:t>环境质量底线：</w:t>
            </w:r>
            <w:r>
              <w:rPr>
                <w:sz w:val="24"/>
              </w:rPr>
              <w:t>根据环境质量</w:t>
            </w:r>
            <w:r>
              <w:rPr>
                <w:rFonts w:hint="eastAsia"/>
                <w:sz w:val="24"/>
              </w:rPr>
              <w:t>公报</w:t>
            </w:r>
            <w:r>
              <w:rPr>
                <w:sz w:val="24"/>
              </w:rPr>
              <w:t>，环境空气质量除PM</w:t>
            </w:r>
            <w:r>
              <w:rPr>
                <w:sz w:val="24"/>
                <w:vertAlign w:val="subscript"/>
              </w:rPr>
              <w:t>2.5</w:t>
            </w:r>
            <w:r>
              <w:rPr>
                <w:sz w:val="24"/>
              </w:rPr>
              <w:t>、PM</w:t>
            </w:r>
            <w:r>
              <w:rPr>
                <w:sz w:val="24"/>
                <w:vertAlign w:val="subscript"/>
              </w:rPr>
              <w:t>10</w:t>
            </w:r>
            <w:r>
              <w:rPr>
                <w:sz w:val="24"/>
              </w:rPr>
              <w:t>年平均浓度超标外都能够满足《环境空气质量标准》（GB3095-2012）中二级标准，超标原因主要</w:t>
            </w:r>
            <w:r>
              <w:rPr>
                <w:rFonts w:hint="eastAsia"/>
                <w:sz w:val="24"/>
              </w:rPr>
              <w:t>与当地气候条件和地理位置有关，评价区大气由于受到当地干旱气候的影响，空气中PM</w:t>
            </w:r>
            <w:r>
              <w:rPr>
                <w:rFonts w:hint="eastAsia"/>
                <w:sz w:val="24"/>
                <w:vertAlign w:val="subscript"/>
              </w:rPr>
              <w:t>2.5</w:t>
            </w:r>
            <w:r>
              <w:rPr>
                <w:rFonts w:hint="eastAsia"/>
                <w:sz w:val="24"/>
              </w:rPr>
              <w:t>的本底值偏高，尤其在沙尘暴和浮尘天气，会出现严重超标</w:t>
            </w:r>
            <w:r>
              <w:rPr>
                <w:sz w:val="24"/>
              </w:rPr>
              <w:t>。项目运营过程中产生大气污染物主要为粉尘，矿区采取抑尘措施后能够有效降低粉尘的飘散，对周围环境影响较小。</w:t>
            </w:r>
          </w:p>
          <w:p>
            <w:pPr>
              <w:pStyle w:val="64"/>
              <w:ind w:firstLine="482"/>
            </w:pPr>
            <w:r>
              <w:rPr>
                <w:b/>
                <w:bCs/>
              </w:rPr>
              <w:t>资源利用上线：</w:t>
            </w:r>
            <w:r>
              <w:rPr>
                <w:rFonts w:hint="eastAsia"/>
              </w:rPr>
              <w:t>本项目剥离表土用于后期复垦，综合利用资源，资源利用率高，符合资源利用上线要求，项目运营过程中消耗少量的电、水等资源，不会突破区域的资源利用上线，则本项目的建设对能源、水、土地等资源影响不大</w:t>
            </w:r>
            <w:r>
              <w:t>，符合资源利用上限要求。</w:t>
            </w:r>
          </w:p>
          <w:p>
            <w:pPr>
              <w:autoSpaceDE w:val="0"/>
              <w:autoSpaceDN w:val="0"/>
              <w:adjustRightInd w:val="0"/>
              <w:snapToGrid w:val="0"/>
              <w:spacing w:line="520" w:lineRule="exact"/>
              <w:ind w:firstLine="482" w:firstLineChars="200"/>
              <w:rPr>
                <w:sz w:val="24"/>
              </w:rPr>
            </w:pPr>
            <w:r>
              <w:rPr>
                <w:b/>
                <w:bCs/>
                <w:sz w:val="24"/>
              </w:rPr>
              <w:t>生态环境准入清单：</w:t>
            </w:r>
            <w:r>
              <w:rPr>
                <w:rFonts w:hint="eastAsia"/>
                <w:sz w:val="24"/>
              </w:rPr>
              <w:t>根据</w:t>
            </w:r>
            <w:bookmarkStart w:id="7" w:name="_Hlk87521687"/>
            <w:r>
              <w:rPr>
                <w:rFonts w:hint="eastAsia"/>
                <w:sz w:val="24"/>
              </w:rPr>
              <w:t>《新疆维吾尔自治区七大片区“三线一单”生态环境分区管控要求（2021年版）》</w:t>
            </w:r>
            <w:bookmarkEnd w:id="7"/>
            <w:r>
              <w:rPr>
                <w:rFonts w:hint="eastAsia"/>
                <w:sz w:val="24"/>
              </w:rPr>
              <w:t>及《昌吉回族自治州“三线一单”生态环境分区管控方案及生态环境准入清单》（昌州政办发〔2021〕41号），本项目位于阜康市一般管控单元（环境管控单元编码</w:t>
            </w:r>
            <w:r>
              <w:rPr>
                <w:sz w:val="24"/>
              </w:rPr>
              <w:t>ZH65230230001</w:t>
            </w:r>
            <w:r>
              <w:rPr>
                <w:rFonts w:hint="eastAsia"/>
                <w:sz w:val="24"/>
              </w:rPr>
              <w:t>），项目符合阜康市环境管控单元生态环境准入清单（一般管控单元）相关准入要求，符合昌吉州总体准入要求。因此，本项目符合生态保护红线管控要求。</w:t>
            </w:r>
          </w:p>
          <w:p>
            <w:pPr>
              <w:jc w:val="center"/>
              <w:rPr>
                <w:rFonts w:eastAsia="黑体"/>
                <w:sz w:val="24"/>
              </w:rPr>
            </w:pPr>
            <w:r>
              <w:rPr>
                <w:rFonts w:eastAsia="黑体"/>
                <w:sz w:val="24"/>
              </w:rPr>
              <w:t xml:space="preserve">表1-1    </w:t>
            </w:r>
            <w:r>
              <w:rPr>
                <w:rFonts w:hint="eastAsia" w:eastAsia="黑体"/>
                <w:sz w:val="24"/>
              </w:rPr>
              <w:t>阜康市环境管控单元生态环境准入清单（一般管控单元）</w:t>
            </w:r>
            <w:r>
              <w:rPr>
                <w:rFonts w:eastAsia="黑体"/>
                <w:sz w:val="24"/>
              </w:rPr>
              <w:t>符合性一览表</w:t>
            </w:r>
          </w:p>
          <w:tbl>
            <w:tblPr>
              <w:tblStyle w:val="31"/>
              <w:tblW w:w="672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5"/>
              <w:gridCol w:w="3751"/>
              <w:gridCol w:w="1688"/>
              <w:gridCol w:w="7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56" w:type="dxa"/>
                  <w:gridSpan w:val="2"/>
                  <w:vAlign w:val="center"/>
                </w:tcPr>
                <w:p>
                  <w:pPr>
                    <w:pStyle w:val="30"/>
                    <w:adjustRightInd w:val="0"/>
                    <w:snapToGrid w:val="0"/>
                    <w:spacing w:after="0"/>
                    <w:ind w:left="-63" w:leftChars="-30" w:right="-63" w:rightChars="-30" w:firstLine="0" w:firstLineChars="0"/>
                    <w:jc w:val="center"/>
                    <w:rPr>
                      <w:szCs w:val="21"/>
                    </w:rPr>
                  </w:pPr>
                  <w:r>
                    <w:rPr>
                      <w:szCs w:val="21"/>
                    </w:rPr>
                    <w:t>管控要求</w:t>
                  </w:r>
                </w:p>
              </w:tc>
              <w:tc>
                <w:tcPr>
                  <w:tcW w:w="1688" w:type="dxa"/>
                  <w:vAlign w:val="center"/>
                </w:tcPr>
                <w:p>
                  <w:pPr>
                    <w:pStyle w:val="30"/>
                    <w:adjustRightInd w:val="0"/>
                    <w:snapToGrid w:val="0"/>
                    <w:spacing w:after="0"/>
                    <w:ind w:left="-63" w:leftChars="-30" w:right="-63" w:rightChars="-30" w:firstLine="0" w:firstLineChars="0"/>
                    <w:jc w:val="center"/>
                    <w:rPr>
                      <w:szCs w:val="21"/>
                    </w:rPr>
                  </w:pPr>
                  <w:r>
                    <w:rPr>
                      <w:szCs w:val="21"/>
                    </w:rPr>
                    <w:t>本项目</w:t>
                  </w:r>
                </w:p>
              </w:tc>
              <w:tc>
                <w:tcPr>
                  <w:tcW w:w="784" w:type="dxa"/>
                  <w:vAlign w:val="center"/>
                </w:tcPr>
                <w:p>
                  <w:pPr>
                    <w:pStyle w:val="30"/>
                    <w:adjustRightInd w:val="0"/>
                    <w:snapToGrid w:val="0"/>
                    <w:spacing w:after="0"/>
                    <w:ind w:left="-63" w:leftChars="-30" w:right="-63" w:rightChars="-30" w:firstLine="0" w:firstLineChars="0"/>
                    <w:jc w:val="center"/>
                    <w:rPr>
                      <w:szCs w:val="21"/>
                    </w:rPr>
                  </w:pPr>
                  <w:r>
                    <w:rPr>
                      <w:rFonts w:hint="eastAsia"/>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33" w:hRule="atLeast"/>
              </w:trPr>
              <w:tc>
                <w:tcPr>
                  <w:tcW w:w="505" w:type="dxa"/>
                  <w:vAlign w:val="center"/>
                </w:tcPr>
                <w:p>
                  <w:pPr>
                    <w:pStyle w:val="30"/>
                    <w:adjustRightInd w:val="0"/>
                    <w:snapToGrid w:val="0"/>
                    <w:spacing w:after="0"/>
                    <w:ind w:left="-63" w:leftChars="-30" w:right="-63" w:rightChars="-30" w:firstLine="0" w:firstLineChars="0"/>
                    <w:jc w:val="center"/>
                    <w:rPr>
                      <w:szCs w:val="21"/>
                    </w:rPr>
                  </w:pPr>
                  <w:r>
                    <w:rPr>
                      <w:rFonts w:hint="eastAsia"/>
                      <w:szCs w:val="21"/>
                    </w:rPr>
                    <w:t>空间布局约束</w:t>
                  </w:r>
                </w:p>
              </w:tc>
              <w:tc>
                <w:tcPr>
                  <w:tcW w:w="3751" w:type="dxa"/>
                  <w:vAlign w:val="center"/>
                </w:tcPr>
                <w:p>
                  <w:pPr>
                    <w:snapToGrid w:val="0"/>
                    <w:jc w:val="left"/>
                    <w:rPr>
                      <w:szCs w:val="21"/>
                    </w:rPr>
                  </w:pPr>
                  <w:r>
                    <w:rPr>
                      <w:rFonts w:hint="eastAsia"/>
                      <w:szCs w:val="21"/>
                    </w:rPr>
                    <w:t>【A7.1-1】限制进行大规模高强度工业化城镇化开发，严格控制金属冶炼、石油化工、焦化等“高污染、高环境风险产品”工业项目，原则上不增加产能，现有“高污染、高环境风险产品”工业项目持续削减污染物排放总量并严格控制环境风险。原则上禁止建设涉及一类重金属、持久性有机污染物排放的工业项目。建立集镇居住商业区、耕地保护区与工业功能区等集聚区块之间的防护带。严格执行畜禽养殖禁养区规定，根据区域用地和消纳水平，合理确定养殖规模。加强基本农田保护，严格限制非农项目占用耕地。</w:t>
                  </w:r>
                </w:p>
              </w:tc>
              <w:tc>
                <w:tcPr>
                  <w:tcW w:w="1688" w:type="dxa"/>
                  <w:vAlign w:val="center"/>
                </w:tcPr>
                <w:p>
                  <w:pPr>
                    <w:pStyle w:val="30"/>
                    <w:adjustRightInd w:val="0"/>
                    <w:snapToGrid w:val="0"/>
                    <w:spacing w:after="0"/>
                    <w:ind w:left="-63" w:leftChars="-30" w:right="-63" w:rightChars="-30" w:firstLine="0" w:firstLineChars="0"/>
                    <w:rPr>
                      <w:szCs w:val="21"/>
                    </w:rPr>
                  </w:pPr>
                  <w:r>
                    <w:rPr>
                      <w:rFonts w:hint="eastAsia"/>
                      <w:szCs w:val="21"/>
                    </w:rPr>
                    <w:t>本项目为石英砂开采项目，不属于“高污染、高环境风险产品”工业项目，项目排放大气污染物主要为粉尘，不含一类重金属，符合空间布局约束要求。</w:t>
                  </w:r>
                </w:p>
              </w:tc>
              <w:tc>
                <w:tcPr>
                  <w:tcW w:w="784" w:type="dxa"/>
                  <w:vAlign w:val="center"/>
                </w:tcPr>
                <w:p>
                  <w:pPr>
                    <w:pStyle w:val="30"/>
                    <w:adjustRightInd w:val="0"/>
                    <w:snapToGrid w:val="0"/>
                    <w:spacing w:after="0"/>
                    <w:ind w:left="-63" w:leftChars="-30" w:right="-63" w:rightChars="-30" w:firstLine="0" w:firstLineChars="0"/>
                    <w:jc w:val="center"/>
                    <w:rPr>
                      <w:szCs w:val="21"/>
                    </w:rPr>
                  </w:pPr>
                  <w:r>
                    <w:rPr>
                      <w:rFonts w:hint="eastAsia"/>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02" w:hRule="atLeast"/>
              </w:trPr>
              <w:tc>
                <w:tcPr>
                  <w:tcW w:w="505" w:type="dxa"/>
                  <w:tcBorders>
                    <w:bottom w:val="single" w:color="auto" w:sz="4" w:space="0"/>
                  </w:tcBorders>
                  <w:vAlign w:val="center"/>
                </w:tcPr>
                <w:p>
                  <w:pPr>
                    <w:pStyle w:val="30"/>
                    <w:adjustRightInd w:val="0"/>
                    <w:snapToGrid w:val="0"/>
                    <w:spacing w:after="0"/>
                    <w:ind w:left="-63" w:leftChars="-30" w:right="-63" w:rightChars="-30" w:firstLine="0" w:firstLineChars="0"/>
                    <w:jc w:val="center"/>
                    <w:rPr>
                      <w:szCs w:val="21"/>
                    </w:rPr>
                  </w:pPr>
                  <w:r>
                    <w:rPr>
                      <w:rFonts w:hint="eastAsia"/>
                      <w:szCs w:val="21"/>
                    </w:rPr>
                    <w:t>污染物排放管控</w:t>
                  </w:r>
                </w:p>
              </w:tc>
              <w:tc>
                <w:tcPr>
                  <w:tcW w:w="3751" w:type="dxa"/>
                  <w:tcBorders>
                    <w:bottom w:val="single" w:color="auto" w:sz="4" w:space="0"/>
                  </w:tcBorders>
                  <w:vAlign w:val="center"/>
                </w:tcPr>
                <w:p>
                  <w:pPr>
                    <w:snapToGrid w:val="0"/>
                    <w:jc w:val="left"/>
                    <w:rPr>
                      <w:szCs w:val="21"/>
                    </w:rPr>
                  </w:pPr>
                  <w:r>
                    <w:rPr>
                      <w:rFonts w:hint="eastAsia"/>
                      <w:szCs w:val="21"/>
                    </w:rPr>
                    <w:t>【A7.2-1】落实污染物总量控制制度，根据区域环境质量改善目标，削减污染物排放总量。加强农业面源污染治理，严格控制化肥农药施加量，逐步削减农业面源污染物排放量。</w:t>
                  </w:r>
                </w:p>
              </w:tc>
              <w:tc>
                <w:tcPr>
                  <w:tcW w:w="1688" w:type="dxa"/>
                  <w:tcBorders>
                    <w:bottom w:val="single" w:color="auto" w:sz="4" w:space="0"/>
                  </w:tcBorders>
                  <w:vAlign w:val="center"/>
                </w:tcPr>
                <w:p>
                  <w:pPr>
                    <w:pStyle w:val="30"/>
                    <w:adjustRightInd w:val="0"/>
                    <w:snapToGrid w:val="0"/>
                    <w:spacing w:after="0"/>
                    <w:ind w:left="-63" w:leftChars="-30" w:right="-63" w:rightChars="-30" w:firstLine="0" w:firstLineChars="0"/>
                    <w:jc w:val="center"/>
                  </w:pPr>
                  <w:r>
                    <w:rPr>
                      <w:rFonts w:hint="eastAsia"/>
                    </w:rPr>
                    <w:t>本次评价要求采取</w:t>
                  </w:r>
                  <w:r>
                    <w:rPr>
                      <w:rFonts w:hint="eastAsia"/>
                      <w:lang w:bidi="ar"/>
                    </w:rPr>
                    <w:t>对地表覆盖砂集中堆放场采取设置防风抑尘网并用苫盖遮挡，在开采区配套移动式雾炮机并设防风抑尘网，对进厂道路进行砾石复压硬化，矿区配备洒水车，采用洒水对道路进行充分预湿，运输车辆出厂时，采取苫盖篷布的措施，并对车辆进行冲洗，等措施，经过措施削减后</w:t>
                  </w:r>
                  <w:r>
                    <w:rPr>
                      <w:rFonts w:hint="eastAsia"/>
                    </w:rPr>
                    <w:t>估算总量控制指标为T</w:t>
                  </w:r>
                  <w:r>
                    <w:t>SP</w:t>
                  </w:r>
                  <w:r>
                    <w:rPr>
                      <w:rFonts w:hint="eastAsia"/>
                    </w:rPr>
                    <w:t>：78.87t/a。</w:t>
                  </w:r>
                </w:p>
              </w:tc>
              <w:tc>
                <w:tcPr>
                  <w:tcW w:w="784" w:type="dxa"/>
                  <w:vAlign w:val="center"/>
                </w:tcPr>
                <w:p>
                  <w:pPr>
                    <w:pStyle w:val="30"/>
                    <w:adjustRightInd w:val="0"/>
                    <w:snapToGrid w:val="0"/>
                    <w:spacing w:after="0"/>
                    <w:ind w:left="-63" w:leftChars="-30" w:right="-63" w:rightChars="-30" w:firstLine="0" w:firstLineChars="0"/>
                    <w:jc w:val="center"/>
                    <w:rPr>
                      <w:szCs w:val="21"/>
                    </w:rPr>
                  </w:pPr>
                  <w:r>
                    <w:rPr>
                      <w:rFonts w:hint="eastAsia"/>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05" w:type="dxa"/>
                  <w:tcBorders>
                    <w:bottom w:val="single" w:color="auto" w:sz="4" w:space="0"/>
                  </w:tcBorders>
                  <w:vAlign w:val="center"/>
                </w:tcPr>
                <w:p>
                  <w:pPr>
                    <w:pStyle w:val="30"/>
                    <w:adjustRightInd w:val="0"/>
                    <w:snapToGrid w:val="0"/>
                    <w:spacing w:after="0"/>
                    <w:ind w:left="-63" w:leftChars="-30" w:right="-63" w:rightChars="-30" w:firstLine="0" w:firstLineChars="0"/>
                    <w:jc w:val="center"/>
                    <w:rPr>
                      <w:szCs w:val="21"/>
                    </w:rPr>
                  </w:pPr>
                  <w:r>
                    <w:rPr>
                      <w:rFonts w:hint="eastAsia"/>
                      <w:szCs w:val="21"/>
                    </w:rPr>
                    <w:t>环境风险防控</w:t>
                  </w:r>
                </w:p>
              </w:tc>
              <w:tc>
                <w:tcPr>
                  <w:tcW w:w="3751" w:type="dxa"/>
                  <w:tcBorders>
                    <w:bottom w:val="single" w:color="auto" w:sz="4" w:space="0"/>
                  </w:tcBorders>
                  <w:vAlign w:val="center"/>
                </w:tcPr>
                <w:p>
                  <w:pPr>
                    <w:snapToGrid w:val="0"/>
                    <w:jc w:val="left"/>
                    <w:rPr>
                      <w:szCs w:val="21"/>
                    </w:rPr>
                  </w:pPr>
                  <w:r>
                    <w:rPr>
                      <w:rFonts w:hint="eastAsia"/>
                      <w:szCs w:val="21"/>
                    </w:rPr>
                    <w:t>【A7.3-1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p>
              </w:tc>
              <w:tc>
                <w:tcPr>
                  <w:tcW w:w="1688" w:type="dxa"/>
                  <w:tcBorders>
                    <w:bottom w:val="single" w:color="auto" w:sz="4" w:space="0"/>
                  </w:tcBorders>
                  <w:vAlign w:val="center"/>
                </w:tcPr>
                <w:p>
                  <w:pPr>
                    <w:pStyle w:val="30"/>
                    <w:adjustRightInd w:val="0"/>
                    <w:snapToGrid w:val="0"/>
                    <w:spacing w:after="0"/>
                    <w:ind w:left="-63" w:leftChars="-30" w:right="-63" w:rightChars="-30" w:firstLine="0" w:firstLineChars="0"/>
                    <w:jc w:val="center"/>
                  </w:pPr>
                  <w:r>
                    <w:rPr>
                      <w:rFonts w:hint="eastAsia"/>
                    </w:rPr>
                    <w:t>项目占地范围内无生态林与农用地，项目无污废水排放，无重金属排放，矿区除环保厕所外，不设置其它生活设施，环保厕所定期委托环卫部门清运</w:t>
                  </w:r>
                  <w:r>
                    <w:rPr>
                      <w:rFonts w:hint="eastAsia"/>
                      <w:szCs w:val="21"/>
                    </w:rPr>
                    <w:t>，</w:t>
                  </w:r>
                  <w:r>
                    <w:rPr>
                      <w:rFonts w:hint="eastAsia"/>
                    </w:rPr>
                    <w:t>不会对周边区域产生环境风险，</w:t>
                  </w:r>
                  <w:r>
                    <w:rPr>
                      <w:rFonts w:hint="eastAsia"/>
                      <w:szCs w:val="21"/>
                    </w:rPr>
                    <w:t>符合要求。</w:t>
                  </w:r>
                </w:p>
              </w:tc>
              <w:tc>
                <w:tcPr>
                  <w:tcW w:w="784" w:type="dxa"/>
                  <w:vAlign w:val="center"/>
                </w:tcPr>
                <w:p>
                  <w:pPr>
                    <w:pStyle w:val="30"/>
                    <w:adjustRightInd w:val="0"/>
                    <w:snapToGrid w:val="0"/>
                    <w:spacing w:after="0"/>
                    <w:ind w:left="-63" w:leftChars="-30" w:right="-63" w:rightChars="-30" w:firstLine="0" w:firstLineChars="0"/>
                    <w:jc w:val="center"/>
                  </w:pPr>
                  <w:r>
                    <w:rPr>
                      <w:rFonts w:hint="eastAsia"/>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505" w:type="dxa"/>
                  <w:vAlign w:val="center"/>
                </w:tcPr>
                <w:p>
                  <w:pPr>
                    <w:pStyle w:val="30"/>
                    <w:adjustRightInd w:val="0"/>
                    <w:snapToGrid w:val="0"/>
                    <w:spacing w:after="0"/>
                    <w:ind w:left="-63" w:leftChars="-30" w:right="-63" w:rightChars="-30" w:firstLine="0" w:firstLineChars="0"/>
                    <w:jc w:val="center"/>
                    <w:rPr>
                      <w:szCs w:val="21"/>
                    </w:rPr>
                  </w:pPr>
                  <w:r>
                    <w:rPr>
                      <w:rFonts w:hint="eastAsia"/>
                      <w:szCs w:val="21"/>
                    </w:rPr>
                    <w:t>资源开发效率要求</w:t>
                  </w:r>
                </w:p>
              </w:tc>
              <w:tc>
                <w:tcPr>
                  <w:tcW w:w="3751" w:type="dxa"/>
                  <w:vAlign w:val="center"/>
                </w:tcPr>
                <w:p>
                  <w:pPr>
                    <w:snapToGrid w:val="0"/>
                    <w:jc w:val="left"/>
                    <w:rPr>
                      <w:szCs w:val="21"/>
                    </w:rPr>
                  </w:pPr>
                  <w:r>
                    <w:rPr>
                      <w:rFonts w:hint="eastAsia"/>
                      <w:szCs w:val="21"/>
                    </w:rPr>
                    <w:t>【A7.4-1】实行水资源消耗总量和强度双控，推进农业节水，提高农业用水效率。优化能源结构，加强能源清洁利用。</w:t>
                  </w:r>
                </w:p>
              </w:tc>
              <w:tc>
                <w:tcPr>
                  <w:tcW w:w="1688" w:type="dxa"/>
                  <w:vAlign w:val="center"/>
                </w:tcPr>
                <w:p>
                  <w:pPr>
                    <w:pStyle w:val="30"/>
                    <w:adjustRightInd w:val="0"/>
                    <w:snapToGrid w:val="0"/>
                    <w:spacing w:after="0"/>
                    <w:ind w:left="-63" w:leftChars="-30" w:right="-63" w:rightChars="-30" w:firstLine="0" w:firstLineChars="0"/>
                    <w:rPr>
                      <w:szCs w:val="21"/>
                    </w:rPr>
                  </w:pPr>
                  <w:r>
                    <w:rPr>
                      <w:rFonts w:hint="eastAsia"/>
                      <w:szCs w:val="21"/>
                    </w:rPr>
                    <w:t>本项目仅为石英砂露天开采，生产用水主要为洒水降尘用水，项目不设置供暖及供热等燃料设施，符合要求。</w:t>
                  </w:r>
                </w:p>
              </w:tc>
              <w:tc>
                <w:tcPr>
                  <w:tcW w:w="784" w:type="dxa"/>
                  <w:vAlign w:val="center"/>
                </w:tcPr>
                <w:p>
                  <w:pPr>
                    <w:pStyle w:val="30"/>
                    <w:adjustRightInd w:val="0"/>
                    <w:snapToGrid w:val="0"/>
                    <w:spacing w:after="0"/>
                    <w:ind w:left="-63" w:leftChars="-30" w:right="-63" w:rightChars="-30" w:firstLine="0" w:firstLineChars="0"/>
                    <w:jc w:val="center"/>
                    <w:rPr>
                      <w:szCs w:val="21"/>
                    </w:rPr>
                  </w:pPr>
                  <w:r>
                    <w:rPr>
                      <w:rFonts w:hint="eastAsia"/>
                      <w:szCs w:val="21"/>
                    </w:rPr>
                    <w:t>符合</w:t>
                  </w:r>
                </w:p>
              </w:tc>
            </w:tr>
          </w:tbl>
          <w:p>
            <w:pPr>
              <w:autoSpaceDE w:val="0"/>
              <w:autoSpaceDN w:val="0"/>
              <w:adjustRightInd w:val="0"/>
              <w:snapToGrid w:val="0"/>
              <w:spacing w:line="520" w:lineRule="exact"/>
              <w:ind w:firstLine="436" w:firstLineChars="200"/>
            </w:pPr>
            <w:r>
              <w:rPr>
                <w:spacing w:val="4"/>
                <w:szCs w:val="21"/>
              </w:rPr>
              <w:t>项</w:t>
            </w:r>
            <w:r>
              <w:rPr>
                <w:sz w:val="24"/>
              </w:rPr>
              <w:t>目符合国家</w:t>
            </w:r>
            <w:r>
              <w:rPr>
                <w:rFonts w:hint="eastAsia"/>
                <w:sz w:val="24"/>
              </w:rPr>
              <w:t>及</w:t>
            </w:r>
            <w:r>
              <w:rPr>
                <w:sz w:val="24"/>
              </w:rPr>
              <w:t>地方产业政策，项目采取有效的三废治理措施</w:t>
            </w:r>
            <w:r>
              <w:rPr>
                <w:rFonts w:hint="eastAsia"/>
                <w:sz w:val="24"/>
              </w:rPr>
              <w:t>，符合阜康市生态环境准入清单相关准入要求</w:t>
            </w:r>
            <w:r>
              <w:rPr>
                <w:sz w:val="24"/>
              </w:rPr>
              <w:t>。</w:t>
            </w:r>
          </w:p>
          <w:p>
            <w:pPr>
              <w:autoSpaceDE w:val="0"/>
              <w:autoSpaceDN w:val="0"/>
              <w:adjustRightInd w:val="0"/>
              <w:snapToGrid w:val="0"/>
              <w:spacing w:line="520" w:lineRule="exact"/>
              <w:ind w:firstLine="480" w:firstLineChars="200"/>
              <w:rPr>
                <w:sz w:val="24"/>
              </w:rPr>
            </w:pPr>
            <w:r>
              <w:rPr>
                <w:rFonts w:hint="eastAsia"/>
                <w:sz w:val="24"/>
              </w:rPr>
              <w:t>综上所述，本项目符合“三线一单”相关要求。</w:t>
            </w:r>
          </w:p>
          <w:p>
            <w:pPr>
              <w:autoSpaceDE w:val="0"/>
              <w:autoSpaceDN w:val="0"/>
              <w:adjustRightInd w:val="0"/>
              <w:snapToGrid w:val="0"/>
              <w:spacing w:line="520" w:lineRule="exact"/>
              <w:ind w:firstLine="482" w:firstLineChars="200"/>
              <w:rPr>
                <w:b/>
                <w:bCs/>
                <w:sz w:val="24"/>
              </w:rPr>
            </w:pPr>
            <w:r>
              <w:rPr>
                <w:b/>
                <w:bCs/>
                <w:sz w:val="24"/>
              </w:rPr>
              <w:t>2、产业政策符合性分析</w:t>
            </w:r>
          </w:p>
          <w:p>
            <w:pPr>
              <w:autoSpaceDE w:val="0"/>
              <w:autoSpaceDN w:val="0"/>
              <w:adjustRightInd w:val="0"/>
              <w:snapToGrid w:val="0"/>
              <w:spacing w:line="520" w:lineRule="exact"/>
              <w:ind w:firstLine="480" w:firstLineChars="200"/>
              <w:rPr>
                <w:sz w:val="24"/>
              </w:rPr>
            </w:pPr>
            <w:r>
              <w:rPr>
                <w:sz w:val="24"/>
              </w:rPr>
              <w:t>根据国家发展和改革委员会发布的《产业结构调整指导目录》（2019年本</w:t>
            </w:r>
            <w:r>
              <w:rPr>
                <w:rFonts w:hint="eastAsia"/>
                <w:sz w:val="24"/>
              </w:rPr>
              <w:t>）</w:t>
            </w:r>
            <w:r>
              <w:rPr>
                <w:sz w:val="24"/>
              </w:rPr>
              <w:t>，本项目不属于鼓励类、淘汰类和限制类项目。根据国务院关于发布实施《促进产业结构调整暂行规定》的决定第三章产业结构调整指导目录第十三条</w:t>
            </w:r>
            <w:r>
              <w:rPr>
                <w:rFonts w:hint="eastAsia"/>
                <w:sz w:val="24"/>
              </w:rPr>
              <w:t>：“</w:t>
            </w:r>
            <w:r>
              <w:rPr>
                <w:sz w:val="24"/>
              </w:rPr>
              <w:t>不属于鼓励类、限制类和淘汰类，且符合国家有关法律、法规和政策规定的，为允许类</w:t>
            </w:r>
            <w:r>
              <w:rPr>
                <w:rFonts w:hint="eastAsia"/>
                <w:sz w:val="24"/>
              </w:rPr>
              <w:t>”</w:t>
            </w:r>
            <w:r>
              <w:rPr>
                <w:sz w:val="24"/>
              </w:rPr>
              <w:t>，因此本项目符合国家的产业政策。</w:t>
            </w:r>
          </w:p>
          <w:p>
            <w:pPr>
              <w:autoSpaceDE w:val="0"/>
              <w:autoSpaceDN w:val="0"/>
              <w:adjustRightInd w:val="0"/>
              <w:snapToGrid w:val="0"/>
              <w:spacing w:line="520" w:lineRule="exact"/>
              <w:ind w:firstLine="482" w:firstLineChars="200"/>
              <w:rPr>
                <w:b/>
                <w:bCs/>
                <w:sz w:val="24"/>
              </w:rPr>
            </w:pPr>
            <w:r>
              <w:rPr>
                <w:rFonts w:hint="eastAsia"/>
                <w:b/>
                <w:bCs/>
                <w:sz w:val="24"/>
              </w:rPr>
              <w:t>3、</w:t>
            </w:r>
            <w:r>
              <w:rPr>
                <w:b/>
                <w:bCs/>
                <w:sz w:val="24"/>
              </w:rPr>
              <w:t>法规、条例的符合性分析</w:t>
            </w:r>
          </w:p>
          <w:p>
            <w:pPr>
              <w:autoSpaceDE w:val="0"/>
              <w:autoSpaceDN w:val="0"/>
              <w:adjustRightInd w:val="0"/>
              <w:snapToGrid w:val="0"/>
              <w:spacing w:line="520" w:lineRule="exact"/>
              <w:ind w:firstLine="480" w:firstLineChars="200"/>
              <w:rPr>
                <w:sz w:val="24"/>
              </w:rPr>
            </w:pPr>
            <w:r>
              <w:rPr>
                <w:rFonts w:hint="eastAsia"/>
                <w:sz w:val="24"/>
              </w:rPr>
              <w:t>本矿山位于阜康市北部准格尔盆地古尔班通古特沙漠东部，阜康市城区17°方位，距离阜康市直线距离78km处，东侧距离卡拉麦里山有蹄类自然保护区</w:t>
            </w:r>
            <w:r>
              <w:rPr>
                <w:sz w:val="24"/>
              </w:rPr>
              <w:t>17.5</w:t>
            </w:r>
            <w:r>
              <w:rPr>
                <w:rFonts w:hint="eastAsia"/>
                <w:sz w:val="24"/>
              </w:rPr>
              <w:t>km，不在卡拉麦里山有蹄类自然保护区范围内。与保护区位置关系见附图3。</w:t>
            </w:r>
          </w:p>
          <w:p>
            <w:pPr>
              <w:autoSpaceDE w:val="0"/>
              <w:autoSpaceDN w:val="0"/>
              <w:adjustRightInd w:val="0"/>
              <w:snapToGrid w:val="0"/>
              <w:spacing w:line="520" w:lineRule="exact"/>
              <w:ind w:firstLine="482" w:firstLineChars="200"/>
              <w:rPr>
                <w:b/>
                <w:bCs/>
                <w:sz w:val="24"/>
              </w:rPr>
            </w:pPr>
            <w:r>
              <w:rPr>
                <w:rFonts w:hint="eastAsia"/>
                <w:b/>
                <w:bCs/>
                <w:sz w:val="24"/>
              </w:rPr>
              <w:t>3</w:t>
            </w:r>
            <w:r>
              <w:rPr>
                <w:b/>
                <w:bCs/>
                <w:sz w:val="24"/>
              </w:rPr>
              <w:t>.1 与《矿山生态环境保护与污染防治技术政策》符合性分析</w:t>
            </w:r>
          </w:p>
          <w:p>
            <w:pPr>
              <w:autoSpaceDE w:val="0"/>
              <w:autoSpaceDN w:val="0"/>
              <w:adjustRightInd w:val="0"/>
              <w:snapToGrid w:val="0"/>
              <w:spacing w:line="520" w:lineRule="exact"/>
              <w:ind w:firstLine="480" w:firstLineChars="200"/>
              <w:rPr>
                <w:sz w:val="24"/>
              </w:rPr>
            </w:pPr>
            <w:r>
              <w:rPr>
                <w:sz w:val="24"/>
              </w:rPr>
              <w:t>根据《矿山生态环境保护与污染防治技术政策》，其相关内容与本项目符合性分析见表</w:t>
            </w:r>
            <w:r>
              <w:rPr>
                <w:rFonts w:hint="eastAsia"/>
                <w:sz w:val="24"/>
              </w:rPr>
              <w:t>1-</w:t>
            </w:r>
            <w:r>
              <w:rPr>
                <w:sz w:val="24"/>
              </w:rPr>
              <w:t>2。</w:t>
            </w:r>
          </w:p>
          <w:p>
            <w:pPr>
              <w:jc w:val="center"/>
              <w:rPr>
                <w:rFonts w:eastAsia="黑体"/>
                <w:sz w:val="24"/>
              </w:rPr>
            </w:pPr>
            <w:r>
              <w:rPr>
                <w:rFonts w:eastAsia="黑体"/>
                <w:sz w:val="24"/>
              </w:rPr>
              <w:t>表</w:t>
            </w:r>
            <w:r>
              <w:rPr>
                <w:rFonts w:hint="eastAsia" w:eastAsia="黑体"/>
                <w:sz w:val="24"/>
              </w:rPr>
              <w:t>1-</w:t>
            </w:r>
            <w:r>
              <w:rPr>
                <w:rFonts w:eastAsia="黑体"/>
                <w:sz w:val="24"/>
              </w:rPr>
              <w:t>2  与《矿山生态环境保护与污染防治技术政策》符合性分析</w:t>
            </w:r>
          </w:p>
          <w:tbl>
            <w:tblPr>
              <w:tblStyle w:val="31"/>
              <w:tblW w:w="677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93"/>
              <w:gridCol w:w="2388"/>
              <w:gridCol w:w="2724"/>
              <w:gridCol w:w="106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b/>
                      <w:szCs w:val="21"/>
                    </w:rPr>
                  </w:pPr>
                  <w:r>
                    <w:rPr>
                      <w:b/>
                      <w:szCs w:val="21"/>
                    </w:rPr>
                    <w:t>序号</w:t>
                  </w:r>
                </w:p>
              </w:tc>
              <w:tc>
                <w:tcPr>
                  <w:tcW w:w="2388" w:type="dxa"/>
                  <w:vAlign w:val="center"/>
                </w:tcPr>
                <w:p>
                  <w:pPr>
                    <w:adjustRightInd w:val="0"/>
                    <w:snapToGrid w:val="0"/>
                    <w:spacing w:line="320" w:lineRule="exact"/>
                    <w:jc w:val="center"/>
                    <w:rPr>
                      <w:b/>
                      <w:szCs w:val="21"/>
                    </w:rPr>
                  </w:pPr>
                  <w:r>
                    <w:rPr>
                      <w:b/>
                      <w:szCs w:val="21"/>
                    </w:rPr>
                    <w:t>相关规定</w:t>
                  </w:r>
                </w:p>
              </w:tc>
              <w:tc>
                <w:tcPr>
                  <w:tcW w:w="2724" w:type="dxa"/>
                  <w:vAlign w:val="center"/>
                </w:tcPr>
                <w:p>
                  <w:pPr>
                    <w:adjustRightInd w:val="0"/>
                    <w:snapToGrid w:val="0"/>
                    <w:spacing w:line="320" w:lineRule="exact"/>
                    <w:jc w:val="center"/>
                    <w:rPr>
                      <w:b/>
                      <w:szCs w:val="21"/>
                    </w:rPr>
                  </w:pPr>
                  <w:r>
                    <w:rPr>
                      <w:b/>
                      <w:szCs w:val="21"/>
                    </w:rPr>
                    <w:t>本项目情况</w:t>
                  </w:r>
                </w:p>
              </w:tc>
              <w:tc>
                <w:tcPr>
                  <w:tcW w:w="1069" w:type="dxa"/>
                  <w:vAlign w:val="center"/>
                </w:tcPr>
                <w:p>
                  <w:pPr>
                    <w:adjustRightInd w:val="0"/>
                    <w:snapToGrid w:val="0"/>
                    <w:spacing w:line="320" w:lineRule="exact"/>
                    <w:jc w:val="center"/>
                    <w:rPr>
                      <w:b/>
                      <w:szCs w:val="21"/>
                    </w:rPr>
                  </w:pPr>
                  <w:r>
                    <w:rPr>
                      <w:b/>
                      <w:szCs w:val="21"/>
                    </w:rPr>
                    <w:t>符合性分析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1</w:t>
                  </w:r>
                </w:p>
              </w:tc>
              <w:tc>
                <w:tcPr>
                  <w:tcW w:w="2388" w:type="dxa"/>
                  <w:vAlign w:val="center"/>
                </w:tcPr>
                <w:p>
                  <w:pPr>
                    <w:adjustRightInd w:val="0"/>
                    <w:snapToGrid w:val="0"/>
                    <w:spacing w:line="320" w:lineRule="exact"/>
                    <w:jc w:val="center"/>
                    <w:rPr>
                      <w:szCs w:val="21"/>
                    </w:rPr>
                  </w:pPr>
                  <w:r>
                    <w:rPr>
                      <w:szCs w:val="21"/>
                    </w:rPr>
                    <w:t>禁止在依法划定的自然保护区（核心区、缓冲区）、风景名胜区、森林公园、饮用水水源保护区、重要湖泊周边、文物古迹所在地、地质遗迹保护区、基本农田保护区等区域内采矿。</w:t>
                  </w:r>
                </w:p>
              </w:tc>
              <w:tc>
                <w:tcPr>
                  <w:tcW w:w="2724" w:type="dxa"/>
                  <w:vAlign w:val="center"/>
                </w:tcPr>
                <w:p>
                  <w:pPr>
                    <w:adjustRightInd w:val="0"/>
                    <w:snapToGrid w:val="0"/>
                    <w:spacing w:line="320" w:lineRule="exact"/>
                    <w:jc w:val="center"/>
                    <w:rPr>
                      <w:szCs w:val="21"/>
                    </w:rPr>
                  </w:pPr>
                  <w:r>
                    <w:rPr>
                      <w:szCs w:val="21"/>
                    </w:rPr>
                    <w:t>本项目不涉及自然保护区（核心区、缓冲区）、风景名胜区、森林公园、饮用水水源保护区、重要湖泊、文物古迹所在地、地质遗迹保护区、基本农田保护区等。</w:t>
                  </w:r>
                </w:p>
              </w:tc>
              <w:tc>
                <w:tcPr>
                  <w:tcW w:w="1069" w:type="dxa"/>
                  <w:vAlign w:val="center"/>
                </w:tcPr>
                <w:p>
                  <w:pPr>
                    <w:adjustRightInd w:val="0"/>
                    <w:snapToGrid w:val="0"/>
                    <w:spacing w:line="320" w:lineRule="exact"/>
                    <w:jc w:val="center"/>
                    <w:rPr>
                      <w:szCs w:val="21"/>
                    </w:rPr>
                  </w:pPr>
                  <w:r>
                    <w:rPr>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2</w:t>
                  </w:r>
                </w:p>
              </w:tc>
              <w:tc>
                <w:tcPr>
                  <w:tcW w:w="2388" w:type="dxa"/>
                  <w:vAlign w:val="center"/>
                </w:tcPr>
                <w:p>
                  <w:pPr>
                    <w:adjustRightInd w:val="0"/>
                    <w:snapToGrid w:val="0"/>
                    <w:spacing w:line="320" w:lineRule="exact"/>
                    <w:jc w:val="center"/>
                    <w:rPr>
                      <w:szCs w:val="21"/>
                    </w:rPr>
                  </w:pPr>
                  <w:r>
                    <w:rPr>
                      <w:szCs w:val="21"/>
                    </w:rPr>
                    <w:t>禁止在铁路、国道、省道两侧的直观可视范围内进行露天开采</w:t>
                  </w:r>
                </w:p>
              </w:tc>
              <w:tc>
                <w:tcPr>
                  <w:tcW w:w="2724" w:type="dxa"/>
                  <w:vAlign w:val="center"/>
                </w:tcPr>
                <w:p>
                  <w:pPr>
                    <w:adjustRightInd w:val="0"/>
                    <w:snapToGrid w:val="0"/>
                    <w:spacing w:line="320" w:lineRule="exact"/>
                    <w:jc w:val="center"/>
                    <w:rPr>
                      <w:szCs w:val="21"/>
                    </w:rPr>
                  </w:pPr>
                  <w:r>
                    <w:rPr>
                      <w:szCs w:val="21"/>
                    </w:rPr>
                    <w:t>本项目不在铁路、国道、省道两侧的直观可视范围内。</w:t>
                  </w:r>
                </w:p>
              </w:tc>
              <w:tc>
                <w:tcPr>
                  <w:tcW w:w="1069" w:type="dxa"/>
                  <w:vAlign w:val="center"/>
                </w:tcPr>
                <w:p>
                  <w:pPr>
                    <w:adjustRightInd w:val="0"/>
                    <w:snapToGrid w:val="0"/>
                    <w:spacing w:line="320" w:lineRule="exact"/>
                    <w:jc w:val="center"/>
                    <w:rPr>
                      <w:szCs w:val="21"/>
                    </w:rPr>
                  </w:pPr>
                  <w:r>
                    <w:rPr>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3</w:t>
                  </w:r>
                </w:p>
              </w:tc>
              <w:tc>
                <w:tcPr>
                  <w:tcW w:w="2388" w:type="dxa"/>
                  <w:vAlign w:val="center"/>
                </w:tcPr>
                <w:p>
                  <w:pPr>
                    <w:adjustRightInd w:val="0"/>
                    <w:snapToGrid w:val="0"/>
                    <w:spacing w:line="320" w:lineRule="exact"/>
                    <w:jc w:val="center"/>
                    <w:rPr>
                      <w:szCs w:val="21"/>
                    </w:rPr>
                  </w:pPr>
                  <w:r>
                    <w:rPr>
                      <w:szCs w:val="21"/>
                    </w:rPr>
                    <w:t>禁止在地质灾害危险区开采矿产资源</w:t>
                  </w:r>
                </w:p>
              </w:tc>
              <w:tc>
                <w:tcPr>
                  <w:tcW w:w="2724" w:type="dxa"/>
                  <w:vAlign w:val="center"/>
                </w:tcPr>
                <w:p>
                  <w:pPr>
                    <w:adjustRightInd w:val="0"/>
                    <w:snapToGrid w:val="0"/>
                    <w:spacing w:line="320" w:lineRule="exact"/>
                    <w:jc w:val="center"/>
                    <w:rPr>
                      <w:szCs w:val="21"/>
                    </w:rPr>
                  </w:pPr>
                  <w:r>
                    <w:rPr>
                      <w:szCs w:val="21"/>
                    </w:rPr>
                    <w:t>本项目不属于地质灾害危险区</w:t>
                  </w:r>
                </w:p>
              </w:tc>
              <w:tc>
                <w:tcPr>
                  <w:tcW w:w="1069" w:type="dxa"/>
                  <w:vAlign w:val="center"/>
                </w:tcPr>
                <w:p>
                  <w:pPr>
                    <w:adjustRightInd w:val="0"/>
                    <w:snapToGrid w:val="0"/>
                    <w:spacing w:line="320" w:lineRule="exact"/>
                    <w:jc w:val="center"/>
                    <w:rPr>
                      <w:szCs w:val="21"/>
                    </w:rPr>
                  </w:pPr>
                  <w:r>
                    <w:rPr>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4</w:t>
                  </w:r>
                </w:p>
              </w:tc>
              <w:tc>
                <w:tcPr>
                  <w:tcW w:w="2388" w:type="dxa"/>
                  <w:vAlign w:val="center"/>
                </w:tcPr>
                <w:p>
                  <w:pPr>
                    <w:adjustRightInd w:val="0"/>
                    <w:snapToGrid w:val="0"/>
                    <w:spacing w:line="320" w:lineRule="exact"/>
                    <w:jc w:val="center"/>
                    <w:rPr>
                      <w:szCs w:val="21"/>
                    </w:rPr>
                  </w:pPr>
                  <w:r>
                    <w:rPr>
                      <w:szCs w:val="21"/>
                    </w:rPr>
                    <w:t>禁止土法采、选冶金矿和土法冶炼汞、砷、铅、锌、焦、硫、钒等矿产资源开发活动</w:t>
                  </w:r>
                </w:p>
              </w:tc>
              <w:tc>
                <w:tcPr>
                  <w:tcW w:w="2724" w:type="dxa"/>
                  <w:vAlign w:val="center"/>
                </w:tcPr>
                <w:p>
                  <w:pPr>
                    <w:adjustRightInd w:val="0"/>
                    <w:snapToGrid w:val="0"/>
                    <w:spacing w:line="320" w:lineRule="exact"/>
                    <w:jc w:val="center"/>
                    <w:rPr>
                      <w:szCs w:val="21"/>
                    </w:rPr>
                  </w:pPr>
                  <w:r>
                    <w:rPr>
                      <w:szCs w:val="21"/>
                    </w:rPr>
                    <w:t>本项目为</w:t>
                  </w:r>
                  <w:r>
                    <w:rPr>
                      <w:rFonts w:hint="eastAsia"/>
                      <w:szCs w:val="21"/>
                    </w:rPr>
                    <w:t>石英砂</w:t>
                  </w:r>
                  <w:r>
                    <w:rPr>
                      <w:szCs w:val="21"/>
                    </w:rPr>
                    <w:t>矿露天开采，开采工艺成熟</w:t>
                  </w:r>
                </w:p>
              </w:tc>
              <w:tc>
                <w:tcPr>
                  <w:tcW w:w="1069" w:type="dxa"/>
                  <w:vAlign w:val="center"/>
                </w:tcPr>
                <w:p>
                  <w:pPr>
                    <w:adjustRightInd w:val="0"/>
                    <w:snapToGrid w:val="0"/>
                    <w:spacing w:line="320" w:lineRule="exact"/>
                    <w:jc w:val="center"/>
                    <w:rPr>
                      <w:szCs w:val="21"/>
                    </w:rPr>
                  </w:pPr>
                  <w:r>
                    <w:rPr>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5</w:t>
                  </w:r>
                </w:p>
              </w:tc>
              <w:tc>
                <w:tcPr>
                  <w:tcW w:w="2388" w:type="dxa"/>
                  <w:vAlign w:val="center"/>
                </w:tcPr>
                <w:p>
                  <w:pPr>
                    <w:adjustRightInd w:val="0"/>
                    <w:snapToGrid w:val="0"/>
                    <w:spacing w:line="320" w:lineRule="exact"/>
                    <w:jc w:val="center"/>
                    <w:rPr>
                      <w:szCs w:val="21"/>
                    </w:rPr>
                  </w:pPr>
                  <w:r>
                    <w:rPr>
                      <w:szCs w:val="21"/>
                    </w:rPr>
                    <w:t>禁止新建对生态环境产生不可恢复利用的、产生破坏性影响的矿产资源开发项目</w:t>
                  </w:r>
                </w:p>
              </w:tc>
              <w:tc>
                <w:tcPr>
                  <w:tcW w:w="2724" w:type="dxa"/>
                  <w:vAlign w:val="center"/>
                </w:tcPr>
                <w:p>
                  <w:pPr>
                    <w:adjustRightInd w:val="0"/>
                    <w:snapToGrid w:val="0"/>
                    <w:spacing w:line="320" w:lineRule="exact"/>
                    <w:jc w:val="center"/>
                    <w:rPr>
                      <w:szCs w:val="21"/>
                    </w:rPr>
                  </w:pPr>
                  <w:bookmarkStart w:id="8" w:name="_Hlk87460447"/>
                  <w:r>
                    <w:rPr>
                      <w:szCs w:val="21"/>
                    </w:rPr>
                    <w:t>项目占地主要为</w:t>
                  </w:r>
                  <w:r>
                    <w:rPr>
                      <w:rFonts w:hint="eastAsia"/>
                      <w:szCs w:val="21"/>
                    </w:rPr>
                    <w:t>沙漠</w:t>
                  </w:r>
                  <w:r>
                    <w:rPr>
                      <w:szCs w:val="21"/>
                    </w:rPr>
                    <w:t>，</w:t>
                  </w:r>
                  <w:r>
                    <w:rPr>
                      <w:rFonts w:hint="eastAsia"/>
                      <w:kern w:val="0"/>
                      <w:szCs w:val="21"/>
                    </w:rPr>
                    <w:t>本次评价要求在地表覆盖砂集中堆放场堆存，在阶段性开采结束后，将地表覆盖砂全部有序清运至露天采坑回填覆盖，以恢复当地生态环境。</w:t>
                  </w:r>
                  <w:bookmarkEnd w:id="8"/>
                </w:p>
              </w:tc>
              <w:tc>
                <w:tcPr>
                  <w:tcW w:w="1069" w:type="dxa"/>
                  <w:vAlign w:val="center"/>
                </w:tcPr>
                <w:p>
                  <w:pPr>
                    <w:adjustRightInd w:val="0"/>
                    <w:snapToGrid w:val="0"/>
                    <w:spacing w:line="320" w:lineRule="exact"/>
                    <w:jc w:val="center"/>
                    <w:rPr>
                      <w:szCs w:val="21"/>
                    </w:rPr>
                  </w:pPr>
                  <w:r>
                    <w:rPr>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6</w:t>
                  </w:r>
                </w:p>
              </w:tc>
              <w:tc>
                <w:tcPr>
                  <w:tcW w:w="2388" w:type="dxa"/>
                  <w:vAlign w:val="center"/>
                </w:tcPr>
                <w:p>
                  <w:pPr>
                    <w:adjustRightInd w:val="0"/>
                    <w:snapToGrid w:val="0"/>
                    <w:spacing w:line="320" w:lineRule="exact"/>
                    <w:jc w:val="center"/>
                    <w:rPr>
                      <w:szCs w:val="21"/>
                    </w:rPr>
                  </w:pPr>
                  <w:r>
                    <w:rPr>
                      <w:szCs w:val="21"/>
                    </w:rPr>
                    <w:t>限制在生态功能保护区和自然保护区（过渡区）内开采矿产资源</w:t>
                  </w:r>
                </w:p>
              </w:tc>
              <w:tc>
                <w:tcPr>
                  <w:tcW w:w="2724" w:type="dxa"/>
                  <w:vAlign w:val="center"/>
                </w:tcPr>
                <w:p>
                  <w:pPr>
                    <w:adjustRightInd w:val="0"/>
                    <w:snapToGrid w:val="0"/>
                    <w:spacing w:line="320" w:lineRule="exact"/>
                    <w:jc w:val="center"/>
                    <w:rPr>
                      <w:szCs w:val="21"/>
                    </w:rPr>
                  </w:pPr>
                  <w:r>
                    <w:rPr>
                      <w:szCs w:val="21"/>
                    </w:rPr>
                    <w:t>本项目不涉及自然保护区（过渡区）和生态功能保护区</w:t>
                  </w:r>
                </w:p>
              </w:tc>
              <w:tc>
                <w:tcPr>
                  <w:tcW w:w="1069" w:type="dxa"/>
                  <w:vAlign w:val="center"/>
                </w:tcPr>
                <w:p>
                  <w:pPr>
                    <w:adjustRightInd w:val="0"/>
                    <w:snapToGrid w:val="0"/>
                    <w:spacing w:line="320" w:lineRule="exact"/>
                    <w:jc w:val="center"/>
                    <w:rPr>
                      <w:szCs w:val="21"/>
                    </w:rPr>
                  </w:pPr>
                  <w:r>
                    <w:rPr>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7</w:t>
                  </w:r>
                </w:p>
              </w:tc>
              <w:tc>
                <w:tcPr>
                  <w:tcW w:w="2388" w:type="dxa"/>
                  <w:vAlign w:val="center"/>
                </w:tcPr>
                <w:p>
                  <w:pPr>
                    <w:adjustRightInd w:val="0"/>
                    <w:snapToGrid w:val="0"/>
                    <w:spacing w:line="320" w:lineRule="exact"/>
                    <w:jc w:val="center"/>
                    <w:rPr>
                      <w:szCs w:val="21"/>
                    </w:rPr>
                  </w:pPr>
                  <w:r>
                    <w:rPr>
                      <w:szCs w:val="21"/>
                    </w:rPr>
                    <w:t>限制在地质灾害易发区、水土流失严重区域等生态脆弱区内开采矿产资源</w:t>
                  </w:r>
                </w:p>
              </w:tc>
              <w:tc>
                <w:tcPr>
                  <w:tcW w:w="2724" w:type="dxa"/>
                  <w:vAlign w:val="center"/>
                </w:tcPr>
                <w:p>
                  <w:pPr>
                    <w:adjustRightInd w:val="0"/>
                    <w:snapToGrid w:val="0"/>
                    <w:spacing w:line="320" w:lineRule="exact"/>
                    <w:jc w:val="center"/>
                    <w:rPr>
                      <w:szCs w:val="21"/>
                    </w:rPr>
                  </w:pPr>
                  <w:r>
                    <w:rPr>
                      <w:szCs w:val="21"/>
                    </w:rPr>
                    <w:t>本项目不涉及生态脆弱区</w:t>
                  </w:r>
                </w:p>
              </w:tc>
              <w:tc>
                <w:tcPr>
                  <w:tcW w:w="1069" w:type="dxa"/>
                  <w:vAlign w:val="center"/>
                </w:tcPr>
                <w:p>
                  <w:pPr>
                    <w:adjustRightInd w:val="0"/>
                    <w:snapToGrid w:val="0"/>
                    <w:spacing w:line="320" w:lineRule="exact"/>
                    <w:jc w:val="center"/>
                    <w:rPr>
                      <w:szCs w:val="21"/>
                    </w:rPr>
                  </w:pPr>
                  <w:r>
                    <w:rPr>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93" w:type="dxa"/>
                  <w:vAlign w:val="center"/>
                </w:tcPr>
                <w:p>
                  <w:pPr>
                    <w:adjustRightInd w:val="0"/>
                    <w:snapToGrid w:val="0"/>
                    <w:spacing w:line="320" w:lineRule="exact"/>
                    <w:jc w:val="center"/>
                    <w:rPr>
                      <w:szCs w:val="21"/>
                    </w:rPr>
                  </w:pPr>
                  <w:r>
                    <w:rPr>
                      <w:szCs w:val="21"/>
                    </w:rPr>
                    <w:t>8</w:t>
                  </w:r>
                </w:p>
              </w:tc>
              <w:tc>
                <w:tcPr>
                  <w:tcW w:w="2388" w:type="dxa"/>
                  <w:vAlign w:val="center"/>
                </w:tcPr>
                <w:p>
                  <w:pPr>
                    <w:adjustRightInd w:val="0"/>
                    <w:snapToGrid w:val="0"/>
                    <w:spacing w:line="320" w:lineRule="exact"/>
                    <w:jc w:val="center"/>
                    <w:rPr>
                      <w:szCs w:val="21"/>
                    </w:rPr>
                  </w:pPr>
                  <w:r>
                    <w:rPr>
                      <w:szCs w:val="21"/>
                    </w:rPr>
                    <w:t>矿产资源开发应符合国家产业政策要求，选址、布局应符合所在地的区域发展规划。</w:t>
                  </w:r>
                </w:p>
              </w:tc>
              <w:tc>
                <w:tcPr>
                  <w:tcW w:w="2724" w:type="dxa"/>
                  <w:vAlign w:val="center"/>
                </w:tcPr>
                <w:p>
                  <w:pPr>
                    <w:adjustRightInd w:val="0"/>
                    <w:snapToGrid w:val="0"/>
                    <w:spacing w:line="320" w:lineRule="exact"/>
                    <w:jc w:val="center"/>
                    <w:rPr>
                      <w:szCs w:val="21"/>
                    </w:rPr>
                  </w:pPr>
                  <w:r>
                    <w:rPr>
                      <w:szCs w:val="21"/>
                    </w:rPr>
                    <w:t>符合国家产业政策及区域规划要求</w:t>
                  </w:r>
                </w:p>
              </w:tc>
              <w:tc>
                <w:tcPr>
                  <w:tcW w:w="1069" w:type="dxa"/>
                  <w:vAlign w:val="center"/>
                </w:tcPr>
                <w:p>
                  <w:pPr>
                    <w:adjustRightInd w:val="0"/>
                    <w:snapToGrid w:val="0"/>
                    <w:spacing w:line="320" w:lineRule="exact"/>
                    <w:jc w:val="center"/>
                    <w:rPr>
                      <w:szCs w:val="21"/>
                    </w:rPr>
                  </w:pPr>
                  <w:r>
                    <w:rPr>
                      <w:szCs w:val="21"/>
                    </w:rPr>
                    <w:t>符合</w:t>
                  </w:r>
                </w:p>
              </w:tc>
            </w:tr>
          </w:tbl>
          <w:p>
            <w:pPr>
              <w:adjustRightInd w:val="0"/>
              <w:snapToGrid w:val="0"/>
              <w:spacing w:line="360" w:lineRule="auto"/>
              <w:ind w:firstLine="480" w:firstLineChars="200"/>
              <w:outlineLvl w:val="0"/>
              <w:rPr>
                <w:bCs/>
                <w:sz w:val="24"/>
              </w:rPr>
            </w:pPr>
            <w:r>
              <w:rPr>
                <w:bCs/>
                <w:sz w:val="24"/>
              </w:rPr>
              <w:t>同时，根据《矿山生态环境保护与污染防治技术政策》对矿山生态环境保护与污染防治提出了要求，本次评价按照《矿山生态环境保护与污染防治技术政策》的要求，以及项目周围环境敏感特征和当前技术经济条件，有针对性地提出合理可行的生态环境保护与污染防治措施，以达到实现矿产资源开发与生态环境保护协调发展，避免和减少矿区生态环境破坏和污染的目的。</w:t>
            </w:r>
          </w:p>
          <w:p>
            <w:pPr>
              <w:adjustRightInd w:val="0"/>
              <w:snapToGrid w:val="0"/>
              <w:spacing w:line="360" w:lineRule="auto"/>
              <w:ind w:firstLine="480" w:firstLineChars="200"/>
              <w:outlineLvl w:val="0"/>
              <w:rPr>
                <w:bCs/>
                <w:sz w:val="24"/>
              </w:rPr>
            </w:pPr>
            <w:r>
              <w:rPr>
                <w:bCs/>
                <w:sz w:val="24"/>
              </w:rPr>
              <w:t>综上，本矿山的建设符合</w:t>
            </w:r>
            <w:bookmarkStart w:id="9" w:name="_Hlk87460098"/>
            <w:r>
              <w:rPr>
                <w:bCs/>
                <w:sz w:val="24"/>
              </w:rPr>
              <w:t>《矿山生态环境保护与污染防治技术政策》</w:t>
            </w:r>
            <w:bookmarkEnd w:id="9"/>
            <w:r>
              <w:rPr>
                <w:bCs/>
                <w:sz w:val="24"/>
              </w:rPr>
              <w:t>。</w:t>
            </w:r>
          </w:p>
          <w:p>
            <w:pPr>
              <w:adjustRightInd w:val="0"/>
              <w:snapToGrid w:val="0"/>
              <w:spacing w:line="360" w:lineRule="auto"/>
              <w:ind w:firstLine="482" w:firstLineChars="200"/>
              <w:outlineLvl w:val="0"/>
              <w:rPr>
                <w:b/>
                <w:sz w:val="24"/>
              </w:rPr>
            </w:pPr>
            <w:r>
              <w:rPr>
                <w:rFonts w:hint="eastAsia"/>
                <w:b/>
                <w:sz w:val="24"/>
              </w:rPr>
              <w:t>3</w:t>
            </w:r>
            <w:r>
              <w:rPr>
                <w:b/>
                <w:sz w:val="24"/>
              </w:rPr>
              <w:t>.2与</w:t>
            </w:r>
            <w:r>
              <w:rPr>
                <w:rFonts w:hint="eastAsia"/>
                <w:b/>
                <w:sz w:val="24"/>
              </w:rPr>
              <w:t>《砂石行业绿色矿山建设规范》（D</w:t>
            </w:r>
            <w:r>
              <w:rPr>
                <w:b/>
                <w:sz w:val="24"/>
              </w:rPr>
              <w:t>Z/T0316-2018</w:t>
            </w:r>
            <w:r>
              <w:rPr>
                <w:rFonts w:hint="eastAsia"/>
                <w:b/>
                <w:sz w:val="24"/>
              </w:rPr>
              <w:t>）符合性分析</w:t>
            </w:r>
          </w:p>
          <w:p>
            <w:pPr>
              <w:pStyle w:val="14"/>
              <w:widowControl w:val="0"/>
              <w:adjustRightInd w:val="0"/>
              <w:spacing w:before="0" w:after="0" w:line="360" w:lineRule="auto"/>
              <w:ind w:right="0" w:firstLine="468" w:firstLineChars="200"/>
              <w:rPr>
                <w:sz w:val="24"/>
                <w:highlight w:val="yellow"/>
              </w:rPr>
            </w:pPr>
            <w:r>
              <w:rPr>
                <w:rFonts w:hint="eastAsia"/>
                <w:spacing w:val="-3"/>
                <w:sz w:val="24"/>
              </w:rPr>
              <w:t>砂石行业绿色矿山建设规范符合性</w:t>
            </w:r>
            <w:r>
              <w:rPr>
                <w:spacing w:val="-3"/>
                <w:sz w:val="24"/>
              </w:rPr>
              <w:t>分析列于表</w:t>
            </w:r>
            <w:r>
              <w:rPr>
                <w:rFonts w:hint="eastAsia"/>
                <w:spacing w:val="-3"/>
                <w:sz w:val="24"/>
              </w:rPr>
              <w:t>1-</w:t>
            </w:r>
            <w:r>
              <w:rPr>
                <w:spacing w:val="-3"/>
                <w:sz w:val="24"/>
              </w:rPr>
              <w:t>3。</w:t>
            </w:r>
          </w:p>
          <w:p>
            <w:pPr>
              <w:jc w:val="center"/>
              <w:rPr>
                <w:rFonts w:eastAsia="黑体"/>
                <w:sz w:val="24"/>
              </w:rPr>
            </w:pPr>
            <w:r>
              <w:rPr>
                <w:rFonts w:eastAsia="黑体"/>
                <w:sz w:val="24"/>
              </w:rPr>
              <w:t>表</w:t>
            </w:r>
            <w:r>
              <w:rPr>
                <w:rFonts w:hint="eastAsia" w:eastAsia="黑体"/>
                <w:sz w:val="24"/>
              </w:rPr>
              <w:t>1-</w:t>
            </w:r>
            <w:r>
              <w:rPr>
                <w:rFonts w:eastAsia="黑体"/>
                <w:sz w:val="24"/>
              </w:rPr>
              <w:t>3  与《</w:t>
            </w:r>
            <w:r>
              <w:rPr>
                <w:rFonts w:hint="eastAsia" w:eastAsia="黑体"/>
                <w:sz w:val="24"/>
              </w:rPr>
              <w:t>砂石行业</w:t>
            </w:r>
            <w:r>
              <w:rPr>
                <w:rFonts w:eastAsia="黑体"/>
                <w:sz w:val="24"/>
              </w:rPr>
              <w:t>绿色矿山建设规范》符合性分析一览表</w:t>
            </w:r>
          </w:p>
          <w:tbl>
            <w:tblPr>
              <w:tblStyle w:val="31"/>
              <w:tblW w:w="6784"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538"/>
              <w:gridCol w:w="3181"/>
              <w:gridCol w:w="2383"/>
              <w:gridCol w:w="68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3719" w:type="dxa"/>
                  <w:gridSpan w:val="2"/>
                  <w:vAlign w:val="center"/>
                </w:tcPr>
                <w:p>
                  <w:pPr>
                    <w:pStyle w:val="77"/>
                    <w:adjustRightInd w:val="0"/>
                    <w:snapToGrid w:val="0"/>
                    <w:spacing w:line="320" w:lineRule="exact"/>
                    <w:rPr>
                      <w:rFonts w:ascii="Times New Roman" w:hAnsi="Times New Roman" w:cs="Times New Roman"/>
                      <w:szCs w:val="21"/>
                    </w:rPr>
                  </w:pPr>
                  <w:r>
                    <w:rPr>
                      <w:rFonts w:ascii="Times New Roman" w:hAnsi="Times New Roman" w:cs="Times New Roman"/>
                      <w:szCs w:val="21"/>
                    </w:rPr>
                    <w:t>技术政策规定内容</w:t>
                  </w:r>
                </w:p>
              </w:tc>
              <w:tc>
                <w:tcPr>
                  <w:tcW w:w="2383" w:type="dxa"/>
                  <w:vAlign w:val="center"/>
                </w:tcPr>
                <w:p>
                  <w:pPr>
                    <w:pStyle w:val="77"/>
                    <w:adjustRightInd w:val="0"/>
                    <w:snapToGrid w:val="0"/>
                    <w:spacing w:line="320" w:lineRule="exact"/>
                    <w:rPr>
                      <w:rFonts w:ascii="Times New Roman" w:hAnsi="Times New Roman" w:cs="Times New Roman"/>
                      <w:szCs w:val="21"/>
                    </w:rPr>
                  </w:pPr>
                  <w:r>
                    <w:rPr>
                      <w:rFonts w:ascii="Times New Roman" w:hAnsi="Times New Roman" w:cs="Times New Roman"/>
                      <w:szCs w:val="21"/>
                    </w:rPr>
                    <w:t>本项目情况</w:t>
                  </w:r>
                </w:p>
              </w:tc>
              <w:tc>
                <w:tcPr>
                  <w:tcW w:w="682" w:type="dxa"/>
                  <w:vAlign w:val="center"/>
                </w:tcPr>
                <w:p>
                  <w:pPr>
                    <w:pStyle w:val="77"/>
                    <w:adjustRightInd w:val="0"/>
                    <w:snapToGrid w:val="0"/>
                    <w:spacing w:line="320" w:lineRule="exact"/>
                    <w:rPr>
                      <w:rFonts w:ascii="Times New Roman" w:hAnsi="Times New Roman" w:cs="Times New Roman"/>
                      <w:szCs w:val="21"/>
                    </w:rPr>
                  </w:pPr>
                  <w:r>
                    <w:rPr>
                      <w:rFonts w:ascii="Times New Roman" w:hAnsi="Times New Roman" w:cs="Times New Roman"/>
                      <w:szCs w:val="21"/>
                    </w:rPr>
                    <w:t>符合性</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矿容矿貌</w:t>
                  </w: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矿区按生产区、办公区、生活区、生态区等功能分区，各功能区应符合G</w:t>
                  </w:r>
                  <w:r>
                    <w:rPr>
                      <w:rFonts w:ascii="Times New Roman" w:hAnsi="Times New Roman" w:cs="Times New Roman"/>
                      <w:szCs w:val="21"/>
                    </w:rPr>
                    <w:t>B50187</w:t>
                  </w:r>
                  <w:r>
                    <w:rPr>
                      <w:rFonts w:hint="eastAsia" w:ascii="Times New Roman" w:hAnsi="Times New Roman" w:cs="Times New Roman"/>
                      <w:szCs w:val="21"/>
                    </w:rPr>
                    <w:t>的规定，应运行有序，管理规范。</w:t>
                  </w:r>
                </w:p>
              </w:tc>
              <w:tc>
                <w:tcPr>
                  <w:tcW w:w="2383"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山总平面布置主要由露天采场、地表覆盖砂集中堆放场、矿山运输道路等组成。本项目职工生活及设备维修均依托阜康产业园阜西区新疆世纪能源化工有限公司，矿区内不建设办公生活区、设备维修区及燃油存放区。</w:t>
                  </w:r>
                </w:p>
              </w:tc>
              <w:tc>
                <w:tcPr>
                  <w:tcW w:w="682"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 xml:space="preserve">矿区道路、供水、供电、卫生、环保等配套设施应齐全； </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山生产过程中应采取喷雾、喷洒水或生物纳膜、加装除尘设备等措施处置粉尘。对应输送系统、生产线、料库等采取有效措施进行抑尘；做好车辆保洁、车辆驶离矿区必须冲洗，严禁运料遗撒和带泥上路，保持矿区及周边环境卫生。</w:t>
                  </w:r>
                </w:p>
              </w:tc>
              <w:tc>
                <w:tcPr>
                  <w:tcW w:w="2383" w:type="dxa"/>
                  <w:vAlign w:val="center"/>
                </w:tcPr>
                <w:p>
                  <w:pPr>
                    <w:pStyle w:val="77"/>
                    <w:adjustRightInd w:val="0"/>
                    <w:snapToGrid w:val="0"/>
                    <w:spacing w:line="320" w:lineRule="exact"/>
                    <w:rPr>
                      <w:rFonts w:ascii="Times New Roman" w:hAnsi="Times New Roman" w:cs="Times New Roman"/>
                      <w:szCs w:val="21"/>
                    </w:rPr>
                  </w:pPr>
                  <w:r>
                    <w:rPr>
                      <w:rFonts w:hint="eastAsia"/>
                    </w:rPr>
                    <w:t>本项目采掘过程对采掘场地采用移动式雾炮机降尘、规定开采方式、大风天气不得生产、分区分片开采；对地表覆盖砂集中堆放场采取设置防风抑尘网并用苫盖遮挡；</w:t>
                  </w:r>
                  <w:r>
                    <w:t>对进厂道路进行砾石复压</w:t>
                  </w:r>
                  <w:r>
                    <w:rPr>
                      <w:rFonts w:hint="eastAsia"/>
                    </w:rPr>
                    <w:t>硬化</w:t>
                  </w:r>
                  <w:r>
                    <w:t>，</w:t>
                  </w:r>
                  <w:r>
                    <w:rPr>
                      <w:rFonts w:hint="eastAsia"/>
                    </w:rPr>
                    <w:t>矿区配备洒水车，采用洒水对道路进行充分预湿，</w:t>
                  </w:r>
                  <w:r>
                    <w:t>运输车辆出厂时，采取苫盖篷布的措施，</w:t>
                  </w:r>
                  <w:r>
                    <w:rPr>
                      <w:rFonts w:hint="eastAsia"/>
                    </w:rPr>
                    <w:t>并对车辆进行冲洗。</w:t>
                  </w:r>
                </w:p>
              </w:tc>
              <w:tc>
                <w:tcPr>
                  <w:tcW w:w="682"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应采用合理有效的技术措施对高噪声设备进行降噪处理。</w:t>
                  </w:r>
                </w:p>
              </w:tc>
              <w:tc>
                <w:tcPr>
                  <w:tcW w:w="2383"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选用低噪声的施工机械和先进的工艺，加强设备的维护和保养，保持机械润滑，降低运行噪声。</w:t>
                  </w:r>
                </w:p>
              </w:tc>
              <w:tc>
                <w:tcPr>
                  <w:tcW w:w="682"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矿区绿化</w:t>
                  </w: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应对排土场进行治理、复垦及绿化，在矿区专用道路两侧因地制宜地设置隔离绿化带。</w:t>
                  </w:r>
                </w:p>
              </w:tc>
              <w:tc>
                <w:tcPr>
                  <w:tcW w:w="2383" w:type="dxa"/>
                  <w:vAlign w:val="center"/>
                </w:tcPr>
                <w:p>
                  <w:pPr>
                    <w:pStyle w:val="77"/>
                    <w:adjustRightInd w:val="0"/>
                    <w:snapToGrid w:val="0"/>
                    <w:spacing w:line="320" w:lineRule="exact"/>
                    <w:rPr>
                      <w:rFonts w:ascii="Times New Roman" w:hAnsi="Times New Roman" w:cs="Times New Roman"/>
                      <w:szCs w:val="21"/>
                    </w:rPr>
                  </w:pPr>
                  <w:r>
                    <w:rPr>
                      <w:rFonts w:hint="eastAsia"/>
                    </w:rPr>
                    <w:t>本项目对地表覆盖砂集中堆放场采取设置防风抑尘网并用苫盖遮挡；</w:t>
                  </w:r>
                  <w:r>
                    <w:t>对进厂道路进行砾石复压</w:t>
                  </w:r>
                  <w:r>
                    <w:rPr>
                      <w:rFonts w:hint="eastAsia"/>
                    </w:rPr>
                    <w:t>硬化</w:t>
                  </w:r>
                  <w:r>
                    <w:t>，</w:t>
                  </w:r>
                  <w:r>
                    <w:rPr>
                      <w:rFonts w:hint="eastAsia"/>
                    </w:rPr>
                    <w:t>矿区配备洒水车，采用洒水对道路进行充分预湿，</w:t>
                  </w:r>
                  <w:r>
                    <w:t>运输车辆出厂时，采取苫盖篷布的措施，</w:t>
                  </w:r>
                  <w:r>
                    <w:rPr>
                      <w:rFonts w:hint="eastAsia"/>
                    </w:rPr>
                    <w:t>并对车辆进行冲洗。</w:t>
                  </w:r>
                  <w:bookmarkStart w:id="10" w:name="_Hlk87462993"/>
                  <w:r>
                    <w:rPr>
                      <w:rFonts w:hint="eastAsia"/>
                    </w:rPr>
                    <w:t>矿区周边及进场道路两侧设置宽度不低于5m草方格固沙，并播撒草籽。</w:t>
                  </w:r>
                  <w:bookmarkEnd w:id="10"/>
                  <w:r>
                    <w:rPr>
                      <w:rFonts w:hint="eastAsia"/>
                    </w:rPr>
                    <w:t>整个矿区设置草方格面积约4.75hm</w:t>
                  </w:r>
                  <w:r>
                    <w:rPr>
                      <w:vertAlign w:val="superscript"/>
                    </w:rPr>
                    <w:t>2</w:t>
                  </w:r>
                  <w:r>
                    <w:rPr>
                      <w:rFonts w:hint="eastAsia"/>
                    </w:rPr>
                    <w:t>。</w:t>
                  </w:r>
                </w:p>
              </w:tc>
              <w:tc>
                <w:tcPr>
                  <w:tcW w:w="682"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资源开发</w:t>
                  </w: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应贯彻“边开采、边恢复”的原则，及时治理恢复矿山地质环境，复垦矿山占用土地和损毁土地。治理率和复垦率应达到矿山地质环境保护与土地复垦方案的要求。</w:t>
                  </w:r>
                </w:p>
              </w:tc>
              <w:tc>
                <w:tcPr>
                  <w:tcW w:w="2383" w:type="dxa"/>
                  <w:vMerge w:val="restart"/>
                  <w:vAlign w:val="center"/>
                </w:tcPr>
                <w:p>
                  <w:pPr>
                    <w:pStyle w:val="77"/>
                    <w:adjustRightInd w:val="0"/>
                    <w:snapToGrid w:val="0"/>
                    <w:spacing w:line="320" w:lineRule="exact"/>
                    <w:rPr>
                      <w:rFonts w:ascii="Times New Roman" w:hAnsi="Times New Roman" w:cs="Times New Roman"/>
                      <w:szCs w:val="21"/>
                      <w:lang w:val="en-US"/>
                    </w:rPr>
                  </w:pPr>
                  <w:r>
                    <w:rPr>
                      <w:rFonts w:hint="eastAsia"/>
                      <w:kern w:val="0"/>
                      <w:szCs w:val="21"/>
                    </w:rPr>
                    <w:t>本项目在地表覆盖砂集中堆放场堆存，在阶段性开采结束后，将地表覆盖砂全部有序清运至露天采坑回填覆盖，以恢复当地生态环境。</w:t>
                  </w:r>
                  <w:r>
                    <w:rPr>
                      <w:szCs w:val="21"/>
                    </w:rPr>
                    <w:t>环境保护与复垦方案</w:t>
                  </w:r>
                  <w:r>
                    <w:rPr>
                      <w:rFonts w:hint="eastAsia"/>
                      <w:szCs w:val="21"/>
                    </w:rPr>
                    <w:t>正在编制</w:t>
                  </w:r>
                  <w:r>
                    <w:rPr>
                      <w:szCs w:val="21"/>
                    </w:rPr>
                    <w:t>，矿山闭坑后对矿区进行复垦。</w:t>
                  </w:r>
                </w:p>
              </w:tc>
              <w:tc>
                <w:tcPr>
                  <w:tcW w:w="682"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矿区生态环境保护</w:t>
                  </w: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露天采场、矿区专用道路、矿山工业场地、排土场等生态环境保护与恢复治理，应符合相关规定。</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土地复垦质量应符合T</w:t>
                  </w:r>
                  <w:r>
                    <w:rPr>
                      <w:rFonts w:ascii="Times New Roman" w:hAnsi="Times New Roman" w:cs="Times New Roman"/>
                      <w:szCs w:val="21"/>
                    </w:rPr>
                    <w:t>D/T1036</w:t>
                  </w:r>
                  <w:r>
                    <w:rPr>
                      <w:rFonts w:hint="eastAsia" w:ascii="Times New Roman" w:hAnsi="Times New Roman" w:cs="Times New Roman"/>
                      <w:szCs w:val="21"/>
                    </w:rPr>
                    <w:t>的规定。</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恢复治理后的各类场地应与周边自然环境和景观相协调；恢复土地基本功能，因地制宜实现土地可持续利用；区域整体生态功能得到保护和恢复。</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应监理环境监测机制，配备转职管理人员和监测人员。</w:t>
                  </w:r>
                </w:p>
              </w:tc>
              <w:tc>
                <w:tcPr>
                  <w:tcW w:w="2383" w:type="dxa"/>
                  <w:vMerge w:val="continue"/>
                  <w:vAlign w:val="center"/>
                </w:tcPr>
                <w:p>
                  <w:pPr>
                    <w:pStyle w:val="77"/>
                    <w:adjustRightInd w:val="0"/>
                    <w:snapToGrid w:val="0"/>
                    <w:spacing w:line="320" w:lineRule="exact"/>
                    <w:rPr>
                      <w:rFonts w:ascii="Times New Roman" w:hAnsi="Times New Roman" w:cs="Times New Roman"/>
                      <w:szCs w:val="21"/>
                      <w:lang w:val="en-US"/>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综合利用</w:t>
                  </w: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排土场堆放的剥离表土和筛分后的渣土，宜用于环境治理、土地复垦和生态修复。</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应配备完善的生产废水处理系统，经过固液分离处理后的清水循环利用率应达到1</w:t>
                  </w:r>
                  <w:r>
                    <w:rPr>
                      <w:rFonts w:ascii="Times New Roman" w:hAnsi="Times New Roman" w:cs="Times New Roman"/>
                      <w:szCs w:val="21"/>
                    </w:rPr>
                    <w:t>00</w:t>
                  </w:r>
                  <w:r>
                    <w:rPr>
                      <w:rFonts w:hint="eastAsia" w:ascii="Times New Roman" w:hAnsi="Times New Roman" w:cs="Times New Roman"/>
                      <w:szCs w:val="21"/>
                    </w:rPr>
                    <w:t>%。</w:t>
                  </w:r>
                </w:p>
              </w:tc>
              <w:tc>
                <w:tcPr>
                  <w:tcW w:w="2383" w:type="dxa"/>
                  <w:vAlign w:val="center"/>
                </w:tcPr>
                <w:p>
                  <w:pPr>
                    <w:pStyle w:val="77"/>
                    <w:adjustRightInd w:val="0"/>
                    <w:snapToGrid w:val="0"/>
                    <w:spacing w:line="320" w:lineRule="exact"/>
                    <w:rPr>
                      <w:rFonts w:ascii="Times New Roman" w:hAnsi="Times New Roman" w:cs="Times New Roman"/>
                      <w:szCs w:val="21"/>
                    </w:rPr>
                  </w:pPr>
                  <w:r>
                    <w:rPr>
                      <w:rFonts w:hint="eastAsia"/>
                      <w:szCs w:val="21"/>
                    </w:rPr>
                    <w:t>矿区设置1座防渗环保厕所，配套10m³防渗储粪池，定期委托环卫部门进行清运。车辆清洗废水经过沉淀后循环利用不外排。循环量利用率达1</w:t>
                  </w:r>
                  <w:r>
                    <w:rPr>
                      <w:szCs w:val="21"/>
                    </w:rPr>
                    <w:t>00</w:t>
                  </w:r>
                  <w:r>
                    <w:rPr>
                      <w:rFonts w:hint="eastAsia"/>
                      <w:szCs w:val="21"/>
                    </w:rPr>
                    <w:t>%</w:t>
                  </w:r>
                </w:p>
              </w:tc>
              <w:tc>
                <w:tcPr>
                  <w:tcW w:w="682"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节能减排</w:t>
                  </w: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矿石开采和砂石生产过程中的粉尘控制应遵循源头抑制、过程协同控制、末端监控、系统联动集成的治理思路、达到环保节能和清洁生产的目的。</w:t>
                  </w:r>
                </w:p>
              </w:tc>
              <w:tc>
                <w:tcPr>
                  <w:tcW w:w="2383"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rPr>
                    <w:t>本项目采掘过程对采掘场地采用移动式雾炮机降尘、规定开采方式、大风天气不得生产、分区分片开采；对地表覆盖砂集中堆放场采取设置防风抑尘网并用苫盖遮挡；</w:t>
                  </w:r>
                  <w:r>
                    <w:t>对进厂道路进行砾石复压</w:t>
                  </w:r>
                  <w:r>
                    <w:rPr>
                      <w:rFonts w:hint="eastAsia"/>
                    </w:rPr>
                    <w:t>硬化</w:t>
                  </w:r>
                  <w:r>
                    <w:t>，</w:t>
                  </w:r>
                  <w:r>
                    <w:rPr>
                      <w:rFonts w:hint="eastAsia"/>
                    </w:rPr>
                    <w:t>矿区配备洒水车，采用洒水对道路进行充分预湿，</w:t>
                  </w:r>
                  <w:r>
                    <w:t>运输车辆出厂时，采取苫盖篷布的措施，</w:t>
                  </w:r>
                  <w:r>
                    <w:rPr>
                      <w:rFonts w:hint="eastAsia"/>
                    </w:rPr>
                    <w:t>并对车辆进行冲洗。</w:t>
                  </w:r>
                </w:p>
              </w:tc>
              <w:tc>
                <w:tcPr>
                  <w:tcW w:w="682"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矿区应配置洒水车、高压喷雾车等该设备。</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应在装载机、破碎机、筛分机、整形机、制砂机、输送机端口等连续产生粉尘部位安装高效除尘装置。</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矿区及厂区应建有雨水截（排）水沟和集水池，地表径流经沉淀处理后达标排放。</w:t>
                  </w:r>
                </w:p>
              </w:tc>
              <w:tc>
                <w:tcPr>
                  <w:tcW w:w="2383"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在开采境界外设置截水沟，将突发洪水及暴雨汇流拦截至境界之外。在各开采水平安全平台上设置排水沟，采场汇水经排水沟自流排至采场外。在表覆盖砂集中堆放场外设置截水沟，防止暴雨流入场内浸泡、冲刷边坡。矿区在道路和地面修建时，预设排水沟、截洪沟，减少水土流失。防治水土流失的工程必须在矿区投产前建设完成。</w:t>
                  </w:r>
                </w:p>
              </w:tc>
              <w:tc>
                <w:tcPr>
                  <w:tcW w:w="682" w:type="dxa"/>
                  <w:vMerge w:val="restart"/>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符合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Ex>
              <w:trPr>
                <w:jc w:val="center"/>
              </w:trPr>
              <w:tc>
                <w:tcPr>
                  <w:tcW w:w="538" w:type="dxa"/>
                  <w:vMerge w:val="continue"/>
                  <w:vAlign w:val="center"/>
                </w:tcPr>
                <w:p>
                  <w:pPr>
                    <w:pStyle w:val="77"/>
                    <w:adjustRightInd w:val="0"/>
                    <w:snapToGrid w:val="0"/>
                    <w:spacing w:line="320" w:lineRule="exact"/>
                    <w:rPr>
                      <w:rFonts w:ascii="Times New Roman" w:hAnsi="Times New Roman" w:cs="Times New Roman"/>
                      <w:szCs w:val="21"/>
                    </w:rPr>
                  </w:pPr>
                </w:p>
              </w:tc>
              <w:tc>
                <w:tcPr>
                  <w:tcW w:w="3181" w:type="dxa"/>
                  <w:vAlign w:val="center"/>
                </w:tcPr>
                <w:p>
                  <w:pPr>
                    <w:pStyle w:val="77"/>
                    <w:adjustRightInd w:val="0"/>
                    <w:snapToGrid w:val="0"/>
                    <w:spacing w:line="320" w:lineRule="exact"/>
                    <w:rPr>
                      <w:rFonts w:ascii="Times New Roman" w:hAnsi="Times New Roman" w:cs="Times New Roman"/>
                      <w:szCs w:val="21"/>
                    </w:rPr>
                  </w:pPr>
                  <w:r>
                    <w:rPr>
                      <w:rFonts w:hint="eastAsia" w:ascii="Times New Roman" w:hAnsi="Times New Roman" w:cs="Times New Roman"/>
                      <w:szCs w:val="21"/>
                    </w:rPr>
                    <w:t>矿区及厂区的生产排水、雨水和生活污水，应实现雨污分流、清污分流。</w:t>
                  </w:r>
                </w:p>
              </w:tc>
              <w:tc>
                <w:tcPr>
                  <w:tcW w:w="2383" w:type="dxa"/>
                  <w:vMerge w:val="continue"/>
                  <w:vAlign w:val="center"/>
                </w:tcPr>
                <w:p>
                  <w:pPr>
                    <w:pStyle w:val="77"/>
                    <w:adjustRightInd w:val="0"/>
                    <w:snapToGrid w:val="0"/>
                    <w:spacing w:line="320" w:lineRule="exact"/>
                    <w:rPr>
                      <w:rFonts w:ascii="Times New Roman" w:hAnsi="Times New Roman" w:cs="Times New Roman"/>
                      <w:szCs w:val="21"/>
                    </w:rPr>
                  </w:pPr>
                </w:p>
              </w:tc>
              <w:tc>
                <w:tcPr>
                  <w:tcW w:w="682" w:type="dxa"/>
                  <w:vMerge w:val="continue"/>
                  <w:vAlign w:val="center"/>
                </w:tcPr>
                <w:p>
                  <w:pPr>
                    <w:pStyle w:val="77"/>
                    <w:adjustRightInd w:val="0"/>
                    <w:snapToGrid w:val="0"/>
                    <w:spacing w:line="320" w:lineRule="exact"/>
                    <w:rPr>
                      <w:rFonts w:ascii="Times New Roman" w:hAnsi="Times New Roman" w:cs="Times New Roman"/>
                      <w:szCs w:val="21"/>
                    </w:rPr>
                  </w:pPr>
                </w:p>
              </w:tc>
            </w:tr>
          </w:tbl>
          <w:p>
            <w:pPr>
              <w:pStyle w:val="28"/>
              <w:adjustRightInd w:val="0"/>
              <w:snapToGrid w:val="0"/>
              <w:spacing w:before="0" w:beforeAutospacing="0" w:after="0" w:afterAutospacing="0" w:line="360" w:lineRule="auto"/>
              <w:ind w:firstLine="480" w:firstLineChars="200"/>
              <w:jc w:val="both"/>
              <w:rPr>
                <w:rFonts w:ascii="Times New Roman" w:hAnsi="Times New Roman"/>
              </w:rPr>
            </w:pPr>
            <w:bookmarkStart w:id="11" w:name="_Toc15205"/>
            <w:r>
              <w:rPr>
                <w:rFonts w:ascii="Times New Roman" w:hAnsi="Times New Roman"/>
              </w:rPr>
              <w:t>由上表分析可知，本项目符合</w:t>
            </w:r>
            <w:bookmarkStart w:id="12" w:name="_Hlk87460137"/>
            <w:r>
              <w:rPr>
                <w:rFonts w:ascii="Times New Roman" w:hAnsi="Times New Roman"/>
              </w:rPr>
              <w:t>《砂石行业绿色矿山建设规范》</w:t>
            </w:r>
            <w:bookmarkEnd w:id="12"/>
            <w:r>
              <w:rPr>
                <w:rFonts w:ascii="Times New Roman" w:hAnsi="Times New Roman"/>
              </w:rPr>
              <w:t>中的要求。</w:t>
            </w:r>
            <w:bookmarkEnd w:id="11"/>
          </w:p>
          <w:p>
            <w:pPr>
              <w:pStyle w:val="28"/>
              <w:adjustRightInd w:val="0"/>
              <w:snapToGrid w:val="0"/>
              <w:spacing w:before="0" w:beforeAutospacing="0" w:after="0" w:afterAutospacing="0" w:line="360" w:lineRule="auto"/>
              <w:ind w:firstLine="482" w:firstLineChars="200"/>
              <w:jc w:val="both"/>
              <w:rPr>
                <w:rFonts w:ascii="Times New Roman" w:hAnsi="Times New Roman"/>
                <w:b/>
                <w:bCs/>
              </w:rPr>
            </w:pPr>
            <w:r>
              <w:rPr>
                <w:rFonts w:ascii="Times New Roman" w:hAnsi="Times New Roman"/>
                <w:b/>
                <w:bCs/>
              </w:rPr>
              <w:t>3.3与</w:t>
            </w:r>
            <w:bookmarkStart w:id="13" w:name="_Hlk87460152"/>
            <w:r>
              <w:rPr>
                <w:rFonts w:ascii="Times New Roman" w:hAnsi="Times New Roman"/>
                <w:b/>
                <w:bCs/>
              </w:rPr>
              <w:t>《新疆维吾尔自治区重点行业环境准入条件》</w:t>
            </w:r>
            <w:bookmarkEnd w:id="13"/>
            <w:r>
              <w:rPr>
                <w:rFonts w:ascii="Times New Roman" w:hAnsi="Times New Roman"/>
                <w:b/>
                <w:bCs/>
              </w:rPr>
              <w:t>相符性分析</w:t>
            </w:r>
          </w:p>
          <w:p>
            <w:pPr>
              <w:pStyle w:val="28"/>
              <w:adjustRightInd w:val="0"/>
              <w:snapToGrid w:val="0"/>
              <w:spacing w:before="0" w:beforeAutospacing="0" w:after="0" w:afterAutospacing="0" w:line="360" w:lineRule="auto"/>
              <w:ind w:firstLine="480" w:firstLineChars="200"/>
              <w:jc w:val="both"/>
              <w:rPr>
                <w:rFonts w:ascii="Times New Roman" w:hAnsi="Times New Roman"/>
              </w:rPr>
            </w:pPr>
            <w:r>
              <w:rPr>
                <w:rFonts w:ascii="Times New Roman" w:hAnsi="Times New Roman"/>
              </w:rPr>
              <w:t>根据《新疆维吾尔自治区重点行业环境准入条件》中第二条非金属矿采选行业的要求，详见表</w:t>
            </w:r>
            <w:r>
              <w:rPr>
                <w:rFonts w:hint="eastAsia" w:ascii="Times New Roman" w:hAnsi="Times New Roman"/>
              </w:rPr>
              <w:t>1-3</w:t>
            </w:r>
            <w:r>
              <w:rPr>
                <w:rFonts w:ascii="Times New Roman" w:hAnsi="Times New Roman"/>
              </w:rPr>
              <w:t>。</w:t>
            </w:r>
          </w:p>
          <w:p>
            <w:pPr>
              <w:pStyle w:val="28"/>
              <w:adjustRightInd w:val="0"/>
              <w:snapToGrid w:val="0"/>
              <w:spacing w:before="0" w:beforeAutospacing="0" w:after="0" w:afterAutospacing="0" w:line="320" w:lineRule="exact"/>
              <w:jc w:val="center"/>
              <w:rPr>
                <w:rFonts w:ascii="Times New Roman" w:hAnsi="Times New Roman"/>
                <w:b/>
                <w:bCs/>
                <w:sz w:val="21"/>
                <w:szCs w:val="21"/>
              </w:rPr>
            </w:pPr>
            <w:r>
              <w:rPr>
                <w:rFonts w:ascii="Times New Roman" w:hAnsi="Times New Roman"/>
                <w:b/>
                <w:bCs/>
                <w:sz w:val="21"/>
                <w:szCs w:val="21"/>
              </w:rPr>
              <w:t>表</w:t>
            </w:r>
            <w:r>
              <w:rPr>
                <w:rFonts w:hint="eastAsia" w:ascii="Times New Roman" w:hAnsi="Times New Roman"/>
                <w:b/>
                <w:bCs/>
                <w:sz w:val="21"/>
                <w:szCs w:val="21"/>
              </w:rPr>
              <w:t>1-3</w:t>
            </w:r>
            <w:r>
              <w:rPr>
                <w:rFonts w:ascii="Times New Roman" w:hAnsi="Times New Roman"/>
                <w:b/>
                <w:bCs/>
                <w:sz w:val="21"/>
                <w:szCs w:val="21"/>
              </w:rPr>
              <w:t xml:space="preserve">  本项目与准入条件的符合性分析</w:t>
            </w:r>
          </w:p>
          <w:tbl>
            <w:tblPr>
              <w:tblStyle w:val="31"/>
              <w:tblW w:w="6773"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0"/>
              <w:gridCol w:w="3912"/>
              <w:gridCol w:w="1444"/>
              <w:gridCol w:w="75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0" w:type="dxa"/>
                  <w:vAlign w:val="center"/>
                </w:tcPr>
                <w:p>
                  <w:pPr>
                    <w:adjustRightInd w:val="0"/>
                    <w:snapToGrid w:val="0"/>
                    <w:spacing w:line="320" w:lineRule="exact"/>
                    <w:jc w:val="center"/>
                    <w:rPr>
                      <w:b/>
                      <w:szCs w:val="21"/>
                    </w:rPr>
                  </w:pPr>
                  <w:r>
                    <w:rPr>
                      <w:b/>
                      <w:szCs w:val="21"/>
                    </w:rPr>
                    <w:t>项目</w:t>
                  </w:r>
                </w:p>
              </w:tc>
              <w:tc>
                <w:tcPr>
                  <w:tcW w:w="3912" w:type="dxa"/>
                  <w:vAlign w:val="center"/>
                </w:tcPr>
                <w:p>
                  <w:pPr>
                    <w:adjustRightInd w:val="0"/>
                    <w:snapToGrid w:val="0"/>
                    <w:spacing w:line="320" w:lineRule="exact"/>
                    <w:jc w:val="center"/>
                    <w:rPr>
                      <w:b/>
                      <w:szCs w:val="21"/>
                    </w:rPr>
                  </w:pPr>
                  <w:r>
                    <w:rPr>
                      <w:b/>
                      <w:szCs w:val="21"/>
                    </w:rPr>
                    <w:t>准入条件要求</w:t>
                  </w:r>
                </w:p>
              </w:tc>
              <w:tc>
                <w:tcPr>
                  <w:tcW w:w="1444" w:type="dxa"/>
                  <w:vAlign w:val="center"/>
                </w:tcPr>
                <w:p>
                  <w:pPr>
                    <w:adjustRightInd w:val="0"/>
                    <w:snapToGrid w:val="0"/>
                    <w:spacing w:line="320" w:lineRule="exact"/>
                    <w:ind w:left="-63" w:leftChars="-30" w:right="-63" w:rightChars="-30"/>
                    <w:jc w:val="center"/>
                    <w:rPr>
                      <w:b/>
                      <w:szCs w:val="21"/>
                    </w:rPr>
                  </w:pPr>
                  <w:r>
                    <w:rPr>
                      <w:b/>
                      <w:szCs w:val="21"/>
                    </w:rPr>
                    <w:t>本项目情况</w:t>
                  </w:r>
                </w:p>
              </w:tc>
              <w:tc>
                <w:tcPr>
                  <w:tcW w:w="757" w:type="dxa"/>
                  <w:vAlign w:val="center"/>
                </w:tcPr>
                <w:p>
                  <w:pPr>
                    <w:adjustRightInd w:val="0"/>
                    <w:snapToGrid w:val="0"/>
                    <w:spacing w:line="320" w:lineRule="exact"/>
                    <w:jc w:val="center"/>
                    <w:rPr>
                      <w:b/>
                      <w:szCs w:val="21"/>
                    </w:rPr>
                  </w:pPr>
                  <w:r>
                    <w:rPr>
                      <w:b/>
                      <w:szCs w:val="21"/>
                    </w:rPr>
                    <w:t>符合性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0" w:type="dxa"/>
                  <w:vAlign w:val="center"/>
                </w:tcPr>
                <w:p>
                  <w:pPr>
                    <w:adjustRightInd w:val="0"/>
                    <w:snapToGrid w:val="0"/>
                    <w:spacing w:line="320" w:lineRule="exact"/>
                    <w:jc w:val="center"/>
                    <w:rPr>
                      <w:szCs w:val="21"/>
                    </w:rPr>
                  </w:pPr>
                  <w:r>
                    <w:rPr>
                      <w:szCs w:val="21"/>
                    </w:rPr>
                    <w:t>选址与空间布局</w:t>
                  </w:r>
                </w:p>
              </w:tc>
              <w:tc>
                <w:tcPr>
                  <w:tcW w:w="3912" w:type="dxa"/>
                  <w:vAlign w:val="center"/>
                </w:tcPr>
                <w:p>
                  <w:pPr>
                    <w:adjustRightInd w:val="0"/>
                    <w:snapToGrid w:val="0"/>
                    <w:spacing w:line="320" w:lineRule="exact"/>
                    <w:jc w:val="center"/>
                    <w:rPr>
                      <w:szCs w:val="21"/>
                    </w:rPr>
                  </w:pPr>
                  <w:r>
                    <w:rPr>
                      <w:szCs w:val="21"/>
                    </w:rPr>
                    <w:t>铁路、高速公路、国道、省道等重要交通干线两侧200米范围以内，重要工业区、大型水利工程设施、城镇市政工程设施所在区域，军事管理区、机场、国防工程设施圈定的区域，居民聚集区1千米以内禁止建设非金属矿采选项目。</w:t>
                  </w:r>
                </w:p>
                <w:p>
                  <w:pPr>
                    <w:adjustRightInd w:val="0"/>
                    <w:snapToGrid w:val="0"/>
                    <w:spacing w:line="320" w:lineRule="exact"/>
                    <w:jc w:val="center"/>
                    <w:rPr>
                      <w:szCs w:val="21"/>
                    </w:rPr>
                  </w:pPr>
                  <w:r>
                    <w:rPr>
                      <w:szCs w:val="21"/>
                    </w:rPr>
                    <w:t>伊犁河、额尔齐斯河等重要河流源头区、水环境功能区划为Ⅰ、Ⅱ类和具有饮用功能的Ⅲ类水体岸边1000米以内，其它Ⅲ类水体岸边200米以内，禁止新建或改扩建非金属矿选矿工程，存在山体等阻隔地形或建设人工地下水阻隔设施的，可根据实际情况，在确保不会对水体产生污染影响的前提下适当放宽距离要求。</w:t>
                  </w:r>
                </w:p>
              </w:tc>
              <w:tc>
                <w:tcPr>
                  <w:tcW w:w="1444" w:type="dxa"/>
                  <w:vAlign w:val="center"/>
                </w:tcPr>
                <w:p>
                  <w:pPr>
                    <w:adjustRightInd w:val="0"/>
                    <w:snapToGrid w:val="0"/>
                    <w:spacing w:line="320" w:lineRule="exact"/>
                    <w:ind w:left="-63" w:leftChars="-30" w:right="-63" w:rightChars="-30"/>
                    <w:jc w:val="center"/>
                    <w:rPr>
                      <w:szCs w:val="21"/>
                    </w:rPr>
                  </w:pPr>
                  <w:r>
                    <w:rPr>
                      <w:rFonts w:hint="eastAsia"/>
                      <w:szCs w:val="21"/>
                    </w:rPr>
                    <w:t>本项目周边无重要铁路、高速公路等重要的交通干线及重要工业区等，且远离居民住宅区；项目区无重要河流源头区及河流。</w:t>
                  </w:r>
                </w:p>
              </w:tc>
              <w:tc>
                <w:tcPr>
                  <w:tcW w:w="757" w:type="dxa"/>
                  <w:vAlign w:val="center"/>
                </w:tcPr>
                <w:p>
                  <w:pPr>
                    <w:adjustRightInd w:val="0"/>
                    <w:snapToGrid w:val="0"/>
                    <w:spacing w:line="320" w:lineRule="exact"/>
                    <w:jc w:val="center"/>
                    <w:rPr>
                      <w:szCs w:val="21"/>
                    </w:rPr>
                  </w:pPr>
                  <w:r>
                    <w:rPr>
                      <w:szCs w:val="21"/>
                    </w:rPr>
                    <w:t>符合相关要求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0" w:type="dxa"/>
                  <w:vMerge w:val="restart"/>
                  <w:vAlign w:val="center"/>
                </w:tcPr>
                <w:p>
                  <w:pPr>
                    <w:adjustRightInd w:val="0"/>
                    <w:snapToGrid w:val="0"/>
                    <w:spacing w:line="320" w:lineRule="exact"/>
                    <w:jc w:val="center"/>
                    <w:rPr>
                      <w:szCs w:val="21"/>
                    </w:rPr>
                  </w:pPr>
                  <w:r>
                    <w:rPr>
                      <w:szCs w:val="21"/>
                    </w:rPr>
                    <w:t>污染防治</w:t>
                  </w:r>
                </w:p>
              </w:tc>
              <w:tc>
                <w:tcPr>
                  <w:tcW w:w="3912" w:type="dxa"/>
                  <w:vAlign w:val="center"/>
                </w:tcPr>
                <w:p>
                  <w:pPr>
                    <w:adjustRightInd w:val="0"/>
                    <w:snapToGrid w:val="0"/>
                    <w:spacing w:line="320" w:lineRule="exact"/>
                    <w:jc w:val="center"/>
                    <w:rPr>
                      <w:szCs w:val="21"/>
                    </w:rPr>
                  </w:pPr>
                  <w:r>
                    <w:rPr>
                      <w:szCs w:val="21"/>
                    </w:rPr>
                    <w:t>矿石、废石堆场须采用洒水抑制尘、设置围挡等措施防治无组织粉尘排放。其大气污染物排放须满足《大气污染物综合排放标准》（GB16297-1996）要求,有行业排放标准的执行行业标准。</w:t>
                  </w:r>
                </w:p>
              </w:tc>
              <w:tc>
                <w:tcPr>
                  <w:tcW w:w="1444" w:type="dxa"/>
                  <w:vAlign w:val="center"/>
                </w:tcPr>
                <w:p>
                  <w:pPr>
                    <w:adjustRightInd w:val="0"/>
                    <w:snapToGrid w:val="0"/>
                    <w:spacing w:line="320" w:lineRule="exact"/>
                    <w:ind w:left="-63" w:leftChars="-30" w:right="-63" w:rightChars="-30"/>
                    <w:jc w:val="center"/>
                    <w:rPr>
                      <w:szCs w:val="21"/>
                    </w:rPr>
                  </w:pPr>
                  <w:r>
                    <w:rPr>
                      <w:rFonts w:hint="eastAsia" w:ascii="宋体" w:hAnsi="宋体"/>
                    </w:rPr>
                    <w:t>本次评价要求采取对地表覆盖砂集中堆放场采取设置防风抑尘网并用苫盖遮挡，在开采区配套移动式雾炮机并洒水降尘，对进厂道路进行砾石复压硬化，矿区配备洒水车，采用洒水对道路进行充分预湿，运输车辆出厂时，采取苫盖篷布的措施，并对车辆进行冲洗，等措施</w:t>
                  </w:r>
                  <w:r>
                    <w:rPr>
                      <w:rFonts w:hint="eastAsia"/>
                    </w:rPr>
                    <w:t>。</w:t>
                  </w:r>
                  <w:r>
                    <w:rPr>
                      <w:szCs w:val="21"/>
                    </w:rPr>
                    <w:t>粉尘排放执行《大气污染物综合排放标准》（GB16297-1996）中无组织排放限值要求。</w:t>
                  </w:r>
                </w:p>
              </w:tc>
              <w:tc>
                <w:tcPr>
                  <w:tcW w:w="757" w:type="dxa"/>
                  <w:vAlign w:val="center"/>
                </w:tcPr>
                <w:p>
                  <w:pPr>
                    <w:adjustRightInd w:val="0"/>
                    <w:snapToGrid w:val="0"/>
                    <w:spacing w:line="320" w:lineRule="exact"/>
                    <w:jc w:val="center"/>
                    <w:rPr>
                      <w:szCs w:val="21"/>
                    </w:rPr>
                  </w:pPr>
                  <w:r>
                    <w:rPr>
                      <w:szCs w:val="21"/>
                    </w:rPr>
                    <w:t>符合相关要求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0" w:type="dxa"/>
                  <w:vMerge w:val="continue"/>
                  <w:vAlign w:val="center"/>
                </w:tcPr>
                <w:p>
                  <w:pPr>
                    <w:adjustRightInd w:val="0"/>
                    <w:snapToGrid w:val="0"/>
                    <w:spacing w:line="320" w:lineRule="exact"/>
                    <w:jc w:val="center"/>
                    <w:rPr>
                      <w:szCs w:val="21"/>
                    </w:rPr>
                  </w:pPr>
                </w:p>
              </w:tc>
              <w:tc>
                <w:tcPr>
                  <w:tcW w:w="3912" w:type="dxa"/>
                  <w:vAlign w:val="center"/>
                </w:tcPr>
                <w:p>
                  <w:pPr>
                    <w:adjustRightInd w:val="0"/>
                    <w:snapToGrid w:val="0"/>
                    <w:spacing w:line="320" w:lineRule="exact"/>
                    <w:jc w:val="center"/>
                    <w:rPr>
                      <w:szCs w:val="21"/>
                    </w:rPr>
                  </w:pPr>
                  <w:bookmarkStart w:id="14" w:name="_Hlk87522004"/>
                  <w:r>
                    <w:rPr>
                      <w:rFonts w:hint="eastAsia"/>
                      <w:szCs w:val="21"/>
                    </w:rPr>
                    <w:t>严禁未经处理采矿废水直接排放，禁止利用渗井、渗坑、裂隙和溶洞等排放废水。鼓励将矿坑水优先利用为生产用水，作为辅助水源加以利用，矿井水利用率应达到70%以上。在干旱缺水地区，鼓励将外排矿坑水处理达标后用于农林灌溉，生活污水处理达标后尽量综合利用。</w:t>
                  </w:r>
                  <w:bookmarkEnd w:id="14"/>
                </w:p>
              </w:tc>
              <w:tc>
                <w:tcPr>
                  <w:tcW w:w="1444" w:type="dxa"/>
                  <w:vAlign w:val="center"/>
                </w:tcPr>
                <w:p>
                  <w:pPr>
                    <w:adjustRightInd w:val="0"/>
                    <w:snapToGrid w:val="0"/>
                    <w:spacing w:line="320" w:lineRule="exact"/>
                    <w:ind w:left="-63" w:leftChars="-30" w:right="-63" w:rightChars="-30"/>
                    <w:jc w:val="center"/>
                    <w:rPr>
                      <w:szCs w:val="21"/>
                    </w:rPr>
                  </w:pPr>
                  <w:r>
                    <w:rPr>
                      <w:rFonts w:hint="eastAsia"/>
                      <w:szCs w:val="21"/>
                    </w:rPr>
                    <w:t>矿区设置1座防渗环保厕所，配套10m³防渗储粪池，定期委托环卫部门进行清运。车辆清洗废水经过沉淀后循环利用不外排。</w:t>
                  </w:r>
                </w:p>
              </w:tc>
              <w:tc>
                <w:tcPr>
                  <w:tcW w:w="757" w:type="dxa"/>
                  <w:vAlign w:val="center"/>
                </w:tcPr>
                <w:p>
                  <w:pPr>
                    <w:adjustRightInd w:val="0"/>
                    <w:snapToGrid w:val="0"/>
                    <w:spacing w:line="320" w:lineRule="exact"/>
                    <w:jc w:val="center"/>
                    <w:rPr>
                      <w:szCs w:val="21"/>
                    </w:rPr>
                  </w:pPr>
                  <w:r>
                    <w:rPr>
                      <w:szCs w:val="21"/>
                    </w:rPr>
                    <w:t>符合相关要求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0" w:type="dxa"/>
                  <w:vMerge w:val="continue"/>
                  <w:vAlign w:val="center"/>
                </w:tcPr>
                <w:p>
                  <w:pPr>
                    <w:adjustRightInd w:val="0"/>
                    <w:snapToGrid w:val="0"/>
                    <w:spacing w:line="320" w:lineRule="exact"/>
                    <w:jc w:val="center"/>
                    <w:rPr>
                      <w:szCs w:val="21"/>
                    </w:rPr>
                  </w:pPr>
                </w:p>
              </w:tc>
              <w:tc>
                <w:tcPr>
                  <w:tcW w:w="3912" w:type="dxa"/>
                  <w:vAlign w:val="center"/>
                </w:tcPr>
                <w:p>
                  <w:pPr>
                    <w:adjustRightInd w:val="0"/>
                    <w:snapToGrid w:val="0"/>
                    <w:spacing w:line="320" w:lineRule="exact"/>
                    <w:jc w:val="center"/>
                    <w:rPr>
                      <w:szCs w:val="21"/>
                    </w:rPr>
                  </w:pPr>
                  <w:r>
                    <w:rPr>
                      <w:szCs w:val="21"/>
                    </w:rPr>
                    <w:t>噪声排放执行《工业企业厂界环境噪声排放标准》（GB12348-2008）。</w:t>
                  </w:r>
                </w:p>
              </w:tc>
              <w:tc>
                <w:tcPr>
                  <w:tcW w:w="1444" w:type="dxa"/>
                  <w:vAlign w:val="center"/>
                </w:tcPr>
                <w:p>
                  <w:pPr>
                    <w:adjustRightInd w:val="0"/>
                    <w:snapToGrid w:val="0"/>
                    <w:spacing w:line="320" w:lineRule="exact"/>
                    <w:ind w:left="-63" w:leftChars="-30" w:right="-63" w:rightChars="-30"/>
                    <w:jc w:val="center"/>
                    <w:rPr>
                      <w:szCs w:val="21"/>
                    </w:rPr>
                  </w:pPr>
                  <w:r>
                    <w:rPr>
                      <w:szCs w:val="21"/>
                    </w:rPr>
                    <w:t>本项目噪声排放符合《工业企业厂界环境噪声排放标准》（GB12348-2008）</w:t>
                  </w:r>
                </w:p>
              </w:tc>
              <w:tc>
                <w:tcPr>
                  <w:tcW w:w="757" w:type="dxa"/>
                  <w:vAlign w:val="center"/>
                </w:tcPr>
                <w:p>
                  <w:pPr>
                    <w:adjustRightInd w:val="0"/>
                    <w:snapToGrid w:val="0"/>
                    <w:spacing w:line="320" w:lineRule="exact"/>
                    <w:jc w:val="center"/>
                    <w:rPr>
                      <w:szCs w:val="21"/>
                    </w:rPr>
                  </w:pPr>
                  <w:r>
                    <w:rPr>
                      <w:szCs w:val="21"/>
                    </w:rPr>
                    <w:t>符合相关要求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0" w:type="dxa"/>
                  <w:vMerge w:val="continue"/>
                  <w:vAlign w:val="center"/>
                </w:tcPr>
                <w:p>
                  <w:pPr>
                    <w:adjustRightInd w:val="0"/>
                    <w:snapToGrid w:val="0"/>
                    <w:spacing w:line="320" w:lineRule="exact"/>
                    <w:jc w:val="center"/>
                    <w:rPr>
                      <w:szCs w:val="21"/>
                    </w:rPr>
                  </w:pPr>
                </w:p>
              </w:tc>
              <w:tc>
                <w:tcPr>
                  <w:tcW w:w="3912" w:type="dxa"/>
                  <w:vAlign w:val="center"/>
                </w:tcPr>
                <w:p>
                  <w:pPr>
                    <w:adjustRightInd w:val="0"/>
                    <w:snapToGrid w:val="0"/>
                    <w:spacing w:line="320" w:lineRule="exact"/>
                    <w:jc w:val="center"/>
                    <w:rPr>
                      <w:szCs w:val="21"/>
                    </w:rPr>
                  </w:pPr>
                  <w:r>
                    <w:rPr>
                      <w:szCs w:val="21"/>
                    </w:rPr>
                    <w:t>采矿活动产生的固体废物。推广利用采矿固体废物加工生产建筑材料及制品技术，固体废物综合利用率≥30%,无法利用的必须使用专用场所堆放，并采取有效措施防止二次环境污染及诱发次生地质灾害，固体废物处置率100%。废石堆场按《一般工业固体废物贮存、处置场污染控制标准》（GB18599-2001）要求建设，矿区废石场集中设置、避免同一矿区设置多处废石场、废石按GB5086规定的方法进行浸出及腐蚀性鉴别试验，其结果确定为Ⅱ类一般工业固废的，其堆场采取防渗技术措施。生活垃圾实现100%无害化处置。</w:t>
                  </w:r>
                </w:p>
              </w:tc>
              <w:tc>
                <w:tcPr>
                  <w:tcW w:w="1444" w:type="dxa"/>
                  <w:vAlign w:val="center"/>
                </w:tcPr>
                <w:p>
                  <w:pPr>
                    <w:adjustRightInd w:val="0"/>
                    <w:snapToGrid w:val="0"/>
                    <w:spacing w:line="320" w:lineRule="exact"/>
                    <w:ind w:left="-63" w:leftChars="-30" w:right="-63" w:rightChars="-30"/>
                    <w:jc w:val="center"/>
                    <w:rPr>
                      <w:szCs w:val="21"/>
                    </w:rPr>
                  </w:pPr>
                  <w:r>
                    <w:rPr>
                      <w:rFonts w:hint="eastAsia"/>
                      <w:szCs w:val="21"/>
                    </w:rPr>
                    <w:t>本项目剥离的表土</w:t>
                  </w:r>
                  <w:r>
                    <w:rPr>
                      <w:szCs w:val="21"/>
                    </w:rPr>
                    <w:t>存于表土堆放场内。</w:t>
                  </w:r>
                  <w:r>
                    <w:rPr>
                      <w:kern w:val="1"/>
                      <w:szCs w:val="21"/>
                    </w:rPr>
                    <w:t>剥离表土用于矿区的生态恢复</w:t>
                  </w:r>
                  <w:r>
                    <w:rPr>
                      <w:rFonts w:hint="eastAsia"/>
                      <w:kern w:val="1"/>
                      <w:szCs w:val="21"/>
                    </w:rPr>
                    <w:t>；生活垃圾设置垃圾桶，</w:t>
                  </w:r>
                  <w:r>
                    <w:rPr>
                      <w:kern w:val="1"/>
                      <w:szCs w:val="21"/>
                    </w:rPr>
                    <w:t>定期运送至生活垃圾填埋场处理</w:t>
                  </w:r>
                </w:p>
              </w:tc>
              <w:tc>
                <w:tcPr>
                  <w:tcW w:w="757" w:type="dxa"/>
                  <w:vAlign w:val="center"/>
                </w:tcPr>
                <w:p>
                  <w:pPr>
                    <w:adjustRightInd w:val="0"/>
                    <w:snapToGrid w:val="0"/>
                    <w:spacing w:line="320" w:lineRule="exact"/>
                    <w:jc w:val="center"/>
                    <w:rPr>
                      <w:szCs w:val="21"/>
                    </w:rPr>
                  </w:pPr>
                  <w:r>
                    <w:rPr>
                      <w:szCs w:val="21"/>
                    </w:rPr>
                    <w:t>符合相关要求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60" w:type="dxa"/>
                  <w:vMerge w:val="continue"/>
                  <w:vAlign w:val="center"/>
                </w:tcPr>
                <w:p>
                  <w:pPr>
                    <w:adjustRightInd w:val="0"/>
                    <w:snapToGrid w:val="0"/>
                    <w:spacing w:line="320" w:lineRule="exact"/>
                    <w:jc w:val="center"/>
                    <w:rPr>
                      <w:szCs w:val="21"/>
                    </w:rPr>
                  </w:pPr>
                </w:p>
              </w:tc>
              <w:tc>
                <w:tcPr>
                  <w:tcW w:w="3912" w:type="dxa"/>
                  <w:vAlign w:val="center"/>
                </w:tcPr>
                <w:p>
                  <w:pPr>
                    <w:adjustRightInd w:val="0"/>
                    <w:snapToGrid w:val="0"/>
                    <w:spacing w:line="320" w:lineRule="exact"/>
                    <w:jc w:val="center"/>
                    <w:rPr>
                      <w:szCs w:val="21"/>
                    </w:rPr>
                  </w:pPr>
                  <w:r>
                    <w:rPr>
                      <w:szCs w:val="21"/>
                    </w:rPr>
                    <w:t>矿山生产过程应采取复垦措施</w:t>
                  </w:r>
                  <w:r>
                    <w:rPr>
                      <w:rFonts w:hint="eastAsia"/>
                      <w:szCs w:val="21"/>
                    </w:rPr>
                    <w:t>，</w:t>
                  </w:r>
                  <w:r>
                    <w:rPr>
                      <w:szCs w:val="21"/>
                    </w:rPr>
                    <w:t>对露天坑、废石场等永久性坡面进行稳定化处理</w:t>
                  </w:r>
                  <w:r>
                    <w:rPr>
                      <w:rFonts w:hint="eastAsia"/>
                      <w:szCs w:val="21"/>
                    </w:rPr>
                    <w:t>，</w:t>
                  </w:r>
                  <w:r>
                    <w:rPr>
                      <w:szCs w:val="21"/>
                    </w:rPr>
                    <w:t>防止水土流失和滑坡。历史遗留矿山开采破坏土地复垦率达到45%以上</w:t>
                  </w:r>
                  <w:r>
                    <w:rPr>
                      <w:rFonts w:hint="eastAsia"/>
                      <w:szCs w:val="21"/>
                    </w:rPr>
                    <w:t>，</w:t>
                  </w:r>
                  <w:r>
                    <w:rPr>
                      <w:szCs w:val="21"/>
                    </w:rPr>
                    <w:t>新建矿山应做到边开采</w:t>
                  </w:r>
                  <w:r>
                    <w:rPr>
                      <w:szCs w:val="21"/>
                    </w:rPr>
                    <w:cr/>
                  </w:r>
                  <w:r>
                    <w:rPr>
                      <w:szCs w:val="21"/>
                    </w:rPr>
                    <w:t>边复垦</w:t>
                  </w:r>
                  <w:r>
                    <w:rPr>
                      <w:rFonts w:hint="eastAsia"/>
                      <w:szCs w:val="21"/>
                    </w:rPr>
                    <w:t>，</w:t>
                  </w:r>
                  <w:r>
                    <w:rPr>
                      <w:szCs w:val="21"/>
                    </w:rPr>
                    <w:t>破坏土地复垦率达到85%以上。</w:t>
                  </w:r>
                </w:p>
              </w:tc>
              <w:tc>
                <w:tcPr>
                  <w:tcW w:w="1444" w:type="dxa"/>
                  <w:vAlign w:val="center"/>
                </w:tcPr>
                <w:p>
                  <w:pPr>
                    <w:adjustRightInd w:val="0"/>
                    <w:snapToGrid w:val="0"/>
                    <w:spacing w:line="320" w:lineRule="exact"/>
                    <w:ind w:left="-63" w:leftChars="-30" w:right="-63" w:rightChars="-30"/>
                    <w:jc w:val="center"/>
                    <w:rPr>
                      <w:szCs w:val="21"/>
                    </w:rPr>
                  </w:pPr>
                  <w:r>
                    <w:rPr>
                      <w:szCs w:val="21"/>
                    </w:rPr>
                    <w:t>环境保护与复垦方案</w:t>
                  </w:r>
                  <w:r>
                    <w:rPr>
                      <w:rFonts w:hint="eastAsia"/>
                      <w:szCs w:val="21"/>
                    </w:rPr>
                    <w:t>正在编制</w:t>
                  </w:r>
                  <w:r>
                    <w:rPr>
                      <w:szCs w:val="21"/>
                    </w:rPr>
                    <w:t>，矿山闭坑后对矿区进行复垦。</w:t>
                  </w:r>
                </w:p>
              </w:tc>
              <w:tc>
                <w:tcPr>
                  <w:tcW w:w="757" w:type="dxa"/>
                  <w:vAlign w:val="center"/>
                </w:tcPr>
                <w:p>
                  <w:pPr>
                    <w:adjustRightInd w:val="0"/>
                    <w:snapToGrid w:val="0"/>
                    <w:spacing w:line="320" w:lineRule="exact"/>
                    <w:jc w:val="center"/>
                    <w:rPr>
                      <w:szCs w:val="21"/>
                    </w:rPr>
                  </w:pPr>
                  <w:r>
                    <w:rPr>
                      <w:szCs w:val="21"/>
                    </w:rPr>
                    <w:t>符合相关要求</w:t>
                  </w:r>
                </w:p>
              </w:tc>
            </w:tr>
          </w:tbl>
          <w:p>
            <w:pPr>
              <w:adjustRightInd w:val="0"/>
              <w:snapToGrid w:val="0"/>
              <w:spacing w:line="360" w:lineRule="auto"/>
              <w:ind w:firstLine="480" w:firstLineChars="200"/>
              <w:rPr>
                <w:kern w:val="0"/>
                <w:sz w:val="24"/>
              </w:rPr>
            </w:pPr>
            <w:r>
              <w:rPr>
                <w:bCs/>
                <w:sz w:val="24"/>
              </w:rPr>
              <w:t>根据《新疆维吾尔自治区重点行业环境准入条件》（2017修订版）中关于非金属矿采选行业技术要求。本项目选址与空间布局符合国家、自治区主体功能区规划等相关规划要求，项目选址不属于禁止开发区、限制开发区内。项目选址远离居民集中区。本项目</w:t>
            </w:r>
            <w:r>
              <w:rPr>
                <w:rFonts w:hint="eastAsia"/>
                <w:bCs/>
                <w:sz w:val="24"/>
              </w:rPr>
              <w:t>无</w:t>
            </w:r>
            <w:r>
              <w:rPr>
                <w:bCs/>
                <w:sz w:val="24"/>
              </w:rPr>
              <w:t>生产废水</w:t>
            </w:r>
            <w:r>
              <w:rPr>
                <w:rFonts w:hint="eastAsia"/>
                <w:bCs/>
                <w:sz w:val="24"/>
              </w:rPr>
              <w:t>排放</w:t>
            </w:r>
            <w:r>
              <w:rPr>
                <w:bCs/>
                <w:sz w:val="24"/>
              </w:rPr>
              <w:t>。剥离表土暂存于表土堆放场内</w:t>
            </w:r>
            <w:r>
              <w:rPr>
                <w:rFonts w:hint="eastAsia"/>
                <w:bCs/>
                <w:sz w:val="24"/>
              </w:rPr>
              <w:t>，</w:t>
            </w:r>
            <w:r>
              <w:rPr>
                <w:bCs/>
                <w:sz w:val="24"/>
              </w:rPr>
              <w:t>闭坑时剥离表土用于矿区的生态恢复。本项目各项指标基本符合《新疆维吾尔自治区重点行业环境准入条件(2017修订版)》中相关要求。</w:t>
            </w:r>
          </w:p>
          <w:p>
            <w:pPr>
              <w:adjustRightInd w:val="0"/>
              <w:snapToGrid w:val="0"/>
              <w:spacing w:line="360" w:lineRule="auto"/>
              <w:ind w:firstLine="482" w:firstLineChars="200"/>
              <w:rPr>
                <w:b/>
                <w:bCs/>
                <w:kern w:val="0"/>
                <w:sz w:val="24"/>
              </w:rPr>
            </w:pPr>
            <w:r>
              <w:rPr>
                <w:b/>
                <w:bCs/>
                <w:kern w:val="0"/>
                <w:sz w:val="24"/>
              </w:rPr>
              <w:t>3.4与《新疆维吾尔自治区环境保护条例》符合性分析</w:t>
            </w:r>
          </w:p>
          <w:p>
            <w:pPr>
              <w:adjustRightInd w:val="0"/>
              <w:snapToGrid w:val="0"/>
              <w:spacing w:line="360" w:lineRule="auto"/>
              <w:ind w:firstLine="480" w:firstLineChars="200"/>
              <w:rPr>
                <w:kern w:val="0"/>
                <w:sz w:val="24"/>
              </w:rPr>
            </w:pPr>
            <w:r>
              <w:rPr>
                <w:kern w:val="0"/>
                <w:sz w:val="24"/>
              </w:rPr>
              <w:t>根据《新疆维吾尔自治区环境保护条例》任何单位和个人不得在水源涵养区、饮用水水源保护区内和河流、湖泊、水库周围建设重化工、涉重金属等工业污染项目；对已建成的工业污染项目，当地人民政府应当组织限期搬迁。</w:t>
            </w:r>
          </w:p>
          <w:p>
            <w:pPr>
              <w:adjustRightInd w:val="0"/>
              <w:snapToGrid w:val="0"/>
              <w:spacing w:line="360" w:lineRule="auto"/>
              <w:ind w:firstLine="480" w:firstLineChars="200"/>
              <w:rPr>
                <w:sz w:val="24"/>
              </w:rPr>
            </w:pPr>
            <w:r>
              <w:rPr>
                <w:kern w:val="0"/>
                <w:sz w:val="24"/>
              </w:rPr>
              <w:t>项目区位置不属于水源涵养区内，水源保护区等上述禁采区内，符合《新疆维吾尔自治区环境保护条例》的要求。</w:t>
            </w:r>
          </w:p>
          <w:p>
            <w:pPr>
              <w:adjustRightInd w:val="0"/>
              <w:snapToGrid w:val="0"/>
              <w:spacing w:line="360" w:lineRule="auto"/>
              <w:ind w:firstLine="482" w:firstLineChars="200"/>
              <w:rPr>
                <w:b/>
                <w:bCs/>
                <w:sz w:val="24"/>
              </w:rPr>
            </w:pPr>
            <w:r>
              <w:rPr>
                <w:b/>
                <w:bCs/>
                <w:sz w:val="24"/>
              </w:rPr>
              <w:t>3.5</w:t>
            </w:r>
            <w:bookmarkStart w:id="15" w:name="_Hlk87460218"/>
            <w:r>
              <w:rPr>
                <w:rFonts w:hint="eastAsia"/>
                <w:b/>
                <w:bCs/>
                <w:kern w:val="0"/>
                <w:sz w:val="24"/>
              </w:rPr>
              <w:t>与《新疆维吾尔自治区矿产资源管理条例》符合性分析</w:t>
            </w:r>
            <w:bookmarkEnd w:id="15"/>
          </w:p>
          <w:p>
            <w:pPr>
              <w:adjustRightInd w:val="0"/>
              <w:snapToGrid w:val="0"/>
              <w:spacing w:line="360" w:lineRule="auto"/>
              <w:ind w:firstLine="480" w:firstLineChars="200"/>
              <w:rPr>
                <w:sz w:val="24"/>
              </w:rPr>
            </w:pPr>
            <w:r>
              <w:rPr>
                <w:rFonts w:hint="eastAsia"/>
                <w:kern w:val="0"/>
                <w:sz w:val="24"/>
              </w:rPr>
              <w:t>根据《新疆维吾尔自治区矿产资源管理条例》，勘查、开采矿产资源，应当加强水土保持、土地复垦和环境保护工作、加强地质环境保护、监测和地质灾害的整治工作；勘查、开采矿产资源，应当依照国家和自治区有关规定申请登记，依法取得探矿权或者采矿权；勘查作业结束后，应当采取措施，防止水土流失，保护生态环境。开采矿产资源造成矿山地质环境、生态环境破坏的，应当治理恢复。</w:t>
            </w:r>
          </w:p>
          <w:p>
            <w:pPr>
              <w:adjustRightInd w:val="0"/>
              <w:snapToGrid w:val="0"/>
              <w:spacing w:line="360" w:lineRule="auto"/>
              <w:ind w:firstLine="480" w:firstLineChars="200"/>
              <w:rPr>
                <w:kern w:val="0"/>
                <w:sz w:val="24"/>
              </w:rPr>
            </w:pPr>
            <w:r>
              <w:rPr>
                <w:rFonts w:hint="eastAsia"/>
                <w:kern w:val="0"/>
                <w:sz w:val="24"/>
              </w:rPr>
              <w:t>本项目</w:t>
            </w:r>
            <w:r>
              <w:rPr>
                <w:sz w:val="24"/>
              </w:rPr>
              <w:t>做好土地复垦工作，并做到“边开采、边复垦”。对于水土流失，主要通过修建截、排水沟，修建拦挡，加强生态恢复等措施，尽可能减少水土流失量。</w:t>
            </w:r>
            <w:r>
              <w:rPr>
                <w:rFonts w:hint="eastAsia"/>
                <w:sz w:val="24"/>
              </w:rPr>
              <w:t>符合</w:t>
            </w:r>
            <w:r>
              <w:rPr>
                <w:rFonts w:hint="eastAsia"/>
                <w:kern w:val="0"/>
                <w:sz w:val="24"/>
              </w:rPr>
              <w:t>《新疆维吾尔自治区矿产资源管理条例》相关要求。</w:t>
            </w:r>
          </w:p>
          <w:p>
            <w:pPr>
              <w:adjustRightInd w:val="0"/>
              <w:snapToGrid w:val="0"/>
              <w:spacing w:line="360" w:lineRule="auto"/>
              <w:ind w:firstLine="482" w:firstLineChars="200"/>
              <w:rPr>
                <w:b/>
                <w:bCs/>
                <w:sz w:val="24"/>
              </w:rPr>
            </w:pPr>
            <w:r>
              <w:rPr>
                <w:b/>
                <w:bCs/>
                <w:sz w:val="24"/>
              </w:rPr>
              <w:t>3.6</w:t>
            </w:r>
            <w:r>
              <w:rPr>
                <w:rFonts w:hint="eastAsia"/>
                <w:b/>
                <w:bCs/>
                <w:sz w:val="24"/>
              </w:rPr>
              <w:t>与《新疆维吾尔自治区大气污染防治条例》（2019）符合性分析</w:t>
            </w:r>
          </w:p>
          <w:p>
            <w:pPr>
              <w:adjustRightInd w:val="0"/>
              <w:snapToGrid w:val="0"/>
              <w:spacing w:line="360" w:lineRule="auto"/>
              <w:ind w:firstLine="480" w:firstLineChars="200"/>
              <w:rPr>
                <w:rFonts w:eastAsia="微软雅黑"/>
                <w:sz w:val="24"/>
              </w:rPr>
            </w:pPr>
            <w:r>
              <w:rPr>
                <w:rFonts w:hint="eastAsia"/>
                <w:sz w:val="24"/>
              </w:rPr>
              <w:t>根据《新疆维吾尔自治区大气污染防治条例》（2019），矿山开采产生的废石、废渣、泥土等应当堆放到专门存放地，并采取围挡、设置防尘网或者防尘布等防尘措施；施工便道应当硬化。在采石、采砂和其他矿产资源开采过程中，或者在停办、关闭矿山前，采矿权人应当整修被损坏的道路和露天采矿场的边坡、断面，恢复原有地貌，并按照规定处置矿山开采废弃物，防止扬尘污染。</w:t>
            </w:r>
          </w:p>
          <w:p>
            <w:pPr>
              <w:adjustRightInd w:val="0"/>
              <w:snapToGrid w:val="0"/>
              <w:spacing w:line="360" w:lineRule="auto"/>
              <w:ind w:firstLine="480" w:firstLineChars="200"/>
            </w:pPr>
            <w:r>
              <w:rPr>
                <w:rFonts w:hint="eastAsia"/>
                <w:sz w:val="24"/>
              </w:rPr>
              <w:t>本次评价要求采取对地表覆盖砂集中堆放场采取设置防风抑尘网并用苫盖遮挡，在开采区配套移动式雾炮机并洒水降尘，对进厂道路进行砾石复压硬化，矿区配备洒水车，采用洒水对道路进行充分预湿，运输车辆出厂时，采取苫盖篷布的措施，并对车辆进行冲洗。</w:t>
            </w:r>
            <w:r>
              <w:rPr>
                <w:rFonts w:hint="eastAsia"/>
                <w:kern w:val="0"/>
                <w:sz w:val="24"/>
              </w:rPr>
              <w:t>矿山地质环境保护与土地复垦方案正在编制，闭矿时对矿区进行复垦和恢复。符合</w:t>
            </w:r>
            <w:r>
              <w:rPr>
                <w:rFonts w:hint="eastAsia"/>
                <w:sz w:val="24"/>
              </w:rPr>
              <w:t>《新疆维吾尔自治区大气污染防治条例》（2019）相关要求。</w:t>
            </w:r>
          </w:p>
          <w:p>
            <w:pPr>
              <w:autoSpaceDE w:val="0"/>
              <w:autoSpaceDN w:val="0"/>
              <w:adjustRightInd w:val="0"/>
              <w:snapToGrid w:val="0"/>
              <w:spacing w:line="520" w:lineRule="exact"/>
              <w:ind w:firstLine="482" w:firstLineChars="200"/>
              <w:rPr>
                <w:b/>
                <w:bCs/>
                <w:sz w:val="24"/>
              </w:rPr>
            </w:pPr>
            <w:r>
              <w:rPr>
                <w:rFonts w:hint="eastAsia"/>
                <w:b/>
                <w:bCs/>
                <w:sz w:val="24"/>
              </w:rPr>
              <w:t>4、规划符合性分析</w:t>
            </w:r>
          </w:p>
          <w:p>
            <w:pPr>
              <w:autoSpaceDE w:val="0"/>
              <w:autoSpaceDN w:val="0"/>
              <w:adjustRightInd w:val="0"/>
              <w:snapToGrid w:val="0"/>
              <w:spacing w:line="520" w:lineRule="exact"/>
              <w:ind w:firstLine="482" w:firstLineChars="200"/>
              <w:rPr>
                <w:b/>
                <w:bCs/>
                <w:sz w:val="24"/>
              </w:rPr>
            </w:pPr>
            <w:r>
              <w:rPr>
                <w:rFonts w:hint="eastAsia"/>
                <w:b/>
                <w:bCs/>
                <w:sz w:val="24"/>
              </w:rPr>
              <w:t>4</w:t>
            </w:r>
            <w:r>
              <w:rPr>
                <w:b/>
                <w:bCs/>
                <w:sz w:val="24"/>
              </w:rPr>
              <w:t>.1与《全国矿产资源规划（2016-2020年）》符合性分析</w:t>
            </w:r>
          </w:p>
          <w:p>
            <w:pPr>
              <w:autoSpaceDE w:val="0"/>
              <w:autoSpaceDN w:val="0"/>
              <w:adjustRightInd w:val="0"/>
              <w:snapToGrid w:val="0"/>
              <w:spacing w:line="520" w:lineRule="exact"/>
              <w:ind w:firstLine="480" w:firstLineChars="200"/>
              <w:rPr>
                <w:sz w:val="24"/>
              </w:rPr>
            </w:pPr>
            <w:r>
              <w:rPr>
                <w:sz w:val="24"/>
              </w:rPr>
              <w:t>根据《全国矿产资源规划（2016~2020年）》可知，国家提出了“合理开采适应地区经济发展需要的建材等非金属矿产，实现矿山布局与城乡建设、土地复垦和环境保护的有机衔接。西部地区加大矿产资源开发利用力度，建设资源接续区，促进优势资源转化。加大矿山地质环境恢复治理和矿区土地复垦的投入，鼓励社会资金参与矿山地质环境治理和土地复垦”等内容。</w:t>
            </w:r>
          </w:p>
          <w:p>
            <w:pPr>
              <w:autoSpaceDE w:val="0"/>
              <w:autoSpaceDN w:val="0"/>
              <w:adjustRightInd w:val="0"/>
              <w:snapToGrid w:val="0"/>
              <w:spacing w:line="520" w:lineRule="exact"/>
              <w:ind w:firstLine="480" w:firstLineChars="200"/>
              <w:rPr>
                <w:sz w:val="24"/>
              </w:rPr>
            </w:pPr>
            <w:r>
              <w:rPr>
                <w:sz w:val="24"/>
              </w:rPr>
              <w:t>本项目</w:t>
            </w:r>
            <w:r>
              <w:rPr>
                <w:rFonts w:hint="eastAsia"/>
                <w:sz w:val="24"/>
              </w:rPr>
              <w:t>石英砂矿</w:t>
            </w:r>
            <w:r>
              <w:rPr>
                <w:sz w:val="24"/>
              </w:rPr>
              <w:t>的开采带动了区域经济的发展，可促进区域优势资源转化，服务期满后，通过采取生态恢复及复垦措施对区域生态进行恢复，工程建设符合《全国矿产资源规划（2016~2020年）》要求。</w:t>
            </w:r>
          </w:p>
          <w:p>
            <w:pPr>
              <w:autoSpaceDE w:val="0"/>
              <w:autoSpaceDN w:val="0"/>
              <w:adjustRightInd w:val="0"/>
              <w:snapToGrid w:val="0"/>
              <w:spacing w:line="520" w:lineRule="exact"/>
              <w:ind w:firstLine="482" w:firstLineChars="200"/>
              <w:rPr>
                <w:b/>
                <w:bCs/>
                <w:sz w:val="24"/>
              </w:rPr>
            </w:pPr>
            <w:r>
              <w:rPr>
                <w:rFonts w:hint="eastAsia"/>
                <w:b/>
                <w:bCs/>
                <w:sz w:val="24"/>
              </w:rPr>
              <w:t>4</w:t>
            </w:r>
            <w:r>
              <w:rPr>
                <w:b/>
                <w:bCs/>
                <w:sz w:val="24"/>
              </w:rPr>
              <w:t>.2</w:t>
            </w:r>
            <w:bookmarkStart w:id="16" w:name="_Hlk87460244"/>
            <w:r>
              <w:rPr>
                <w:b/>
                <w:bCs/>
                <w:sz w:val="24"/>
              </w:rPr>
              <w:t>与《新疆维吾尔自治区矿产资源总体规划（2016~2020）》符合性分析</w:t>
            </w:r>
            <w:bookmarkEnd w:id="16"/>
          </w:p>
          <w:p>
            <w:pPr>
              <w:autoSpaceDE w:val="0"/>
              <w:autoSpaceDN w:val="0"/>
              <w:adjustRightInd w:val="0"/>
              <w:snapToGrid w:val="0"/>
              <w:spacing w:line="520" w:lineRule="exact"/>
              <w:ind w:firstLine="480" w:firstLineChars="200"/>
              <w:rPr>
                <w:sz w:val="24"/>
              </w:rPr>
            </w:pPr>
            <w:r>
              <w:rPr>
                <w:rFonts w:hint="eastAsia"/>
                <w:sz w:val="24"/>
              </w:rPr>
              <w:t>根据《新疆维吾尔自治区矿产资源总体规划（2016-2020年）》和《新疆第三轮矿产资源总体规划（2016-2020年）环境影响报告书》规定，严格矿产资源规划分区管理。重点矿区：加大《全国矿产资源规划（2016－2020年）》划定的35个国家规划矿区开发力度。加强阿尔泰山，塔里木盆地、准噶尔盆地、吐哈盆地及周边，西准噶尔，东准噶尔，西天山，东天山，西南天山，西昆仑，阿尔金山等9大区域矿产资源开发。重点矿区内新建矿山必须符合国家、自治区产业政策和规划，达到国家有关矿山企业准入条件；矿山采矿规模不低于本规划确定的矿山最低开采规模，矿山占有矿石资源储量与矿山开采规模及矿山服务年限相匹配，具备与矿山开采规模相配套的人才、资金、技术和管理资质条件。统筹安排重点矿区内的矿产资源勘查开发活动，争取国家相关优惠政策，引导和支持各类生产要素聚集，加强矿产资源整合开发力度，优化布局和矿山企业结构，促进规模开采和集约利用。</w:t>
            </w:r>
          </w:p>
          <w:p>
            <w:pPr>
              <w:autoSpaceDE w:val="0"/>
              <w:autoSpaceDN w:val="0"/>
              <w:adjustRightInd w:val="0"/>
              <w:snapToGrid w:val="0"/>
              <w:spacing w:line="520" w:lineRule="exact"/>
              <w:ind w:firstLine="480" w:firstLineChars="200"/>
              <w:rPr>
                <w:sz w:val="24"/>
              </w:rPr>
            </w:pPr>
            <w:r>
              <w:rPr>
                <w:rFonts w:hint="eastAsia"/>
                <w:sz w:val="24"/>
              </w:rPr>
              <w:t>本项目属于《新疆维吾尔自治区矿产资源总体规划（2016-2020年）》中重点矿区里“9大区域”中的“东天山区域”，不属于禁止开采区和限制勘查开采区，本项目符合国家、自治区产业政策和规划，达到国家有关矿山企业准入条件；本项目矿山可采储量为1915.95万t，开采规模为</w:t>
            </w:r>
            <w:r>
              <w:rPr>
                <w:sz w:val="24"/>
              </w:rPr>
              <w:t>18</w:t>
            </w:r>
            <w:r>
              <w:rPr>
                <w:rFonts w:hint="eastAsia"/>
                <w:sz w:val="24"/>
              </w:rPr>
              <w:t>0万t/a，故全矿区服务年限</w:t>
            </w:r>
            <w:r>
              <w:rPr>
                <w:sz w:val="24"/>
              </w:rPr>
              <w:t>10.64</w:t>
            </w:r>
            <w:r>
              <w:rPr>
                <w:rFonts w:hint="eastAsia"/>
                <w:sz w:val="24"/>
              </w:rPr>
              <w:t>年，首采区服务年限8.61年。矿山占有矿石资源储量与矿山开采规模及矿山服务年限相匹配。因此，项目的建设符合《新疆维吾尔自治区矿产资源总体规划（2016-2020年）》和《新疆第三轮矿产资源总体规划（2016-2020年）环境影响报告书》中的相关要求。</w:t>
            </w:r>
          </w:p>
          <w:p>
            <w:pPr>
              <w:autoSpaceDE w:val="0"/>
              <w:autoSpaceDN w:val="0"/>
              <w:adjustRightInd w:val="0"/>
              <w:snapToGrid w:val="0"/>
              <w:spacing w:line="520" w:lineRule="exact"/>
              <w:ind w:firstLine="482" w:firstLineChars="200"/>
              <w:rPr>
                <w:b/>
                <w:bCs/>
                <w:sz w:val="24"/>
              </w:rPr>
            </w:pPr>
            <w:bookmarkStart w:id="17" w:name="_Hlk87521463"/>
            <w:r>
              <w:rPr>
                <w:rFonts w:hint="eastAsia"/>
                <w:b/>
                <w:bCs/>
                <w:sz w:val="24"/>
              </w:rPr>
              <w:t>4</w:t>
            </w:r>
            <w:r>
              <w:rPr>
                <w:b/>
                <w:bCs/>
                <w:sz w:val="24"/>
              </w:rPr>
              <w:t>.3</w:t>
            </w:r>
            <w:bookmarkStart w:id="18" w:name="_Hlk87517378"/>
            <w:r>
              <w:rPr>
                <w:b/>
                <w:bCs/>
                <w:sz w:val="24"/>
              </w:rPr>
              <w:t>《新疆维吾尔自治区昌吉回族自治州矿产资源总体规划（2016-2020年）》符合性分析</w:t>
            </w:r>
            <w:bookmarkEnd w:id="18"/>
          </w:p>
          <w:bookmarkEnd w:id="17"/>
          <w:p>
            <w:pPr>
              <w:autoSpaceDE w:val="0"/>
              <w:autoSpaceDN w:val="0"/>
              <w:adjustRightInd w:val="0"/>
              <w:snapToGrid w:val="0"/>
              <w:spacing w:line="520" w:lineRule="exact"/>
              <w:ind w:firstLine="480" w:firstLineChars="200"/>
              <w:rPr>
                <w:sz w:val="24"/>
              </w:rPr>
            </w:pPr>
            <w:r>
              <w:rPr>
                <w:sz w:val="24"/>
              </w:rPr>
              <w:t>根据原自治区国土资源厅《关于&lt;昌吉回族自治州及昌吉市等七县（市）矿产资源规划（2016-2020年）&gt;的复函》（新国土资函〔2018〕20号），原则同意《新疆维吾尔自治区昌吉回族自治州矿产资源总体规划（2016-2020年）》，要求强化五彩湾矿区、大井矿区、西黑山矿区、白杨河矿区、阜康矿区、将军庙矿区、老君庙矿区、北塔山矿区、玛纳斯塔西河矿区等重点矿区和砂石粘土等三类矿产集中开采区监管，规范矿产资源开发利用秩序。本项目属于</w:t>
            </w:r>
            <w:r>
              <w:rPr>
                <w:rFonts w:hint="eastAsia"/>
                <w:sz w:val="24"/>
              </w:rPr>
              <w:t>鼓励开采的矿种之一，不属于重点开采区内</w:t>
            </w:r>
            <w:r>
              <w:rPr>
                <w:sz w:val="24"/>
              </w:rPr>
              <w:t>，不在规划的限制开采矿区和禁止开采矿区，符合昌吉回族自治州矿产资源总体规划。</w:t>
            </w:r>
            <w:r>
              <w:rPr>
                <w:rFonts w:hint="eastAsia"/>
                <w:sz w:val="24"/>
              </w:rPr>
              <w:t>距离本项目最近的禁止开采区块为东侧约</w:t>
            </w:r>
            <w:r>
              <w:rPr>
                <w:sz w:val="24"/>
              </w:rPr>
              <w:t>17.5km</w:t>
            </w:r>
            <w:r>
              <w:rPr>
                <w:rFonts w:hint="eastAsia"/>
                <w:sz w:val="24"/>
              </w:rPr>
              <w:t>处的C</w:t>
            </w:r>
            <w:r>
              <w:rPr>
                <w:sz w:val="24"/>
              </w:rPr>
              <w:t>J001</w:t>
            </w:r>
            <w:r>
              <w:rPr>
                <w:rFonts w:hint="eastAsia"/>
                <w:sz w:val="24"/>
              </w:rPr>
              <w:t>-卡拉麦里山有蹄类自然保护区禁止开采区；项目周边无限制开采区。本项目位于</w:t>
            </w:r>
            <w:r>
              <w:rPr>
                <w:sz w:val="24"/>
              </w:rPr>
              <w:t>昌吉州矿产资源</w:t>
            </w:r>
            <w:r>
              <w:rPr>
                <w:rFonts w:hint="eastAsia"/>
                <w:sz w:val="24"/>
              </w:rPr>
              <w:t>禁止开发区</w:t>
            </w:r>
            <w:r>
              <w:rPr>
                <w:sz w:val="24"/>
              </w:rPr>
              <w:t>规划</w:t>
            </w:r>
            <w:r>
              <w:rPr>
                <w:rFonts w:hint="eastAsia"/>
                <w:sz w:val="24"/>
              </w:rPr>
              <w:t>图中位置，见附图</w:t>
            </w:r>
            <w:r>
              <w:rPr>
                <w:sz w:val="24"/>
              </w:rPr>
              <w:t>10</w:t>
            </w:r>
            <w:r>
              <w:rPr>
                <w:rFonts w:hint="eastAsia"/>
                <w:sz w:val="24"/>
              </w:rPr>
              <w:t>；本项目位于</w:t>
            </w:r>
            <w:r>
              <w:rPr>
                <w:sz w:val="24"/>
              </w:rPr>
              <w:t>昌吉州矿产资源</w:t>
            </w:r>
            <w:r>
              <w:rPr>
                <w:rFonts w:hint="eastAsia"/>
                <w:sz w:val="24"/>
              </w:rPr>
              <w:t>限制开发区</w:t>
            </w:r>
            <w:r>
              <w:rPr>
                <w:sz w:val="24"/>
              </w:rPr>
              <w:t>规划</w:t>
            </w:r>
            <w:r>
              <w:rPr>
                <w:rFonts w:hint="eastAsia"/>
                <w:sz w:val="24"/>
              </w:rPr>
              <w:t>图中位置，见附图1</w:t>
            </w:r>
            <w:r>
              <w:rPr>
                <w:sz w:val="24"/>
              </w:rPr>
              <w:t>1</w:t>
            </w:r>
            <w:r>
              <w:rPr>
                <w:rFonts w:hint="eastAsia"/>
                <w:sz w:val="24"/>
              </w:rPr>
              <w:t>。</w:t>
            </w:r>
          </w:p>
          <w:p>
            <w:pPr>
              <w:autoSpaceDE w:val="0"/>
              <w:autoSpaceDN w:val="0"/>
              <w:adjustRightInd w:val="0"/>
              <w:snapToGrid w:val="0"/>
              <w:spacing w:line="520" w:lineRule="exact"/>
              <w:ind w:firstLine="482" w:firstLineChars="200"/>
              <w:rPr>
                <w:b/>
                <w:bCs/>
                <w:sz w:val="24"/>
              </w:rPr>
            </w:pPr>
            <w:bookmarkStart w:id="19" w:name="_Toc71632985"/>
            <w:bookmarkStart w:id="20" w:name="_Toc71632295"/>
            <w:r>
              <w:rPr>
                <w:rFonts w:hint="eastAsia"/>
                <w:b/>
                <w:bCs/>
                <w:sz w:val="24"/>
              </w:rPr>
              <w:t>4</w:t>
            </w:r>
            <w:r>
              <w:rPr>
                <w:b/>
                <w:bCs/>
                <w:sz w:val="24"/>
              </w:rPr>
              <w:t>.4</w:t>
            </w:r>
            <w:r>
              <w:rPr>
                <w:rFonts w:hint="eastAsia"/>
                <w:b/>
                <w:bCs/>
                <w:sz w:val="24"/>
              </w:rPr>
              <w:t>《新疆维吾尔自治区主体功能区规划》协调性分析</w:t>
            </w:r>
            <w:bookmarkEnd w:id="19"/>
            <w:bookmarkEnd w:id="20"/>
            <w:r>
              <w:rPr>
                <w:b/>
                <w:bCs/>
                <w:sz w:val="24"/>
              </w:rPr>
              <w:t xml:space="preserve"> </w:t>
            </w:r>
          </w:p>
          <w:p>
            <w:pPr>
              <w:adjustRightInd w:val="0"/>
              <w:snapToGrid w:val="0"/>
              <w:spacing w:line="360" w:lineRule="auto"/>
              <w:ind w:firstLine="480" w:firstLineChars="200"/>
              <w:jc w:val="left"/>
              <w:rPr>
                <w:sz w:val="24"/>
              </w:rPr>
            </w:pPr>
            <w:r>
              <w:rPr>
                <w:sz w:val="24"/>
              </w:rPr>
              <w:t>《新疆维吾尔自治区主体功能区规划》要求：“</w:t>
            </w:r>
            <w:r>
              <w:rPr>
                <w:rFonts w:hint="eastAsia"/>
                <w:sz w:val="24"/>
              </w:rPr>
              <w:t>一些能源和矿产资源富集的区域往往同时是生态脆弱或生态重要的区域，被划分为限制进行大规模高强度工业化城镇化开发的重点生态功能区或农产品主产区，并不是限制能源和矿产资源的开发，这类区域中的能源和矿产资源，仍然可以依法开发，资源开采的地点仍然可以定义为能源或矿产资源的重点开发基地，但应该按照该区域的主体功能定位实行“点上开发、面上保护”。</w:t>
            </w:r>
            <w:r>
              <w:rPr>
                <w:sz w:val="24"/>
              </w:rPr>
              <w:t>”</w:t>
            </w:r>
          </w:p>
          <w:p>
            <w:pPr>
              <w:autoSpaceDE w:val="0"/>
              <w:autoSpaceDN w:val="0"/>
              <w:adjustRightInd w:val="0"/>
              <w:snapToGrid w:val="0"/>
              <w:spacing w:line="360" w:lineRule="auto"/>
              <w:ind w:firstLine="480" w:firstLineChars="200"/>
              <w:jc w:val="left"/>
              <w:rPr>
                <w:kern w:val="0"/>
                <w:sz w:val="24"/>
              </w:rPr>
            </w:pPr>
            <w:r>
              <w:rPr>
                <w:rFonts w:hint="eastAsia"/>
                <w:kern w:val="0"/>
                <w:sz w:val="24"/>
              </w:rPr>
              <w:t>本项目位于</w:t>
            </w:r>
            <w:r>
              <w:rPr>
                <w:sz w:val="24"/>
              </w:rPr>
              <w:t>《新疆维吾尔自治区主体功能区规划》</w:t>
            </w:r>
            <w:r>
              <w:rPr>
                <w:rFonts w:hint="eastAsia"/>
                <w:sz w:val="24"/>
              </w:rPr>
              <w:t>划定的重点开发区域内，距离本项目最近的禁止开发区块为东侧约</w:t>
            </w:r>
            <w:r>
              <w:rPr>
                <w:sz w:val="24"/>
              </w:rPr>
              <w:t>17.5km</w:t>
            </w:r>
            <w:r>
              <w:rPr>
                <w:rFonts w:hint="eastAsia"/>
                <w:sz w:val="24"/>
              </w:rPr>
              <w:t>处的卡拉麦里山有蹄类自然保护区；项目周边无限制开采区。矿区的选址</w:t>
            </w:r>
            <w:r>
              <w:rPr>
                <w:sz w:val="24"/>
              </w:rPr>
              <w:t>符合《新疆维吾尔自治区主体功能区规划》要求。</w:t>
            </w:r>
          </w:p>
          <w:p>
            <w:pPr>
              <w:autoSpaceDE w:val="0"/>
              <w:autoSpaceDN w:val="0"/>
              <w:adjustRightInd w:val="0"/>
              <w:snapToGrid w:val="0"/>
              <w:spacing w:line="520" w:lineRule="exact"/>
              <w:ind w:firstLine="480" w:firstLineChars="200"/>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spacing w:line="360" w:lineRule="auto"/>
        <w:outlineLvl w:val="0"/>
        <w:rPr>
          <w:rFonts w:eastAsia="黑体"/>
          <w:sz w:val="30"/>
        </w:rPr>
        <w:sectPr>
          <w:footerReference r:id="rId5" w:type="default"/>
          <w:pgSz w:w="11906" w:h="16838"/>
          <w:pgMar w:top="1701" w:right="1531" w:bottom="1701" w:left="1531" w:header="851" w:footer="1077" w:gutter="0"/>
          <w:pgNumType w:start="1"/>
          <w:cols w:space="720" w:num="1"/>
          <w:docGrid w:linePitch="312" w:charSpace="0"/>
        </w:sectPr>
      </w:pPr>
    </w:p>
    <w:p>
      <w:pPr>
        <w:pStyle w:val="28"/>
        <w:jc w:val="center"/>
        <w:outlineLvl w:val="0"/>
        <w:rPr>
          <w:rFonts w:ascii="黑体" w:hAnsi="黑体" w:eastAsia="黑体"/>
          <w:snapToGrid w:val="0"/>
          <w:sz w:val="30"/>
          <w:szCs w:val="30"/>
        </w:rPr>
      </w:pPr>
      <w:r>
        <w:rPr>
          <w:rFonts w:hint="eastAsia" w:ascii="黑体" w:hAnsi="黑体" w:eastAsia="黑体"/>
          <w:snapToGrid w:val="0"/>
          <w:sz w:val="30"/>
          <w:szCs w:val="30"/>
        </w:rPr>
        <w:t>二、建设内容</w:t>
      </w:r>
    </w:p>
    <w:tbl>
      <w:tblPr>
        <w:tblStyle w:val="31"/>
        <w:tblW w:w="877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0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09" w:type="dxa"/>
            <w:vAlign w:val="center"/>
          </w:tcPr>
          <w:p>
            <w:pPr>
              <w:adjustRightInd w:val="0"/>
              <w:snapToGrid w:val="0"/>
              <w:jc w:val="center"/>
              <w:rPr>
                <w:rFonts w:ascii="宋体" w:hAnsi="宋体" w:cs="宋体"/>
                <w:kern w:val="0"/>
                <w:sz w:val="24"/>
              </w:rPr>
            </w:pPr>
            <w:r>
              <w:rPr>
                <w:rFonts w:hint="eastAsia" w:ascii="宋体" w:hAnsi="宋体" w:cs="宋体"/>
                <w:kern w:val="0"/>
                <w:sz w:val="24"/>
              </w:rPr>
              <w:t>地理位置</w:t>
            </w:r>
          </w:p>
        </w:tc>
        <w:tc>
          <w:tcPr>
            <w:tcW w:w="8070" w:type="dxa"/>
            <w:vAlign w:val="center"/>
          </w:tcPr>
          <w:p>
            <w:pPr>
              <w:adjustRightInd w:val="0"/>
              <w:snapToGrid w:val="0"/>
              <w:spacing w:line="520" w:lineRule="exact"/>
              <w:ind w:firstLine="480" w:firstLineChars="200"/>
              <w:rPr>
                <w:rFonts w:ascii="宋体" w:hAnsi="宋体" w:cs="宋体"/>
                <w:kern w:val="0"/>
                <w:sz w:val="24"/>
              </w:rPr>
            </w:pPr>
            <w:r>
              <w:rPr>
                <w:rFonts w:hint="eastAsia"/>
                <w:sz w:val="24"/>
              </w:rPr>
              <w:t>本</w:t>
            </w:r>
            <w:r>
              <w:rPr>
                <w:sz w:val="24"/>
              </w:rPr>
              <w:t>项目位于</w:t>
            </w:r>
            <w:r>
              <w:rPr>
                <w:rFonts w:hint="eastAsia"/>
                <w:sz w:val="24"/>
              </w:rPr>
              <w:t>阜康市北部准格尔盆地古尔班通古特沙漠东部，阜康市城区17°方位，距离阜康市直线距离78km处</w:t>
            </w:r>
            <w:r>
              <w:rPr>
                <w:sz w:val="24"/>
              </w:rPr>
              <w:t>，</w:t>
            </w:r>
            <w:r>
              <w:rPr>
                <w:rFonts w:hint="eastAsia"/>
                <w:sz w:val="24"/>
              </w:rPr>
              <w:t>项目区及四周均为空地，项目占地不涉及林地、国家沙漠公园和国家沙化土地封禁保护区（件附件）。</w:t>
            </w:r>
            <w:r>
              <w:rPr>
                <w:kern w:val="0"/>
                <w:sz w:val="24"/>
              </w:rPr>
              <w:t>项目区</w:t>
            </w:r>
            <w:r>
              <w:rPr>
                <w:sz w:val="24"/>
              </w:rPr>
              <w:t>中心地理坐标为：N44°49′33.000″；E88°16′1.500″</w:t>
            </w:r>
            <w:r>
              <w:rPr>
                <w:rFonts w:hint="eastAsia"/>
                <w:sz w:val="24"/>
              </w:rPr>
              <w:t>。项目区地理位置见附图</w:t>
            </w:r>
            <w:r>
              <w:rPr>
                <w:sz w:val="24"/>
              </w:rPr>
              <w:t>2</w:t>
            </w:r>
            <w:r>
              <w:rPr>
                <w:rFonts w:hint="eastAsia"/>
                <w:sz w:val="24"/>
              </w:rPr>
              <w:t>，卫星影像图见附图</w:t>
            </w:r>
            <w:r>
              <w:rPr>
                <w:sz w:val="24"/>
              </w:rPr>
              <w:t>3</w:t>
            </w: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79" w:hRule="atLeast"/>
          <w:jc w:val="center"/>
        </w:trPr>
        <w:tc>
          <w:tcPr>
            <w:tcW w:w="709" w:type="dxa"/>
            <w:vAlign w:val="center"/>
          </w:tcPr>
          <w:p>
            <w:pPr>
              <w:adjustRightInd w:val="0"/>
              <w:snapToGrid w:val="0"/>
              <w:jc w:val="center"/>
              <w:rPr>
                <w:rFonts w:ascii="宋体" w:hAnsi="宋体" w:cs="宋体"/>
                <w:kern w:val="0"/>
                <w:sz w:val="24"/>
              </w:rPr>
            </w:pPr>
            <w:r>
              <w:rPr>
                <w:rFonts w:hint="eastAsia" w:ascii="宋体" w:hAnsi="宋体" w:cs="宋体"/>
                <w:kern w:val="0"/>
                <w:sz w:val="24"/>
              </w:rPr>
              <w:t>项目组成及规模</w:t>
            </w:r>
          </w:p>
        </w:tc>
        <w:tc>
          <w:tcPr>
            <w:tcW w:w="8070" w:type="dxa"/>
            <w:vAlign w:val="center"/>
          </w:tcPr>
          <w:p>
            <w:pPr>
              <w:adjustRightInd w:val="0"/>
              <w:snapToGrid w:val="0"/>
              <w:spacing w:line="520" w:lineRule="exact"/>
              <w:ind w:firstLine="482" w:firstLineChars="200"/>
              <w:rPr>
                <w:b/>
                <w:sz w:val="24"/>
              </w:rPr>
            </w:pPr>
            <w:r>
              <w:rPr>
                <w:rFonts w:hint="eastAsia"/>
                <w:b/>
                <w:sz w:val="24"/>
              </w:rPr>
              <w:t>1</w:t>
            </w:r>
            <w:r>
              <w:rPr>
                <w:b/>
                <w:sz w:val="24"/>
              </w:rPr>
              <w:t>、项目建设内容</w:t>
            </w:r>
          </w:p>
          <w:p>
            <w:pPr>
              <w:adjustRightInd w:val="0"/>
              <w:snapToGrid w:val="0"/>
              <w:spacing w:line="520" w:lineRule="exact"/>
              <w:ind w:firstLine="480" w:firstLineChars="200"/>
              <w:rPr>
                <w:sz w:val="24"/>
              </w:rPr>
            </w:pPr>
            <w:r>
              <w:rPr>
                <w:rFonts w:hint="eastAsia"/>
                <w:sz w:val="24"/>
              </w:rPr>
              <w:t>根据《新疆阜康市规划四号石英砂矿矿产资源开发利用方案》，矿区总占地面积2</w:t>
            </w:r>
            <w:r>
              <w:rPr>
                <w:sz w:val="24"/>
              </w:rPr>
              <w:t>.68</w:t>
            </w:r>
            <w:r>
              <w:rPr>
                <w:rFonts w:hint="eastAsia"/>
                <w:sz w:val="24"/>
              </w:rPr>
              <w:t>km</w:t>
            </w:r>
            <w:r>
              <w:rPr>
                <w:sz w:val="24"/>
                <w:vertAlign w:val="superscript"/>
              </w:rPr>
              <w:t>2</w:t>
            </w:r>
            <w:r>
              <w:rPr>
                <w:rFonts w:hint="eastAsia"/>
                <w:sz w:val="24"/>
              </w:rPr>
              <w:t>，其中露天采场占地面积</w:t>
            </w:r>
            <w:r>
              <w:rPr>
                <w:sz w:val="24"/>
              </w:rPr>
              <w:t>133.76</w:t>
            </w:r>
            <w:r>
              <w:rPr>
                <w:rFonts w:hint="eastAsia"/>
                <w:sz w:val="24"/>
              </w:rPr>
              <w:t>hm</w:t>
            </w:r>
            <w:r>
              <w:rPr>
                <w:sz w:val="24"/>
                <w:vertAlign w:val="superscript"/>
              </w:rPr>
              <w:t>2</w:t>
            </w:r>
            <w:r>
              <w:rPr>
                <w:rFonts w:hint="eastAsia"/>
                <w:sz w:val="24"/>
              </w:rPr>
              <w:t>。</w:t>
            </w:r>
          </w:p>
          <w:p>
            <w:pPr>
              <w:adjustRightInd w:val="0"/>
              <w:snapToGrid w:val="0"/>
              <w:spacing w:line="520" w:lineRule="exact"/>
              <w:ind w:firstLine="480" w:firstLineChars="200"/>
              <w:rPr>
                <w:sz w:val="24"/>
              </w:rPr>
            </w:pPr>
            <w:r>
              <w:rPr>
                <w:sz w:val="24"/>
              </w:rPr>
              <w:t>工程项目组成见表2-1。</w:t>
            </w:r>
          </w:p>
          <w:p>
            <w:pPr>
              <w:pStyle w:val="55"/>
              <w:spacing w:line="240" w:lineRule="auto"/>
              <w:ind w:firstLine="480"/>
              <w:jc w:val="center"/>
              <w:rPr>
                <w:rFonts w:hAnsi="Times New Roman" w:eastAsia="黑体"/>
                <w:b w:val="0"/>
                <w:bCs w:val="0"/>
                <w:color w:val="auto"/>
                <w:szCs w:val="24"/>
              </w:rPr>
            </w:pPr>
            <w:r>
              <w:rPr>
                <w:rFonts w:hAnsi="Times New Roman" w:eastAsia="黑体"/>
                <w:b w:val="0"/>
                <w:bCs w:val="0"/>
                <w:color w:val="auto"/>
                <w:szCs w:val="24"/>
              </w:rPr>
              <w:t>表2-1    项目建设内容组成一览表</w:t>
            </w:r>
          </w:p>
          <w:tbl>
            <w:tblPr>
              <w:tblStyle w:val="31"/>
              <w:tblW w:w="785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28"/>
              <w:gridCol w:w="859"/>
              <w:gridCol w:w="4877"/>
              <w:gridCol w:w="6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71"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工程分类</w:t>
                  </w:r>
                </w:p>
              </w:tc>
              <w:tc>
                <w:tcPr>
                  <w:tcW w:w="828"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建设内容</w:t>
                  </w:r>
                </w:p>
              </w:tc>
              <w:tc>
                <w:tcPr>
                  <w:tcW w:w="5736" w:type="dxa"/>
                  <w:gridSpan w:val="2"/>
                  <w:vAlign w:val="center"/>
                </w:tcPr>
                <w:p>
                  <w:pPr>
                    <w:adjustRightInd w:val="0"/>
                    <w:snapToGrid w:val="0"/>
                    <w:jc w:val="center"/>
                    <w:rPr>
                      <w:rFonts w:ascii="宋体" w:hAnsi="宋体" w:cs="宋体"/>
                      <w:kern w:val="0"/>
                      <w:szCs w:val="21"/>
                    </w:rPr>
                  </w:pPr>
                  <w:r>
                    <w:rPr>
                      <w:rFonts w:hint="eastAsia" w:ascii="宋体" w:hAnsi="宋体" w:cs="宋体"/>
                      <w:kern w:val="0"/>
                      <w:szCs w:val="21"/>
                    </w:rPr>
                    <w:t>主要工程参数</w:t>
                  </w:r>
                </w:p>
              </w:tc>
              <w:tc>
                <w:tcPr>
                  <w:tcW w:w="619" w:type="dxa"/>
                  <w:vAlign w:val="center"/>
                </w:tcPr>
                <w:p>
                  <w:pPr>
                    <w:adjustRightInd w:val="0"/>
                    <w:snapToGrid w:val="0"/>
                    <w:jc w:val="center"/>
                    <w:rPr>
                      <w:kern w:val="0"/>
                      <w:szCs w:val="21"/>
                    </w:rPr>
                  </w:pPr>
                  <w:r>
                    <w:rPr>
                      <w:rFonts w:hint="eastAsia"/>
                      <w:kern w:val="0"/>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restart"/>
                  <w:vAlign w:val="center"/>
                </w:tcPr>
                <w:p>
                  <w:pPr>
                    <w:adjustRightInd w:val="0"/>
                    <w:snapToGrid w:val="0"/>
                    <w:jc w:val="center"/>
                    <w:rPr>
                      <w:rFonts w:ascii="宋体" w:hAnsi="宋体" w:cs="宋体"/>
                      <w:kern w:val="0"/>
                      <w:szCs w:val="21"/>
                    </w:rPr>
                  </w:pPr>
                  <w:r>
                    <w:rPr>
                      <w:rFonts w:hint="eastAsia" w:ascii="宋体" w:hAnsi="宋体" w:cs="宋体"/>
                      <w:kern w:val="0"/>
                      <w:szCs w:val="21"/>
                    </w:rPr>
                    <w:t>主体工程</w:t>
                  </w:r>
                </w:p>
              </w:tc>
              <w:tc>
                <w:tcPr>
                  <w:tcW w:w="828" w:type="dxa"/>
                  <w:vAlign w:val="center"/>
                </w:tcPr>
                <w:p>
                  <w:pPr>
                    <w:adjustRightInd w:val="0"/>
                    <w:snapToGrid w:val="0"/>
                    <w:jc w:val="center"/>
                    <w:rPr>
                      <w:kern w:val="0"/>
                      <w:szCs w:val="21"/>
                    </w:rPr>
                  </w:pPr>
                  <w:r>
                    <w:rPr>
                      <w:kern w:val="0"/>
                      <w:szCs w:val="21"/>
                    </w:rPr>
                    <w:t>采矿区</w:t>
                  </w:r>
                </w:p>
              </w:tc>
              <w:tc>
                <w:tcPr>
                  <w:tcW w:w="5736" w:type="dxa"/>
                  <w:gridSpan w:val="2"/>
                  <w:vAlign w:val="center"/>
                </w:tcPr>
                <w:p>
                  <w:pPr>
                    <w:adjustRightInd w:val="0"/>
                    <w:snapToGrid w:val="0"/>
                    <w:ind w:firstLine="210" w:firstLineChars="100"/>
                    <w:jc w:val="center"/>
                    <w:rPr>
                      <w:kern w:val="0"/>
                      <w:szCs w:val="21"/>
                    </w:rPr>
                  </w:pPr>
                  <w:r>
                    <w:rPr>
                      <w:rFonts w:hint="eastAsia"/>
                      <w:kern w:val="0"/>
                      <w:szCs w:val="21"/>
                    </w:rPr>
                    <w:t>露天采场共有4个最终台段，标高分别为650m、640m、630m、620m，露天采场占地面积133.76hm</w:t>
                  </w:r>
                  <w:r>
                    <w:rPr>
                      <w:rFonts w:hint="eastAsia"/>
                      <w:kern w:val="0"/>
                      <w:szCs w:val="21"/>
                      <w:vertAlign w:val="superscript"/>
                    </w:rPr>
                    <w:t>2</w:t>
                  </w:r>
                  <w:r>
                    <w:rPr>
                      <w:rFonts w:hint="eastAsia"/>
                      <w:kern w:val="0"/>
                      <w:szCs w:val="21"/>
                    </w:rPr>
                    <w:t>，开采标高655-620m。</w:t>
                  </w:r>
                </w:p>
              </w:tc>
              <w:tc>
                <w:tcPr>
                  <w:tcW w:w="619" w:type="dxa"/>
                  <w:vAlign w:val="center"/>
                </w:tcPr>
                <w:p>
                  <w:pPr>
                    <w:adjustRightInd w:val="0"/>
                    <w:snapToGrid w:val="0"/>
                    <w:jc w:val="center"/>
                    <w:rPr>
                      <w:kern w:val="0"/>
                      <w:szCs w:val="21"/>
                    </w:rPr>
                  </w:pPr>
                  <w:r>
                    <w:rPr>
                      <w:rFonts w:hint="eastAsia"/>
                      <w:kern w:val="0"/>
                      <w:szCs w:val="21"/>
                    </w:rPr>
                    <w:t>露天</w:t>
                  </w:r>
                </w:p>
                <w:p>
                  <w:pPr>
                    <w:adjustRightInd w:val="0"/>
                    <w:snapToGrid w:val="0"/>
                    <w:jc w:val="center"/>
                    <w:rPr>
                      <w:kern w:val="0"/>
                      <w:szCs w:val="21"/>
                    </w:rPr>
                  </w:pPr>
                  <w:r>
                    <w:rPr>
                      <w:rFonts w:hint="eastAsia"/>
                      <w:kern w:val="0"/>
                      <w:szCs w:val="21"/>
                    </w:rPr>
                    <w:t>开采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vAlign w:val="center"/>
                </w:tcPr>
                <w:p>
                  <w:pPr>
                    <w:adjustRightInd w:val="0"/>
                    <w:snapToGrid w:val="0"/>
                    <w:jc w:val="center"/>
                    <w:rPr>
                      <w:rFonts w:ascii="宋体" w:hAnsi="宋体" w:cs="宋体"/>
                      <w:kern w:val="0"/>
                      <w:szCs w:val="21"/>
                    </w:rPr>
                  </w:pPr>
                </w:p>
              </w:tc>
              <w:tc>
                <w:tcPr>
                  <w:tcW w:w="828" w:type="dxa"/>
                  <w:vAlign w:val="center"/>
                </w:tcPr>
                <w:p>
                  <w:pPr>
                    <w:adjustRightInd w:val="0"/>
                    <w:snapToGrid w:val="0"/>
                    <w:jc w:val="center"/>
                    <w:rPr>
                      <w:kern w:val="0"/>
                      <w:szCs w:val="21"/>
                    </w:rPr>
                  </w:pPr>
                  <w:r>
                    <w:rPr>
                      <w:rFonts w:hint="eastAsia"/>
                      <w:kern w:val="0"/>
                      <w:szCs w:val="21"/>
                    </w:rPr>
                    <w:t>加工生产厂区</w:t>
                  </w:r>
                </w:p>
              </w:tc>
              <w:tc>
                <w:tcPr>
                  <w:tcW w:w="5736" w:type="dxa"/>
                  <w:gridSpan w:val="2"/>
                  <w:vAlign w:val="center"/>
                </w:tcPr>
                <w:p>
                  <w:pPr>
                    <w:jc w:val="center"/>
                    <w:rPr>
                      <w:szCs w:val="21"/>
                    </w:rPr>
                  </w:pPr>
                  <w:r>
                    <w:rPr>
                      <w:rFonts w:hint="eastAsia"/>
                      <w:szCs w:val="21"/>
                    </w:rPr>
                    <w:t>依托阜康产业园阜西区新疆世纪能源化工有限公司世纪能源装备新材料产业园项目现有石英砂加工生产线进行加工。</w:t>
                  </w:r>
                </w:p>
              </w:tc>
              <w:tc>
                <w:tcPr>
                  <w:tcW w:w="619" w:type="dxa"/>
                  <w:vAlign w:val="center"/>
                </w:tcPr>
                <w:p>
                  <w:pPr>
                    <w:adjustRightInd w:val="0"/>
                    <w:snapToGrid w:val="0"/>
                    <w:jc w:val="center"/>
                    <w:rPr>
                      <w:kern w:val="0"/>
                      <w:szCs w:val="21"/>
                    </w:rPr>
                  </w:pPr>
                  <w:r>
                    <w:rPr>
                      <w:rFonts w:hint="eastAsia"/>
                      <w:kern w:val="0"/>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restart"/>
                  <w:vAlign w:val="center"/>
                </w:tcPr>
                <w:p>
                  <w:pPr>
                    <w:adjustRightInd w:val="0"/>
                    <w:snapToGrid w:val="0"/>
                    <w:jc w:val="center"/>
                    <w:rPr>
                      <w:rFonts w:ascii="宋体" w:hAnsi="宋体" w:cs="宋体"/>
                      <w:kern w:val="0"/>
                      <w:szCs w:val="21"/>
                    </w:rPr>
                  </w:pPr>
                  <w:r>
                    <w:rPr>
                      <w:rFonts w:hint="eastAsia" w:ascii="宋体" w:hAnsi="宋体" w:cs="宋体"/>
                      <w:kern w:val="0"/>
                      <w:szCs w:val="21"/>
                    </w:rPr>
                    <w:t>环保工程</w:t>
                  </w:r>
                </w:p>
              </w:tc>
              <w:tc>
                <w:tcPr>
                  <w:tcW w:w="828" w:type="dxa"/>
                  <w:vAlign w:val="center"/>
                </w:tcPr>
                <w:p>
                  <w:pPr>
                    <w:adjustRightInd w:val="0"/>
                    <w:snapToGrid w:val="0"/>
                    <w:jc w:val="center"/>
                    <w:rPr>
                      <w:kern w:val="0"/>
                      <w:szCs w:val="21"/>
                    </w:rPr>
                  </w:pPr>
                  <w:r>
                    <w:rPr>
                      <w:rFonts w:hint="eastAsia"/>
                      <w:kern w:val="0"/>
                      <w:szCs w:val="21"/>
                    </w:rPr>
                    <w:t>废水</w:t>
                  </w:r>
                </w:p>
              </w:tc>
              <w:tc>
                <w:tcPr>
                  <w:tcW w:w="5736" w:type="dxa"/>
                  <w:gridSpan w:val="2"/>
                  <w:vAlign w:val="center"/>
                </w:tcPr>
                <w:p>
                  <w:pPr>
                    <w:adjustRightInd w:val="0"/>
                    <w:snapToGrid w:val="0"/>
                    <w:jc w:val="center"/>
                    <w:rPr>
                      <w:kern w:val="0"/>
                      <w:szCs w:val="21"/>
                    </w:rPr>
                  </w:pPr>
                  <w:r>
                    <w:rPr>
                      <w:rFonts w:hint="eastAsia"/>
                      <w:szCs w:val="21"/>
                    </w:rPr>
                    <w:t>矿区设置1座防渗环保厕所，配套10m³防渗储粪池，定期委托环卫部门进行清运。车辆清洗废水经过沉淀后循环利用不外排。</w:t>
                  </w:r>
                </w:p>
              </w:tc>
              <w:tc>
                <w:tcPr>
                  <w:tcW w:w="619" w:type="dxa"/>
                  <w:vAlign w:val="center"/>
                </w:tcPr>
                <w:p>
                  <w:pPr>
                    <w:adjustRightInd w:val="0"/>
                    <w:snapToGri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71" w:type="dxa"/>
                  <w:vMerge w:val="continue"/>
                  <w:vAlign w:val="center"/>
                </w:tcPr>
                <w:p>
                  <w:pPr>
                    <w:adjustRightInd w:val="0"/>
                    <w:snapToGrid w:val="0"/>
                    <w:jc w:val="center"/>
                    <w:rPr>
                      <w:rFonts w:ascii="宋体" w:hAnsi="宋体" w:cs="宋体"/>
                      <w:kern w:val="0"/>
                      <w:szCs w:val="21"/>
                    </w:rPr>
                  </w:pPr>
                </w:p>
              </w:tc>
              <w:tc>
                <w:tcPr>
                  <w:tcW w:w="828" w:type="dxa"/>
                  <w:vMerge w:val="restart"/>
                  <w:vAlign w:val="center"/>
                </w:tcPr>
                <w:p>
                  <w:pPr>
                    <w:adjustRightInd w:val="0"/>
                    <w:snapToGrid w:val="0"/>
                    <w:jc w:val="center"/>
                    <w:rPr>
                      <w:kern w:val="0"/>
                      <w:szCs w:val="21"/>
                    </w:rPr>
                  </w:pPr>
                  <w:r>
                    <w:rPr>
                      <w:rFonts w:hint="eastAsia"/>
                      <w:kern w:val="0"/>
                      <w:szCs w:val="21"/>
                    </w:rPr>
                    <w:t>废气</w:t>
                  </w:r>
                </w:p>
              </w:tc>
              <w:tc>
                <w:tcPr>
                  <w:tcW w:w="859" w:type="dxa"/>
                  <w:vAlign w:val="center"/>
                </w:tcPr>
                <w:p>
                  <w:pPr>
                    <w:adjustRightInd w:val="0"/>
                    <w:snapToGrid w:val="0"/>
                    <w:jc w:val="center"/>
                    <w:rPr>
                      <w:szCs w:val="21"/>
                    </w:rPr>
                  </w:pPr>
                  <w:r>
                    <w:rPr>
                      <w:rFonts w:hint="eastAsia"/>
                    </w:rPr>
                    <w:t>开采粉尘</w:t>
                  </w:r>
                </w:p>
              </w:tc>
              <w:tc>
                <w:tcPr>
                  <w:tcW w:w="4877" w:type="dxa"/>
                  <w:vAlign w:val="center"/>
                </w:tcPr>
                <w:p>
                  <w:pPr>
                    <w:adjustRightInd w:val="0"/>
                    <w:snapToGrid w:val="0"/>
                    <w:jc w:val="left"/>
                    <w:rPr>
                      <w:szCs w:val="21"/>
                    </w:rPr>
                  </w:pPr>
                  <w:r>
                    <w:rPr>
                      <w:rFonts w:hint="eastAsia"/>
                    </w:rPr>
                    <w:t>采掘过程对采掘场地采用移动式雾炮机降尘（控制效率74%）、规定开采方式、大风天气不得生产、分区分片开采（控制效率80%）等减缓措施，通过采取以上措施粉尘控制效率可达94.8%。</w:t>
                  </w:r>
                </w:p>
              </w:tc>
              <w:tc>
                <w:tcPr>
                  <w:tcW w:w="619" w:type="dxa"/>
                  <w:vMerge w:val="restart"/>
                  <w:vAlign w:val="center"/>
                </w:tcPr>
                <w:p>
                  <w:pPr>
                    <w:adjustRightInd w:val="0"/>
                    <w:snapToGri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1"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859" w:type="dxa"/>
                  <w:vAlign w:val="center"/>
                </w:tcPr>
                <w:p>
                  <w:pPr>
                    <w:adjustRightInd w:val="0"/>
                    <w:snapToGrid w:val="0"/>
                    <w:jc w:val="center"/>
                    <w:rPr>
                      <w:szCs w:val="21"/>
                    </w:rPr>
                  </w:pPr>
                  <w:r>
                    <w:rPr>
                      <w:rFonts w:hint="eastAsia"/>
                    </w:rPr>
                    <w:t>装卸粉尘</w:t>
                  </w:r>
                </w:p>
              </w:tc>
              <w:tc>
                <w:tcPr>
                  <w:tcW w:w="4877" w:type="dxa"/>
                  <w:vAlign w:val="center"/>
                </w:tcPr>
                <w:p>
                  <w:pPr>
                    <w:adjustRightInd w:val="0"/>
                    <w:snapToGrid w:val="0"/>
                    <w:jc w:val="left"/>
                    <w:rPr>
                      <w:szCs w:val="21"/>
                    </w:rPr>
                  </w:pPr>
                  <w:r>
                    <w:rPr>
                      <w:rFonts w:hint="eastAsia"/>
                    </w:rPr>
                    <w:t>采取控制落差并在开采区配套移动式雾炮机（控制效率74%）并设防风抑尘网（控制效率60%），通过采取以上措施粉尘控制效率可达89.6％。</w:t>
                  </w:r>
                </w:p>
              </w:tc>
              <w:tc>
                <w:tcPr>
                  <w:tcW w:w="619" w:type="dxa"/>
                  <w:vMerge w:val="continue"/>
                  <w:vAlign w:val="center"/>
                </w:tcPr>
                <w:p>
                  <w:pPr>
                    <w:adjustRightInd w:val="0"/>
                    <w:snapToGrid w:val="0"/>
                    <w:jc w:val="center"/>
                    <w:rPr>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1"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859" w:type="dxa"/>
                  <w:vAlign w:val="center"/>
                </w:tcPr>
                <w:p>
                  <w:pPr>
                    <w:adjustRightInd w:val="0"/>
                    <w:snapToGrid w:val="0"/>
                    <w:jc w:val="center"/>
                    <w:rPr>
                      <w:szCs w:val="21"/>
                    </w:rPr>
                  </w:pPr>
                  <w:r>
                    <w:rPr>
                      <w:rFonts w:hint="eastAsia"/>
                    </w:rPr>
                    <w:t>堆场装卸、风蚀扬尘</w:t>
                  </w:r>
                </w:p>
              </w:tc>
              <w:tc>
                <w:tcPr>
                  <w:tcW w:w="4877" w:type="dxa"/>
                  <w:vAlign w:val="center"/>
                </w:tcPr>
                <w:p>
                  <w:pPr>
                    <w:adjustRightInd w:val="0"/>
                    <w:snapToGrid w:val="0"/>
                    <w:jc w:val="left"/>
                    <w:rPr>
                      <w:szCs w:val="21"/>
                    </w:rPr>
                  </w:pPr>
                  <w:r>
                    <w:rPr>
                      <w:rFonts w:hint="eastAsia"/>
                    </w:rPr>
                    <w:t>对地表覆盖砂集中堆放场采取设置防风抑尘网（控制效率60%），用苫盖遮挡（控制效率86%），通过采取以上措施粉尘控制效率可达94.4％。</w:t>
                  </w:r>
                </w:p>
              </w:tc>
              <w:tc>
                <w:tcPr>
                  <w:tcW w:w="619" w:type="dxa"/>
                  <w:vMerge w:val="continue"/>
                  <w:vAlign w:val="center"/>
                </w:tcPr>
                <w:p>
                  <w:pPr>
                    <w:adjustRightInd w:val="0"/>
                    <w:snapToGrid w:val="0"/>
                    <w:jc w:val="center"/>
                    <w:rPr>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1"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859" w:type="dxa"/>
                  <w:vAlign w:val="center"/>
                </w:tcPr>
                <w:p>
                  <w:pPr>
                    <w:adjustRightInd w:val="0"/>
                    <w:snapToGrid w:val="0"/>
                    <w:jc w:val="center"/>
                    <w:rPr>
                      <w:szCs w:val="21"/>
                    </w:rPr>
                  </w:pPr>
                  <w:r>
                    <w:rPr>
                      <w:rFonts w:hint="eastAsia"/>
                    </w:rPr>
                    <w:t>运输道路扬尘</w:t>
                  </w:r>
                </w:p>
              </w:tc>
              <w:tc>
                <w:tcPr>
                  <w:tcW w:w="4877" w:type="dxa"/>
                  <w:vAlign w:val="center"/>
                </w:tcPr>
                <w:p>
                  <w:pPr>
                    <w:adjustRightInd w:val="0"/>
                    <w:snapToGrid w:val="0"/>
                    <w:jc w:val="left"/>
                    <w:rPr>
                      <w:szCs w:val="21"/>
                    </w:rPr>
                  </w:pPr>
                  <w:r>
                    <w:t>对进厂道路进行砾石复压</w:t>
                  </w:r>
                  <w:r>
                    <w:rPr>
                      <w:rFonts w:hint="eastAsia"/>
                    </w:rPr>
                    <w:t>硬化</w:t>
                  </w:r>
                  <w:r>
                    <w:t>，</w:t>
                  </w:r>
                  <w:r>
                    <w:rPr>
                      <w:rFonts w:hint="eastAsia"/>
                    </w:rPr>
                    <w:t>矿区配备洒水车，采用洒水对道路进行充分预湿（控制效率7</w:t>
                  </w:r>
                  <w:r>
                    <w:t>4</w:t>
                  </w:r>
                  <w:r>
                    <w:rPr>
                      <w:rFonts w:hint="eastAsia"/>
                    </w:rPr>
                    <w:t>%），</w:t>
                  </w:r>
                  <w:r>
                    <w:t>运输车辆出厂时，采取苫盖篷布的措施</w:t>
                  </w:r>
                  <w:r>
                    <w:rPr>
                      <w:rFonts w:hint="eastAsia"/>
                    </w:rPr>
                    <w:t>（控制效率8</w:t>
                  </w:r>
                  <w:r>
                    <w:t>6</w:t>
                  </w:r>
                  <w:r>
                    <w:rPr>
                      <w:rFonts w:hint="eastAsia"/>
                    </w:rPr>
                    <w:t>%）</w:t>
                  </w:r>
                  <w:r>
                    <w:t>，</w:t>
                  </w:r>
                  <w:r>
                    <w:rPr>
                      <w:rFonts w:hint="eastAsia"/>
                    </w:rPr>
                    <w:t>并对车辆进行冲洗（控制效率</w:t>
                  </w:r>
                  <w:r>
                    <w:t>78</w:t>
                  </w:r>
                  <w:r>
                    <w:rPr>
                      <w:rFonts w:hint="eastAsia"/>
                    </w:rPr>
                    <w:t>%），通过采取以上措施粉尘控制</w:t>
                  </w:r>
                  <w:r>
                    <w:t>效率可达99.2%</w:t>
                  </w:r>
                  <w:r>
                    <w:rPr>
                      <w:rFonts w:hint="eastAsia"/>
                    </w:rPr>
                    <w:t>。</w:t>
                  </w:r>
                </w:p>
              </w:tc>
              <w:tc>
                <w:tcPr>
                  <w:tcW w:w="619" w:type="dxa"/>
                  <w:vMerge w:val="continue"/>
                  <w:vAlign w:val="center"/>
                </w:tcPr>
                <w:p>
                  <w:pPr>
                    <w:adjustRightInd w:val="0"/>
                    <w:snapToGrid w:val="0"/>
                    <w:jc w:val="center"/>
                    <w:rPr>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1" w:type="dxa"/>
                  <w:vMerge w:val="continue"/>
                  <w:vAlign w:val="center"/>
                </w:tcPr>
                <w:p>
                  <w:pPr>
                    <w:adjustRightInd w:val="0"/>
                    <w:snapToGrid w:val="0"/>
                    <w:jc w:val="center"/>
                    <w:rPr>
                      <w:rFonts w:ascii="宋体" w:hAnsi="宋体" w:cs="宋体"/>
                      <w:kern w:val="0"/>
                      <w:szCs w:val="21"/>
                    </w:rPr>
                  </w:pPr>
                </w:p>
              </w:tc>
              <w:tc>
                <w:tcPr>
                  <w:tcW w:w="828" w:type="dxa"/>
                  <w:vAlign w:val="center"/>
                </w:tcPr>
                <w:p>
                  <w:pPr>
                    <w:adjustRightInd w:val="0"/>
                    <w:snapToGrid w:val="0"/>
                    <w:jc w:val="center"/>
                    <w:rPr>
                      <w:kern w:val="0"/>
                      <w:szCs w:val="21"/>
                    </w:rPr>
                  </w:pPr>
                  <w:r>
                    <w:rPr>
                      <w:rFonts w:hint="eastAsia"/>
                      <w:kern w:val="0"/>
                      <w:szCs w:val="21"/>
                    </w:rPr>
                    <w:t>噪声</w:t>
                  </w:r>
                </w:p>
              </w:tc>
              <w:tc>
                <w:tcPr>
                  <w:tcW w:w="859" w:type="dxa"/>
                  <w:vAlign w:val="center"/>
                </w:tcPr>
                <w:p>
                  <w:pPr>
                    <w:adjustRightInd w:val="0"/>
                    <w:snapToGrid w:val="0"/>
                    <w:jc w:val="center"/>
                  </w:pPr>
                  <w:r>
                    <w:rPr>
                      <w:rFonts w:hint="eastAsia"/>
                    </w:rPr>
                    <w:t>噪声防治措施</w:t>
                  </w:r>
                </w:p>
              </w:tc>
              <w:tc>
                <w:tcPr>
                  <w:tcW w:w="4877" w:type="dxa"/>
                  <w:vAlign w:val="center"/>
                </w:tcPr>
                <w:p>
                  <w:pPr>
                    <w:adjustRightInd w:val="0"/>
                    <w:snapToGrid w:val="0"/>
                    <w:jc w:val="left"/>
                  </w:pPr>
                  <w:r>
                    <w:rPr>
                      <w:rFonts w:hint="eastAsia"/>
                    </w:rPr>
                    <w:t>选用低噪声设备。平整和硬化厂内道路、禁止鸣笛、合理设置车辆进出通道。</w:t>
                  </w:r>
                </w:p>
              </w:tc>
              <w:tc>
                <w:tcPr>
                  <w:tcW w:w="619" w:type="dxa"/>
                  <w:vAlign w:val="center"/>
                </w:tcPr>
                <w:p>
                  <w:pPr>
                    <w:adjustRightInd w:val="0"/>
                    <w:snapToGri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1" w:type="dxa"/>
                  <w:vMerge w:val="continue"/>
                  <w:vAlign w:val="center"/>
                </w:tcPr>
                <w:p>
                  <w:pPr>
                    <w:adjustRightInd w:val="0"/>
                    <w:snapToGrid w:val="0"/>
                    <w:jc w:val="center"/>
                    <w:rPr>
                      <w:rFonts w:ascii="宋体" w:hAnsi="宋体" w:cs="宋体"/>
                      <w:kern w:val="0"/>
                      <w:szCs w:val="21"/>
                    </w:rPr>
                  </w:pPr>
                </w:p>
              </w:tc>
              <w:tc>
                <w:tcPr>
                  <w:tcW w:w="828" w:type="dxa"/>
                  <w:vMerge w:val="restart"/>
                  <w:vAlign w:val="center"/>
                </w:tcPr>
                <w:p>
                  <w:pPr>
                    <w:adjustRightInd w:val="0"/>
                    <w:snapToGrid w:val="0"/>
                    <w:jc w:val="center"/>
                    <w:rPr>
                      <w:kern w:val="0"/>
                      <w:szCs w:val="21"/>
                    </w:rPr>
                  </w:pPr>
                  <w:r>
                    <w:rPr>
                      <w:rFonts w:hint="eastAsia"/>
                      <w:kern w:val="0"/>
                      <w:szCs w:val="21"/>
                    </w:rPr>
                    <w:t>固废</w:t>
                  </w:r>
                </w:p>
              </w:tc>
              <w:tc>
                <w:tcPr>
                  <w:tcW w:w="859" w:type="dxa"/>
                  <w:vAlign w:val="center"/>
                </w:tcPr>
                <w:p>
                  <w:pPr>
                    <w:adjustRightInd w:val="0"/>
                    <w:snapToGrid w:val="0"/>
                    <w:jc w:val="center"/>
                  </w:pPr>
                  <w:r>
                    <w:rPr>
                      <w:rFonts w:hint="eastAsia"/>
                    </w:rPr>
                    <w:t>生活垃圾</w:t>
                  </w:r>
                </w:p>
              </w:tc>
              <w:tc>
                <w:tcPr>
                  <w:tcW w:w="4877" w:type="dxa"/>
                  <w:vAlign w:val="center"/>
                </w:tcPr>
                <w:p>
                  <w:pPr>
                    <w:adjustRightInd w:val="0"/>
                    <w:snapToGrid w:val="0"/>
                    <w:jc w:val="left"/>
                  </w:pPr>
                  <w:r>
                    <w:rPr>
                      <w:rFonts w:hint="eastAsia"/>
                    </w:rPr>
                    <w:t>生活垃圾集中收集后，定期拉运至阜康市垃圾填埋厂填埋处理</w:t>
                  </w:r>
                </w:p>
              </w:tc>
              <w:tc>
                <w:tcPr>
                  <w:tcW w:w="619" w:type="dxa"/>
                  <w:vAlign w:val="center"/>
                </w:tcPr>
                <w:p>
                  <w:pPr>
                    <w:adjustRightInd w:val="0"/>
                    <w:snapToGri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1"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859" w:type="dxa"/>
                  <w:vAlign w:val="center"/>
                </w:tcPr>
                <w:p>
                  <w:pPr>
                    <w:adjustRightInd w:val="0"/>
                    <w:snapToGrid w:val="0"/>
                    <w:jc w:val="center"/>
                  </w:pPr>
                  <w:r>
                    <w:rPr>
                      <w:rFonts w:hint="eastAsia"/>
                    </w:rPr>
                    <w:t>地表覆盖砂</w:t>
                  </w:r>
                </w:p>
              </w:tc>
              <w:tc>
                <w:tcPr>
                  <w:tcW w:w="4877" w:type="dxa"/>
                  <w:vAlign w:val="center"/>
                </w:tcPr>
                <w:p>
                  <w:pPr>
                    <w:adjustRightInd w:val="0"/>
                    <w:snapToGrid w:val="0"/>
                    <w:jc w:val="left"/>
                  </w:pPr>
                  <w:r>
                    <w:rPr>
                      <w:rFonts w:hint="eastAsia"/>
                    </w:rPr>
                    <w:t>在阶段性开采结束后，将地表覆盖砂全部有序清运至露天采坑回填覆盖，以恢复当地生态环境。堆场用苫盖遮挡，堆场周围设立不低于堆放高度的防风抑尘网。</w:t>
                  </w:r>
                </w:p>
              </w:tc>
              <w:tc>
                <w:tcPr>
                  <w:tcW w:w="619" w:type="dxa"/>
                  <w:vAlign w:val="center"/>
                </w:tcPr>
                <w:p>
                  <w:pPr>
                    <w:adjustRightInd w:val="0"/>
                    <w:snapToGri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1" w:type="dxa"/>
                  <w:vMerge w:val="continue"/>
                  <w:vAlign w:val="center"/>
                </w:tcPr>
                <w:p>
                  <w:pPr>
                    <w:adjustRightInd w:val="0"/>
                    <w:snapToGrid w:val="0"/>
                    <w:jc w:val="center"/>
                    <w:rPr>
                      <w:rFonts w:ascii="宋体" w:hAnsi="宋体" w:cs="宋体"/>
                      <w:kern w:val="0"/>
                      <w:szCs w:val="21"/>
                    </w:rPr>
                  </w:pPr>
                </w:p>
              </w:tc>
              <w:tc>
                <w:tcPr>
                  <w:tcW w:w="828" w:type="dxa"/>
                  <w:vMerge w:val="restart"/>
                  <w:vAlign w:val="center"/>
                </w:tcPr>
                <w:p>
                  <w:pPr>
                    <w:adjustRightInd w:val="0"/>
                    <w:snapToGrid w:val="0"/>
                    <w:jc w:val="center"/>
                    <w:rPr>
                      <w:kern w:val="0"/>
                      <w:szCs w:val="21"/>
                    </w:rPr>
                  </w:pPr>
                  <w:r>
                    <w:rPr>
                      <w:rFonts w:hint="eastAsia"/>
                      <w:kern w:val="0"/>
                      <w:szCs w:val="21"/>
                    </w:rPr>
                    <w:t>生态</w:t>
                  </w:r>
                </w:p>
              </w:tc>
              <w:tc>
                <w:tcPr>
                  <w:tcW w:w="859" w:type="dxa"/>
                  <w:vAlign w:val="center"/>
                </w:tcPr>
                <w:p>
                  <w:pPr>
                    <w:adjustRightInd w:val="0"/>
                    <w:snapToGrid w:val="0"/>
                    <w:jc w:val="center"/>
                  </w:pPr>
                  <w:r>
                    <w:rPr>
                      <w:rFonts w:hint="eastAsia"/>
                    </w:rPr>
                    <w:t>地表恢复</w:t>
                  </w:r>
                </w:p>
              </w:tc>
              <w:tc>
                <w:tcPr>
                  <w:tcW w:w="4877" w:type="dxa"/>
                  <w:vAlign w:val="center"/>
                </w:tcPr>
                <w:p>
                  <w:pPr>
                    <w:adjustRightInd w:val="0"/>
                    <w:snapToGrid w:val="0"/>
                    <w:jc w:val="left"/>
                  </w:pPr>
                  <w:r>
                    <w:rPr>
                      <w:rFonts w:hint="eastAsia"/>
                      <w:kern w:val="0"/>
                      <w:szCs w:val="21"/>
                    </w:rPr>
                    <w:t>在地表覆盖砂集中堆放场堆存，在阶段性开采结束后，将地表覆盖砂全部有序清运至露天采坑回填覆盖，以恢复当地生态环境。</w:t>
                  </w:r>
                </w:p>
              </w:tc>
              <w:tc>
                <w:tcPr>
                  <w:tcW w:w="619" w:type="dxa"/>
                  <w:vAlign w:val="center"/>
                </w:tcPr>
                <w:p>
                  <w:pPr>
                    <w:adjustRightInd w:val="0"/>
                    <w:snapToGri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1"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859" w:type="dxa"/>
                  <w:vAlign w:val="center"/>
                </w:tcPr>
                <w:p>
                  <w:pPr>
                    <w:adjustRightInd w:val="0"/>
                    <w:snapToGrid w:val="0"/>
                    <w:jc w:val="center"/>
                    <w:rPr>
                      <w:kern w:val="0"/>
                      <w:szCs w:val="21"/>
                    </w:rPr>
                  </w:pPr>
                  <w:r>
                    <w:rPr>
                      <w:rFonts w:hint="eastAsia"/>
                      <w:kern w:val="0"/>
                      <w:szCs w:val="21"/>
                    </w:rPr>
                    <w:t>生态保护</w:t>
                  </w:r>
                </w:p>
              </w:tc>
              <w:tc>
                <w:tcPr>
                  <w:tcW w:w="4877" w:type="dxa"/>
                  <w:vAlign w:val="center"/>
                </w:tcPr>
                <w:p>
                  <w:pPr>
                    <w:adjustRightInd w:val="0"/>
                    <w:snapToGrid w:val="0"/>
                    <w:jc w:val="left"/>
                    <w:rPr>
                      <w:kern w:val="0"/>
                      <w:szCs w:val="21"/>
                    </w:rPr>
                  </w:pPr>
                  <w:r>
                    <w:rPr>
                      <w:rFonts w:hint="eastAsia"/>
                      <w:kern w:val="0"/>
                      <w:szCs w:val="21"/>
                    </w:rPr>
                    <w:t>（1）</w:t>
                  </w:r>
                  <w:r>
                    <w:rPr>
                      <w:kern w:val="0"/>
                      <w:szCs w:val="21"/>
                    </w:rPr>
                    <w:t>严格按照操作规程和规划设计进行开采，严禁超挖采场坡底，保证台阶段面坡角、最终边坡角及水平标高达到设计要求。</w:t>
                  </w:r>
                </w:p>
                <w:p>
                  <w:pPr>
                    <w:pStyle w:val="36"/>
                    <w:jc w:val="left"/>
                    <w:rPr>
                      <w:rFonts w:ascii="Times New Roman"/>
                      <w:color w:val="auto"/>
                      <w:kern w:val="0"/>
                      <w:sz w:val="21"/>
                      <w:szCs w:val="21"/>
                    </w:rPr>
                  </w:pPr>
                  <w:r>
                    <w:rPr>
                      <w:rFonts w:hint="eastAsia" w:ascii="Times New Roman"/>
                      <w:color w:val="auto"/>
                      <w:kern w:val="0"/>
                      <w:sz w:val="21"/>
                      <w:szCs w:val="21"/>
                    </w:rPr>
                    <w:t>（2）</w:t>
                  </w:r>
                  <w:r>
                    <w:rPr>
                      <w:rFonts w:ascii="Times New Roman"/>
                      <w:color w:val="auto"/>
                      <w:kern w:val="0"/>
                      <w:sz w:val="21"/>
                      <w:szCs w:val="21"/>
                    </w:rPr>
                    <w:t>矿区在道路和地面修建时，预设排水沟、截洪沟，减少水土流失。防治水土流失的工程必须在矿区投产前建设完成。</w:t>
                  </w:r>
                </w:p>
                <w:p>
                  <w:pPr>
                    <w:pStyle w:val="26"/>
                    <w:ind w:left="0" w:firstLine="0" w:firstLineChars="0"/>
                    <w:jc w:val="left"/>
                    <w:rPr>
                      <w:kern w:val="0"/>
                      <w:szCs w:val="21"/>
                    </w:rPr>
                  </w:pPr>
                  <w:r>
                    <w:rPr>
                      <w:rFonts w:hint="eastAsia"/>
                      <w:kern w:val="0"/>
                      <w:szCs w:val="21"/>
                    </w:rPr>
                    <w:t>（3）</w:t>
                  </w:r>
                  <w:r>
                    <w:rPr>
                      <w:kern w:val="0"/>
                      <w:szCs w:val="21"/>
                    </w:rPr>
                    <w:t>运输车辆严格按照规定道路行驶防止碾压土壤植被。</w:t>
                  </w:r>
                </w:p>
              </w:tc>
              <w:tc>
                <w:tcPr>
                  <w:tcW w:w="619" w:type="dxa"/>
                  <w:vAlign w:val="center"/>
                </w:tcPr>
                <w:p>
                  <w:pPr>
                    <w:adjustRightInd w:val="0"/>
                    <w:snapToGri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1"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859" w:type="dxa"/>
                  <w:vAlign w:val="center"/>
                </w:tcPr>
                <w:p>
                  <w:pPr>
                    <w:adjustRightInd w:val="0"/>
                    <w:snapToGrid w:val="0"/>
                    <w:jc w:val="center"/>
                  </w:pPr>
                  <w:r>
                    <w:rPr>
                      <w:rFonts w:hint="eastAsia"/>
                    </w:rPr>
                    <w:t>防沙治沙</w:t>
                  </w:r>
                </w:p>
              </w:tc>
              <w:tc>
                <w:tcPr>
                  <w:tcW w:w="4877" w:type="dxa"/>
                  <w:vAlign w:val="center"/>
                </w:tcPr>
                <w:p>
                  <w:pPr>
                    <w:adjustRightInd w:val="0"/>
                    <w:snapToGrid w:val="0"/>
                    <w:jc w:val="left"/>
                    <w:rPr>
                      <w:kern w:val="0"/>
                      <w:szCs w:val="21"/>
                    </w:rPr>
                  </w:pPr>
                  <w:r>
                    <w:rPr>
                      <w:rFonts w:hint="eastAsia"/>
                      <w:kern w:val="0"/>
                      <w:szCs w:val="21"/>
                    </w:rPr>
                    <w:t>（1）矿区周边及进场道路两侧设置宽度不低于5m草方格固沙，并播撒草籽。整个矿区设置草方格面积约4.75hm</w:t>
                  </w:r>
                  <w:r>
                    <w:rPr>
                      <w:kern w:val="0"/>
                      <w:szCs w:val="21"/>
                      <w:vertAlign w:val="superscript"/>
                    </w:rPr>
                    <w:t>2</w:t>
                  </w:r>
                  <w:r>
                    <w:rPr>
                      <w:rFonts w:hint="eastAsia"/>
                      <w:kern w:val="0"/>
                      <w:szCs w:val="21"/>
                    </w:rPr>
                    <w:t>。</w:t>
                  </w:r>
                </w:p>
                <w:p>
                  <w:pPr>
                    <w:pStyle w:val="36"/>
                    <w:rPr>
                      <w:rFonts w:ascii="Times New Roman"/>
                      <w:color w:val="auto"/>
                      <w:kern w:val="0"/>
                      <w:sz w:val="21"/>
                      <w:szCs w:val="21"/>
                    </w:rPr>
                  </w:pPr>
                  <w:r>
                    <w:rPr>
                      <w:rFonts w:hint="eastAsia" w:ascii="Times New Roman"/>
                      <w:color w:val="auto"/>
                      <w:kern w:val="0"/>
                      <w:sz w:val="21"/>
                      <w:szCs w:val="21"/>
                    </w:rPr>
                    <w:t>（2）植物措施（在流动沙地、风蚀严重的风口、施工区域采取的恢复林草植被的林网、林带和林片等防风固沙植被恢复措施）</w:t>
                  </w:r>
                </w:p>
                <w:p>
                  <w:pPr>
                    <w:pStyle w:val="26"/>
                    <w:adjustRightInd w:val="0"/>
                    <w:ind w:left="0" w:firstLine="0" w:firstLineChars="0"/>
                    <w:rPr>
                      <w:kern w:val="0"/>
                      <w:szCs w:val="21"/>
                    </w:rPr>
                  </w:pPr>
                  <w:r>
                    <w:rPr>
                      <w:rFonts w:hint="eastAsia"/>
                      <w:kern w:val="0"/>
                      <w:szCs w:val="21"/>
                    </w:rPr>
                    <w:t>（3）工程施工过程如遇到植被覆盖度高的区域，施工结束后，及时采取泼洒草籽，种植树木等措施，恢复原地貌。</w:t>
                  </w:r>
                </w:p>
                <w:p>
                  <w:pPr>
                    <w:adjustRightInd w:val="0"/>
                    <w:rPr>
                      <w:kern w:val="0"/>
                      <w:szCs w:val="21"/>
                    </w:rPr>
                  </w:pPr>
                  <w:r>
                    <w:rPr>
                      <w:rFonts w:hint="eastAsia"/>
                      <w:kern w:val="0"/>
                      <w:szCs w:val="21"/>
                    </w:rPr>
                    <w:t>（4）施工期间应划定施工活动范围，严格控制和管理运输车辆及重型机械的运输路线和范围，不得离开运输道路随意行驶，由专人负责，以防破坏土壤和植被，加剧土地荒漠化。</w:t>
                  </w:r>
                </w:p>
              </w:tc>
              <w:tc>
                <w:tcPr>
                  <w:tcW w:w="619" w:type="dxa"/>
                  <w:vAlign w:val="center"/>
                </w:tcPr>
                <w:p>
                  <w:pPr>
                    <w:adjustRightInd w:val="0"/>
                    <w:snapToGri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rPr>
              <w:tc>
                <w:tcPr>
                  <w:tcW w:w="671" w:type="dxa"/>
                  <w:vMerge w:val="continue"/>
                  <w:vAlign w:val="center"/>
                </w:tcPr>
                <w:p>
                  <w:pPr>
                    <w:adjustRightInd w:val="0"/>
                    <w:snapToGrid w:val="0"/>
                    <w:jc w:val="center"/>
                    <w:rPr>
                      <w:rFonts w:ascii="宋体" w:hAnsi="宋体" w:cs="宋体"/>
                      <w:kern w:val="0"/>
                      <w:szCs w:val="21"/>
                    </w:rPr>
                  </w:pPr>
                </w:p>
              </w:tc>
              <w:tc>
                <w:tcPr>
                  <w:tcW w:w="828" w:type="dxa"/>
                  <w:vMerge w:val="continue"/>
                  <w:vAlign w:val="center"/>
                </w:tcPr>
                <w:p>
                  <w:pPr>
                    <w:adjustRightInd w:val="0"/>
                    <w:snapToGrid w:val="0"/>
                    <w:jc w:val="center"/>
                    <w:rPr>
                      <w:kern w:val="0"/>
                      <w:szCs w:val="21"/>
                    </w:rPr>
                  </w:pPr>
                </w:p>
              </w:tc>
              <w:tc>
                <w:tcPr>
                  <w:tcW w:w="859" w:type="dxa"/>
                  <w:vAlign w:val="center"/>
                </w:tcPr>
                <w:p>
                  <w:pPr>
                    <w:adjustRightInd w:val="0"/>
                    <w:snapToGrid w:val="0"/>
                    <w:jc w:val="center"/>
                  </w:pPr>
                  <w:r>
                    <w:rPr>
                      <w:rFonts w:hint="eastAsia"/>
                    </w:rPr>
                    <w:t>闭矿期保护措施</w:t>
                  </w:r>
                </w:p>
              </w:tc>
              <w:tc>
                <w:tcPr>
                  <w:tcW w:w="4877" w:type="dxa"/>
                  <w:vAlign w:val="center"/>
                </w:tcPr>
                <w:p>
                  <w:pPr>
                    <w:adjustRightInd w:val="0"/>
                    <w:snapToGrid w:val="0"/>
                    <w:jc w:val="left"/>
                    <w:rPr>
                      <w:kern w:val="0"/>
                      <w:szCs w:val="21"/>
                    </w:rPr>
                  </w:pPr>
                  <w:r>
                    <w:rPr>
                      <w:rFonts w:hint="eastAsia"/>
                      <w:kern w:val="0"/>
                      <w:szCs w:val="21"/>
                    </w:rPr>
                    <w:t>（1）针对露天采场地进行回填，对露天采场回填区域和上部台阶，采取机械平整，进行覆土植被恢复，沿露天采场边界设置围栏，并安装相应的警示牌。</w:t>
                  </w:r>
                </w:p>
                <w:p>
                  <w:pPr>
                    <w:adjustRightInd w:val="0"/>
                    <w:snapToGrid w:val="0"/>
                    <w:jc w:val="left"/>
                    <w:rPr>
                      <w:kern w:val="0"/>
                      <w:szCs w:val="21"/>
                    </w:rPr>
                  </w:pPr>
                  <w:r>
                    <w:rPr>
                      <w:rFonts w:hint="eastAsia"/>
                      <w:kern w:val="0"/>
                      <w:szCs w:val="21"/>
                    </w:rPr>
                    <w:t>（2）对堆场进行平整、覆土、植被恢复（种植当地乡土物种）、使其基本恢复原土地利用功能，达到与周边环境一致。</w:t>
                  </w:r>
                </w:p>
              </w:tc>
              <w:tc>
                <w:tcPr>
                  <w:tcW w:w="619" w:type="dxa"/>
                  <w:vAlign w:val="center"/>
                </w:tcPr>
                <w:p>
                  <w:pPr>
                    <w:adjustRightInd w:val="0"/>
                    <w:snapToGri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restart"/>
                  <w:vAlign w:val="center"/>
                </w:tcPr>
                <w:p>
                  <w:pPr>
                    <w:adjustRightInd w:val="0"/>
                    <w:snapToGrid w:val="0"/>
                    <w:jc w:val="center"/>
                    <w:rPr>
                      <w:rFonts w:ascii="宋体" w:hAnsi="宋体" w:cs="宋体"/>
                      <w:kern w:val="0"/>
                      <w:szCs w:val="21"/>
                    </w:rPr>
                  </w:pPr>
                  <w:r>
                    <w:rPr>
                      <w:rFonts w:hint="eastAsia" w:ascii="宋体" w:hAnsi="宋体" w:cs="宋体"/>
                      <w:kern w:val="0"/>
                      <w:szCs w:val="21"/>
                    </w:rPr>
                    <w:t>储运工程</w:t>
                  </w:r>
                </w:p>
              </w:tc>
              <w:tc>
                <w:tcPr>
                  <w:tcW w:w="828" w:type="dxa"/>
                  <w:vAlign w:val="center"/>
                </w:tcPr>
                <w:p>
                  <w:pPr>
                    <w:adjustRightInd w:val="0"/>
                    <w:snapToGrid w:val="0"/>
                    <w:ind w:left="-105" w:leftChars="-50" w:right="-105" w:rightChars="-50"/>
                    <w:jc w:val="center"/>
                    <w:rPr>
                      <w:kern w:val="0"/>
                      <w:szCs w:val="21"/>
                    </w:rPr>
                  </w:pPr>
                  <w:r>
                    <w:rPr>
                      <w:rFonts w:hint="eastAsia"/>
                      <w:kern w:val="0"/>
                      <w:szCs w:val="21"/>
                    </w:rPr>
                    <w:t>地表覆盖砂集中堆场</w:t>
                  </w:r>
                </w:p>
              </w:tc>
              <w:tc>
                <w:tcPr>
                  <w:tcW w:w="5736" w:type="dxa"/>
                  <w:gridSpan w:val="2"/>
                  <w:vAlign w:val="center"/>
                </w:tcPr>
                <w:p>
                  <w:pPr>
                    <w:adjustRightInd w:val="0"/>
                    <w:snapToGrid w:val="0"/>
                    <w:jc w:val="left"/>
                    <w:rPr>
                      <w:kern w:val="0"/>
                      <w:szCs w:val="21"/>
                    </w:rPr>
                  </w:pPr>
                  <w:r>
                    <w:rPr>
                      <w:rFonts w:hint="eastAsia"/>
                      <w:szCs w:val="21"/>
                    </w:rPr>
                    <w:t>占地面积约1</w:t>
                  </w:r>
                  <w:r>
                    <w:rPr>
                      <w:szCs w:val="21"/>
                    </w:rPr>
                    <w:t>.0</w:t>
                  </w:r>
                  <w:r>
                    <w:rPr>
                      <w:rFonts w:hint="eastAsia"/>
                      <w:szCs w:val="21"/>
                    </w:rPr>
                    <w:t>hm</w:t>
                  </w:r>
                  <w:r>
                    <w:rPr>
                      <w:rFonts w:hint="eastAsia"/>
                      <w:szCs w:val="21"/>
                      <w:vertAlign w:val="superscript"/>
                    </w:rPr>
                    <w:t>2</w:t>
                  </w:r>
                  <w:r>
                    <w:rPr>
                      <w:rFonts w:hint="eastAsia"/>
                      <w:szCs w:val="21"/>
                    </w:rPr>
                    <w:t>，最大堆置高度</w:t>
                  </w:r>
                  <w:r>
                    <w:rPr>
                      <w:szCs w:val="21"/>
                    </w:rPr>
                    <w:t>5</w:t>
                  </w:r>
                  <w:r>
                    <w:rPr>
                      <w:rFonts w:hint="eastAsia"/>
                      <w:szCs w:val="21"/>
                    </w:rPr>
                    <w:t>m。</w:t>
                  </w:r>
                  <w:r>
                    <w:rPr>
                      <w:rFonts w:hint="eastAsia"/>
                      <w:kern w:val="0"/>
                      <w:szCs w:val="21"/>
                    </w:rPr>
                    <w:t>满足矿山生产期1年地表覆盖砂的排放量8.16万t（体积量4.53万m³）堆存需要。</w:t>
                  </w:r>
                </w:p>
              </w:tc>
              <w:tc>
                <w:tcPr>
                  <w:tcW w:w="619" w:type="dxa"/>
                  <w:vAlign w:val="center"/>
                </w:tcPr>
                <w:p>
                  <w:pPr>
                    <w:adjustRightInd w:val="0"/>
                    <w:snapToGri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71" w:type="dxa"/>
                  <w:vMerge w:val="continue"/>
                  <w:vAlign w:val="center"/>
                </w:tcPr>
                <w:p>
                  <w:pPr>
                    <w:adjustRightInd w:val="0"/>
                    <w:snapToGrid w:val="0"/>
                    <w:jc w:val="center"/>
                    <w:rPr>
                      <w:rFonts w:ascii="宋体" w:hAnsi="宋体" w:cs="宋体"/>
                      <w:kern w:val="0"/>
                      <w:szCs w:val="21"/>
                    </w:rPr>
                  </w:pPr>
                </w:p>
              </w:tc>
              <w:tc>
                <w:tcPr>
                  <w:tcW w:w="828" w:type="dxa"/>
                  <w:vAlign w:val="center"/>
                </w:tcPr>
                <w:p>
                  <w:pPr>
                    <w:adjustRightInd w:val="0"/>
                    <w:snapToGrid w:val="0"/>
                    <w:jc w:val="center"/>
                    <w:rPr>
                      <w:kern w:val="0"/>
                      <w:szCs w:val="21"/>
                    </w:rPr>
                  </w:pPr>
                  <w:r>
                    <w:rPr>
                      <w:kern w:val="0"/>
                      <w:szCs w:val="21"/>
                    </w:rPr>
                    <w:t>矿山道路</w:t>
                  </w:r>
                </w:p>
              </w:tc>
              <w:tc>
                <w:tcPr>
                  <w:tcW w:w="5736" w:type="dxa"/>
                  <w:gridSpan w:val="2"/>
                  <w:vAlign w:val="center"/>
                </w:tcPr>
                <w:p>
                  <w:pPr>
                    <w:adjustRightInd w:val="0"/>
                    <w:snapToGrid w:val="0"/>
                    <w:jc w:val="left"/>
                    <w:rPr>
                      <w:kern w:val="0"/>
                      <w:szCs w:val="21"/>
                    </w:rPr>
                  </w:pPr>
                  <w:r>
                    <w:rPr>
                      <w:rFonts w:hint="eastAsia"/>
                      <w:szCs w:val="21"/>
                    </w:rPr>
                    <w:t>矿山公路起点标高为620m，终点标高为基建水平650m。露天采场运输道路平均纵坡6%，最大纵坡8%，全长</w:t>
                  </w:r>
                  <w:r>
                    <w:rPr>
                      <w:szCs w:val="21"/>
                    </w:rPr>
                    <w:t>60</w:t>
                  </w:r>
                  <w:r>
                    <w:rPr>
                      <w:rFonts w:hint="eastAsia"/>
                      <w:szCs w:val="21"/>
                    </w:rPr>
                    <w:t>00m。采用矿山三级公路，泥结碎石路面，双车道，路基宽8m，路面宽6m，最小转弯半径15m。</w:t>
                  </w:r>
                </w:p>
              </w:tc>
              <w:tc>
                <w:tcPr>
                  <w:tcW w:w="619" w:type="dxa"/>
                  <w:vAlign w:val="center"/>
                </w:tcPr>
                <w:p>
                  <w:pPr>
                    <w:adjustRightInd w:val="0"/>
                    <w:snapToGrid w:val="0"/>
                    <w:jc w:val="center"/>
                    <w:rPr>
                      <w:kern w:val="0"/>
                      <w:szCs w:val="21"/>
                    </w:rPr>
                  </w:pPr>
                  <w:r>
                    <w:rPr>
                      <w:rFonts w:hint="eastAsia"/>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71"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辅助工程</w:t>
                  </w:r>
                </w:p>
              </w:tc>
              <w:tc>
                <w:tcPr>
                  <w:tcW w:w="828" w:type="dxa"/>
                  <w:vAlign w:val="center"/>
                </w:tcPr>
                <w:p>
                  <w:pPr>
                    <w:adjustRightInd w:val="0"/>
                    <w:snapToGrid w:val="0"/>
                    <w:jc w:val="center"/>
                    <w:rPr>
                      <w:kern w:val="0"/>
                      <w:szCs w:val="21"/>
                    </w:rPr>
                  </w:pPr>
                  <w:r>
                    <w:rPr>
                      <w:rFonts w:hint="eastAsia"/>
                      <w:szCs w:val="21"/>
                    </w:rPr>
                    <w:t>/</w:t>
                  </w:r>
                </w:p>
              </w:tc>
              <w:tc>
                <w:tcPr>
                  <w:tcW w:w="5736" w:type="dxa"/>
                  <w:gridSpan w:val="2"/>
                  <w:vAlign w:val="center"/>
                </w:tcPr>
                <w:p>
                  <w:pPr>
                    <w:adjustRightInd w:val="0"/>
                    <w:snapToGrid w:val="0"/>
                    <w:jc w:val="center"/>
                    <w:rPr>
                      <w:szCs w:val="21"/>
                    </w:rPr>
                  </w:pPr>
                  <w:r>
                    <w:rPr>
                      <w:rFonts w:hint="eastAsia"/>
                      <w:szCs w:val="21"/>
                    </w:rPr>
                    <w:t>/</w:t>
                  </w:r>
                </w:p>
              </w:tc>
              <w:tc>
                <w:tcPr>
                  <w:tcW w:w="619" w:type="dxa"/>
                  <w:vAlign w:val="center"/>
                </w:tcPr>
                <w:p>
                  <w:pPr>
                    <w:adjustRightInd w:val="0"/>
                    <w:snapToGrid w:val="0"/>
                    <w:jc w:val="center"/>
                    <w:rPr>
                      <w:kern w:val="0"/>
                      <w:szCs w:val="21"/>
                    </w:rPr>
                  </w:pPr>
                  <w:r>
                    <w:rPr>
                      <w:rFonts w:hint="eastAsia"/>
                      <w:kern w:val="0"/>
                      <w:szCs w:val="21"/>
                    </w:rPr>
                    <w:t>/</w:t>
                  </w:r>
                </w:p>
              </w:tc>
            </w:tr>
          </w:tbl>
          <w:p>
            <w:pPr>
              <w:adjustRightInd w:val="0"/>
              <w:snapToGrid w:val="0"/>
              <w:spacing w:line="520" w:lineRule="exact"/>
              <w:ind w:firstLine="482" w:firstLineChars="200"/>
              <w:rPr>
                <w:b/>
                <w:bCs/>
                <w:sz w:val="24"/>
              </w:rPr>
            </w:pPr>
            <w:r>
              <w:rPr>
                <w:rFonts w:hint="eastAsia"/>
                <w:b/>
                <w:bCs/>
                <w:sz w:val="24"/>
              </w:rPr>
              <w:t>2</w:t>
            </w:r>
            <w:r>
              <w:rPr>
                <w:b/>
                <w:bCs/>
                <w:sz w:val="24"/>
              </w:rPr>
              <w:t>、</w:t>
            </w:r>
            <w:r>
              <w:rPr>
                <w:rFonts w:hint="eastAsia"/>
                <w:b/>
                <w:bCs/>
                <w:sz w:val="24"/>
              </w:rPr>
              <w:t>开发方式</w:t>
            </w:r>
          </w:p>
          <w:p>
            <w:pPr>
              <w:adjustRightInd w:val="0"/>
              <w:snapToGrid w:val="0"/>
              <w:spacing w:line="520" w:lineRule="exact"/>
              <w:ind w:firstLine="480" w:firstLineChars="200"/>
              <w:rPr>
                <w:sz w:val="24"/>
              </w:rPr>
            </w:pPr>
            <w:r>
              <w:rPr>
                <w:rFonts w:hint="eastAsia"/>
                <w:sz w:val="24"/>
              </w:rPr>
              <w:t>根据《新疆阜康市规划四号石英砂矿矿产资源开发利用方案》，资源量估算标高6</w:t>
            </w:r>
            <w:r>
              <w:rPr>
                <w:sz w:val="24"/>
              </w:rPr>
              <w:t>20</w:t>
            </w:r>
            <w:r>
              <w:rPr>
                <w:rFonts w:hint="eastAsia"/>
                <w:sz w:val="24"/>
              </w:rPr>
              <w:t>~</w:t>
            </w:r>
            <w:r>
              <w:rPr>
                <w:sz w:val="24"/>
              </w:rPr>
              <w:t>655.59</w:t>
            </w:r>
            <w:r>
              <w:rPr>
                <w:rFonts w:hint="eastAsia"/>
                <w:sz w:val="24"/>
              </w:rPr>
              <w:t>m，估算面积1</w:t>
            </w:r>
            <w:r>
              <w:rPr>
                <w:sz w:val="24"/>
              </w:rPr>
              <w:t>.3376</w:t>
            </w:r>
            <w:r>
              <w:rPr>
                <w:rFonts w:hint="eastAsia"/>
                <w:sz w:val="24"/>
              </w:rPr>
              <w:t>km</w:t>
            </w:r>
            <w:r>
              <w:rPr>
                <w:sz w:val="24"/>
                <w:vertAlign w:val="superscript"/>
              </w:rPr>
              <w:t>2</w:t>
            </w:r>
            <w:r>
              <w:rPr>
                <w:rFonts w:hint="eastAsia"/>
                <w:sz w:val="24"/>
              </w:rPr>
              <w:t>，由2</w:t>
            </w:r>
            <w:r>
              <w:rPr>
                <w:sz w:val="24"/>
              </w:rPr>
              <w:t>5</w:t>
            </w:r>
            <w:r>
              <w:rPr>
                <w:rFonts w:hint="eastAsia"/>
                <w:sz w:val="24"/>
              </w:rPr>
              <w:t>个拐点构成。设计开采标高6</w:t>
            </w:r>
            <w:r>
              <w:rPr>
                <w:sz w:val="24"/>
              </w:rPr>
              <w:t>55</w:t>
            </w:r>
            <w:r>
              <w:rPr>
                <w:rFonts w:hint="eastAsia"/>
                <w:sz w:val="24"/>
              </w:rPr>
              <w:t>~</w:t>
            </w:r>
            <w:r>
              <w:rPr>
                <w:sz w:val="24"/>
              </w:rPr>
              <w:t>620</w:t>
            </w:r>
            <w:r>
              <w:rPr>
                <w:rFonts w:hint="eastAsia"/>
                <w:sz w:val="24"/>
              </w:rPr>
              <w:t>m。</w:t>
            </w:r>
          </w:p>
          <w:p>
            <w:pPr>
              <w:adjustRightInd w:val="0"/>
              <w:snapToGrid w:val="0"/>
              <w:spacing w:line="520" w:lineRule="exact"/>
              <w:ind w:firstLine="480" w:firstLineChars="200"/>
              <w:rPr>
                <w:sz w:val="24"/>
              </w:rPr>
            </w:pPr>
            <w:r>
              <w:rPr>
                <w:rFonts w:hint="eastAsia"/>
                <w:sz w:val="24"/>
              </w:rPr>
              <w:t>（1）矿权范围</w:t>
            </w:r>
          </w:p>
          <w:p>
            <w:pPr>
              <w:adjustRightInd w:val="0"/>
              <w:snapToGrid w:val="0"/>
              <w:spacing w:line="520" w:lineRule="exact"/>
              <w:ind w:firstLine="480" w:firstLineChars="200"/>
              <w:rPr>
                <w:sz w:val="24"/>
              </w:rPr>
            </w:pPr>
            <w:r>
              <w:rPr>
                <w:rFonts w:hint="eastAsia"/>
                <w:sz w:val="24"/>
              </w:rPr>
              <w:t>根据阜康市第三轮矿产资源规划修编设置的规划探矿区块（K</w:t>
            </w:r>
            <w:r>
              <w:rPr>
                <w:sz w:val="24"/>
              </w:rPr>
              <w:t>QN092</w:t>
            </w:r>
            <w:r>
              <w:rPr>
                <w:rFonts w:hint="eastAsia"/>
                <w:sz w:val="24"/>
              </w:rPr>
              <w:t>号区块），面积2</w:t>
            </w:r>
            <w:r>
              <w:rPr>
                <w:sz w:val="24"/>
              </w:rPr>
              <w:t>.68</w:t>
            </w:r>
            <w:r>
              <w:rPr>
                <w:rFonts w:hint="eastAsia"/>
                <w:sz w:val="24"/>
              </w:rPr>
              <w:t>km</w:t>
            </w:r>
            <w:r>
              <w:rPr>
                <w:sz w:val="24"/>
                <w:vertAlign w:val="superscript"/>
              </w:rPr>
              <w:t>2</w:t>
            </w:r>
            <w:r>
              <w:rPr>
                <w:rFonts w:hint="eastAsia"/>
                <w:sz w:val="24"/>
              </w:rPr>
              <w:t>。</w:t>
            </w:r>
            <w:r>
              <w:rPr>
                <w:sz w:val="24"/>
              </w:rPr>
              <w:t>矿区范围拐点坐标</w:t>
            </w:r>
            <w:r>
              <w:rPr>
                <w:rFonts w:hint="eastAsia"/>
                <w:sz w:val="24"/>
              </w:rPr>
              <w:t>见表2</w:t>
            </w:r>
            <w:r>
              <w:rPr>
                <w:sz w:val="24"/>
              </w:rPr>
              <w:t>-2</w:t>
            </w:r>
            <w:r>
              <w:rPr>
                <w:rFonts w:hint="eastAsia"/>
                <w:sz w:val="24"/>
              </w:rPr>
              <w:t>。</w:t>
            </w:r>
          </w:p>
          <w:p>
            <w:pPr>
              <w:adjustRightInd w:val="0"/>
              <w:snapToGrid w:val="0"/>
              <w:spacing w:line="520" w:lineRule="exact"/>
              <w:ind w:firstLine="480" w:firstLineChars="200"/>
              <w:rPr>
                <w:sz w:val="24"/>
              </w:rPr>
            </w:pPr>
            <w:r>
              <w:rPr>
                <w:rFonts w:hint="eastAsia"/>
                <w:sz w:val="24"/>
              </w:rPr>
              <w:t>资源量估算标高6</w:t>
            </w:r>
            <w:r>
              <w:rPr>
                <w:sz w:val="24"/>
              </w:rPr>
              <w:t>20</w:t>
            </w:r>
            <w:r>
              <w:rPr>
                <w:rFonts w:hint="eastAsia"/>
                <w:sz w:val="24"/>
              </w:rPr>
              <w:t>~</w:t>
            </w:r>
            <w:r>
              <w:rPr>
                <w:sz w:val="24"/>
              </w:rPr>
              <w:t>655.59</w:t>
            </w:r>
            <w:r>
              <w:rPr>
                <w:rFonts w:hint="eastAsia"/>
                <w:sz w:val="24"/>
              </w:rPr>
              <w:t>m，估算面积1</w:t>
            </w:r>
            <w:r>
              <w:rPr>
                <w:sz w:val="24"/>
              </w:rPr>
              <w:t>.3376</w:t>
            </w:r>
            <w:r>
              <w:rPr>
                <w:rFonts w:hint="eastAsia"/>
                <w:sz w:val="24"/>
              </w:rPr>
              <w:t>km</w:t>
            </w:r>
            <w:r>
              <w:rPr>
                <w:sz w:val="24"/>
                <w:vertAlign w:val="superscript"/>
              </w:rPr>
              <w:t>2</w:t>
            </w:r>
            <w:r>
              <w:rPr>
                <w:rFonts w:hint="eastAsia"/>
                <w:sz w:val="24"/>
              </w:rPr>
              <w:t>，由2</w:t>
            </w:r>
            <w:r>
              <w:rPr>
                <w:sz w:val="24"/>
              </w:rPr>
              <w:t>5</w:t>
            </w:r>
            <w:r>
              <w:rPr>
                <w:rFonts w:hint="eastAsia"/>
                <w:sz w:val="24"/>
              </w:rPr>
              <w:t>个拐点构成。设计开采标高6</w:t>
            </w:r>
            <w:r>
              <w:rPr>
                <w:sz w:val="24"/>
              </w:rPr>
              <w:t>55</w:t>
            </w:r>
            <w:r>
              <w:rPr>
                <w:rFonts w:hint="eastAsia"/>
                <w:sz w:val="24"/>
              </w:rPr>
              <w:t>~</w:t>
            </w:r>
            <w:r>
              <w:rPr>
                <w:sz w:val="24"/>
              </w:rPr>
              <w:t>620</w:t>
            </w:r>
            <w:r>
              <w:rPr>
                <w:rFonts w:hint="eastAsia"/>
                <w:sz w:val="24"/>
              </w:rPr>
              <w:t>m。矿区资源量估算范围拐点坐标见表2</w:t>
            </w:r>
            <w:r>
              <w:rPr>
                <w:sz w:val="24"/>
              </w:rPr>
              <w:t>-3</w:t>
            </w:r>
            <w:r>
              <w:rPr>
                <w:rFonts w:hint="eastAsia"/>
                <w:sz w:val="24"/>
              </w:rPr>
              <w:t>。</w:t>
            </w:r>
          </w:p>
          <w:p>
            <w:pPr>
              <w:adjustRightInd w:val="0"/>
              <w:snapToGrid w:val="0"/>
              <w:spacing w:line="520" w:lineRule="exact"/>
              <w:ind w:firstLine="480" w:firstLineChars="200"/>
              <w:rPr>
                <w:sz w:val="24"/>
              </w:rPr>
            </w:pPr>
            <w:r>
              <w:rPr>
                <w:sz w:val="24"/>
              </w:rPr>
              <w:t>矿区</w:t>
            </w:r>
            <w:r>
              <w:rPr>
                <w:rFonts w:hint="eastAsia"/>
                <w:sz w:val="24"/>
              </w:rPr>
              <w:t>资源量估算</w:t>
            </w:r>
            <w:r>
              <w:rPr>
                <w:sz w:val="24"/>
              </w:rPr>
              <w:t>范围拐点坐标如下</w:t>
            </w:r>
            <w:r>
              <w:rPr>
                <w:rFonts w:hint="eastAsia"/>
                <w:sz w:val="24"/>
              </w:rPr>
              <w:t>。</w:t>
            </w:r>
          </w:p>
          <w:p>
            <w:pPr>
              <w:pStyle w:val="55"/>
              <w:spacing w:line="240" w:lineRule="auto"/>
              <w:ind w:firstLine="480"/>
              <w:jc w:val="center"/>
              <w:rPr>
                <w:rFonts w:hAnsi="Times New Roman" w:eastAsia="黑体"/>
                <w:b w:val="0"/>
                <w:bCs w:val="0"/>
                <w:color w:val="auto"/>
                <w:szCs w:val="24"/>
              </w:rPr>
            </w:pPr>
            <w:r>
              <w:rPr>
                <w:rFonts w:hint="eastAsia" w:hAnsi="Times New Roman" w:eastAsia="黑体"/>
                <w:b w:val="0"/>
                <w:bCs w:val="0"/>
                <w:color w:val="auto"/>
                <w:szCs w:val="24"/>
              </w:rPr>
              <w:t xml:space="preserve">表2-2    </w:t>
            </w:r>
            <w:r>
              <w:rPr>
                <w:rFonts w:hAnsi="Times New Roman" w:eastAsia="黑体"/>
                <w:b w:val="0"/>
                <w:bCs w:val="0"/>
                <w:color w:val="auto"/>
                <w:szCs w:val="24"/>
              </w:rPr>
              <w:t>矿区范围拐点坐标</w:t>
            </w:r>
          </w:p>
          <w:tbl>
            <w:tblPr>
              <w:tblStyle w:val="31"/>
              <w:tblW w:w="785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
            <w:tblGrid>
              <w:gridCol w:w="846"/>
              <w:gridCol w:w="1835"/>
              <w:gridCol w:w="1681"/>
              <w:gridCol w:w="1550"/>
              <w:gridCol w:w="1942"/>
            </w:tblGrid>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846" w:type="dxa"/>
                  <w:vMerge w:val="restart"/>
                  <w:vAlign w:val="center"/>
                </w:tcPr>
                <w:p>
                  <w:pPr>
                    <w:snapToGrid w:val="0"/>
                    <w:jc w:val="center"/>
                    <w:rPr>
                      <w:bCs/>
                      <w:szCs w:val="21"/>
                    </w:rPr>
                  </w:pPr>
                  <w:r>
                    <w:rPr>
                      <w:bCs/>
                      <w:szCs w:val="21"/>
                    </w:rPr>
                    <w:t>拐点</w:t>
                  </w:r>
                </w:p>
                <w:p>
                  <w:pPr>
                    <w:snapToGrid w:val="0"/>
                    <w:jc w:val="center"/>
                    <w:rPr>
                      <w:bCs/>
                      <w:szCs w:val="21"/>
                    </w:rPr>
                  </w:pPr>
                  <w:r>
                    <w:rPr>
                      <w:bCs/>
                      <w:szCs w:val="21"/>
                    </w:rPr>
                    <w:t>坐标</w:t>
                  </w:r>
                </w:p>
              </w:tc>
              <w:tc>
                <w:tcPr>
                  <w:tcW w:w="3516" w:type="dxa"/>
                  <w:gridSpan w:val="2"/>
                  <w:vAlign w:val="center"/>
                </w:tcPr>
                <w:p>
                  <w:pPr>
                    <w:snapToGrid w:val="0"/>
                    <w:jc w:val="center"/>
                    <w:rPr>
                      <w:bCs/>
                      <w:szCs w:val="21"/>
                    </w:rPr>
                  </w:pPr>
                  <w:bookmarkStart w:id="21" w:name="OLE_LINK2"/>
                  <w:r>
                    <w:rPr>
                      <w:bCs/>
                      <w:szCs w:val="21"/>
                    </w:rPr>
                    <w:t>CGCS2000</w:t>
                  </w:r>
                  <w:bookmarkEnd w:id="21"/>
                  <w:r>
                    <w:rPr>
                      <w:bCs/>
                      <w:szCs w:val="21"/>
                    </w:rPr>
                    <w:t>直角坐标</w:t>
                  </w:r>
                </w:p>
              </w:tc>
              <w:tc>
                <w:tcPr>
                  <w:tcW w:w="3492" w:type="dxa"/>
                  <w:gridSpan w:val="2"/>
                  <w:vAlign w:val="center"/>
                </w:tcPr>
                <w:p>
                  <w:pPr>
                    <w:snapToGrid w:val="0"/>
                    <w:jc w:val="center"/>
                    <w:rPr>
                      <w:bCs/>
                      <w:szCs w:val="21"/>
                    </w:rPr>
                  </w:pPr>
                  <w:r>
                    <w:rPr>
                      <w:bCs/>
                      <w:szCs w:val="21"/>
                    </w:rPr>
                    <w:t>经纬坐标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846" w:type="dxa"/>
                  <w:vMerge w:val="continue"/>
                  <w:vAlign w:val="center"/>
                </w:tcPr>
                <w:p>
                  <w:pPr>
                    <w:snapToGrid w:val="0"/>
                    <w:jc w:val="center"/>
                    <w:rPr>
                      <w:bCs/>
                      <w:szCs w:val="21"/>
                    </w:rPr>
                  </w:pPr>
                </w:p>
              </w:tc>
              <w:tc>
                <w:tcPr>
                  <w:tcW w:w="1835" w:type="dxa"/>
                  <w:vAlign w:val="center"/>
                </w:tcPr>
                <w:p>
                  <w:pPr>
                    <w:snapToGrid w:val="0"/>
                    <w:jc w:val="center"/>
                    <w:rPr>
                      <w:bCs/>
                      <w:szCs w:val="21"/>
                    </w:rPr>
                  </w:pPr>
                  <w:r>
                    <w:rPr>
                      <w:bCs/>
                      <w:szCs w:val="21"/>
                    </w:rPr>
                    <w:t>X</w:t>
                  </w:r>
                </w:p>
              </w:tc>
              <w:tc>
                <w:tcPr>
                  <w:tcW w:w="1681" w:type="dxa"/>
                  <w:vAlign w:val="center"/>
                </w:tcPr>
                <w:p>
                  <w:pPr>
                    <w:snapToGrid w:val="0"/>
                    <w:jc w:val="center"/>
                    <w:rPr>
                      <w:bCs/>
                      <w:szCs w:val="21"/>
                    </w:rPr>
                  </w:pPr>
                  <w:r>
                    <w:rPr>
                      <w:bCs/>
                      <w:szCs w:val="21"/>
                    </w:rPr>
                    <w:t>Y</w:t>
                  </w:r>
                </w:p>
              </w:tc>
              <w:tc>
                <w:tcPr>
                  <w:tcW w:w="1550" w:type="dxa"/>
                  <w:vAlign w:val="center"/>
                </w:tcPr>
                <w:p>
                  <w:pPr>
                    <w:snapToGrid w:val="0"/>
                    <w:jc w:val="center"/>
                    <w:rPr>
                      <w:bCs/>
                      <w:szCs w:val="21"/>
                    </w:rPr>
                  </w:pPr>
                  <w:r>
                    <w:rPr>
                      <w:bCs/>
                      <w:szCs w:val="21"/>
                    </w:rPr>
                    <w:t>东经</w:t>
                  </w:r>
                </w:p>
              </w:tc>
              <w:tc>
                <w:tcPr>
                  <w:tcW w:w="1942" w:type="dxa"/>
                  <w:vAlign w:val="center"/>
                </w:tcPr>
                <w:p>
                  <w:pPr>
                    <w:snapToGrid w:val="0"/>
                    <w:jc w:val="center"/>
                    <w:rPr>
                      <w:bCs/>
                      <w:szCs w:val="21"/>
                    </w:rPr>
                  </w:pPr>
                  <w:r>
                    <w:rPr>
                      <w:bCs/>
                      <w:szCs w:val="21"/>
                    </w:rPr>
                    <w:t>北纬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846" w:type="dxa"/>
                  <w:vAlign w:val="center"/>
                </w:tcPr>
                <w:p>
                  <w:pPr>
                    <w:snapToGrid w:val="0"/>
                    <w:jc w:val="center"/>
                    <w:rPr>
                      <w:bCs/>
                      <w:kern w:val="0"/>
                      <w:szCs w:val="21"/>
                    </w:rPr>
                  </w:pPr>
                  <w:r>
                    <w:rPr>
                      <w:rFonts w:hint="eastAsia"/>
                      <w:bCs/>
                      <w:kern w:val="0"/>
                      <w:szCs w:val="21"/>
                    </w:rPr>
                    <w:t>1</w:t>
                  </w:r>
                </w:p>
              </w:tc>
              <w:tc>
                <w:tcPr>
                  <w:tcW w:w="1835" w:type="dxa"/>
                  <w:vAlign w:val="center"/>
                </w:tcPr>
                <w:p>
                  <w:pPr>
                    <w:snapToGrid w:val="0"/>
                    <w:jc w:val="center"/>
                    <w:rPr>
                      <w:bCs/>
                      <w:szCs w:val="21"/>
                    </w:rPr>
                  </w:pPr>
                  <w:r>
                    <w:rPr>
                      <w:rFonts w:hint="eastAsia"/>
                      <w:bCs/>
                      <w:szCs w:val="21"/>
                    </w:rPr>
                    <w:t>4</w:t>
                  </w:r>
                  <w:r>
                    <w:rPr>
                      <w:bCs/>
                      <w:szCs w:val="21"/>
                    </w:rPr>
                    <w:t>967159.866</w:t>
                  </w:r>
                </w:p>
              </w:tc>
              <w:tc>
                <w:tcPr>
                  <w:tcW w:w="1681" w:type="dxa"/>
                  <w:vAlign w:val="center"/>
                </w:tcPr>
                <w:p>
                  <w:pPr>
                    <w:snapToGrid w:val="0"/>
                    <w:jc w:val="center"/>
                    <w:rPr>
                      <w:bCs/>
                      <w:szCs w:val="21"/>
                    </w:rPr>
                  </w:pPr>
                  <w:r>
                    <w:rPr>
                      <w:rFonts w:hint="eastAsia"/>
                      <w:bCs/>
                      <w:szCs w:val="21"/>
                    </w:rPr>
                    <w:t>2</w:t>
                  </w:r>
                  <w:r>
                    <w:rPr>
                      <w:bCs/>
                      <w:szCs w:val="21"/>
                    </w:rPr>
                    <w:t>9599349.595</w:t>
                  </w:r>
                </w:p>
              </w:tc>
              <w:tc>
                <w:tcPr>
                  <w:tcW w:w="1550" w:type="dxa"/>
                  <w:vAlign w:val="center"/>
                </w:tcPr>
                <w:p>
                  <w:pPr>
                    <w:snapToGrid w:val="0"/>
                    <w:jc w:val="center"/>
                    <w:rPr>
                      <w:bCs/>
                      <w:szCs w:val="21"/>
                    </w:rPr>
                  </w:pPr>
                  <w:r>
                    <w:rPr>
                      <w:bCs/>
                      <w:szCs w:val="21"/>
                    </w:rPr>
                    <w:t>88°15′23"</w:t>
                  </w:r>
                </w:p>
              </w:tc>
              <w:tc>
                <w:tcPr>
                  <w:tcW w:w="1942" w:type="dxa"/>
                  <w:vAlign w:val="center"/>
                </w:tcPr>
                <w:p>
                  <w:pPr>
                    <w:snapToGrid w:val="0"/>
                    <w:jc w:val="center"/>
                    <w:rPr>
                      <w:bCs/>
                      <w:szCs w:val="21"/>
                    </w:rPr>
                  </w:pPr>
                  <w:r>
                    <w:rPr>
                      <w:bCs/>
                      <w:szCs w:val="21"/>
                    </w:rPr>
                    <w:t>44°49′59"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846" w:type="dxa"/>
                  <w:vAlign w:val="center"/>
                </w:tcPr>
                <w:p>
                  <w:pPr>
                    <w:snapToGrid w:val="0"/>
                    <w:jc w:val="center"/>
                    <w:rPr>
                      <w:bCs/>
                      <w:kern w:val="0"/>
                      <w:szCs w:val="21"/>
                    </w:rPr>
                  </w:pPr>
                  <w:r>
                    <w:rPr>
                      <w:rFonts w:hint="eastAsia"/>
                      <w:bCs/>
                      <w:kern w:val="0"/>
                      <w:szCs w:val="21"/>
                    </w:rPr>
                    <w:t>2</w:t>
                  </w:r>
                </w:p>
              </w:tc>
              <w:tc>
                <w:tcPr>
                  <w:tcW w:w="1835" w:type="dxa"/>
                  <w:vAlign w:val="center"/>
                </w:tcPr>
                <w:p>
                  <w:pPr>
                    <w:snapToGrid w:val="0"/>
                    <w:jc w:val="center"/>
                    <w:rPr>
                      <w:bCs/>
                      <w:szCs w:val="21"/>
                    </w:rPr>
                  </w:pPr>
                  <w:r>
                    <w:rPr>
                      <w:rFonts w:hint="eastAsia"/>
                      <w:bCs/>
                      <w:szCs w:val="21"/>
                    </w:rPr>
                    <w:t>4</w:t>
                  </w:r>
                  <w:r>
                    <w:rPr>
                      <w:bCs/>
                      <w:szCs w:val="21"/>
                    </w:rPr>
                    <w:t>967155.718</w:t>
                  </w:r>
                </w:p>
              </w:tc>
              <w:tc>
                <w:tcPr>
                  <w:tcW w:w="1681" w:type="dxa"/>
                  <w:vAlign w:val="center"/>
                </w:tcPr>
                <w:p>
                  <w:pPr>
                    <w:snapToGrid w:val="0"/>
                    <w:jc w:val="center"/>
                    <w:rPr>
                      <w:bCs/>
                      <w:szCs w:val="21"/>
                    </w:rPr>
                  </w:pPr>
                  <w:r>
                    <w:rPr>
                      <w:rFonts w:hint="eastAsia"/>
                      <w:bCs/>
                      <w:szCs w:val="21"/>
                    </w:rPr>
                    <w:t>2</w:t>
                  </w:r>
                  <w:r>
                    <w:rPr>
                      <w:bCs/>
                      <w:szCs w:val="21"/>
                    </w:rPr>
                    <w:t>9601063.385</w:t>
                  </w:r>
                </w:p>
              </w:tc>
              <w:tc>
                <w:tcPr>
                  <w:tcW w:w="1550" w:type="dxa"/>
                  <w:vAlign w:val="center"/>
                </w:tcPr>
                <w:p>
                  <w:pPr>
                    <w:snapToGrid w:val="0"/>
                    <w:jc w:val="center"/>
                    <w:rPr>
                      <w:bCs/>
                      <w:szCs w:val="21"/>
                    </w:rPr>
                  </w:pPr>
                  <w:r>
                    <w:rPr>
                      <w:bCs/>
                      <w:szCs w:val="21"/>
                    </w:rPr>
                    <w:t>88°16′41"</w:t>
                  </w:r>
                </w:p>
              </w:tc>
              <w:tc>
                <w:tcPr>
                  <w:tcW w:w="1942" w:type="dxa"/>
                  <w:vAlign w:val="center"/>
                </w:tcPr>
                <w:p>
                  <w:pPr>
                    <w:snapToGrid w:val="0"/>
                    <w:jc w:val="center"/>
                    <w:rPr>
                      <w:bCs/>
                      <w:szCs w:val="21"/>
                    </w:rPr>
                  </w:pPr>
                  <w:r>
                    <w:rPr>
                      <w:bCs/>
                      <w:szCs w:val="21"/>
                    </w:rPr>
                    <w:t>44°49′58"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846" w:type="dxa"/>
                  <w:vAlign w:val="center"/>
                </w:tcPr>
                <w:p>
                  <w:pPr>
                    <w:snapToGrid w:val="0"/>
                    <w:jc w:val="center"/>
                    <w:rPr>
                      <w:bCs/>
                      <w:kern w:val="0"/>
                      <w:szCs w:val="21"/>
                    </w:rPr>
                  </w:pPr>
                  <w:r>
                    <w:rPr>
                      <w:rFonts w:hint="eastAsia"/>
                      <w:bCs/>
                      <w:kern w:val="0"/>
                      <w:szCs w:val="21"/>
                    </w:rPr>
                    <w:t>3</w:t>
                  </w:r>
                </w:p>
              </w:tc>
              <w:tc>
                <w:tcPr>
                  <w:tcW w:w="1835" w:type="dxa"/>
                  <w:vAlign w:val="center"/>
                </w:tcPr>
                <w:p>
                  <w:pPr>
                    <w:snapToGrid w:val="0"/>
                    <w:jc w:val="center"/>
                    <w:rPr>
                      <w:bCs/>
                      <w:szCs w:val="21"/>
                    </w:rPr>
                  </w:pPr>
                  <w:r>
                    <w:rPr>
                      <w:rFonts w:hint="eastAsia"/>
                      <w:bCs/>
                      <w:szCs w:val="21"/>
                    </w:rPr>
                    <w:t>4</w:t>
                  </w:r>
                  <w:r>
                    <w:rPr>
                      <w:bCs/>
                      <w:szCs w:val="21"/>
                    </w:rPr>
                    <w:t>965581.051</w:t>
                  </w:r>
                </w:p>
              </w:tc>
              <w:tc>
                <w:tcPr>
                  <w:tcW w:w="1681" w:type="dxa"/>
                  <w:vAlign w:val="center"/>
                </w:tcPr>
                <w:p>
                  <w:pPr>
                    <w:snapToGrid w:val="0"/>
                    <w:jc w:val="center"/>
                    <w:rPr>
                      <w:bCs/>
                      <w:szCs w:val="21"/>
                    </w:rPr>
                  </w:pPr>
                  <w:r>
                    <w:rPr>
                      <w:rFonts w:hint="eastAsia"/>
                      <w:bCs/>
                      <w:szCs w:val="21"/>
                    </w:rPr>
                    <w:t>2</w:t>
                  </w:r>
                  <w:r>
                    <w:rPr>
                      <w:bCs/>
                      <w:szCs w:val="21"/>
                    </w:rPr>
                    <w:t>9601066.174</w:t>
                  </w:r>
                </w:p>
              </w:tc>
              <w:tc>
                <w:tcPr>
                  <w:tcW w:w="1550" w:type="dxa"/>
                  <w:vAlign w:val="center"/>
                </w:tcPr>
                <w:p>
                  <w:pPr>
                    <w:snapToGrid w:val="0"/>
                    <w:jc w:val="center"/>
                    <w:rPr>
                      <w:bCs/>
                      <w:szCs w:val="21"/>
                    </w:rPr>
                  </w:pPr>
                  <w:r>
                    <w:rPr>
                      <w:bCs/>
                      <w:szCs w:val="21"/>
                    </w:rPr>
                    <w:t>88°16′40"</w:t>
                  </w:r>
                </w:p>
              </w:tc>
              <w:tc>
                <w:tcPr>
                  <w:tcW w:w="1942" w:type="dxa"/>
                  <w:vAlign w:val="center"/>
                </w:tcPr>
                <w:p>
                  <w:pPr>
                    <w:snapToGrid w:val="0"/>
                    <w:jc w:val="center"/>
                    <w:rPr>
                      <w:bCs/>
                      <w:szCs w:val="21"/>
                    </w:rPr>
                  </w:pPr>
                  <w:r>
                    <w:rPr>
                      <w:bCs/>
                      <w:szCs w:val="21"/>
                    </w:rPr>
                    <w:t>44°49′07"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846" w:type="dxa"/>
                  <w:vAlign w:val="center"/>
                </w:tcPr>
                <w:p>
                  <w:pPr>
                    <w:snapToGrid w:val="0"/>
                    <w:jc w:val="center"/>
                    <w:rPr>
                      <w:bCs/>
                      <w:kern w:val="0"/>
                      <w:szCs w:val="21"/>
                    </w:rPr>
                  </w:pPr>
                  <w:r>
                    <w:rPr>
                      <w:rFonts w:hint="eastAsia"/>
                      <w:bCs/>
                      <w:kern w:val="0"/>
                      <w:szCs w:val="21"/>
                    </w:rPr>
                    <w:t>4</w:t>
                  </w:r>
                </w:p>
              </w:tc>
              <w:tc>
                <w:tcPr>
                  <w:tcW w:w="1835" w:type="dxa"/>
                  <w:vAlign w:val="center"/>
                </w:tcPr>
                <w:p>
                  <w:pPr>
                    <w:snapToGrid w:val="0"/>
                    <w:jc w:val="center"/>
                    <w:rPr>
                      <w:bCs/>
                      <w:szCs w:val="21"/>
                    </w:rPr>
                  </w:pPr>
                  <w:r>
                    <w:rPr>
                      <w:rFonts w:hint="eastAsia"/>
                      <w:bCs/>
                      <w:szCs w:val="21"/>
                    </w:rPr>
                    <w:t>4</w:t>
                  </w:r>
                  <w:r>
                    <w:rPr>
                      <w:bCs/>
                      <w:szCs w:val="21"/>
                    </w:rPr>
                    <w:t>965585.205</w:t>
                  </w:r>
                </w:p>
              </w:tc>
              <w:tc>
                <w:tcPr>
                  <w:tcW w:w="1681" w:type="dxa"/>
                  <w:vAlign w:val="center"/>
                </w:tcPr>
                <w:p>
                  <w:pPr>
                    <w:snapToGrid w:val="0"/>
                    <w:jc w:val="center"/>
                    <w:rPr>
                      <w:bCs/>
                      <w:szCs w:val="21"/>
                    </w:rPr>
                  </w:pPr>
                  <w:r>
                    <w:rPr>
                      <w:rFonts w:hint="eastAsia"/>
                      <w:bCs/>
                      <w:szCs w:val="21"/>
                    </w:rPr>
                    <w:t>2</w:t>
                  </w:r>
                  <w:r>
                    <w:rPr>
                      <w:bCs/>
                      <w:szCs w:val="21"/>
                    </w:rPr>
                    <w:t>9599351.964</w:t>
                  </w:r>
                </w:p>
              </w:tc>
              <w:tc>
                <w:tcPr>
                  <w:tcW w:w="1550" w:type="dxa"/>
                  <w:vAlign w:val="center"/>
                </w:tcPr>
                <w:p>
                  <w:pPr>
                    <w:snapToGrid w:val="0"/>
                    <w:jc w:val="center"/>
                    <w:rPr>
                      <w:bCs/>
                      <w:szCs w:val="21"/>
                    </w:rPr>
                  </w:pPr>
                  <w:r>
                    <w:rPr>
                      <w:bCs/>
                      <w:szCs w:val="21"/>
                    </w:rPr>
                    <w:t>88°15′22"</w:t>
                  </w:r>
                </w:p>
              </w:tc>
              <w:tc>
                <w:tcPr>
                  <w:tcW w:w="1942" w:type="dxa"/>
                  <w:vAlign w:val="center"/>
                </w:tcPr>
                <w:p>
                  <w:pPr>
                    <w:snapToGrid w:val="0"/>
                    <w:jc w:val="center"/>
                    <w:rPr>
                      <w:bCs/>
                      <w:szCs w:val="21"/>
                    </w:rPr>
                  </w:pPr>
                  <w:r>
                    <w:rPr>
                      <w:bCs/>
                      <w:szCs w:val="21"/>
                    </w:rPr>
                    <w:t>44°49′08"</w:t>
                  </w:r>
                </w:p>
              </w:tc>
            </w:tr>
          </w:tbl>
          <w:p>
            <w:pPr>
              <w:pStyle w:val="55"/>
              <w:spacing w:line="240" w:lineRule="auto"/>
              <w:ind w:firstLine="480"/>
              <w:jc w:val="center"/>
              <w:rPr>
                <w:rFonts w:hAnsi="Times New Roman" w:eastAsia="黑体"/>
                <w:b w:val="0"/>
                <w:bCs w:val="0"/>
                <w:color w:val="auto"/>
                <w:szCs w:val="24"/>
              </w:rPr>
            </w:pPr>
            <w:r>
              <w:rPr>
                <w:rFonts w:hint="eastAsia" w:hAnsi="Times New Roman" w:eastAsia="黑体"/>
                <w:b w:val="0"/>
                <w:bCs w:val="0"/>
                <w:color w:val="auto"/>
                <w:szCs w:val="24"/>
              </w:rPr>
              <w:t>表2-</w:t>
            </w:r>
            <w:r>
              <w:rPr>
                <w:rFonts w:hAnsi="Times New Roman" w:eastAsia="黑体"/>
                <w:b w:val="0"/>
                <w:bCs w:val="0"/>
                <w:color w:val="auto"/>
                <w:szCs w:val="24"/>
              </w:rPr>
              <w:t>3</w:t>
            </w:r>
            <w:r>
              <w:rPr>
                <w:rFonts w:hint="eastAsia" w:hAnsi="Times New Roman" w:eastAsia="黑体"/>
                <w:b w:val="0"/>
                <w:bCs w:val="0"/>
                <w:color w:val="auto"/>
                <w:szCs w:val="24"/>
              </w:rPr>
              <w:t xml:space="preserve">    </w:t>
            </w:r>
            <w:r>
              <w:rPr>
                <w:rFonts w:hAnsi="Times New Roman" w:eastAsia="黑体"/>
                <w:b w:val="0"/>
                <w:bCs w:val="0"/>
                <w:color w:val="auto"/>
                <w:szCs w:val="24"/>
              </w:rPr>
              <w:t>矿区</w:t>
            </w:r>
            <w:r>
              <w:rPr>
                <w:rFonts w:hint="eastAsia" w:hAnsi="Times New Roman" w:eastAsia="黑体"/>
                <w:b w:val="0"/>
                <w:bCs w:val="0"/>
                <w:color w:val="auto"/>
                <w:szCs w:val="24"/>
              </w:rPr>
              <w:t>资源量估算</w:t>
            </w:r>
            <w:r>
              <w:rPr>
                <w:rFonts w:hAnsi="Times New Roman" w:eastAsia="黑体"/>
                <w:b w:val="0"/>
                <w:bCs w:val="0"/>
                <w:color w:val="auto"/>
                <w:szCs w:val="24"/>
              </w:rPr>
              <w:t>范围拐点坐标</w:t>
            </w:r>
          </w:p>
          <w:tbl>
            <w:tblPr>
              <w:tblStyle w:val="31"/>
              <w:tblW w:w="785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
            <w:tblGrid>
              <w:gridCol w:w="725"/>
              <w:gridCol w:w="1469"/>
              <w:gridCol w:w="1572"/>
              <w:gridCol w:w="845"/>
              <w:gridCol w:w="1565"/>
              <w:gridCol w:w="1678"/>
            </w:tblGrid>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Merge w:val="restart"/>
                  <w:vAlign w:val="center"/>
                </w:tcPr>
                <w:p>
                  <w:pPr>
                    <w:snapToGrid w:val="0"/>
                    <w:jc w:val="center"/>
                    <w:rPr>
                      <w:bCs/>
                      <w:szCs w:val="21"/>
                    </w:rPr>
                  </w:pPr>
                  <w:r>
                    <w:rPr>
                      <w:bCs/>
                      <w:szCs w:val="21"/>
                    </w:rPr>
                    <w:t>拐点</w:t>
                  </w:r>
                </w:p>
                <w:p>
                  <w:pPr>
                    <w:snapToGrid w:val="0"/>
                    <w:jc w:val="center"/>
                    <w:rPr>
                      <w:bCs/>
                      <w:szCs w:val="21"/>
                    </w:rPr>
                  </w:pPr>
                  <w:r>
                    <w:rPr>
                      <w:bCs/>
                      <w:szCs w:val="21"/>
                    </w:rPr>
                    <w:t>坐标</w:t>
                  </w:r>
                </w:p>
              </w:tc>
              <w:tc>
                <w:tcPr>
                  <w:tcW w:w="3041" w:type="dxa"/>
                  <w:gridSpan w:val="2"/>
                  <w:vAlign w:val="center"/>
                </w:tcPr>
                <w:p>
                  <w:pPr>
                    <w:snapToGrid w:val="0"/>
                    <w:jc w:val="center"/>
                    <w:rPr>
                      <w:bCs/>
                      <w:szCs w:val="21"/>
                    </w:rPr>
                  </w:pPr>
                  <w:r>
                    <w:rPr>
                      <w:bCs/>
                      <w:szCs w:val="21"/>
                    </w:rPr>
                    <w:t>CGCS2000直角坐标</w:t>
                  </w:r>
                  <w:r>
                    <w:rPr>
                      <w:rFonts w:hint="eastAsia"/>
                      <w:bCs/>
                      <w:szCs w:val="21"/>
                    </w:rPr>
                    <w:t>3度带</w:t>
                  </w:r>
                </w:p>
              </w:tc>
              <w:tc>
                <w:tcPr>
                  <w:tcW w:w="845" w:type="dxa"/>
                  <w:vMerge w:val="restart"/>
                  <w:vAlign w:val="center"/>
                </w:tcPr>
                <w:p>
                  <w:pPr>
                    <w:snapToGrid w:val="0"/>
                    <w:jc w:val="center"/>
                    <w:rPr>
                      <w:bCs/>
                      <w:szCs w:val="21"/>
                    </w:rPr>
                  </w:pPr>
                  <w:r>
                    <w:rPr>
                      <w:bCs/>
                      <w:szCs w:val="21"/>
                    </w:rPr>
                    <w:t>拐点</w:t>
                  </w:r>
                </w:p>
                <w:p>
                  <w:pPr>
                    <w:snapToGrid w:val="0"/>
                    <w:jc w:val="center"/>
                    <w:rPr>
                      <w:bCs/>
                      <w:szCs w:val="21"/>
                    </w:rPr>
                  </w:pPr>
                  <w:r>
                    <w:rPr>
                      <w:bCs/>
                      <w:szCs w:val="21"/>
                    </w:rPr>
                    <w:t>坐标</w:t>
                  </w:r>
                </w:p>
              </w:tc>
              <w:tc>
                <w:tcPr>
                  <w:tcW w:w="3243" w:type="dxa"/>
                  <w:gridSpan w:val="2"/>
                  <w:vAlign w:val="center"/>
                </w:tcPr>
                <w:p>
                  <w:pPr>
                    <w:snapToGrid w:val="0"/>
                    <w:jc w:val="center"/>
                    <w:rPr>
                      <w:bCs/>
                      <w:szCs w:val="21"/>
                    </w:rPr>
                  </w:pPr>
                  <w:r>
                    <w:rPr>
                      <w:bCs/>
                      <w:szCs w:val="21"/>
                    </w:rPr>
                    <w:t>CGCS2000直角坐标</w:t>
                  </w:r>
                  <w:r>
                    <w:rPr>
                      <w:rFonts w:hint="eastAsia"/>
                      <w:bCs/>
                      <w:szCs w:val="21"/>
                    </w:rPr>
                    <w:t>3度带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Merge w:val="continue"/>
                  <w:vAlign w:val="center"/>
                </w:tcPr>
                <w:p>
                  <w:pPr>
                    <w:snapToGrid w:val="0"/>
                    <w:jc w:val="center"/>
                    <w:rPr>
                      <w:bCs/>
                      <w:szCs w:val="21"/>
                    </w:rPr>
                  </w:pPr>
                </w:p>
              </w:tc>
              <w:tc>
                <w:tcPr>
                  <w:tcW w:w="1469" w:type="dxa"/>
                  <w:vAlign w:val="center"/>
                </w:tcPr>
                <w:p>
                  <w:pPr>
                    <w:snapToGrid w:val="0"/>
                    <w:jc w:val="center"/>
                    <w:rPr>
                      <w:bCs/>
                      <w:szCs w:val="21"/>
                    </w:rPr>
                  </w:pPr>
                  <w:r>
                    <w:rPr>
                      <w:bCs/>
                      <w:szCs w:val="21"/>
                    </w:rPr>
                    <w:t>X</w:t>
                  </w:r>
                </w:p>
              </w:tc>
              <w:tc>
                <w:tcPr>
                  <w:tcW w:w="1572" w:type="dxa"/>
                  <w:vAlign w:val="center"/>
                </w:tcPr>
                <w:p>
                  <w:pPr>
                    <w:snapToGrid w:val="0"/>
                    <w:jc w:val="center"/>
                    <w:rPr>
                      <w:bCs/>
                      <w:szCs w:val="21"/>
                    </w:rPr>
                  </w:pPr>
                  <w:r>
                    <w:rPr>
                      <w:bCs/>
                      <w:szCs w:val="21"/>
                    </w:rPr>
                    <w:t>Y</w:t>
                  </w:r>
                </w:p>
              </w:tc>
              <w:tc>
                <w:tcPr>
                  <w:tcW w:w="845" w:type="dxa"/>
                  <w:vMerge w:val="continue"/>
                </w:tcPr>
                <w:p>
                  <w:pPr>
                    <w:snapToGrid w:val="0"/>
                    <w:jc w:val="center"/>
                    <w:rPr>
                      <w:bCs/>
                      <w:szCs w:val="21"/>
                    </w:rPr>
                  </w:pPr>
                </w:p>
              </w:tc>
              <w:tc>
                <w:tcPr>
                  <w:tcW w:w="1565" w:type="dxa"/>
                  <w:vAlign w:val="center"/>
                </w:tcPr>
                <w:p>
                  <w:pPr>
                    <w:snapToGrid w:val="0"/>
                    <w:jc w:val="center"/>
                    <w:rPr>
                      <w:bCs/>
                      <w:szCs w:val="21"/>
                    </w:rPr>
                  </w:pPr>
                  <w:r>
                    <w:rPr>
                      <w:bCs/>
                      <w:szCs w:val="21"/>
                    </w:rPr>
                    <w:t>X</w:t>
                  </w:r>
                </w:p>
              </w:tc>
              <w:tc>
                <w:tcPr>
                  <w:tcW w:w="1678" w:type="dxa"/>
                  <w:vAlign w:val="center"/>
                </w:tcPr>
                <w:p>
                  <w:pPr>
                    <w:snapToGrid w:val="0"/>
                    <w:jc w:val="center"/>
                    <w:rPr>
                      <w:bCs/>
                      <w:szCs w:val="21"/>
                    </w:rPr>
                  </w:pPr>
                  <w:r>
                    <w:rPr>
                      <w:bCs/>
                      <w:szCs w:val="21"/>
                    </w:rPr>
                    <w:t>Y</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Align w:val="center"/>
                </w:tcPr>
                <w:p>
                  <w:pPr>
                    <w:snapToGrid w:val="0"/>
                    <w:jc w:val="center"/>
                    <w:rPr>
                      <w:bCs/>
                      <w:kern w:val="0"/>
                      <w:szCs w:val="21"/>
                    </w:rPr>
                  </w:pPr>
                  <w:r>
                    <w:rPr>
                      <w:rFonts w:hint="eastAsia"/>
                      <w:bCs/>
                      <w:kern w:val="0"/>
                      <w:szCs w:val="21"/>
                    </w:rPr>
                    <w:t>Z1</w:t>
                  </w:r>
                </w:p>
              </w:tc>
              <w:tc>
                <w:tcPr>
                  <w:tcW w:w="1469" w:type="dxa"/>
                  <w:vAlign w:val="center"/>
                </w:tcPr>
                <w:p>
                  <w:pPr>
                    <w:snapToGrid w:val="0"/>
                    <w:jc w:val="center"/>
                    <w:rPr>
                      <w:bCs/>
                      <w:szCs w:val="21"/>
                    </w:rPr>
                  </w:pPr>
                  <w:r>
                    <w:rPr>
                      <w:rFonts w:hint="eastAsia"/>
                      <w:bCs/>
                      <w:szCs w:val="21"/>
                    </w:rPr>
                    <w:t>4</w:t>
                  </w:r>
                  <w:r>
                    <w:rPr>
                      <w:bCs/>
                      <w:szCs w:val="21"/>
                    </w:rPr>
                    <w:t>967128.896</w:t>
                  </w:r>
                </w:p>
              </w:tc>
              <w:tc>
                <w:tcPr>
                  <w:tcW w:w="1572" w:type="dxa"/>
                  <w:vAlign w:val="center"/>
                </w:tcPr>
                <w:p>
                  <w:pPr>
                    <w:snapToGrid w:val="0"/>
                    <w:jc w:val="center"/>
                    <w:rPr>
                      <w:bCs/>
                      <w:szCs w:val="21"/>
                    </w:rPr>
                  </w:pPr>
                  <w:r>
                    <w:rPr>
                      <w:rFonts w:hint="eastAsia"/>
                      <w:bCs/>
                      <w:szCs w:val="21"/>
                    </w:rPr>
                    <w:t>2</w:t>
                  </w:r>
                  <w:r>
                    <w:rPr>
                      <w:bCs/>
                      <w:szCs w:val="21"/>
                    </w:rPr>
                    <w:t>9599593.630</w:t>
                  </w:r>
                </w:p>
              </w:tc>
              <w:tc>
                <w:tcPr>
                  <w:tcW w:w="845" w:type="dxa"/>
                  <w:vAlign w:val="center"/>
                </w:tcPr>
                <w:p>
                  <w:pPr>
                    <w:snapToGrid w:val="0"/>
                    <w:jc w:val="center"/>
                    <w:rPr>
                      <w:bCs/>
                      <w:kern w:val="0"/>
                      <w:szCs w:val="21"/>
                    </w:rPr>
                  </w:pPr>
                  <w:r>
                    <w:rPr>
                      <w:rFonts w:hint="eastAsia"/>
                      <w:bCs/>
                      <w:kern w:val="0"/>
                      <w:szCs w:val="21"/>
                    </w:rPr>
                    <w:t>Z</w:t>
                  </w:r>
                  <w:r>
                    <w:rPr>
                      <w:bCs/>
                      <w:kern w:val="0"/>
                      <w:szCs w:val="21"/>
                    </w:rPr>
                    <w:t>1</w:t>
                  </w:r>
                  <w:r>
                    <w:rPr>
                      <w:rFonts w:hint="eastAsia"/>
                      <w:bCs/>
                      <w:kern w:val="0"/>
                      <w:szCs w:val="21"/>
                    </w:rPr>
                    <w:t>4</w:t>
                  </w:r>
                </w:p>
              </w:tc>
              <w:tc>
                <w:tcPr>
                  <w:tcW w:w="1565" w:type="dxa"/>
                  <w:vAlign w:val="center"/>
                </w:tcPr>
                <w:p>
                  <w:pPr>
                    <w:snapToGrid w:val="0"/>
                    <w:jc w:val="center"/>
                    <w:rPr>
                      <w:bCs/>
                      <w:szCs w:val="21"/>
                    </w:rPr>
                  </w:pPr>
                  <w:r>
                    <w:rPr>
                      <w:rFonts w:hint="eastAsia"/>
                      <w:bCs/>
                      <w:szCs w:val="21"/>
                    </w:rPr>
                    <w:t>4</w:t>
                  </w:r>
                  <w:r>
                    <w:rPr>
                      <w:bCs/>
                      <w:szCs w:val="21"/>
                    </w:rPr>
                    <w:t>965704.692</w:t>
                  </w:r>
                </w:p>
              </w:tc>
              <w:tc>
                <w:tcPr>
                  <w:tcW w:w="1678" w:type="dxa"/>
                  <w:vAlign w:val="center"/>
                </w:tcPr>
                <w:p>
                  <w:pPr>
                    <w:snapToGrid w:val="0"/>
                    <w:jc w:val="center"/>
                    <w:rPr>
                      <w:bCs/>
                      <w:szCs w:val="21"/>
                    </w:rPr>
                  </w:pPr>
                  <w:r>
                    <w:rPr>
                      <w:rFonts w:hint="eastAsia"/>
                      <w:bCs/>
                      <w:szCs w:val="21"/>
                    </w:rPr>
                    <w:t>2</w:t>
                  </w:r>
                  <w:r>
                    <w:rPr>
                      <w:bCs/>
                      <w:szCs w:val="21"/>
                    </w:rPr>
                    <w:t>9600947.264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Align w:val="center"/>
                </w:tcPr>
                <w:p>
                  <w:pPr>
                    <w:snapToGrid w:val="0"/>
                    <w:jc w:val="center"/>
                    <w:rPr>
                      <w:bCs/>
                      <w:kern w:val="0"/>
                      <w:szCs w:val="21"/>
                    </w:rPr>
                  </w:pPr>
                  <w:r>
                    <w:rPr>
                      <w:rFonts w:hint="eastAsia"/>
                      <w:bCs/>
                      <w:kern w:val="0"/>
                      <w:szCs w:val="21"/>
                    </w:rPr>
                    <w:t>Z2</w:t>
                  </w:r>
                </w:p>
              </w:tc>
              <w:tc>
                <w:tcPr>
                  <w:tcW w:w="1469" w:type="dxa"/>
                  <w:vAlign w:val="center"/>
                </w:tcPr>
                <w:p>
                  <w:pPr>
                    <w:snapToGrid w:val="0"/>
                    <w:jc w:val="center"/>
                    <w:rPr>
                      <w:bCs/>
                      <w:szCs w:val="21"/>
                    </w:rPr>
                  </w:pPr>
                  <w:r>
                    <w:rPr>
                      <w:rFonts w:hint="eastAsia"/>
                      <w:bCs/>
                      <w:szCs w:val="21"/>
                    </w:rPr>
                    <w:t>4</w:t>
                  </w:r>
                  <w:r>
                    <w:rPr>
                      <w:bCs/>
                      <w:szCs w:val="21"/>
                    </w:rPr>
                    <w:t>966635.172</w:t>
                  </w:r>
                </w:p>
              </w:tc>
              <w:tc>
                <w:tcPr>
                  <w:tcW w:w="1572" w:type="dxa"/>
                  <w:vAlign w:val="center"/>
                </w:tcPr>
                <w:p>
                  <w:pPr>
                    <w:snapToGrid w:val="0"/>
                    <w:jc w:val="center"/>
                    <w:rPr>
                      <w:bCs/>
                      <w:szCs w:val="21"/>
                    </w:rPr>
                  </w:pPr>
                  <w:r>
                    <w:rPr>
                      <w:bCs/>
                      <w:szCs w:val="21"/>
                    </w:rPr>
                    <w:t>29600100.596</w:t>
                  </w:r>
                </w:p>
              </w:tc>
              <w:tc>
                <w:tcPr>
                  <w:tcW w:w="845" w:type="dxa"/>
                  <w:vAlign w:val="center"/>
                </w:tcPr>
                <w:p>
                  <w:pPr>
                    <w:snapToGrid w:val="0"/>
                    <w:jc w:val="center"/>
                    <w:rPr>
                      <w:bCs/>
                      <w:kern w:val="0"/>
                      <w:szCs w:val="21"/>
                    </w:rPr>
                  </w:pPr>
                  <w:r>
                    <w:rPr>
                      <w:rFonts w:hint="eastAsia"/>
                      <w:bCs/>
                      <w:kern w:val="0"/>
                      <w:szCs w:val="21"/>
                    </w:rPr>
                    <w:t>Z</w:t>
                  </w:r>
                  <w:r>
                    <w:rPr>
                      <w:bCs/>
                      <w:kern w:val="0"/>
                      <w:szCs w:val="21"/>
                    </w:rPr>
                    <w:t>15</w:t>
                  </w:r>
                </w:p>
              </w:tc>
              <w:tc>
                <w:tcPr>
                  <w:tcW w:w="1565" w:type="dxa"/>
                  <w:vAlign w:val="center"/>
                </w:tcPr>
                <w:p>
                  <w:pPr>
                    <w:snapToGrid w:val="0"/>
                    <w:jc w:val="center"/>
                    <w:rPr>
                      <w:bCs/>
                      <w:szCs w:val="21"/>
                    </w:rPr>
                  </w:pPr>
                  <w:r>
                    <w:rPr>
                      <w:rFonts w:hint="eastAsia"/>
                      <w:bCs/>
                      <w:szCs w:val="21"/>
                    </w:rPr>
                    <w:t>4</w:t>
                  </w:r>
                  <w:r>
                    <w:rPr>
                      <w:bCs/>
                      <w:szCs w:val="21"/>
                    </w:rPr>
                    <w:t>965714.311</w:t>
                  </w:r>
                </w:p>
              </w:tc>
              <w:tc>
                <w:tcPr>
                  <w:tcW w:w="1678" w:type="dxa"/>
                  <w:vAlign w:val="center"/>
                </w:tcPr>
                <w:p>
                  <w:pPr>
                    <w:snapToGrid w:val="0"/>
                    <w:jc w:val="center"/>
                    <w:rPr>
                      <w:bCs/>
                      <w:szCs w:val="21"/>
                    </w:rPr>
                  </w:pPr>
                  <w:r>
                    <w:rPr>
                      <w:rFonts w:hint="eastAsia"/>
                      <w:bCs/>
                      <w:szCs w:val="21"/>
                    </w:rPr>
                    <w:t>2</w:t>
                  </w:r>
                  <w:r>
                    <w:rPr>
                      <w:bCs/>
                      <w:szCs w:val="21"/>
                    </w:rPr>
                    <w:t>9600345.751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Align w:val="center"/>
                </w:tcPr>
                <w:p>
                  <w:pPr>
                    <w:snapToGrid w:val="0"/>
                    <w:jc w:val="center"/>
                    <w:rPr>
                      <w:bCs/>
                      <w:kern w:val="0"/>
                      <w:szCs w:val="21"/>
                    </w:rPr>
                  </w:pPr>
                  <w:r>
                    <w:rPr>
                      <w:rFonts w:hint="eastAsia"/>
                      <w:bCs/>
                      <w:kern w:val="0"/>
                      <w:szCs w:val="21"/>
                    </w:rPr>
                    <w:t>Z3</w:t>
                  </w:r>
                </w:p>
              </w:tc>
              <w:tc>
                <w:tcPr>
                  <w:tcW w:w="1469" w:type="dxa"/>
                  <w:vAlign w:val="center"/>
                </w:tcPr>
                <w:p>
                  <w:pPr>
                    <w:snapToGrid w:val="0"/>
                    <w:jc w:val="center"/>
                    <w:rPr>
                      <w:bCs/>
                      <w:szCs w:val="21"/>
                    </w:rPr>
                  </w:pPr>
                  <w:r>
                    <w:rPr>
                      <w:rFonts w:hint="eastAsia"/>
                      <w:bCs/>
                      <w:szCs w:val="21"/>
                    </w:rPr>
                    <w:t>4</w:t>
                  </w:r>
                  <w:r>
                    <w:rPr>
                      <w:bCs/>
                      <w:szCs w:val="21"/>
                    </w:rPr>
                    <w:t>966718.648</w:t>
                  </w:r>
                </w:p>
              </w:tc>
              <w:tc>
                <w:tcPr>
                  <w:tcW w:w="1572" w:type="dxa"/>
                  <w:vAlign w:val="center"/>
                </w:tcPr>
                <w:p>
                  <w:pPr>
                    <w:snapToGrid w:val="0"/>
                    <w:jc w:val="center"/>
                    <w:rPr>
                      <w:bCs/>
                      <w:szCs w:val="21"/>
                    </w:rPr>
                  </w:pPr>
                  <w:r>
                    <w:rPr>
                      <w:rFonts w:hint="eastAsia"/>
                      <w:bCs/>
                      <w:szCs w:val="21"/>
                    </w:rPr>
                    <w:t>2</w:t>
                  </w:r>
                  <w:r>
                    <w:rPr>
                      <w:bCs/>
                      <w:szCs w:val="21"/>
                    </w:rPr>
                    <w:t>9600406.056</w:t>
                  </w:r>
                </w:p>
              </w:tc>
              <w:tc>
                <w:tcPr>
                  <w:tcW w:w="845" w:type="dxa"/>
                  <w:vAlign w:val="center"/>
                </w:tcPr>
                <w:p>
                  <w:pPr>
                    <w:snapToGrid w:val="0"/>
                    <w:jc w:val="center"/>
                    <w:rPr>
                      <w:bCs/>
                      <w:kern w:val="0"/>
                      <w:szCs w:val="21"/>
                    </w:rPr>
                  </w:pPr>
                  <w:r>
                    <w:rPr>
                      <w:rFonts w:hint="eastAsia"/>
                      <w:bCs/>
                      <w:kern w:val="0"/>
                      <w:szCs w:val="21"/>
                    </w:rPr>
                    <w:t>Z</w:t>
                  </w:r>
                  <w:r>
                    <w:rPr>
                      <w:bCs/>
                      <w:kern w:val="0"/>
                      <w:szCs w:val="21"/>
                    </w:rPr>
                    <w:t>1</w:t>
                  </w:r>
                  <w:r>
                    <w:rPr>
                      <w:rFonts w:hint="eastAsia"/>
                      <w:bCs/>
                      <w:kern w:val="0"/>
                      <w:szCs w:val="21"/>
                    </w:rPr>
                    <w:t>6</w:t>
                  </w:r>
                </w:p>
              </w:tc>
              <w:tc>
                <w:tcPr>
                  <w:tcW w:w="1565" w:type="dxa"/>
                  <w:vAlign w:val="center"/>
                </w:tcPr>
                <w:p>
                  <w:pPr>
                    <w:snapToGrid w:val="0"/>
                    <w:jc w:val="center"/>
                    <w:rPr>
                      <w:bCs/>
                      <w:szCs w:val="21"/>
                    </w:rPr>
                  </w:pPr>
                  <w:r>
                    <w:rPr>
                      <w:rFonts w:hint="eastAsia"/>
                      <w:bCs/>
                      <w:szCs w:val="21"/>
                    </w:rPr>
                    <w:t>4</w:t>
                  </w:r>
                  <w:r>
                    <w:rPr>
                      <w:bCs/>
                      <w:szCs w:val="21"/>
                    </w:rPr>
                    <w:t>965686.735</w:t>
                  </w:r>
                </w:p>
              </w:tc>
              <w:tc>
                <w:tcPr>
                  <w:tcW w:w="1678" w:type="dxa"/>
                  <w:vAlign w:val="center"/>
                </w:tcPr>
                <w:p>
                  <w:pPr>
                    <w:snapToGrid w:val="0"/>
                    <w:jc w:val="center"/>
                    <w:rPr>
                      <w:bCs/>
                      <w:szCs w:val="21"/>
                    </w:rPr>
                  </w:pPr>
                  <w:r>
                    <w:rPr>
                      <w:rFonts w:hint="eastAsia"/>
                      <w:bCs/>
                      <w:szCs w:val="21"/>
                    </w:rPr>
                    <w:t>2</w:t>
                  </w:r>
                  <w:r>
                    <w:rPr>
                      <w:bCs/>
                      <w:szCs w:val="21"/>
                    </w:rPr>
                    <w:t>9600243.616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Align w:val="center"/>
                </w:tcPr>
                <w:p>
                  <w:pPr>
                    <w:snapToGrid w:val="0"/>
                    <w:jc w:val="center"/>
                    <w:rPr>
                      <w:bCs/>
                      <w:kern w:val="0"/>
                      <w:szCs w:val="21"/>
                    </w:rPr>
                  </w:pPr>
                  <w:r>
                    <w:rPr>
                      <w:rFonts w:hint="eastAsia"/>
                      <w:bCs/>
                      <w:kern w:val="0"/>
                      <w:szCs w:val="21"/>
                    </w:rPr>
                    <w:t>Z4</w:t>
                  </w:r>
                </w:p>
              </w:tc>
              <w:tc>
                <w:tcPr>
                  <w:tcW w:w="1469" w:type="dxa"/>
                  <w:vAlign w:val="center"/>
                </w:tcPr>
                <w:p>
                  <w:pPr>
                    <w:snapToGrid w:val="0"/>
                    <w:jc w:val="center"/>
                    <w:rPr>
                      <w:bCs/>
                      <w:szCs w:val="21"/>
                    </w:rPr>
                  </w:pPr>
                  <w:r>
                    <w:rPr>
                      <w:rFonts w:hint="eastAsia"/>
                      <w:bCs/>
                      <w:szCs w:val="21"/>
                    </w:rPr>
                    <w:t>4</w:t>
                  </w:r>
                  <w:r>
                    <w:rPr>
                      <w:bCs/>
                      <w:szCs w:val="21"/>
                    </w:rPr>
                    <w:t>967024.332</w:t>
                  </w:r>
                </w:p>
              </w:tc>
              <w:tc>
                <w:tcPr>
                  <w:tcW w:w="1572" w:type="dxa"/>
                  <w:vAlign w:val="center"/>
                </w:tcPr>
                <w:p>
                  <w:pPr>
                    <w:snapToGrid w:val="0"/>
                    <w:jc w:val="center"/>
                    <w:rPr>
                      <w:bCs/>
                      <w:szCs w:val="21"/>
                    </w:rPr>
                  </w:pPr>
                  <w:r>
                    <w:rPr>
                      <w:rFonts w:hint="eastAsia"/>
                      <w:bCs/>
                      <w:szCs w:val="21"/>
                    </w:rPr>
                    <w:t>2</w:t>
                  </w:r>
                  <w:r>
                    <w:rPr>
                      <w:bCs/>
                      <w:szCs w:val="21"/>
                    </w:rPr>
                    <w:t>9600326.566</w:t>
                  </w:r>
                </w:p>
              </w:tc>
              <w:tc>
                <w:tcPr>
                  <w:tcW w:w="845" w:type="dxa"/>
                  <w:vAlign w:val="center"/>
                </w:tcPr>
                <w:p>
                  <w:pPr>
                    <w:snapToGrid w:val="0"/>
                    <w:jc w:val="center"/>
                    <w:rPr>
                      <w:bCs/>
                      <w:kern w:val="0"/>
                      <w:szCs w:val="21"/>
                    </w:rPr>
                  </w:pPr>
                  <w:r>
                    <w:rPr>
                      <w:rFonts w:hint="eastAsia"/>
                      <w:bCs/>
                      <w:kern w:val="0"/>
                      <w:szCs w:val="21"/>
                    </w:rPr>
                    <w:t>Z</w:t>
                  </w:r>
                  <w:r>
                    <w:rPr>
                      <w:bCs/>
                      <w:kern w:val="0"/>
                      <w:szCs w:val="21"/>
                    </w:rPr>
                    <w:t>1</w:t>
                  </w:r>
                  <w:r>
                    <w:rPr>
                      <w:rFonts w:hint="eastAsia"/>
                      <w:bCs/>
                      <w:kern w:val="0"/>
                      <w:szCs w:val="21"/>
                    </w:rPr>
                    <w:t>7</w:t>
                  </w:r>
                </w:p>
              </w:tc>
              <w:tc>
                <w:tcPr>
                  <w:tcW w:w="1565" w:type="dxa"/>
                  <w:vAlign w:val="center"/>
                </w:tcPr>
                <w:p>
                  <w:pPr>
                    <w:snapToGrid w:val="0"/>
                    <w:jc w:val="center"/>
                    <w:rPr>
                      <w:bCs/>
                      <w:szCs w:val="21"/>
                    </w:rPr>
                  </w:pPr>
                  <w:r>
                    <w:rPr>
                      <w:rFonts w:hint="eastAsia"/>
                      <w:bCs/>
                      <w:szCs w:val="21"/>
                    </w:rPr>
                    <w:t>4</w:t>
                  </w:r>
                  <w:r>
                    <w:rPr>
                      <w:bCs/>
                      <w:szCs w:val="21"/>
                    </w:rPr>
                    <w:t>965603.743</w:t>
                  </w:r>
                </w:p>
              </w:tc>
              <w:tc>
                <w:tcPr>
                  <w:tcW w:w="1678" w:type="dxa"/>
                  <w:vAlign w:val="center"/>
                </w:tcPr>
                <w:p>
                  <w:pPr>
                    <w:snapToGrid w:val="0"/>
                    <w:jc w:val="center"/>
                    <w:rPr>
                      <w:bCs/>
                      <w:szCs w:val="21"/>
                    </w:rPr>
                  </w:pPr>
                  <w:r>
                    <w:rPr>
                      <w:rFonts w:hint="eastAsia"/>
                      <w:bCs/>
                      <w:szCs w:val="21"/>
                    </w:rPr>
                    <w:t>2</w:t>
                  </w:r>
                  <w:r>
                    <w:rPr>
                      <w:bCs/>
                      <w:szCs w:val="21"/>
                    </w:rPr>
                    <w:t>9599937.143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Align w:val="center"/>
                </w:tcPr>
                <w:p>
                  <w:pPr>
                    <w:snapToGrid w:val="0"/>
                    <w:jc w:val="center"/>
                    <w:rPr>
                      <w:bCs/>
                      <w:kern w:val="0"/>
                      <w:szCs w:val="21"/>
                    </w:rPr>
                  </w:pPr>
                  <w:r>
                    <w:rPr>
                      <w:rFonts w:hint="eastAsia"/>
                      <w:bCs/>
                      <w:kern w:val="0"/>
                      <w:szCs w:val="21"/>
                    </w:rPr>
                    <w:t>Z</w:t>
                  </w:r>
                  <w:r>
                    <w:rPr>
                      <w:bCs/>
                      <w:kern w:val="0"/>
                      <w:szCs w:val="21"/>
                    </w:rPr>
                    <w:t>5</w:t>
                  </w:r>
                </w:p>
              </w:tc>
              <w:tc>
                <w:tcPr>
                  <w:tcW w:w="1469" w:type="dxa"/>
                  <w:vAlign w:val="center"/>
                </w:tcPr>
                <w:p>
                  <w:pPr>
                    <w:snapToGrid w:val="0"/>
                    <w:jc w:val="center"/>
                    <w:rPr>
                      <w:bCs/>
                      <w:szCs w:val="21"/>
                    </w:rPr>
                  </w:pPr>
                  <w:r>
                    <w:rPr>
                      <w:rFonts w:hint="eastAsia"/>
                      <w:bCs/>
                      <w:szCs w:val="21"/>
                    </w:rPr>
                    <w:t>4</w:t>
                  </w:r>
                  <w:r>
                    <w:rPr>
                      <w:bCs/>
                      <w:szCs w:val="21"/>
                    </w:rPr>
                    <w:t>967126.771</w:t>
                  </w:r>
                </w:p>
              </w:tc>
              <w:tc>
                <w:tcPr>
                  <w:tcW w:w="1572" w:type="dxa"/>
                  <w:vAlign w:val="center"/>
                </w:tcPr>
                <w:p>
                  <w:pPr>
                    <w:snapToGrid w:val="0"/>
                    <w:jc w:val="center"/>
                    <w:rPr>
                      <w:bCs/>
                      <w:szCs w:val="21"/>
                    </w:rPr>
                  </w:pPr>
                  <w:r>
                    <w:rPr>
                      <w:bCs/>
                      <w:szCs w:val="21"/>
                    </w:rPr>
                    <w:t>29600299.124</w:t>
                  </w:r>
                </w:p>
              </w:tc>
              <w:tc>
                <w:tcPr>
                  <w:tcW w:w="845" w:type="dxa"/>
                  <w:vAlign w:val="center"/>
                </w:tcPr>
                <w:p>
                  <w:pPr>
                    <w:snapToGrid w:val="0"/>
                    <w:jc w:val="center"/>
                    <w:rPr>
                      <w:bCs/>
                      <w:kern w:val="0"/>
                      <w:szCs w:val="21"/>
                    </w:rPr>
                  </w:pPr>
                  <w:r>
                    <w:rPr>
                      <w:rFonts w:hint="eastAsia"/>
                      <w:bCs/>
                      <w:kern w:val="0"/>
                      <w:szCs w:val="21"/>
                    </w:rPr>
                    <w:t>Z</w:t>
                  </w:r>
                  <w:r>
                    <w:rPr>
                      <w:bCs/>
                      <w:kern w:val="0"/>
                      <w:szCs w:val="21"/>
                    </w:rPr>
                    <w:t>1</w:t>
                  </w:r>
                  <w:r>
                    <w:rPr>
                      <w:rFonts w:hint="eastAsia"/>
                      <w:bCs/>
                      <w:kern w:val="0"/>
                      <w:szCs w:val="21"/>
                    </w:rPr>
                    <w:t>8</w:t>
                  </w:r>
                </w:p>
              </w:tc>
              <w:tc>
                <w:tcPr>
                  <w:tcW w:w="1565" w:type="dxa"/>
                  <w:vAlign w:val="center"/>
                </w:tcPr>
                <w:p>
                  <w:pPr>
                    <w:snapToGrid w:val="0"/>
                    <w:jc w:val="center"/>
                    <w:rPr>
                      <w:bCs/>
                      <w:szCs w:val="21"/>
                    </w:rPr>
                  </w:pPr>
                  <w:r>
                    <w:rPr>
                      <w:bCs/>
                      <w:szCs w:val="21"/>
                    </w:rPr>
                    <w:t>4965584.537</w:t>
                  </w:r>
                </w:p>
              </w:tc>
              <w:tc>
                <w:tcPr>
                  <w:tcW w:w="1678" w:type="dxa"/>
                  <w:vAlign w:val="center"/>
                </w:tcPr>
                <w:p>
                  <w:pPr>
                    <w:snapToGrid w:val="0"/>
                    <w:jc w:val="center"/>
                    <w:rPr>
                      <w:bCs/>
                      <w:szCs w:val="21"/>
                    </w:rPr>
                  </w:pPr>
                  <w:r>
                    <w:rPr>
                      <w:rFonts w:hint="eastAsia"/>
                      <w:bCs/>
                      <w:szCs w:val="21"/>
                    </w:rPr>
                    <w:t>2</w:t>
                  </w:r>
                  <w:r>
                    <w:rPr>
                      <w:bCs/>
                      <w:szCs w:val="21"/>
                    </w:rPr>
                    <w:t>9599839.512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Align w:val="center"/>
                </w:tcPr>
                <w:p>
                  <w:pPr>
                    <w:snapToGrid w:val="0"/>
                    <w:jc w:val="center"/>
                    <w:rPr>
                      <w:bCs/>
                      <w:kern w:val="0"/>
                      <w:szCs w:val="21"/>
                    </w:rPr>
                  </w:pPr>
                  <w:r>
                    <w:rPr>
                      <w:rFonts w:hint="eastAsia"/>
                      <w:bCs/>
                      <w:kern w:val="0"/>
                      <w:szCs w:val="21"/>
                    </w:rPr>
                    <w:t>Z6</w:t>
                  </w:r>
                </w:p>
              </w:tc>
              <w:tc>
                <w:tcPr>
                  <w:tcW w:w="1469" w:type="dxa"/>
                  <w:vAlign w:val="center"/>
                </w:tcPr>
                <w:p>
                  <w:pPr>
                    <w:snapToGrid w:val="0"/>
                    <w:jc w:val="center"/>
                    <w:rPr>
                      <w:bCs/>
                      <w:szCs w:val="21"/>
                    </w:rPr>
                  </w:pPr>
                  <w:r>
                    <w:rPr>
                      <w:rFonts w:hint="eastAsia"/>
                      <w:bCs/>
                      <w:szCs w:val="21"/>
                    </w:rPr>
                    <w:t>4</w:t>
                  </w:r>
                  <w:r>
                    <w:rPr>
                      <w:bCs/>
                      <w:szCs w:val="21"/>
                    </w:rPr>
                    <w:t>967154.300</w:t>
                  </w:r>
                </w:p>
              </w:tc>
              <w:tc>
                <w:tcPr>
                  <w:tcW w:w="1572" w:type="dxa"/>
                  <w:vAlign w:val="center"/>
                </w:tcPr>
                <w:p>
                  <w:pPr>
                    <w:snapToGrid w:val="0"/>
                    <w:jc w:val="center"/>
                    <w:rPr>
                      <w:bCs/>
                      <w:szCs w:val="21"/>
                    </w:rPr>
                  </w:pPr>
                  <w:r>
                    <w:rPr>
                      <w:rFonts w:hint="eastAsia"/>
                      <w:bCs/>
                      <w:szCs w:val="21"/>
                    </w:rPr>
                    <w:t>2</w:t>
                  </w:r>
                  <w:r>
                    <w:rPr>
                      <w:bCs/>
                      <w:szCs w:val="21"/>
                    </w:rPr>
                    <w:t>9600401.633</w:t>
                  </w:r>
                </w:p>
              </w:tc>
              <w:tc>
                <w:tcPr>
                  <w:tcW w:w="845" w:type="dxa"/>
                  <w:vAlign w:val="center"/>
                </w:tcPr>
                <w:p>
                  <w:pPr>
                    <w:snapToGrid w:val="0"/>
                    <w:jc w:val="center"/>
                    <w:rPr>
                      <w:bCs/>
                      <w:kern w:val="0"/>
                      <w:szCs w:val="21"/>
                    </w:rPr>
                  </w:pPr>
                  <w:r>
                    <w:rPr>
                      <w:rFonts w:hint="eastAsia"/>
                      <w:bCs/>
                      <w:kern w:val="0"/>
                      <w:szCs w:val="21"/>
                    </w:rPr>
                    <w:t>Z</w:t>
                  </w:r>
                  <w:r>
                    <w:rPr>
                      <w:bCs/>
                      <w:kern w:val="0"/>
                      <w:szCs w:val="21"/>
                    </w:rPr>
                    <w:t>1</w:t>
                  </w:r>
                  <w:r>
                    <w:rPr>
                      <w:rFonts w:hint="eastAsia"/>
                      <w:bCs/>
                      <w:kern w:val="0"/>
                      <w:szCs w:val="21"/>
                    </w:rPr>
                    <w:t>9</w:t>
                  </w:r>
                </w:p>
              </w:tc>
              <w:tc>
                <w:tcPr>
                  <w:tcW w:w="1565" w:type="dxa"/>
                  <w:vAlign w:val="center"/>
                </w:tcPr>
                <w:p>
                  <w:pPr>
                    <w:snapToGrid w:val="0"/>
                    <w:jc w:val="center"/>
                    <w:rPr>
                      <w:bCs/>
                      <w:szCs w:val="21"/>
                    </w:rPr>
                  </w:pPr>
                  <w:r>
                    <w:rPr>
                      <w:rFonts w:hint="eastAsia"/>
                      <w:bCs/>
                      <w:szCs w:val="21"/>
                    </w:rPr>
                    <w:t>4</w:t>
                  </w:r>
                  <w:r>
                    <w:rPr>
                      <w:bCs/>
                      <w:szCs w:val="21"/>
                    </w:rPr>
                    <w:t>965678.674</w:t>
                  </w:r>
                </w:p>
              </w:tc>
              <w:tc>
                <w:tcPr>
                  <w:tcW w:w="1678" w:type="dxa"/>
                  <w:vAlign w:val="center"/>
                </w:tcPr>
                <w:p>
                  <w:pPr>
                    <w:snapToGrid w:val="0"/>
                    <w:jc w:val="center"/>
                    <w:rPr>
                      <w:bCs/>
                      <w:szCs w:val="21"/>
                    </w:rPr>
                  </w:pPr>
                  <w:r>
                    <w:rPr>
                      <w:rFonts w:hint="eastAsia"/>
                      <w:bCs/>
                      <w:szCs w:val="21"/>
                    </w:rPr>
                    <w:t>2</w:t>
                  </w:r>
                  <w:r>
                    <w:rPr>
                      <w:bCs/>
                      <w:szCs w:val="21"/>
                    </w:rPr>
                    <w:t>9599807.264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Align w:val="center"/>
                </w:tcPr>
                <w:p>
                  <w:pPr>
                    <w:snapToGrid w:val="0"/>
                    <w:jc w:val="center"/>
                    <w:rPr>
                      <w:bCs/>
                      <w:kern w:val="0"/>
                      <w:szCs w:val="21"/>
                    </w:rPr>
                  </w:pPr>
                  <w:r>
                    <w:rPr>
                      <w:rFonts w:hint="eastAsia"/>
                      <w:bCs/>
                      <w:kern w:val="0"/>
                      <w:szCs w:val="21"/>
                    </w:rPr>
                    <w:t>Z7</w:t>
                  </w:r>
                </w:p>
              </w:tc>
              <w:tc>
                <w:tcPr>
                  <w:tcW w:w="1469" w:type="dxa"/>
                  <w:vAlign w:val="center"/>
                </w:tcPr>
                <w:p>
                  <w:pPr>
                    <w:snapToGrid w:val="0"/>
                    <w:jc w:val="center"/>
                    <w:rPr>
                      <w:bCs/>
                      <w:szCs w:val="21"/>
                    </w:rPr>
                  </w:pPr>
                  <w:r>
                    <w:rPr>
                      <w:rFonts w:hint="eastAsia"/>
                      <w:bCs/>
                      <w:szCs w:val="21"/>
                    </w:rPr>
                    <w:t>4</w:t>
                  </w:r>
                  <w:r>
                    <w:rPr>
                      <w:bCs/>
                      <w:szCs w:val="21"/>
                    </w:rPr>
                    <w:t>967003.788</w:t>
                  </w:r>
                </w:p>
              </w:tc>
              <w:tc>
                <w:tcPr>
                  <w:tcW w:w="1572" w:type="dxa"/>
                  <w:vAlign w:val="center"/>
                </w:tcPr>
                <w:p>
                  <w:pPr>
                    <w:snapToGrid w:val="0"/>
                    <w:jc w:val="center"/>
                    <w:rPr>
                      <w:bCs/>
                      <w:szCs w:val="21"/>
                    </w:rPr>
                  </w:pPr>
                  <w:r>
                    <w:rPr>
                      <w:bCs/>
                      <w:szCs w:val="21"/>
                    </w:rPr>
                    <w:t>29600662.068</w:t>
                  </w:r>
                </w:p>
              </w:tc>
              <w:tc>
                <w:tcPr>
                  <w:tcW w:w="845" w:type="dxa"/>
                  <w:vAlign w:val="center"/>
                </w:tcPr>
                <w:p>
                  <w:pPr>
                    <w:snapToGrid w:val="0"/>
                    <w:jc w:val="center"/>
                    <w:rPr>
                      <w:bCs/>
                      <w:kern w:val="0"/>
                      <w:szCs w:val="21"/>
                    </w:rPr>
                  </w:pPr>
                  <w:r>
                    <w:rPr>
                      <w:rFonts w:hint="eastAsia"/>
                      <w:bCs/>
                      <w:kern w:val="0"/>
                      <w:szCs w:val="21"/>
                    </w:rPr>
                    <w:t>Z</w:t>
                  </w:r>
                  <w:r>
                    <w:rPr>
                      <w:bCs/>
                      <w:kern w:val="0"/>
                      <w:szCs w:val="21"/>
                    </w:rPr>
                    <w:t>20</w:t>
                  </w:r>
                </w:p>
              </w:tc>
              <w:tc>
                <w:tcPr>
                  <w:tcW w:w="1565" w:type="dxa"/>
                  <w:vAlign w:val="center"/>
                </w:tcPr>
                <w:p>
                  <w:pPr>
                    <w:snapToGrid w:val="0"/>
                    <w:jc w:val="center"/>
                    <w:rPr>
                      <w:bCs/>
                      <w:szCs w:val="21"/>
                    </w:rPr>
                  </w:pPr>
                  <w:r>
                    <w:rPr>
                      <w:rFonts w:hint="eastAsia"/>
                      <w:bCs/>
                      <w:szCs w:val="21"/>
                    </w:rPr>
                    <w:t>4</w:t>
                  </w:r>
                  <w:r>
                    <w:rPr>
                      <w:bCs/>
                      <w:szCs w:val="21"/>
                    </w:rPr>
                    <w:t>965984.355</w:t>
                  </w:r>
                </w:p>
              </w:tc>
              <w:tc>
                <w:tcPr>
                  <w:tcW w:w="1678" w:type="dxa"/>
                  <w:vAlign w:val="center"/>
                </w:tcPr>
                <w:p>
                  <w:pPr>
                    <w:snapToGrid w:val="0"/>
                    <w:jc w:val="center"/>
                    <w:rPr>
                      <w:bCs/>
                      <w:szCs w:val="21"/>
                    </w:rPr>
                  </w:pPr>
                  <w:r>
                    <w:rPr>
                      <w:rFonts w:hint="eastAsia"/>
                      <w:bCs/>
                      <w:szCs w:val="21"/>
                    </w:rPr>
                    <w:t>2</w:t>
                  </w:r>
                  <w:r>
                    <w:rPr>
                      <w:bCs/>
                      <w:szCs w:val="21"/>
                    </w:rPr>
                    <w:t>9599727.727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Align w:val="center"/>
                </w:tcPr>
                <w:p>
                  <w:pPr>
                    <w:snapToGrid w:val="0"/>
                    <w:jc w:val="center"/>
                    <w:rPr>
                      <w:bCs/>
                      <w:kern w:val="0"/>
                      <w:szCs w:val="21"/>
                    </w:rPr>
                  </w:pPr>
                  <w:r>
                    <w:rPr>
                      <w:rFonts w:hint="eastAsia"/>
                      <w:bCs/>
                      <w:kern w:val="0"/>
                      <w:szCs w:val="21"/>
                    </w:rPr>
                    <w:t>Z8</w:t>
                  </w:r>
                </w:p>
              </w:tc>
              <w:tc>
                <w:tcPr>
                  <w:tcW w:w="1469" w:type="dxa"/>
                  <w:vAlign w:val="center"/>
                </w:tcPr>
                <w:p>
                  <w:pPr>
                    <w:snapToGrid w:val="0"/>
                    <w:jc w:val="center"/>
                    <w:rPr>
                      <w:bCs/>
                      <w:szCs w:val="21"/>
                    </w:rPr>
                  </w:pPr>
                  <w:r>
                    <w:rPr>
                      <w:rFonts w:hint="eastAsia"/>
                      <w:bCs/>
                      <w:szCs w:val="21"/>
                    </w:rPr>
                    <w:t>4</w:t>
                  </w:r>
                  <w:r>
                    <w:rPr>
                      <w:bCs/>
                      <w:szCs w:val="21"/>
                    </w:rPr>
                    <w:t>967090.517</w:t>
                  </w:r>
                </w:p>
              </w:tc>
              <w:tc>
                <w:tcPr>
                  <w:tcW w:w="1572" w:type="dxa"/>
                  <w:vAlign w:val="center"/>
                </w:tcPr>
                <w:p>
                  <w:pPr>
                    <w:snapToGrid w:val="0"/>
                    <w:jc w:val="center"/>
                    <w:rPr>
                      <w:bCs/>
                      <w:szCs w:val="21"/>
                    </w:rPr>
                  </w:pPr>
                  <w:r>
                    <w:rPr>
                      <w:rFonts w:hint="eastAsia"/>
                      <w:bCs/>
                      <w:szCs w:val="21"/>
                    </w:rPr>
                    <w:t>2</w:t>
                  </w:r>
                  <w:r>
                    <w:rPr>
                      <w:bCs/>
                      <w:szCs w:val="21"/>
                    </w:rPr>
                    <w:t>9600961.856</w:t>
                  </w:r>
                </w:p>
              </w:tc>
              <w:tc>
                <w:tcPr>
                  <w:tcW w:w="845" w:type="dxa"/>
                  <w:vAlign w:val="center"/>
                </w:tcPr>
                <w:p>
                  <w:pPr>
                    <w:snapToGrid w:val="0"/>
                    <w:jc w:val="center"/>
                    <w:rPr>
                      <w:bCs/>
                      <w:kern w:val="0"/>
                      <w:szCs w:val="21"/>
                    </w:rPr>
                  </w:pPr>
                  <w:r>
                    <w:rPr>
                      <w:rFonts w:hint="eastAsia"/>
                      <w:bCs/>
                      <w:kern w:val="0"/>
                      <w:szCs w:val="21"/>
                    </w:rPr>
                    <w:t>Z</w:t>
                  </w:r>
                  <w:r>
                    <w:rPr>
                      <w:bCs/>
                      <w:kern w:val="0"/>
                      <w:szCs w:val="21"/>
                    </w:rPr>
                    <w:t>21</w:t>
                  </w:r>
                </w:p>
              </w:tc>
              <w:tc>
                <w:tcPr>
                  <w:tcW w:w="1565" w:type="dxa"/>
                  <w:vAlign w:val="center"/>
                </w:tcPr>
                <w:p>
                  <w:pPr>
                    <w:snapToGrid w:val="0"/>
                    <w:jc w:val="center"/>
                    <w:rPr>
                      <w:bCs/>
                      <w:szCs w:val="21"/>
                    </w:rPr>
                  </w:pPr>
                  <w:r>
                    <w:rPr>
                      <w:rFonts w:hint="eastAsia"/>
                      <w:bCs/>
                      <w:szCs w:val="21"/>
                    </w:rPr>
                    <w:t>4</w:t>
                  </w:r>
                  <w:r>
                    <w:rPr>
                      <w:bCs/>
                      <w:szCs w:val="21"/>
                    </w:rPr>
                    <w:t>966086.916</w:t>
                  </w:r>
                </w:p>
              </w:tc>
              <w:tc>
                <w:tcPr>
                  <w:tcW w:w="1678" w:type="dxa"/>
                  <w:vAlign w:val="center"/>
                </w:tcPr>
                <w:p>
                  <w:pPr>
                    <w:snapToGrid w:val="0"/>
                    <w:jc w:val="center"/>
                    <w:rPr>
                      <w:bCs/>
                      <w:szCs w:val="21"/>
                    </w:rPr>
                  </w:pPr>
                  <w:r>
                    <w:rPr>
                      <w:rFonts w:hint="eastAsia"/>
                      <w:bCs/>
                      <w:szCs w:val="21"/>
                    </w:rPr>
                    <w:t>2</w:t>
                  </w:r>
                  <w:r>
                    <w:rPr>
                      <w:bCs/>
                      <w:szCs w:val="21"/>
                    </w:rPr>
                    <w:t>9599700.228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Align w:val="center"/>
                </w:tcPr>
                <w:p>
                  <w:pPr>
                    <w:snapToGrid w:val="0"/>
                    <w:jc w:val="center"/>
                    <w:rPr>
                      <w:bCs/>
                      <w:kern w:val="0"/>
                      <w:szCs w:val="21"/>
                    </w:rPr>
                  </w:pPr>
                  <w:r>
                    <w:rPr>
                      <w:rFonts w:hint="eastAsia"/>
                      <w:bCs/>
                      <w:kern w:val="0"/>
                      <w:szCs w:val="21"/>
                    </w:rPr>
                    <w:t>Z9</w:t>
                  </w:r>
                </w:p>
              </w:tc>
              <w:tc>
                <w:tcPr>
                  <w:tcW w:w="1469" w:type="dxa"/>
                  <w:vAlign w:val="center"/>
                </w:tcPr>
                <w:p>
                  <w:pPr>
                    <w:snapToGrid w:val="0"/>
                    <w:jc w:val="center"/>
                    <w:rPr>
                      <w:bCs/>
                      <w:szCs w:val="21"/>
                    </w:rPr>
                  </w:pPr>
                  <w:r>
                    <w:rPr>
                      <w:rFonts w:hint="eastAsia"/>
                      <w:bCs/>
                      <w:szCs w:val="21"/>
                    </w:rPr>
                    <w:t>4</w:t>
                  </w:r>
                  <w:r>
                    <w:rPr>
                      <w:bCs/>
                      <w:szCs w:val="21"/>
                    </w:rPr>
                    <w:t>967118.534</w:t>
                  </w:r>
                </w:p>
              </w:tc>
              <w:tc>
                <w:tcPr>
                  <w:tcW w:w="1572" w:type="dxa"/>
                  <w:vAlign w:val="center"/>
                </w:tcPr>
                <w:p>
                  <w:pPr>
                    <w:snapToGrid w:val="0"/>
                    <w:jc w:val="center"/>
                    <w:rPr>
                      <w:bCs/>
                      <w:szCs w:val="21"/>
                    </w:rPr>
                  </w:pPr>
                  <w:r>
                    <w:rPr>
                      <w:rFonts w:hint="eastAsia"/>
                      <w:bCs/>
                      <w:szCs w:val="21"/>
                    </w:rPr>
                    <w:t>2</w:t>
                  </w:r>
                  <w:r>
                    <w:rPr>
                      <w:bCs/>
                      <w:szCs w:val="21"/>
                    </w:rPr>
                    <w:t>9601063.182</w:t>
                  </w:r>
                </w:p>
              </w:tc>
              <w:tc>
                <w:tcPr>
                  <w:tcW w:w="845" w:type="dxa"/>
                  <w:vAlign w:val="center"/>
                </w:tcPr>
                <w:p>
                  <w:pPr>
                    <w:snapToGrid w:val="0"/>
                    <w:jc w:val="center"/>
                    <w:rPr>
                      <w:bCs/>
                      <w:kern w:val="0"/>
                      <w:szCs w:val="21"/>
                    </w:rPr>
                  </w:pPr>
                  <w:r>
                    <w:rPr>
                      <w:rFonts w:hint="eastAsia"/>
                      <w:bCs/>
                      <w:kern w:val="0"/>
                      <w:szCs w:val="21"/>
                    </w:rPr>
                    <w:t>Z</w:t>
                  </w:r>
                  <w:r>
                    <w:rPr>
                      <w:bCs/>
                      <w:kern w:val="0"/>
                      <w:szCs w:val="21"/>
                    </w:rPr>
                    <w:t>22</w:t>
                  </w:r>
                </w:p>
              </w:tc>
              <w:tc>
                <w:tcPr>
                  <w:tcW w:w="1565" w:type="dxa"/>
                  <w:vAlign w:val="center"/>
                </w:tcPr>
                <w:p>
                  <w:pPr>
                    <w:snapToGrid w:val="0"/>
                    <w:jc w:val="center"/>
                    <w:rPr>
                      <w:bCs/>
                      <w:szCs w:val="21"/>
                    </w:rPr>
                  </w:pPr>
                  <w:r>
                    <w:rPr>
                      <w:rFonts w:hint="eastAsia"/>
                      <w:bCs/>
                      <w:szCs w:val="21"/>
                    </w:rPr>
                    <w:t>4</w:t>
                  </w:r>
                  <w:r>
                    <w:rPr>
                      <w:bCs/>
                      <w:szCs w:val="21"/>
                    </w:rPr>
                    <w:t>966114.250</w:t>
                  </w:r>
                </w:p>
              </w:tc>
              <w:tc>
                <w:tcPr>
                  <w:tcW w:w="1678" w:type="dxa"/>
                  <w:vAlign w:val="center"/>
                </w:tcPr>
                <w:p>
                  <w:pPr>
                    <w:snapToGrid w:val="0"/>
                    <w:jc w:val="center"/>
                    <w:rPr>
                      <w:bCs/>
                      <w:szCs w:val="21"/>
                    </w:rPr>
                  </w:pPr>
                  <w:r>
                    <w:rPr>
                      <w:rFonts w:hint="eastAsia"/>
                      <w:bCs/>
                      <w:szCs w:val="21"/>
                    </w:rPr>
                    <w:t>2</w:t>
                  </w:r>
                  <w:r>
                    <w:rPr>
                      <w:bCs/>
                      <w:szCs w:val="21"/>
                    </w:rPr>
                    <w:t>9599802.565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Align w:val="center"/>
                </w:tcPr>
                <w:p>
                  <w:pPr>
                    <w:snapToGrid w:val="0"/>
                    <w:jc w:val="center"/>
                    <w:rPr>
                      <w:bCs/>
                      <w:kern w:val="0"/>
                      <w:szCs w:val="21"/>
                    </w:rPr>
                  </w:pPr>
                  <w:r>
                    <w:rPr>
                      <w:rFonts w:hint="eastAsia"/>
                      <w:bCs/>
                      <w:kern w:val="0"/>
                      <w:szCs w:val="21"/>
                    </w:rPr>
                    <w:t>Z</w:t>
                  </w:r>
                  <w:r>
                    <w:rPr>
                      <w:bCs/>
                      <w:kern w:val="0"/>
                      <w:szCs w:val="21"/>
                    </w:rPr>
                    <w:t>10</w:t>
                  </w:r>
                </w:p>
              </w:tc>
              <w:tc>
                <w:tcPr>
                  <w:tcW w:w="1469" w:type="dxa"/>
                  <w:vAlign w:val="center"/>
                </w:tcPr>
                <w:p>
                  <w:pPr>
                    <w:snapToGrid w:val="0"/>
                    <w:jc w:val="center"/>
                    <w:rPr>
                      <w:bCs/>
                      <w:szCs w:val="21"/>
                    </w:rPr>
                  </w:pPr>
                  <w:r>
                    <w:rPr>
                      <w:rFonts w:hint="eastAsia"/>
                      <w:bCs/>
                      <w:szCs w:val="21"/>
                    </w:rPr>
                    <w:t>4</w:t>
                  </w:r>
                  <w:r>
                    <w:rPr>
                      <w:bCs/>
                      <w:szCs w:val="21"/>
                    </w:rPr>
                    <w:t>966963.460</w:t>
                  </w:r>
                </w:p>
              </w:tc>
              <w:tc>
                <w:tcPr>
                  <w:tcW w:w="1572" w:type="dxa"/>
                  <w:vAlign w:val="center"/>
                </w:tcPr>
                <w:p>
                  <w:pPr>
                    <w:snapToGrid w:val="0"/>
                    <w:jc w:val="center"/>
                    <w:rPr>
                      <w:bCs/>
                      <w:szCs w:val="21"/>
                    </w:rPr>
                  </w:pPr>
                  <w:r>
                    <w:rPr>
                      <w:rFonts w:hint="eastAsia"/>
                      <w:bCs/>
                      <w:szCs w:val="21"/>
                    </w:rPr>
                    <w:t>2</w:t>
                  </w:r>
                  <w:r>
                    <w:rPr>
                      <w:bCs/>
                      <w:szCs w:val="21"/>
                    </w:rPr>
                    <w:t>9601063.224</w:t>
                  </w:r>
                </w:p>
              </w:tc>
              <w:tc>
                <w:tcPr>
                  <w:tcW w:w="845" w:type="dxa"/>
                  <w:vAlign w:val="center"/>
                </w:tcPr>
                <w:p>
                  <w:pPr>
                    <w:snapToGrid w:val="0"/>
                    <w:jc w:val="center"/>
                    <w:rPr>
                      <w:bCs/>
                      <w:kern w:val="0"/>
                      <w:szCs w:val="21"/>
                    </w:rPr>
                  </w:pPr>
                  <w:r>
                    <w:rPr>
                      <w:rFonts w:hint="eastAsia"/>
                      <w:bCs/>
                      <w:kern w:val="0"/>
                      <w:szCs w:val="21"/>
                    </w:rPr>
                    <w:t>Z</w:t>
                  </w:r>
                  <w:r>
                    <w:rPr>
                      <w:bCs/>
                      <w:kern w:val="0"/>
                      <w:szCs w:val="21"/>
                    </w:rPr>
                    <w:t>23</w:t>
                  </w:r>
                </w:p>
              </w:tc>
              <w:tc>
                <w:tcPr>
                  <w:tcW w:w="1565" w:type="dxa"/>
                  <w:vAlign w:val="center"/>
                </w:tcPr>
                <w:p>
                  <w:pPr>
                    <w:snapToGrid w:val="0"/>
                    <w:jc w:val="center"/>
                    <w:rPr>
                      <w:bCs/>
                      <w:szCs w:val="21"/>
                    </w:rPr>
                  </w:pPr>
                  <w:r>
                    <w:rPr>
                      <w:rFonts w:hint="eastAsia"/>
                      <w:bCs/>
                      <w:szCs w:val="21"/>
                    </w:rPr>
                    <w:t>4</w:t>
                  </w:r>
                  <w:r>
                    <w:rPr>
                      <w:bCs/>
                      <w:szCs w:val="21"/>
                    </w:rPr>
                    <w:t>966199.858</w:t>
                  </w:r>
                </w:p>
              </w:tc>
              <w:tc>
                <w:tcPr>
                  <w:tcW w:w="1678" w:type="dxa"/>
                  <w:vAlign w:val="center"/>
                </w:tcPr>
                <w:p>
                  <w:pPr>
                    <w:snapToGrid w:val="0"/>
                    <w:jc w:val="center"/>
                    <w:rPr>
                      <w:bCs/>
                      <w:szCs w:val="21"/>
                    </w:rPr>
                  </w:pPr>
                  <w:r>
                    <w:rPr>
                      <w:rFonts w:hint="eastAsia"/>
                      <w:bCs/>
                      <w:szCs w:val="21"/>
                    </w:rPr>
                    <w:t>2</w:t>
                  </w:r>
                  <w:r>
                    <w:rPr>
                      <w:bCs/>
                      <w:szCs w:val="21"/>
                    </w:rPr>
                    <w:t>9600104.491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Align w:val="center"/>
                </w:tcPr>
                <w:p>
                  <w:pPr>
                    <w:snapToGrid w:val="0"/>
                    <w:jc w:val="center"/>
                    <w:rPr>
                      <w:bCs/>
                      <w:kern w:val="0"/>
                      <w:szCs w:val="21"/>
                    </w:rPr>
                  </w:pPr>
                  <w:r>
                    <w:rPr>
                      <w:rFonts w:hint="eastAsia"/>
                      <w:bCs/>
                      <w:kern w:val="0"/>
                      <w:szCs w:val="21"/>
                    </w:rPr>
                    <w:t>Z</w:t>
                  </w:r>
                  <w:r>
                    <w:rPr>
                      <w:bCs/>
                      <w:kern w:val="0"/>
                      <w:szCs w:val="21"/>
                    </w:rPr>
                    <w:t>11</w:t>
                  </w:r>
                </w:p>
              </w:tc>
              <w:tc>
                <w:tcPr>
                  <w:tcW w:w="1469" w:type="dxa"/>
                  <w:vAlign w:val="center"/>
                </w:tcPr>
                <w:p>
                  <w:pPr>
                    <w:snapToGrid w:val="0"/>
                    <w:jc w:val="center"/>
                    <w:rPr>
                      <w:bCs/>
                      <w:szCs w:val="21"/>
                    </w:rPr>
                  </w:pPr>
                  <w:r>
                    <w:rPr>
                      <w:rFonts w:hint="eastAsia"/>
                      <w:bCs/>
                      <w:szCs w:val="21"/>
                    </w:rPr>
                    <w:t>4</w:t>
                  </w:r>
                  <w:r>
                    <w:rPr>
                      <w:bCs/>
                      <w:szCs w:val="21"/>
                    </w:rPr>
                    <w:t>966571.971</w:t>
                  </w:r>
                </w:p>
              </w:tc>
              <w:tc>
                <w:tcPr>
                  <w:tcW w:w="1572" w:type="dxa"/>
                  <w:vAlign w:val="center"/>
                </w:tcPr>
                <w:p>
                  <w:pPr>
                    <w:snapToGrid w:val="0"/>
                    <w:jc w:val="center"/>
                    <w:rPr>
                      <w:bCs/>
                      <w:szCs w:val="21"/>
                    </w:rPr>
                  </w:pPr>
                  <w:r>
                    <w:rPr>
                      <w:rFonts w:hint="eastAsia"/>
                      <w:bCs/>
                      <w:szCs w:val="21"/>
                    </w:rPr>
                    <w:t>2</w:t>
                  </w:r>
                  <w:r>
                    <w:rPr>
                      <w:bCs/>
                      <w:szCs w:val="21"/>
                    </w:rPr>
                    <w:t>9600948.306</w:t>
                  </w:r>
                </w:p>
              </w:tc>
              <w:tc>
                <w:tcPr>
                  <w:tcW w:w="845" w:type="dxa"/>
                  <w:vAlign w:val="center"/>
                </w:tcPr>
                <w:p>
                  <w:pPr>
                    <w:snapToGrid w:val="0"/>
                    <w:jc w:val="center"/>
                    <w:rPr>
                      <w:bCs/>
                      <w:kern w:val="0"/>
                      <w:szCs w:val="21"/>
                    </w:rPr>
                  </w:pPr>
                  <w:r>
                    <w:rPr>
                      <w:rFonts w:hint="eastAsia"/>
                      <w:bCs/>
                      <w:kern w:val="0"/>
                      <w:szCs w:val="21"/>
                    </w:rPr>
                    <w:t>Z</w:t>
                  </w:r>
                  <w:r>
                    <w:rPr>
                      <w:bCs/>
                      <w:kern w:val="0"/>
                      <w:szCs w:val="21"/>
                    </w:rPr>
                    <w:t>2</w:t>
                  </w:r>
                  <w:r>
                    <w:rPr>
                      <w:rFonts w:hint="eastAsia"/>
                      <w:bCs/>
                      <w:kern w:val="0"/>
                      <w:szCs w:val="21"/>
                    </w:rPr>
                    <w:t>4</w:t>
                  </w:r>
                </w:p>
              </w:tc>
              <w:tc>
                <w:tcPr>
                  <w:tcW w:w="1565" w:type="dxa"/>
                  <w:vAlign w:val="center"/>
                </w:tcPr>
                <w:p>
                  <w:pPr>
                    <w:snapToGrid w:val="0"/>
                    <w:jc w:val="center"/>
                    <w:rPr>
                      <w:bCs/>
                      <w:szCs w:val="21"/>
                    </w:rPr>
                  </w:pPr>
                  <w:r>
                    <w:rPr>
                      <w:rFonts w:hint="eastAsia"/>
                      <w:bCs/>
                      <w:szCs w:val="21"/>
                    </w:rPr>
                    <w:t>4</w:t>
                  </w:r>
                  <w:r>
                    <w:rPr>
                      <w:bCs/>
                      <w:szCs w:val="21"/>
                    </w:rPr>
                    <w:t>966505.202</w:t>
                  </w:r>
                </w:p>
              </w:tc>
              <w:tc>
                <w:tcPr>
                  <w:tcW w:w="1678" w:type="dxa"/>
                  <w:vAlign w:val="center"/>
                </w:tcPr>
                <w:p>
                  <w:pPr>
                    <w:snapToGrid w:val="0"/>
                    <w:jc w:val="center"/>
                    <w:rPr>
                      <w:bCs/>
                      <w:szCs w:val="21"/>
                    </w:rPr>
                  </w:pPr>
                  <w:r>
                    <w:rPr>
                      <w:rFonts w:hint="eastAsia"/>
                      <w:bCs/>
                      <w:szCs w:val="21"/>
                    </w:rPr>
                    <w:t>2</w:t>
                  </w:r>
                  <w:r>
                    <w:rPr>
                      <w:bCs/>
                      <w:szCs w:val="21"/>
                    </w:rPr>
                    <w:t>9600025.597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Align w:val="center"/>
                </w:tcPr>
                <w:p>
                  <w:pPr>
                    <w:snapToGrid w:val="0"/>
                    <w:jc w:val="center"/>
                    <w:rPr>
                      <w:bCs/>
                      <w:kern w:val="0"/>
                      <w:szCs w:val="21"/>
                    </w:rPr>
                  </w:pPr>
                  <w:r>
                    <w:rPr>
                      <w:rFonts w:hint="eastAsia"/>
                      <w:bCs/>
                      <w:kern w:val="0"/>
                      <w:szCs w:val="21"/>
                    </w:rPr>
                    <w:t>Z</w:t>
                  </w:r>
                  <w:r>
                    <w:rPr>
                      <w:bCs/>
                      <w:kern w:val="0"/>
                      <w:szCs w:val="21"/>
                    </w:rPr>
                    <w:t>12</w:t>
                  </w:r>
                </w:p>
              </w:tc>
              <w:tc>
                <w:tcPr>
                  <w:tcW w:w="1469" w:type="dxa"/>
                  <w:vAlign w:val="center"/>
                </w:tcPr>
                <w:p>
                  <w:pPr>
                    <w:snapToGrid w:val="0"/>
                    <w:jc w:val="center"/>
                    <w:rPr>
                      <w:bCs/>
                      <w:szCs w:val="21"/>
                    </w:rPr>
                  </w:pPr>
                  <w:r>
                    <w:rPr>
                      <w:rFonts w:hint="eastAsia"/>
                      <w:bCs/>
                      <w:szCs w:val="21"/>
                    </w:rPr>
                    <w:t>4</w:t>
                  </w:r>
                  <w:r>
                    <w:rPr>
                      <w:bCs/>
                      <w:szCs w:val="21"/>
                    </w:rPr>
                    <w:t>966492.785</w:t>
                  </w:r>
                </w:p>
              </w:tc>
              <w:tc>
                <w:tcPr>
                  <w:tcW w:w="1572" w:type="dxa"/>
                  <w:vAlign w:val="center"/>
                </w:tcPr>
                <w:p>
                  <w:pPr>
                    <w:snapToGrid w:val="0"/>
                    <w:jc w:val="center"/>
                    <w:rPr>
                      <w:bCs/>
                      <w:szCs w:val="21"/>
                    </w:rPr>
                  </w:pPr>
                  <w:r>
                    <w:rPr>
                      <w:rFonts w:hint="eastAsia"/>
                      <w:bCs/>
                      <w:szCs w:val="21"/>
                    </w:rPr>
                    <w:t>2</w:t>
                  </w:r>
                  <w:r>
                    <w:rPr>
                      <w:bCs/>
                      <w:szCs w:val="21"/>
                    </w:rPr>
                    <w:t>9600797.210</w:t>
                  </w:r>
                </w:p>
              </w:tc>
              <w:tc>
                <w:tcPr>
                  <w:tcW w:w="845" w:type="dxa"/>
                  <w:vAlign w:val="center"/>
                </w:tcPr>
                <w:p>
                  <w:pPr>
                    <w:snapToGrid w:val="0"/>
                    <w:jc w:val="center"/>
                    <w:rPr>
                      <w:bCs/>
                      <w:kern w:val="0"/>
                      <w:szCs w:val="21"/>
                    </w:rPr>
                  </w:pPr>
                  <w:r>
                    <w:rPr>
                      <w:rFonts w:hint="eastAsia"/>
                      <w:bCs/>
                      <w:kern w:val="0"/>
                      <w:szCs w:val="21"/>
                    </w:rPr>
                    <w:t>Z</w:t>
                  </w:r>
                  <w:r>
                    <w:rPr>
                      <w:bCs/>
                      <w:kern w:val="0"/>
                      <w:szCs w:val="21"/>
                    </w:rPr>
                    <w:t>25</w:t>
                  </w:r>
                </w:p>
              </w:tc>
              <w:tc>
                <w:tcPr>
                  <w:tcW w:w="1565" w:type="dxa"/>
                  <w:vAlign w:val="center"/>
                </w:tcPr>
                <w:p>
                  <w:pPr>
                    <w:snapToGrid w:val="0"/>
                    <w:jc w:val="center"/>
                    <w:rPr>
                      <w:bCs/>
                      <w:szCs w:val="21"/>
                    </w:rPr>
                  </w:pPr>
                  <w:r>
                    <w:rPr>
                      <w:rFonts w:hint="eastAsia"/>
                      <w:bCs/>
                      <w:szCs w:val="21"/>
                    </w:rPr>
                    <w:t>4</w:t>
                  </w:r>
                  <w:r>
                    <w:rPr>
                      <w:bCs/>
                      <w:szCs w:val="21"/>
                    </w:rPr>
                    <w:t>966620.156</w:t>
                  </w:r>
                </w:p>
              </w:tc>
              <w:tc>
                <w:tcPr>
                  <w:tcW w:w="1678" w:type="dxa"/>
                  <w:vAlign w:val="center"/>
                </w:tcPr>
                <w:p>
                  <w:pPr>
                    <w:snapToGrid w:val="0"/>
                    <w:jc w:val="center"/>
                    <w:rPr>
                      <w:bCs/>
                      <w:szCs w:val="21"/>
                    </w:rPr>
                  </w:pPr>
                  <w:r>
                    <w:rPr>
                      <w:rFonts w:hint="eastAsia"/>
                      <w:bCs/>
                      <w:szCs w:val="21"/>
                    </w:rPr>
                    <w:t>2</w:t>
                  </w:r>
                  <w:r>
                    <w:rPr>
                      <w:bCs/>
                      <w:szCs w:val="21"/>
                    </w:rPr>
                    <w:t>9599426.626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Ex>
              <w:trPr>
                <w:jc w:val="center"/>
              </w:trPr>
              <w:tc>
                <w:tcPr>
                  <w:tcW w:w="725" w:type="dxa"/>
                  <w:vAlign w:val="center"/>
                </w:tcPr>
                <w:p>
                  <w:pPr>
                    <w:snapToGrid w:val="0"/>
                    <w:jc w:val="center"/>
                    <w:rPr>
                      <w:bCs/>
                      <w:kern w:val="0"/>
                      <w:szCs w:val="21"/>
                    </w:rPr>
                  </w:pPr>
                  <w:r>
                    <w:rPr>
                      <w:rFonts w:hint="eastAsia"/>
                      <w:bCs/>
                      <w:kern w:val="0"/>
                      <w:szCs w:val="21"/>
                    </w:rPr>
                    <w:t>Z</w:t>
                  </w:r>
                  <w:r>
                    <w:rPr>
                      <w:bCs/>
                      <w:kern w:val="0"/>
                      <w:szCs w:val="21"/>
                    </w:rPr>
                    <w:t>13</w:t>
                  </w:r>
                </w:p>
              </w:tc>
              <w:tc>
                <w:tcPr>
                  <w:tcW w:w="1469" w:type="dxa"/>
                  <w:vAlign w:val="center"/>
                </w:tcPr>
                <w:p>
                  <w:pPr>
                    <w:snapToGrid w:val="0"/>
                    <w:jc w:val="center"/>
                    <w:rPr>
                      <w:bCs/>
                      <w:szCs w:val="21"/>
                    </w:rPr>
                  </w:pPr>
                  <w:r>
                    <w:rPr>
                      <w:rFonts w:hint="eastAsia"/>
                      <w:bCs/>
                      <w:szCs w:val="21"/>
                    </w:rPr>
                    <w:t>4</w:t>
                  </w:r>
                  <w:r>
                    <w:rPr>
                      <w:bCs/>
                      <w:szCs w:val="21"/>
                    </w:rPr>
                    <w:t>966234.800</w:t>
                  </w:r>
                </w:p>
              </w:tc>
              <w:tc>
                <w:tcPr>
                  <w:tcW w:w="1572" w:type="dxa"/>
                  <w:vAlign w:val="center"/>
                </w:tcPr>
                <w:p>
                  <w:pPr>
                    <w:snapToGrid w:val="0"/>
                    <w:jc w:val="center"/>
                    <w:rPr>
                      <w:bCs/>
                      <w:szCs w:val="21"/>
                    </w:rPr>
                  </w:pPr>
                  <w:r>
                    <w:rPr>
                      <w:rFonts w:hint="eastAsia"/>
                      <w:bCs/>
                      <w:szCs w:val="21"/>
                    </w:rPr>
                    <w:t>2</w:t>
                  </w:r>
                  <w:r>
                    <w:rPr>
                      <w:bCs/>
                      <w:szCs w:val="21"/>
                    </w:rPr>
                    <w:t>9600643.979</w:t>
                  </w:r>
                </w:p>
              </w:tc>
              <w:tc>
                <w:tcPr>
                  <w:tcW w:w="845" w:type="dxa"/>
                </w:tcPr>
                <w:p>
                  <w:pPr>
                    <w:snapToGrid w:val="0"/>
                    <w:jc w:val="center"/>
                    <w:rPr>
                      <w:bCs/>
                      <w:szCs w:val="21"/>
                    </w:rPr>
                  </w:pPr>
                </w:p>
              </w:tc>
              <w:tc>
                <w:tcPr>
                  <w:tcW w:w="1565" w:type="dxa"/>
                  <w:vAlign w:val="center"/>
                </w:tcPr>
                <w:p>
                  <w:pPr>
                    <w:snapToGrid w:val="0"/>
                    <w:jc w:val="center"/>
                    <w:rPr>
                      <w:bCs/>
                      <w:szCs w:val="21"/>
                    </w:rPr>
                  </w:pPr>
                </w:p>
              </w:tc>
              <w:tc>
                <w:tcPr>
                  <w:tcW w:w="1678" w:type="dxa"/>
                  <w:vAlign w:val="center"/>
                </w:tcPr>
                <w:p>
                  <w:pPr>
                    <w:snapToGrid w:val="0"/>
                    <w:jc w:val="center"/>
                    <w:rPr>
                      <w:bCs/>
                      <w:szCs w:val="21"/>
                    </w:rPr>
                  </w:pPr>
                </w:p>
              </w:tc>
            </w:tr>
          </w:tbl>
          <w:p>
            <w:pPr>
              <w:spacing w:line="500" w:lineRule="exact"/>
              <w:ind w:firstLine="480" w:firstLineChars="200"/>
              <w:rPr>
                <w:sz w:val="24"/>
              </w:rPr>
            </w:pPr>
            <w:r>
              <w:rPr>
                <w:rFonts w:hint="eastAsia"/>
                <w:sz w:val="24"/>
              </w:rPr>
              <w:t>（</w:t>
            </w:r>
            <w:r>
              <w:rPr>
                <w:sz w:val="24"/>
              </w:rPr>
              <w:t>2</w:t>
            </w:r>
            <w:r>
              <w:rPr>
                <w:rFonts w:hint="eastAsia"/>
                <w:sz w:val="24"/>
              </w:rPr>
              <w:t>）矿区资源储量</w:t>
            </w:r>
          </w:p>
          <w:p>
            <w:pPr>
              <w:adjustRightInd w:val="0"/>
              <w:snapToGrid w:val="0"/>
              <w:spacing w:line="520" w:lineRule="exact"/>
              <w:ind w:firstLine="480" w:firstLineChars="200"/>
              <w:rPr>
                <w:sz w:val="24"/>
              </w:rPr>
            </w:pPr>
            <w:r>
              <w:rPr>
                <w:rFonts w:hint="eastAsia"/>
                <w:sz w:val="24"/>
              </w:rPr>
              <w:t>控制资源量+推断资源量：矿石量4</w:t>
            </w:r>
            <w:r>
              <w:rPr>
                <w:sz w:val="24"/>
              </w:rPr>
              <w:t>072.37</w:t>
            </w:r>
            <w:r>
              <w:rPr>
                <w:rFonts w:hint="eastAsia"/>
                <w:sz w:val="24"/>
              </w:rPr>
              <w:t>万t，其中：控制资源量：矿石量2</w:t>
            </w:r>
            <w:r>
              <w:rPr>
                <w:sz w:val="24"/>
              </w:rPr>
              <w:t>184.47</w:t>
            </w:r>
            <w:r>
              <w:rPr>
                <w:rFonts w:hint="eastAsia"/>
                <w:sz w:val="24"/>
              </w:rPr>
              <w:t>万t，占资源总量5</w:t>
            </w:r>
            <w:r>
              <w:rPr>
                <w:sz w:val="24"/>
              </w:rPr>
              <w:t>3.64</w:t>
            </w:r>
            <w:r>
              <w:rPr>
                <w:rFonts w:hint="eastAsia"/>
                <w:sz w:val="24"/>
              </w:rPr>
              <w:t>%，可用石英砂量1</w:t>
            </w:r>
            <w:r>
              <w:rPr>
                <w:sz w:val="24"/>
              </w:rPr>
              <w:t>236.63</w:t>
            </w:r>
            <w:r>
              <w:rPr>
                <w:rFonts w:hint="eastAsia"/>
                <w:sz w:val="24"/>
              </w:rPr>
              <w:t>万t，含量占比5</w:t>
            </w:r>
            <w:r>
              <w:rPr>
                <w:sz w:val="24"/>
              </w:rPr>
              <w:t>6.61</w:t>
            </w:r>
            <w:r>
              <w:rPr>
                <w:rFonts w:hint="eastAsia"/>
                <w:sz w:val="24"/>
              </w:rPr>
              <w:t>%；推断资源量：矿石量1</w:t>
            </w:r>
            <w:r>
              <w:rPr>
                <w:sz w:val="24"/>
              </w:rPr>
              <w:t>877.90</w:t>
            </w:r>
            <w:r>
              <w:rPr>
                <w:rFonts w:hint="eastAsia"/>
                <w:sz w:val="24"/>
              </w:rPr>
              <w:t>万t，占资源总量4</w:t>
            </w:r>
            <w:r>
              <w:rPr>
                <w:sz w:val="24"/>
              </w:rPr>
              <w:t>6.36</w:t>
            </w:r>
            <w:r>
              <w:rPr>
                <w:rFonts w:hint="eastAsia"/>
                <w:sz w:val="24"/>
              </w:rPr>
              <w:t>%，可用石英砂量1</w:t>
            </w:r>
            <w:r>
              <w:rPr>
                <w:sz w:val="24"/>
              </w:rPr>
              <w:t>088.56</w:t>
            </w:r>
            <w:r>
              <w:rPr>
                <w:rFonts w:hint="eastAsia"/>
                <w:sz w:val="24"/>
              </w:rPr>
              <w:t>万t，含量占比5</w:t>
            </w:r>
            <w:r>
              <w:rPr>
                <w:sz w:val="24"/>
              </w:rPr>
              <w:t>7.66</w:t>
            </w:r>
            <w:r>
              <w:rPr>
                <w:rFonts w:hint="eastAsia"/>
                <w:sz w:val="24"/>
              </w:rPr>
              <w:t>%。</w:t>
            </w:r>
          </w:p>
          <w:p>
            <w:pPr>
              <w:adjustRightInd w:val="0"/>
              <w:snapToGrid w:val="0"/>
              <w:spacing w:line="520" w:lineRule="exact"/>
              <w:ind w:firstLine="480" w:firstLineChars="200"/>
              <w:rPr>
                <w:sz w:val="24"/>
              </w:rPr>
            </w:pPr>
            <w:r>
              <w:rPr>
                <w:rFonts w:hint="eastAsia"/>
                <w:sz w:val="24"/>
              </w:rPr>
              <w:t>（</w:t>
            </w:r>
            <w:r>
              <w:rPr>
                <w:sz w:val="24"/>
              </w:rPr>
              <w:t>3</w:t>
            </w:r>
            <w:r>
              <w:rPr>
                <w:rFonts w:hint="eastAsia"/>
                <w:sz w:val="24"/>
              </w:rPr>
              <w:t>）服务年限</w:t>
            </w:r>
          </w:p>
          <w:p>
            <w:pPr>
              <w:adjustRightInd w:val="0"/>
              <w:snapToGrid w:val="0"/>
              <w:spacing w:line="520" w:lineRule="exact"/>
              <w:ind w:firstLine="480" w:firstLineChars="200"/>
              <w:rPr>
                <w:sz w:val="24"/>
              </w:rPr>
            </w:pPr>
            <w:r>
              <w:rPr>
                <w:rFonts w:hint="eastAsia"/>
                <w:sz w:val="24"/>
              </w:rPr>
              <w:t>根据《新疆阜康市规划四号石英砂矿采矿权出让收益评估报告》，评估可采储量为3</w:t>
            </w:r>
            <w:r>
              <w:rPr>
                <w:sz w:val="24"/>
              </w:rPr>
              <w:t>605.09</w:t>
            </w:r>
            <w:r>
              <w:rPr>
                <w:rFonts w:hint="eastAsia"/>
                <w:sz w:val="24"/>
              </w:rPr>
              <w:t>万t（可采储量=（评估利用资源储量-设计损失量）×采矿回采率=（</w:t>
            </w:r>
            <w:r>
              <w:rPr>
                <w:sz w:val="24"/>
              </w:rPr>
              <w:t>4072.37-277.54</w:t>
            </w:r>
            <w:r>
              <w:rPr>
                <w:rFonts w:hint="eastAsia"/>
                <w:sz w:val="24"/>
              </w:rPr>
              <w:t>）×9</w:t>
            </w:r>
            <w:r>
              <w:rPr>
                <w:sz w:val="24"/>
              </w:rPr>
              <w:t>5</w:t>
            </w:r>
            <w:r>
              <w:rPr>
                <w:rFonts w:hint="eastAsia"/>
                <w:sz w:val="24"/>
              </w:rPr>
              <w:t>%=</w:t>
            </w:r>
            <w:r>
              <w:rPr>
                <w:sz w:val="24"/>
              </w:rPr>
              <w:t>3605.09</w:t>
            </w:r>
            <w:r>
              <w:rPr>
                <w:rFonts w:hint="eastAsia"/>
                <w:sz w:val="24"/>
              </w:rPr>
              <w:t>万t），项目开发利用方案生产规模按1</w:t>
            </w:r>
            <w:r>
              <w:rPr>
                <w:sz w:val="24"/>
              </w:rPr>
              <w:t>80</w:t>
            </w:r>
            <w:r>
              <w:rPr>
                <w:rFonts w:hint="eastAsia"/>
                <w:sz w:val="24"/>
              </w:rPr>
              <w:t>万t</w:t>
            </w:r>
            <w:r>
              <w:rPr>
                <w:sz w:val="24"/>
              </w:rPr>
              <w:t>/</w:t>
            </w:r>
            <w:r>
              <w:rPr>
                <w:rFonts w:hint="eastAsia"/>
                <w:sz w:val="24"/>
              </w:rPr>
              <w:t>a计算，故全矿区服务年限2</w:t>
            </w:r>
            <w:r>
              <w:rPr>
                <w:sz w:val="24"/>
              </w:rPr>
              <w:t>0.03</w:t>
            </w:r>
            <w:r>
              <w:rPr>
                <w:rFonts w:hint="eastAsia"/>
                <w:sz w:val="24"/>
              </w:rPr>
              <w:t>年，首采区服务年限8</w:t>
            </w:r>
            <w:r>
              <w:rPr>
                <w:sz w:val="24"/>
              </w:rPr>
              <w:t>.61</w:t>
            </w:r>
            <w:r>
              <w:rPr>
                <w:rFonts w:hint="eastAsia"/>
                <w:sz w:val="24"/>
              </w:rPr>
              <w:t>年。</w:t>
            </w:r>
          </w:p>
          <w:p>
            <w:pPr>
              <w:spacing w:line="500" w:lineRule="exact"/>
              <w:ind w:firstLine="480" w:firstLineChars="200"/>
              <w:rPr>
                <w:sz w:val="24"/>
              </w:rPr>
            </w:pPr>
            <w:r>
              <w:rPr>
                <w:rFonts w:hint="eastAsia"/>
                <w:sz w:val="24"/>
              </w:rPr>
              <w:t>（</w:t>
            </w:r>
            <w:r>
              <w:rPr>
                <w:sz w:val="24"/>
              </w:rPr>
              <w:t>4</w:t>
            </w:r>
            <w:r>
              <w:rPr>
                <w:rFonts w:hint="eastAsia"/>
                <w:sz w:val="24"/>
              </w:rPr>
              <w:t>）主要产品</w:t>
            </w:r>
          </w:p>
          <w:p>
            <w:pPr>
              <w:adjustRightInd w:val="0"/>
              <w:snapToGrid w:val="0"/>
              <w:spacing w:line="520" w:lineRule="exact"/>
              <w:ind w:firstLine="480" w:firstLineChars="200"/>
              <w:rPr>
                <w:sz w:val="24"/>
              </w:rPr>
            </w:pPr>
            <w:r>
              <w:rPr>
                <w:rFonts w:hint="eastAsia"/>
                <w:sz w:val="24"/>
              </w:rPr>
              <w:t>矿区主要产品为石英砂，开采出的石英砂原矿全部拉运至阜康产业园阜西区新疆世纪能源化工有限公司世纪能源装备新材料产业园项目现有石英砂加工生产线进行加工。具体产品方案见表2-</w:t>
            </w:r>
            <w:r>
              <w:rPr>
                <w:sz w:val="24"/>
              </w:rPr>
              <w:t>4</w:t>
            </w:r>
            <w:r>
              <w:rPr>
                <w:rFonts w:hint="eastAsia"/>
                <w:sz w:val="24"/>
              </w:rPr>
              <w:t>。</w:t>
            </w:r>
          </w:p>
          <w:p>
            <w:pPr>
              <w:pStyle w:val="55"/>
              <w:spacing w:line="240" w:lineRule="auto"/>
              <w:ind w:firstLine="480"/>
              <w:jc w:val="center"/>
              <w:rPr>
                <w:rFonts w:hAnsi="Times New Roman" w:eastAsia="黑体"/>
                <w:b w:val="0"/>
                <w:bCs w:val="0"/>
                <w:color w:val="auto"/>
                <w:szCs w:val="24"/>
              </w:rPr>
            </w:pPr>
            <w:r>
              <w:rPr>
                <w:rFonts w:hAnsi="Times New Roman" w:eastAsia="黑体"/>
                <w:b w:val="0"/>
                <w:bCs w:val="0"/>
                <w:color w:val="auto"/>
                <w:szCs w:val="24"/>
              </w:rPr>
              <w:t>表</w:t>
            </w:r>
            <w:r>
              <w:rPr>
                <w:rFonts w:hint="eastAsia" w:hAnsi="Times New Roman" w:eastAsia="黑体"/>
                <w:b w:val="0"/>
                <w:bCs w:val="0"/>
                <w:color w:val="auto"/>
                <w:szCs w:val="24"/>
              </w:rPr>
              <w:t>2-</w:t>
            </w:r>
            <w:r>
              <w:rPr>
                <w:rFonts w:hAnsi="Times New Roman" w:eastAsia="黑体"/>
                <w:b w:val="0"/>
                <w:bCs w:val="0"/>
                <w:color w:val="auto"/>
                <w:szCs w:val="24"/>
              </w:rPr>
              <w:t>4    项目产品方案</w:t>
            </w:r>
          </w:p>
          <w:tbl>
            <w:tblPr>
              <w:tblStyle w:val="31"/>
              <w:tblW w:w="7854"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46"/>
              <w:gridCol w:w="3281"/>
              <w:gridCol w:w="302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1546" w:type="dxa"/>
                </w:tcPr>
                <w:p>
                  <w:pPr>
                    <w:pStyle w:val="23"/>
                    <w:spacing w:line="240" w:lineRule="auto"/>
                    <w:ind w:firstLine="0"/>
                    <w:jc w:val="center"/>
                    <w:rPr>
                      <w:sz w:val="21"/>
                      <w:szCs w:val="21"/>
                    </w:rPr>
                  </w:pPr>
                  <w:r>
                    <w:rPr>
                      <w:rFonts w:hAnsi="宋体"/>
                      <w:sz w:val="21"/>
                      <w:szCs w:val="21"/>
                    </w:rPr>
                    <w:t>序号</w:t>
                  </w:r>
                </w:p>
              </w:tc>
              <w:tc>
                <w:tcPr>
                  <w:tcW w:w="3281" w:type="dxa"/>
                </w:tcPr>
                <w:p>
                  <w:pPr>
                    <w:pStyle w:val="23"/>
                    <w:spacing w:line="240" w:lineRule="auto"/>
                    <w:ind w:firstLine="0"/>
                    <w:jc w:val="center"/>
                    <w:rPr>
                      <w:sz w:val="21"/>
                      <w:szCs w:val="21"/>
                    </w:rPr>
                  </w:pPr>
                  <w:r>
                    <w:rPr>
                      <w:rFonts w:hAnsi="宋体"/>
                      <w:sz w:val="21"/>
                      <w:szCs w:val="21"/>
                    </w:rPr>
                    <w:t>产品名称</w:t>
                  </w:r>
                </w:p>
              </w:tc>
              <w:tc>
                <w:tcPr>
                  <w:tcW w:w="3027" w:type="dxa"/>
                </w:tcPr>
                <w:p>
                  <w:pPr>
                    <w:pStyle w:val="23"/>
                    <w:spacing w:line="240" w:lineRule="auto"/>
                    <w:ind w:firstLine="0"/>
                    <w:jc w:val="center"/>
                    <w:rPr>
                      <w:sz w:val="21"/>
                      <w:szCs w:val="21"/>
                    </w:rPr>
                  </w:pPr>
                  <w:r>
                    <w:rPr>
                      <w:rFonts w:hAnsi="宋体"/>
                      <w:sz w:val="21"/>
                      <w:szCs w:val="21"/>
                    </w:rPr>
                    <w:t>年产量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546" w:type="dxa"/>
                </w:tcPr>
                <w:p>
                  <w:pPr>
                    <w:pStyle w:val="23"/>
                    <w:spacing w:line="240" w:lineRule="auto"/>
                    <w:ind w:firstLine="0"/>
                    <w:jc w:val="center"/>
                    <w:rPr>
                      <w:sz w:val="21"/>
                      <w:szCs w:val="21"/>
                    </w:rPr>
                  </w:pPr>
                  <w:r>
                    <w:rPr>
                      <w:sz w:val="21"/>
                      <w:szCs w:val="21"/>
                    </w:rPr>
                    <w:t>1</w:t>
                  </w:r>
                </w:p>
              </w:tc>
              <w:tc>
                <w:tcPr>
                  <w:tcW w:w="3281" w:type="dxa"/>
                </w:tcPr>
                <w:p>
                  <w:pPr>
                    <w:pStyle w:val="23"/>
                    <w:spacing w:line="240" w:lineRule="auto"/>
                    <w:ind w:firstLine="0"/>
                    <w:jc w:val="center"/>
                    <w:rPr>
                      <w:sz w:val="21"/>
                      <w:szCs w:val="21"/>
                    </w:rPr>
                  </w:pPr>
                  <w:r>
                    <w:rPr>
                      <w:rFonts w:hint="eastAsia"/>
                      <w:sz w:val="21"/>
                      <w:szCs w:val="21"/>
                    </w:rPr>
                    <w:t>石英砂</w:t>
                  </w:r>
                </w:p>
              </w:tc>
              <w:tc>
                <w:tcPr>
                  <w:tcW w:w="3027" w:type="dxa"/>
                </w:tcPr>
                <w:p>
                  <w:pPr>
                    <w:pStyle w:val="23"/>
                    <w:spacing w:line="240" w:lineRule="auto"/>
                    <w:ind w:firstLine="0"/>
                    <w:jc w:val="center"/>
                    <w:rPr>
                      <w:sz w:val="21"/>
                      <w:szCs w:val="21"/>
                    </w:rPr>
                  </w:pPr>
                  <w:r>
                    <w:rPr>
                      <w:sz w:val="21"/>
                      <w:szCs w:val="21"/>
                    </w:rPr>
                    <w:t>180</w:t>
                  </w:r>
                  <w:r>
                    <w:rPr>
                      <w:rFonts w:hint="eastAsia"/>
                      <w:sz w:val="21"/>
                      <w:szCs w:val="21"/>
                    </w:rPr>
                    <w:t>万t</w:t>
                  </w:r>
                </w:p>
              </w:tc>
            </w:tr>
          </w:tbl>
          <w:p>
            <w:pPr>
              <w:spacing w:line="500" w:lineRule="exact"/>
              <w:ind w:firstLine="480" w:firstLineChars="200"/>
              <w:rPr>
                <w:sz w:val="24"/>
              </w:rPr>
            </w:pPr>
            <w:r>
              <w:rPr>
                <w:rFonts w:hint="eastAsia"/>
                <w:sz w:val="24"/>
              </w:rPr>
              <w:t>（4）开采技术条件及方式</w:t>
            </w:r>
          </w:p>
          <w:p>
            <w:pPr>
              <w:spacing w:line="500" w:lineRule="exact"/>
              <w:ind w:firstLine="480" w:firstLineChars="200"/>
              <w:rPr>
                <w:sz w:val="24"/>
              </w:rPr>
            </w:pPr>
            <w:r>
              <w:rPr>
                <w:rFonts w:hint="eastAsia" w:ascii="仿宋" w:hAnsi="仿宋" w:eastAsia="仿宋"/>
                <w:sz w:val="24"/>
              </w:rPr>
              <w:t>①</w:t>
            </w:r>
            <w:r>
              <w:rPr>
                <w:rFonts w:hint="eastAsia"/>
                <w:sz w:val="24"/>
              </w:rPr>
              <w:t>矿区水文地质：主要矿体位于最低侵蚀基准面和地下水位以上，矿区及附近无地表水体。主要充水因素为大气降水。确定矿床水文地质条件简单。</w:t>
            </w:r>
          </w:p>
          <w:p>
            <w:pPr>
              <w:spacing w:line="500" w:lineRule="exact"/>
              <w:ind w:firstLine="480" w:firstLineChars="200"/>
              <w:rPr>
                <w:sz w:val="24"/>
              </w:rPr>
            </w:pPr>
            <w:r>
              <w:rPr>
                <w:rFonts w:hint="eastAsia" w:ascii="仿宋" w:hAnsi="仿宋" w:eastAsia="仿宋"/>
                <w:sz w:val="24"/>
              </w:rPr>
              <w:t>②</w:t>
            </w:r>
            <w:r>
              <w:rPr>
                <w:rFonts w:hint="eastAsia"/>
                <w:sz w:val="24"/>
              </w:rPr>
              <w:t>工程地质：矿区地形地貌简单，构造不发育，矿体围岩为风成砂，为松散岩类。建议最终边坡角应小于</w:t>
            </w:r>
            <w:r>
              <w:rPr>
                <w:sz w:val="24"/>
              </w:rPr>
              <w:t>30°</w:t>
            </w:r>
            <w:r>
              <w:rPr>
                <w:rFonts w:hint="eastAsia"/>
                <w:sz w:val="24"/>
              </w:rPr>
              <w:t>。露采主要问题是可能产生滑塌、垮塌地等工程地质问题，要加强边坡管理，采取必要的防护措施。确定矿床属松散岩类，工程地质条件中等。</w:t>
            </w:r>
          </w:p>
          <w:p>
            <w:pPr>
              <w:spacing w:line="500" w:lineRule="exact"/>
              <w:ind w:firstLine="480" w:firstLineChars="200"/>
              <w:rPr>
                <w:sz w:val="24"/>
              </w:rPr>
            </w:pPr>
            <w:r>
              <w:rPr>
                <w:rFonts w:hint="eastAsia" w:ascii="仿宋" w:hAnsi="仿宋" w:eastAsia="仿宋"/>
                <w:sz w:val="24"/>
              </w:rPr>
              <w:t>③</w:t>
            </w:r>
            <w:r>
              <w:rPr>
                <w:rFonts w:hint="eastAsia"/>
                <w:sz w:val="24"/>
              </w:rPr>
              <w:t>环境地质矿区属基本稳定区，现状地质灾害不发育。采矿将产生地表变形和粉尘污染，对地质环境有一定破坏。无放射性危害。矿石和废石化学成分基本稳定。确定矿床地质环境质量中等。</w:t>
            </w:r>
          </w:p>
          <w:p>
            <w:pPr>
              <w:spacing w:line="520" w:lineRule="exact"/>
              <w:ind w:firstLine="480" w:firstLineChars="200"/>
              <w:rPr>
                <w:sz w:val="24"/>
              </w:rPr>
            </w:pPr>
            <w:r>
              <w:rPr>
                <w:rFonts w:hint="eastAsia"/>
                <w:sz w:val="24"/>
              </w:rPr>
              <w:t>根据矿体开采技术条件结合开采状况，设计采用露天开采方式，开拓方案为公路开拓，汽车运输方案。采用自上而下、水平分层台阶式开采，采矿回采率9</w:t>
            </w:r>
            <w:r>
              <w:rPr>
                <w:sz w:val="24"/>
              </w:rPr>
              <w:t>5</w:t>
            </w:r>
            <w:r>
              <w:rPr>
                <w:rFonts w:hint="eastAsia"/>
                <w:sz w:val="24"/>
              </w:rPr>
              <w:t>%。</w:t>
            </w:r>
          </w:p>
          <w:p>
            <w:pPr>
              <w:spacing w:line="520" w:lineRule="exact"/>
              <w:ind w:firstLine="480" w:firstLineChars="200"/>
              <w:rPr>
                <w:sz w:val="24"/>
              </w:rPr>
            </w:pPr>
            <w:r>
              <w:rPr>
                <w:rFonts w:hint="eastAsia"/>
                <w:sz w:val="24"/>
              </w:rPr>
              <w:t>（5）露天开采境界参数</w:t>
            </w:r>
          </w:p>
          <w:p>
            <w:pPr>
              <w:spacing w:line="520" w:lineRule="exact"/>
              <w:ind w:firstLine="480" w:firstLineChars="200"/>
              <w:rPr>
                <w:sz w:val="24"/>
              </w:rPr>
            </w:pPr>
            <w:r>
              <w:rPr>
                <w:rFonts w:hint="eastAsia"/>
                <w:sz w:val="24"/>
              </w:rPr>
              <w:t>矿体呈层状分布，为第四系冲洪积含砂砾石层，埋藏较浅，矿体规模及厚度稳定。矿层岩性结构疏松，易于剥采，矿体开采不需要爆破，可由挖掘机直接挖采，开采条件属简单类型。根据矿岩性质及最终开采深度，依据采矿设计手册并参照国内同类矿山帮坡现状及核实报告建议的最终帮坡角，设计采用类比法确定最终帮坡参数。设计确定最终台阶高度</w:t>
            </w:r>
            <w:r>
              <w:rPr>
                <w:sz w:val="24"/>
              </w:rPr>
              <w:t>10</w:t>
            </w:r>
            <w:r>
              <w:rPr>
                <w:rFonts w:hint="eastAsia"/>
                <w:sz w:val="24"/>
              </w:rPr>
              <w:t>m，最终台阶坡面角不大于</w:t>
            </w:r>
            <w:r>
              <w:rPr>
                <w:sz w:val="24"/>
              </w:rPr>
              <w:t>30°</w:t>
            </w:r>
            <w:r>
              <w:rPr>
                <w:rFonts w:hint="eastAsia"/>
                <w:sz w:val="24"/>
              </w:rPr>
              <w:t>，安全及清扫平台合并，宽度为</w:t>
            </w:r>
            <w:r>
              <w:rPr>
                <w:sz w:val="24"/>
              </w:rPr>
              <w:t>6</w:t>
            </w:r>
            <w:r>
              <w:rPr>
                <w:rFonts w:hint="eastAsia"/>
                <w:sz w:val="24"/>
              </w:rPr>
              <w:t>m，采场底部最小宽度</w:t>
            </w:r>
            <w:r>
              <w:rPr>
                <w:sz w:val="24"/>
              </w:rPr>
              <w:t>30</w:t>
            </w:r>
            <w:r>
              <w:rPr>
                <w:rFonts w:hint="eastAsia"/>
                <w:sz w:val="24"/>
              </w:rPr>
              <w:t>m，采场内固定坑线底宽</w:t>
            </w:r>
            <w:r>
              <w:rPr>
                <w:sz w:val="24"/>
              </w:rPr>
              <w:t>8</w:t>
            </w:r>
            <w:r>
              <w:rPr>
                <w:rFonts w:hint="eastAsia"/>
                <w:sz w:val="24"/>
              </w:rPr>
              <w:t>m、纵坡不大于</w:t>
            </w:r>
            <w:r>
              <w:rPr>
                <w:sz w:val="24"/>
              </w:rPr>
              <w:t>8%</w:t>
            </w:r>
            <w:r>
              <w:rPr>
                <w:rFonts w:hint="eastAsia"/>
                <w:sz w:val="24"/>
              </w:rPr>
              <w:t>，最终帮坡角不大于</w:t>
            </w:r>
            <w:r>
              <w:rPr>
                <w:sz w:val="24"/>
              </w:rPr>
              <w:t>24°</w:t>
            </w:r>
            <w:r>
              <w:rPr>
                <w:rFonts w:hint="eastAsia"/>
                <w:sz w:val="24"/>
              </w:rPr>
              <w:t>。</w:t>
            </w:r>
          </w:p>
          <w:p>
            <w:pPr>
              <w:spacing w:line="520" w:lineRule="exact"/>
              <w:ind w:firstLine="480" w:firstLineChars="200"/>
              <w:rPr>
                <w:sz w:val="24"/>
              </w:rPr>
            </w:pPr>
            <w:r>
              <w:rPr>
                <w:rFonts w:hint="eastAsia"/>
                <w:sz w:val="24"/>
              </w:rPr>
              <w:t>矿区范围内只有一个石英砂矿体，设计圈定为一个开采境界并设置首采区。设计露天采场首采区境界要素见表</w:t>
            </w:r>
            <w:r>
              <w:rPr>
                <w:sz w:val="24"/>
              </w:rPr>
              <w:t>2-5</w:t>
            </w:r>
            <w:r>
              <w:rPr>
                <w:rFonts w:hint="eastAsia"/>
                <w:sz w:val="24"/>
              </w:rPr>
              <w:t>。</w:t>
            </w:r>
          </w:p>
          <w:p>
            <w:pPr>
              <w:pStyle w:val="55"/>
              <w:spacing w:line="240" w:lineRule="auto"/>
              <w:ind w:firstLine="480"/>
              <w:jc w:val="center"/>
              <w:rPr>
                <w:rFonts w:hAnsi="Times New Roman" w:eastAsia="黑体"/>
                <w:b w:val="0"/>
                <w:bCs w:val="0"/>
                <w:color w:val="auto"/>
                <w:szCs w:val="24"/>
              </w:rPr>
            </w:pPr>
            <w:r>
              <w:rPr>
                <w:rFonts w:hAnsi="Times New Roman" w:eastAsia="黑体"/>
                <w:b w:val="0"/>
                <w:bCs w:val="0"/>
                <w:color w:val="auto"/>
                <w:szCs w:val="24"/>
              </w:rPr>
              <w:t>表</w:t>
            </w:r>
            <w:r>
              <w:rPr>
                <w:rFonts w:hint="eastAsia" w:hAnsi="Times New Roman" w:eastAsia="黑体"/>
                <w:b w:val="0"/>
                <w:bCs w:val="0"/>
                <w:color w:val="auto"/>
                <w:szCs w:val="24"/>
              </w:rPr>
              <w:t>2-</w:t>
            </w:r>
            <w:r>
              <w:rPr>
                <w:rFonts w:hAnsi="Times New Roman" w:eastAsia="黑体"/>
                <w:b w:val="0"/>
                <w:bCs w:val="0"/>
                <w:color w:val="auto"/>
                <w:szCs w:val="24"/>
              </w:rPr>
              <w:t>5</w:t>
            </w:r>
            <w:r>
              <w:rPr>
                <w:rFonts w:hint="eastAsia" w:hAnsi="Times New Roman" w:eastAsia="黑体"/>
                <w:b w:val="0"/>
                <w:bCs w:val="0"/>
                <w:color w:val="auto"/>
                <w:szCs w:val="24"/>
              </w:rPr>
              <w:t xml:space="preserve">    </w:t>
            </w:r>
            <w:r>
              <w:rPr>
                <w:rFonts w:hAnsi="Times New Roman" w:eastAsia="黑体"/>
                <w:b w:val="0"/>
                <w:bCs w:val="0"/>
                <w:color w:val="auto"/>
                <w:szCs w:val="24"/>
              </w:rPr>
              <w:t>露天开采</w:t>
            </w:r>
            <w:r>
              <w:rPr>
                <w:rFonts w:hint="eastAsia" w:hAnsi="Times New Roman" w:eastAsia="黑体"/>
                <w:b w:val="0"/>
                <w:bCs w:val="0"/>
                <w:color w:val="auto"/>
                <w:szCs w:val="24"/>
              </w:rPr>
              <w:t>场首采区开采</w:t>
            </w:r>
            <w:r>
              <w:rPr>
                <w:rFonts w:hAnsi="Times New Roman" w:eastAsia="黑体"/>
                <w:b w:val="0"/>
                <w:bCs w:val="0"/>
                <w:color w:val="auto"/>
                <w:szCs w:val="24"/>
              </w:rPr>
              <w:t>境界圈定参数表</w:t>
            </w:r>
          </w:p>
          <w:tbl>
            <w:tblPr>
              <w:tblStyle w:val="31"/>
              <w:tblW w:w="785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351"/>
              <w:gridCol w:w="558"/>
              <w:gridCol w:w="498"/>
              <w:gridCol w:w="36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834" w:type="dxa"/>
                  <w:vAlign w:val="center"/>
                </w:tcPr>
                <w:p>
                  <w:pPr>
                    <w:jc w:val="center"/>
                    <w:rPr>
                      <w:szCs w:val="21"/>
                    </w:rPr>
                  </w:pPr>
                  <w:r>
                    <w:rPr>
                      <w:szCs w:val="21"/>
                    </w:rPr>
                    <w:t>序号</w:t>
                  </w:r>
                </w:p>
              </w:tc>
              <w:tc>
                <w:tcPr>
                  <w:tcW w:w="2351" w:type="dxa"/>
                  <w:vAlign w:val="center"/>
                </w:tcPr>
                <w:p>
                  <w:pPr>
                    <w:jc w:val="center"/>
                    <w:rPr>
                      <w:szCs w:val="21"/>
                    </w:rPr>
                  </w:pPr>
                  <w:r>
                    <w:rPr>
                      <w:szCs w:val="21"/>
                    </w:rPr>
                    <w:t>开采境界要素</w:t>
                  </w:r>
                </w:p>
              </w:tc>
              <w:tc>
                <w:tcPr>
                  <w:tcW w:w="1056" w:type="dxa"/>
                  <w:gridSpan w:val="2"/>
                  <w:vAlign w:val="center"/>
                </w:tcPr>
                <w:p>
                  <w:pPr>
                    <w:jc w:val="center"/>
                    <w:rPr>
                      <w:szCs w:val="21"/>
                    </w:rPr>
                  </w:pPr>
                  <w:r>
                    <w:rPr>
                      <w:szCs w:val="21"/>
                    </w:rPr>
                    <w:t>单位</w:t>
                  </w:r>
                </w:p>
              </w:tc>
              <w:tc>
                <w:tcPr>
                  <w:tcW w:w="3613" w:type="dxa"/>
                  <w:vAlign w:val="center"/>
                </w:tcPr>
                <w:p>
                  <w:pPr>
                    <w:jc w:val="center"/>
                    <w:rPr>
                      <w:szCs w:val="21"/>
                    </w:rPr>
                  </w:pPr>
                  <w:r>
                    <w:rPr>
                      <w:szCs w:val="21"/>
                    </w:rPr>
                    <w:t>参数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834" w:type="dxa"/>
                  <w:vAlign w:val="center"/>
                </w:tcPr>
                <w:p>
                  <w:pPr>
                    <w:jc w:val="center"/>
                    <w:rPr>
                      <w:szCs w:val="21"/>
                    </w:rPr>
                  </w:pPr>
                  <w:r>
                    <w:rPr>
                      <w:szCs w:val="21"/>
                    </w:rPr>
                    <w:t>1</w:t>
                  </w:r>
                </w:p>
              </w:tc>
              <w:tc>
                <w:tcPr>
                  <w:tcW w:w="2351" w:type="dxa"/>
                  <w:vAlign w:val="center"/>
                </w:tcPr>
                <w:p>
                  <w:pPr>
                    <w:jc w:val="center"/>
                    <w:rPr>
                      <w:szCs w:val="21"/>
                    </w:rPr>
                  </w:pPr>
                  <w:r>
                    <w:rPr>
                      <w:szCs w:val="21"/>
                    </w:rPr>
                    <w:t>最高开采标高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655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2</w:t>
                  </w:r>
                </w:p>
              </w:tc>
              <w:tc>
                <w:tcPr>
                  <w:tcW w:w="2351" w:type="dxa"/>
                  <w:vAlign w:val="center"/>
                </w:tcPr>
                <w:p>
                  <w:pPr>
                    <w:jc w:val="center"/>
                    <w:rPr>
                      <w:szCs w:val="21"/>
                    </w:rPr>
                  </w:pPr>
                  <w:r>
                    <w:rPr>
                      <w:szCs w:val="21"/>
                    </w:rPr>
                    <w:t>最低开采标高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620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3</w:t>
                  </w:r>
                </w:p>
              </w:tc>
              <w:tc>
                <w:tcPr>
                  <w:tcW w:w="2351" w:type="dxa"/>
                  <w:vAlign w:val="center"/>
                </w:tcPr>
                <w:p>
                  <w:pPr>
                    <w:jc w:val="center"/>
                    <w:rPr>
                      <w:szCs w:val="21"/>
                    </w:rPr>
                  </w:pPr>
                  <w:r>
                    <w:rPr>
                      <w:szCs w:val="21"/>
                    </w:rPr>
                    <w:t>最终台阶标高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650</w:t>
                  </w:r>
                  <w:r>
                    <w:rPr>
                      <w:rFonts w:hint="eastAsia"/>
                      <w:szCs w:val="21"/>
                    </w:rPr>
                    <w:t>、6</w:t>
                  </w:r>
                  <w:r>
                    <w:rPr>
                      <w:szCs w:val="21"/>
                    </w:rPr>
                    <w:t>40</w:t>
                  </w:r>
                  <w:r>
                    <w:rPr>
                      <w:rFonts w:hint="eastAsia"/>
                      <w:szCs w:val="21"/>
                    </w:rPr>
                    <w:t>、6</w:t>
                  </w:r>
                  <w:r>
                    <w:rPr>
                      <w:szCs w:val="21"/>
                    </w:rPr>
                    <w:t>30</w:t>
                  </w:r>
                  <w:r>
                    <w:rPr>
                      <w:rFonts w:hint="eastAsia"/>
                      <w:szCs w:val="21"/>
                    </w:rPr>
                    <w:t>、6</w:t>
                  </w:r>
                  <w:r>
                    <w:rPr>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4</w:t>
                  </w:r>
                </w:p>
              </w:tc>
              <w:tc>
                <w:tcPr>
                  <w:tcW w:w="2351" w:type="dxa"/>
                  <w:vAlign w:val="center"/>
                </w:tcPr>
                <w:p>
                  <w:pPr>
                    <w:jc w:val="center"/>
                    <w:rPr>
                      <w:szCs w:val="21"/>
                    </w:rPr>
                  </w:pPr>
                  <w:r>
                    <w:rPr>
                      <w:szCs w:val="21"/>
                    </w:rPr>
                    <w:t>最终台阶高度</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5</w:t>
                  </w:r>
                </w:p>
              </w:tc>
              <w:tc>
                <w:tcPr>
                  <w:tcW w:w="2351" w:type="dxa"/>
                  <w:vAlign w:val="center"/>
                </w:tcPr>
                <w:p>
                  <w:pPr>
                    <w:jc w:val="center"/>
                    <w:rPr>
                      <w:szCs w:val="21"/>
                    </w:rPr>
                  </w:pPr>
                  <w:r>
                    <w:rPr>
                      <w:rFonts w:hint="eastAsia"/>
                      <w:szCs w:val="21"/>
                    </w:rPr>
                    <w:t>安全清扫平台宽度</w:t>
                  </w:r>
                </w:p>
              </w:tc>
              <w:tc>
                <w:tcPr>
                  <w:tcW w:w="1056" w:type="dxa"/>
                  <w:gridSpan w:val="2"/>
                  <w:vAlign w:val="center"/>
                </w:tcPr>
                <w:p>
                  <w:pPr>
                    <w:jc w:val="center"/>
                    <w:rPr>
                      <w:szCs w:val="21"/>
                    </w:rPr>
                  </w:pPr>
                  <w:r>
                    <w:rPr>
                      <w:rFonts w:hint="eastAsia"/>
                      <w:szCs w:val="21"/>
                    </w:rPr>
                    <w:t>m</w:t>
                  </w:r>
                </w:p>
              </w:tc>
              <w:tc>
                <w:tcPr>
                  <w:tcW w:w="3613" w:type="dxa"/>
                  <w:vAlign w:val="center"/>
                </w:tcPr>
                <w:p>
                  <w:pPr>
                    <w:jc w:val="center"/>
                    <w:rPr>
                      <w:szCs w:val="21"/>
                    </w:rPr>
                  </w:pPr>
                  <w:r>
                    <w:rPr>
                      <w:rFonts w:hint="eastAsia"/>
                      <w:szCs w:val="21"/>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6</w:t>
                  </w:r>
                </w:p>
              </w:tc>
              <w:tc>
                <w:tcPr>
                  <w:tcW w:w="2351" w:type="dxa"/>
                  <w:vAlign w:val="center"/>
                </w:tcPr>
                <w:p>
                  <w:pPr>
                    <w:jc w:val="center"/>
                    <w:rPr>
                      <w:szCs w:val="21"/>
                    </w:rPr>
                  </w:pPr>
                  <w:r>
                    <w:rPr>
                      <w:szCs w:val="21"/>
                    </w:rPr>
                    <w:t>最终台阶坡面角</w:t>
                  </w:r>
                </w:p>
              </w:tc>
              <w:tc>
                <w:tcPr>
                  <w:tcW w:w="1056" w:type="dxa"/>
                  <w:gridSpan w:val="2"/>
                  <w:vAlign w:val="center"/>
                </w:tcPr>
                <w:p>
                  <w:pPr>
                    <w:jc w:val="center"/>
                    <w:rPr>
                      <w:szCs w:val="21"/>
                    </w:rPr>
                  </w:pPr>
                  <w:r>
                    <w:rPr>
                      <w:szCs w:val="21"/>
                    </w:rPr>
                    <w:t>°</w:t>
                  </w:r>
                </w:p>
              </w:tc>
              <w:tc>
                <w:tcPr>
                  <w:tcW w:w="3613" w:type="dxa"/>
                  <w:vAlign w:val="center"/>
                </w:tcPr>
                <w:p>
                  <w:pPr>
                    <w:jc w:val="center"/>
                    <w:rPr>
                      <w:szCs w:val="21"/>
                    </w:rPr>
                  </w:pPr>
                  <w:r>
                    <w:rPr>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restart"/>
                  <w:vAlign w:val="center"/>
                </w:tcPr>
                <w:p>
                  <w:pPr>
                    <w:jc w:val="center"/>
                    <w:rPr>
                      <w:szCs w:val="21"/>
                    </w:rPr>
                  </w:pPr>
                  <w:r>
                    <w:rPr>
                      <w:szCs w:val="21"/>
                    </w:rPr>
                    <w:t>7</w:t>
                  </w:r>
                </w:p>
              </w:tc>
              <w:tc>
                <w:tcPr>
                  <w:tcW w:w="2351" w:type="dxa"/>
                  <w:vMerge w:val="restart"/>
                  <w:vAlign w:val="center"/>
                </w:tcPr>
                <w:p>
                  <w:pPr>
                    <w:jc w:val="center"/>
                    <w:rPr>
                      <w:szCs w:val="21"/>
                    </w:rPr>
                  </w:pPr>
                  <w:r>
                    <w:rPr>
                      <w:szCs w:val="21"/>
                    </w:rPr>
                    <w:t>地表境界</w:t>
                  </w:r>
                </w:p>
              </w:tc>
              <w:tc>
                <w:tcPr>
                  <w:tcW w:w="558" w:type="dxa"/>
                  <w:vAlign w:val="center"/>
                </w:tcPr>
                <w:p>
                  <w:pPr>
                    <w:jc w:val="center"/>
                    <w:rPr>
                      <w:szCs w:val="21"/>
                    </w:rPr>
                  </w:pPr>
                  <w:r>
                    <w:rPr>
                      <w:szCs w:val="21"/>
                    </w:rPr>
                    <w:t>长</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498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continue"/>
                  <w:vAlign w:val="center"/>
                </w:tcPr>
                <w:p>
                  <w:pPr>
                    <w:ind w:firstLine="625" w:firstLineChars="298"/>
                    <w:jc w:val="center"/>
                    <w:rPr>
                      <w:szCs w:val="21"/>
                    </w:rPr>
                  </w:pPr>
                </w:p>
              </w:tc>
              <w:tc>
                <w:tcPr>
                  <w:tcW w:w="2351" w:type="dxa"/>
                  <w:vMerge w:val="continue"/>
                  <w:vAlign w:val="center"/>
                </w:tcPr>
                <w:p>
                  <w:pPr>
                    <w:ind w:firstLine="625" w:firstLineChars="298"/>
                    <w:jc w:val="center"/>
                    <w:rPr>
                      <w:szCs w:val="21"/>
                    </w:rPr>
                  </w:pPr>
                </w:p>
              </w:tc>
              <w:tc>
                <w:tcPr>
                  <w:tcW w:w="558" w:type="dxa"/>
                  <w:vAlign w:val="center"/>
                </w:tcPr>
                <w:p>
                  <w:pPr>
                    <w:jc w:val="center"/>
                    <w:rPr>
                      <w:szCs w:val="21"/>
                    </w:rPr>
                  </w:pPr>
                  <w:r>
                    <w:rPr>
                      <w:szCs w:val="21"/>
                    </w:rPr>
                    <w:t>宽</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261~366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restart"/>
                  <w:vAlign w:val="center"/>
                </w:tcPr>
                <w:p>
                  <w:pPr>
                    <w:jc w:val="center"/>
                    <w:rPr>
                      <w:szCs w:val="21"/>
                    </w:rPr>
                  </w:pPr>
                  <w:r>
                    <w:rPr>
                      <w:rFonts w:hint="eastAsia"/>
                      <w:szCs w:val="21"/>
                    </w:rPr>
                    <w:t>8</w:t>
                  </w:r>
                </w:p>
              </w:tc>
              <w:tc>
                <w:tcPr>
                  <w:tcW w:w="2351" w:type="dxa"/>
                  <w:vMerge w:val="restart"/>
                  <w:vAlign w:val="center"/>
                </w:tcPr>
                <w:p>
                  <w:pPr>
                    <w:jc w:val="center"/>
                    <w:rPr>
                      <w:szCs w:val="21"/>
                    </w:rPr>
                  </w:pPr>
                  <w:r>
                    <w:rPr>
                      <w:szCs w:val="21"/>
                    </w:rPr>
                    <w:t>底部境界</w:t>
                  </w:r>
                </w:p>
              </w:tc>
              <w:tc>
                <w:tcPr>
                  <w:tcW w:w="558" w:type="dxa"/>
                  <w:vAlign w:val="center"/>
                </w:tcPr>
                <w:p>
                  <w:pPr>
                    <w:jc w:val="center"/>
                    <w:rPr>
                      <w:szCs w:val="21"/>
                    </w:rPr>
                  </w:pPr>
                  <w:r>
                    <w:rPr>
                      <w:szCs w:val="21"/>
                    </w:rPr>
                    <w:t>长</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485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continue"/>
                  <w:vAlign w:val="center"/>
                </w:tcPr>
                <w:p>
                  <w:pPr>
                    <w:jc w:val="center"/>
                    <w:rPr>
                      <w:szCs w:val="21"/>
                    </w:rPr>
                  </w:pPr>
                </w:p>
              </w:tc>
              <w:tc>
                <w:tcPr>
                  <w:tcW w:w="2351" w:type="dxa"/>
                  <w:vMerge w:val="continue"/>
                  <w:vAlign w:val="center"/>
                </w:tcPr>
                <w:p>
                  <w:pPr>
                    <w:jc w:val="center"/>
                    <w:rPr>
                      <w:szCs w:val="21"/>
                    </w:rPr>
                  </w:pPr>
                </w:p>
              </w:tc>
              <w:tc>
                <w:tcPr>
                  <w:tcW w:w="558" w:type="dxa"/>
                  <w:vAlign w:val="center"/>
                </w:tcPr>
                <w:p>
                  <w:pPr>
                    <w:jc w:val="center"/>
                    <w:rPr>
                      <w:szCs w:val="21"/>
                    </w:rPr>
                  </w:pPr>
                  <w:r>
                    <w:rPr>
                      <w:szCs w:val="21"/>
                    </w:rPr>
                    <w:t>宽</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228~345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rFonts w:hint="eastAsia"/>
                      <w:szCs w:val="21"/>
                    </w:rPr>
                    <w:t>9</w:t>
                  </w:r>
                </w:p>
              </w:tc>
              <w:tc>
                <w:tcPr>
                  <w:tcW w:w="2351" w:type="dxa"/>
                  <w:vAlign w:val="center"/>
                </w:tcPr>
                <w:p>
                  <w:pPr>
                    <w:jc w:val="center"/>
                    <w:rPr>
                      <w:szCs w:val="21"/>
                    </w:rPr>
                  </w:pPr>
                  <w:r>
                    <w:rPr>
                      <w:rFonts w:hint="eastAsia"/>
                      <w:szCs w:val="21"/>
                    </w:rPr>
                    <w:t>最终帮坡角</w:t>
                  </w:r>
                </w:p>
              </w:tc>
              <w:tc>
                <w:tcPr>
                  <w:tcW w:w="1056" w:type="dxa"/>
                  <w:gridSpan w:val="2"/>
                  <w:vAlign w:val="center"/>
                </w:tcPr>
                <w:p>
                  <w:pPr>
                    <w:jc w:val="center"/>
                    <w:rPr>
                      <w:szCs w:val="21"/>
                    </w:rPr>
                  </w:pPr>
                  <w:r>
                    <w:rPr>
                      <w:szCs w:val="21"/>
                    </w:rPr>
                    <w:t>°</w:t>
                  </w:r>
                </w:p>
              </w:tc>
              <w:tc>
                <w:tcPr>
                  <w:tcW w:w="3613" w:type="dxa"/>
                  <w:vAlign w:val="center"/>
                </w:tcPr>
                <w:p>
                  <w:pPr>
                    <w:jc w:val="center"/>
                    <w:rPr>
                      <w:szCs w:val="21"/>
                    </w:rPr>
                  </w:pPr>
                  <w:r>
                    <w:rPr>
                      <w:rFonts w:hint="eastAsia"/>
                      <w:szCs w:val="21"/>
                    </w:rPr>
                    <w:t>1</w:t>
                  </w:r>
                  <w:r>
                    <w:rPr>
                      <w:szCs w:val="21"/>
                    </w:rPr>
                    <w:t>1~28</w:t>
                  </w:r>
                </w:p>
              </w:tc>
            </w:tr>
          </w:tbl>
          <w:p>
            <w:pPr>
              <w:spacing w:line="520" w:lineRule="exact"/>
              <w:ind w:firstLine="480" w:firstLineChars="200"/>
              <w:rPr>
                <w:sz w:val="24"/>
              </w:rPr>
            </w:pPr>
            <w:r>
              <w:rPr>
                <w:rFonts w:hint="eastAsia"/>
                <w:sz w:val="24"/>
              </w:rPr>
              <w:t>设计露天采场最终开采境界要素见表2-</w:t>
            </w:r>
            <w:r>
              <w:rPr>
                <w:sz w:val="24"/>
              </w:rPr>
              <w:t>6</w:t>
            </w:r>
            <w:r>
              <w:rPr>
                <w:rFonts w:hint="eastAsia"/>
                <w:sz w:val="24"/>
              </w:rPr>
              <w:t>。</w:t>
            </w:r>
          </w:p>
          <w:p>
            <w:pPr>
              <w:pStyle w:val="55"/>
              <w:spacing w:line="240" w:lineRule="auto"/>
              <w:ind w:firstLine="480"/>
              <w:jc w:val="center"/>
              <w:rPr>
                <w:rFonts w:hAnsi="Times New Roman" w:eastAsia="黑体"/>
                <w:b w:val="0"/>
                <w:bCs w:val="0"/>
                <w:color w:val="auto"/>
                <w:szCs w:val="24"/>
              </w:rPr>
            </w:pPr>
            <w:r>
              <w:rPr>
                <w:rFonts w:hAnsi="Times New Roman" w:eastAsia="黑体"/>
                <w:b w:val="0"/>
                <w:bCs w:val="0"/>
                <w:color w:val="auto"/>
                <w:szCs w:val="24"/>
              </w:rPr>
              <w:t>表</w:t>
            </w:r>
            <w:r>
              <w:rPr>
                <w:rFonts w:hint="eastAsia" w:hAnsi="Times New Roman" w:eastAsia="黑体"/>
                <w:b w:val="0"/>
                <w:bCs w:val="0"/>
                <w:color w:val="auto"/>
                <w:szCs w:val="24"/>
              </w:rPr>
              <w:t>2-</w:t>
            </w:r>
            <w:r>
              <w:rPr>
                <w:rFonts w:hAnsi="Times New Roman" w:eastAsia="黑体"/>
                <w:b w:val="0"/>
                <w:bCs w:val="0"/>
                <w:color w:val="auto"/>
                <w:szCs w:val="24"/>
              </w:rPr>
              <w:t>6</w:t>
            </w:r>
            <w:r>
              <w:rPr>
                <w:rFonts w:hint="eastAsia" w:hAnsi="Times New Roman" w:eastAsia="黑体"/>
                <w:b w:val="0"/>
                <w:bCs w:val="0"/>
                <w:color w:val="auto"/>
                <w:szCs w:val="24"/>
              </w:rPr>
              <w:t xml:space="preserve">    </w:t>
            </w:r>
            <w:r>
              <w:rPr>
                <w:rFonts w:hAnsi="Times New Roman" w:eastAsia="黑体"/>
                <w:b w:val="0"/>
                <w:bCs w:val="0"/>
                <w:color w:val="auto"/>
                <w:szCs w:val="24"/>
              </w:rPr>
              <w:t>露天开采</w:t>
            </w:r>
            <w:r>
              <w:rPr>
                <w:rFonts w:hint="eastAsia" w:hAnsi="Times New Roman" w:eastAsia="黑体"/>
                <w:b w:val="0"/>
                <w:bCs w:val="0"/>
                <w:color w:val="auto"/>
                <w:szCs w:val="24"/>
              </w:rPr>
              <w:t>首采区</w:t>
            </w:r>
            <w:r>
              <w:rPr>
                <w:rFonts w:hAnsi="Times New Roman" w:eastAsia="黑体"/>
                <w:b w:val="0"/>
                <w:bCs w:val="0"/>
                <w:color w:val="auto"/>
                <w:szCs w:val="24"/>
              </w:rPr>
              <w:t>最终境界圈定参数表</w:t>
            </w:r>
          </w:p>
          <w:tbl>
            <w:tblPr>
              <w:tblStyle w:val="31"/>
              <w:tblW w:w="785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351"/>
              <w:gridCol w:w="558"/>
              <w:gridCol w:w="498"/>
              <w:gridCol w:w="36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834" w:type="dxa"/>
                  <w:vAlign w:val="center"/>
                </w:tcPr>
                <w:p>
                  <w:pPr>
                    <w:jc w:val="center"/>
                    <w:rPr>
                      <w:szCs w:val="21"/>
                    </w:rPr>
                  </w:pPr>
                  <w:r>
                    <w:rPr>
                      <w:szCs w:val="21"/>
                    </w:rPr>
                    <w:t>序号</w:t>
                  </w:r>
                </w:p>
              </w:tc>
              <w:tc>
                <w:tcPr>
                  <w:tcW w:w="2351" w:type="dxa"/>
                  <w:vAlign w:val="center"/>
                </w:tcPr>
                <w:p>
                  <w:pPr>
                    <w:jc w:val="center"/>
                    <w:rPr>
                      <w:szCs w:val="21"/>
                    </w:rPr>
                  </w:pPr>
                  <w:r>
                    <w:rPr>
                      <w:szCs w:val="21"/>
                    </w:rPr>
                    <w:t>开采境界要素</w:t>
                  </w:r>
                </w:p>
              </w:tc>
              <w:tc>
                <w:tcPr>
                  <w:tcW w:w="1056" w:type="dxa"/>
                  <w:gridSpan w:val="2"/>
                  <w:vAlign w:val="center"/>
                </w:tcPr>
                <w:p>
                  <w:pPr>
                    <w:jc w:val="center"/>
                    <w:rPr>
                      <w:szCs w:val="21"/>
                    </w:rPr>
                  </w:pPr>
                  <w:r>
                    <w:rPr>
                      <w:szCs w:val="21"/>
                    </w:rPr>
                    <w:t>单位</w:t>
                  </w:r>
                </w:p>
              </w:tc>
              <w:tc>
                <w:tcPr>
                  <w:tcW w:w="3613" w:type="dxa"/>
                  <w:vAlign w:val="center"/>
                </w:tcPr>
                <w:p>
                  <w:pPr>
                    <w:jc w:val="center"/>
                    <w:rPr>
                      <w:szCs w:val="21"/>
                    </w:rPr>
                  </w:pPr>
                  <w:r>
                    <w:rPr>
                      <w:szCs w:val="21"/>
                    </w:rPr>
                    <w:t>参数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jc w:val="center"/>
              </w:trPr>
              <w:tc>
                <w:tcPr>
                  <w:tcW w:w="834" w:type="dxa"/>
                  <w:vAlign w:val="center"/>
                </w:tcPr>
                <w:p>
                  <w:pPr>
                    <w:jc w:val="center"/>
                    <w:rPr>
                      <w:szCs w:val="21"/>
                    </w:rPr>
                  </w:pPr>
                  <w:r>
                    <w:rPr>
                      <w:szCs w:val="21"/>
                    </w:rPr>
                    <w:t>1</w:t>
                  </w:r>
                </w:p>
              </w:tc>
              <w:tc>
                <w:tcPr>
                  <w:tcW w:w="2351" w:type="dxa"/>
                  <w:vAlign w:val="center"/>
                </w:tcPr>
                <w:p>
                  <w:pPr>
                    <w:jc w:val="center"/>
                    <w:rPr>
                      <w:szCs w:val="21"/>
                    </w:rPr>
                  </w:pPr>
                  <w:r>
                    <w:rPr>
                      <w:szCs w:val="21"/>
                    </w:rPr>
                    <w:t>最高开采标高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655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2</w:t>
                  </w:r>
                </w:p>
              </w:tc>
              <w:tc>
                <w:tcPr>
                  <w:tcW w:w="2351" w:type="dxa"/>
                  <w:vAlign w:val="center"/>
                </w:tcPr>
                <w:p>
                  <w:pPr>
                    <w:jc w:val="center"/>
                    <w:rPr>
                      <w:szCs w:val="21"/>
                    </w:rPr>
                  </w:pPr>
                  <w:r>
                    <w:rPr>
                      <w:szCs w:val="21"/>
                    </w:rPr>
                    <w:t>最低开采标高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620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3</w:t>
                  </w:r>
                </w:p>
              </w:tc>
              <w:tc>
                <w:tcPr>
                  <w:tcW w:w="2351" w:type="dxa"/>
                  <w:vAlign w:val="center"/>
                </w:tcPr>
                <w:p>
                  <w:pPr>
                    <w:jc w:val="center"/>
                    <w:rPr>
                      <w:szCs w:val="21"/>
                    </w:rPr>
                  </w:pPr>
                  <w:r>
                    <w:rPr>
                      <w:szCs w:val="21"/>
                    </w:rPr>
                    <w:t>最终台阶标高</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650</w:t>
                  </w:r>
                  <w:r>
                    <w:rPr>
                      <w:rFonts w:hint="eastAsia"/>
                      <w:szCs w:val="21"/>
                    </w:rPr>
                    <w:t>、6</w:t>
                  </w:r>
                  <w:r>
                    <w:rPr>
                      <w:szCs w:val="21"/>
                    </w:rPr>
                    <w:t>40</w:t>
                  </w:r>
                  <w:r>
                    <w:rPr>
                      <w:rFonts w:hint="eastAsia"/>
                      <w:szCs w:val="21"/>
                    </w:rPr>
                    <w:t>、6</w:t>
                  </w:r>
                  <w:r>
                    <w:rPr>
                      <w:szCs w:val="21"/>
                    </w:rPr>
                    <w:t>30</w:t>
                  </w:r>
                  <w:r>
                    <w:rPr>
                      <w:rFonts w:hint="eastAsia"/>
                      <w:szCs w:val="21"/>
                    </w:rPr>
                    <w:t>、6</w:t>
                  </w:r>
                  <w:r>
                    <w:rPr>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4</w:t>
                  </w:r>
                </w:p>
              </w:tc>
              <w:tc>
                <w:tcPr>
                  <w:tcW w:w="2351" w:type="dxa"/>
                  <w:vAlign w:val="center"/>
                </w:tcPr>
                <w:p>
                  <w:pPr>
                    <w:jc w:val="center"/>
                    <w:rPr>
                      <w:szCs w:val="21"/>
                    </w:rPr>
                  </w:pPr>
                  <w:r>
                    <w:rPr>
                      <w:szCs w:val="21"/>
                    </w:rPr>
                    <w:t>最终台阶高度</w:t>
                  </w:r>
                </w:p>
              </w:tc>
              <w:tc>
                <w:tcPr>
                  <w:tcW w:w="1056" w:type="dxa"/>
                  <w:gridSpan w:val="2"/>
                  <w:vAlign w:val="center"/>
                </w:tcPr>
                <w:p>
                  <w:pPr>
                    <w:jc w:val="center"/>
                    <w:rPr>
                      <w:szCs w:val="21"/>
                    </w:rPr>
                  </w:pPr>
                  <w:r>
                    <w:rPr>
                      <w:szCs w:val="21"/>
                    </w:rPr>
                    <w:t>m</w:t>
                  </w:r>
                </w:p>
              </w:tc>
              <w:tc>
                <w:tcPr>
                  <w:tcW w:w="3613" w:type="dxa"/>
                  <w:vAlign w:val="center"/>
                </w:tcPr>
                <w:p>
                  <w:pPr>
                    <w:jc w:val="center"/>
                    <w:rPr>
                      <w:szCs w:val="21"/>
                    </w:rPr>
                  </w:pPr>
                  <w:r>
                    <w:rPr>
                      <w:szCs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5</w:t>
                  </w:r>
                </w:p>
              </w:tc>
              <w:tc>
                <w:tcPr>
                  <w:tcW w:w="2351" w:type="dxa"/>
                  <w:vAlign w:val="center"/>
                </w:tcPr>
                <w:p>
                  <w:pPr>
                    <w:jc w:val="center"/>
                    <w:rPr>
                      <w:szCs w:val="21"/>
                    </w:rPr>
                  </w:pPr>
                  <w:r>
                    <w:rPr>
                      <w:rFonts w:hint="eastAsia"/>
                      <w:szCs w:val="21"/>
                    </w:rPr>
                    <w:t>安全清扫平台宽度</w:t>
                  </w:r>
                </w:p>
              </w:tc>
              <w:tc>
                <w:tcPr>
                  <w:tcW w:w="1056" w:type="dxa"/>
                  <w:gridSpan w:val="2"/>
                  <w:vAlign w:val="center"/>
                </w:tcPr>
                <w:p>
                  <w:pPr>
                    <w:jc w:val="center"/>
                    <w:rPr>
                      <w:szCs w:val="21"/>
                    </w:rPr>
                  </w:pPr>
                  <w:r>
                    <w:rPr>
                      <w:rFonts w:hint="eastAsia"/>
                      <w:szCs w:val="21"/>
                    </w:rPr>
                    <w:t>m</w:t>
                  </w:r>
                </w:p>
              </w:tc>
              <w:tc>
                <w:tcPr>
                  <w:tcW w:w="3613" w:type="dxa"/>
                  <w:vAlign w:val="center"/>
                </w:tcPr>
                <w:p>
                  <w:pPr>
                    <w:jc w:val="center"/>
                    <w:rPr>
                      <w:szCs w:val="21"/>
                    </w:rPr>
                  </w:pPr>
                  <w:r>
                    <w:rPr>
                      <w:rFonts w:hint="eastAsia"/>
                      <w:szCs w:val="21"/>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szCs w:val="21"/>
                    </w:rPr>
                    <w:t>6</w:t>
                  </w:r>
                </w:p>
              </w:tc>
              <w:tc>
                <w:tcPr>
                  <w:tcW w:w="2351" w:type="dxa"/>
                  <w:vAlign w:val="center"/>
                </w:tcPr>
                <w:p>
                  <w:pPr>
                    <w:jc w:val="center"/>
                    <w:rPr>
                      <w:szCs w:val="21"/>
                    </w:rPr>
                  </w:pPr>
                  <w:r>
                    <w:rPr>
                      <w:szCs w:val="21"/>
                    </w:rPr>
                    <w:t>最终台阶坡面角</w:t>
                  </w:r>
                </w:p>
              </w:tc>
              <w:tc>
                <w:tcPr>
                  <w:tcW w:w="1056" w:type="dxa"/>
                  <w:gridSpan w:val="2"/>
                  <w:vAlign w:val="center"/>
                </w:tcPr>
                <w:p>
                  <w:pPr>
                    <w:jc w:val="center"/>
                    <w:rPr>
                      <w:szCs w:val="21"/>
                    </w:rPr>
                  </w:pPr>
                  <w:r>
                    <w:rPr>
                      <w:szCs w:val="21"/>
                    </w:rPr>
                    <w:t>°</w:t>
                  </w:r>
                </w:p>
              </w:tc>
              <w:tc>
                <w:tcPr>
                  <w:tcW w:w="3613" w:type="dxa"/>
                  <w:vAlign w:val="center"/>
                </w:tcPr>
                <w:p>
                  <w:pPr>
                    <w:jc w:val="center"/>
                    <w:rPr>
                      <w:szCs w:val="21"/>
                    </w:rPr>
                  </w:pPr>
                  <w:r>
                    <w:rPr>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restart"/>
                  <w:vAlign w:val="center"/>
                </w:tcPr>
                <w:p>
                  <w:pPr>
                    <w:jc w:val="center"/>
                    <w:rPr>
                      <w:szCs w:val="21"/>
                    </w:rPr>
                  </w:pPr>
                  <w:r>
                    <w:rPr>
                      <w:szCs w:val="21"/>
                    </w:rPr>
                    <w:t>7</w:t>
                  </w:r>
                </w:p>
              </w:tc>
              <w:tc>
                <w:tcPr>
                  <w:tcW w:w="2351" w:type="dxa"/>
                  <w:vMerge w:val="restart"/>
                  <w:vAlign w:val="center"/>
                </w:tcPr>
                <w:p>
                  <w:pPr>
                    <w:jc w:val="center"/>
                    <w:rPr>
                      <w:szCs w:val="21"/>
                    </w:rPr>
                  </w:pPr>
                  <w:r>
                    <w:rPr>
                      <w:szCs w:val="21"/>
                    </w:rPr>
                    <w:t>地表境界</w:t>
                  </w:r>
                </w:p>
              </w:tc>
              <w:tc>
                <w:tcPr>
                  <w:tcW w:w="558" w:type="dxa"/>
                  <w:vAlign w:val="center"/>
                </w:tcPr>
                <w:p>
                  <w:pPr>
                    <w:jc w:val="center"/>
                    <w:rPr>
                      <w:szCs w:val="21"/>
                    </w:rPr>
                  </w:pPr>
                  <w:r>
                    <w:rPr>
                      <w:szCs w:val="21"/>
                    </w:rPr>
                    <w:t>长</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1956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continue"/>
                  <w:vAlign w:val="center"/>
                </w:tcPr>
                <w:p>
                  <w:pPr>
                    <w:ind w:firstLine="625" w:firstLineChars="298"/>
                    <w:jc w:val="center"/>
                    <w:rPr>
                      <w:szCs w:val="21"/>
                    </w:rPr>
                  </w:pPr>
                </w:p>
              </w:tc>
              <w:tc>
                <w:tcPr>
                  <w:tcW w:w="2351" w:type="dxa"/>
                  <w:vMerge w:val="continue"/>
                  <w:vAlign w:val="center"/>
                </w:tcPr>
                <w:p>
                  <w:pPr>
                    <w:ind w:firstLine="625" w:firstLineChars="298"/>
                    <w:jc w:val="center"/>
                    <w:rPr>
                      <w:szCs w:val="21"/>
                    </w:rPr>
                  </w:pPr>
                </w:p>
              </w:tc>
              <w:tc>
                <w:tcPr>
                  <w:tcW w:w="558" w:type="dxa"/>
                  <w:vAlign w:val="center"/>
                </w:tcPr>
                <w:p>
                  <w:pPr>
                    <w:jc w:val="center"/>
                    <w:rPr>
                      <w:szCs w:val="21"/>
                    </w:rPr>
                  </w:pPr>
                  <w:r>
                    <w:rPr>
                      <w:szCs w:val="21"/>
                    </w:rPr>
                    <w:t>宽</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584~1792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restart"/>
                  <w:vAlign w:val="center"/>
                </w:tcPr>
                <w:p>
                  <w:pPr>
                    <w:jc w:val="center"/>
                    <w:rPr>
                      <w:szCs w:val="21"/>
                    </w:rPr>
                  </w:pPr>
                  <w:r>
                    <w:rPr>
                      <w:rFonts w:hint="eastAsia"/>
                      <w:szCs w:val="21"/>
                    </w:rPr>
                    <w:t>8</w:t>
                  </w:r>
                </w:p>
              </w:tc>
              <w:tc>
                <w:tcPr>
                  <w:tcW w:w="2351" w:type="dxa"/>
                  <w:vMerge w:val="restart"/>
                  <w:vAlign w:val="center"/>
                </w:tcPr>
                <w:p>
                  <w:pPr>
                    <w:jc w:val="center"/>
                    <w:rPr>
                      <w:szCs w:val="21"/>
                    </w:rPr>
                  </w:pPr>
                  <w:r>
                    <w:rPr>
                      <w:szCs w:val="21"/>
                    </w:rPr>
                    <w:t>底部境界</w:t>
                  </w:r>
                </w:p>
              </w:tc>
              <w:tc>
                <w:tcPr>
                  <w:tcW w:w="558" w:type="dxa"/>
                  <w:vAlign w:val="center"/>
                </w:tcPr>
                <w:p>
                  <w:pPr>
                    <w:jc w:val="center"/>
                    <w:rPr>
                      <w:szCs w:val="21"/>
                    </w:rPr>
                  </w:pPr>
                  <w:r>
                    <w:rPr>
                      <w:szCs w:val="21"/>
                    </w:rPr>
                    <w:t>长</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1820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Merge w:val="continue"/>
                  <w:vAlign w:val="center"/>
                </w:tcPr>
                <w:p>
                  <w:pPr>
                    <w:jc w:val="center"/>
                    <w:rPr>
                      <w:szCs w:val="21"/>
                    </w:rPr>
                  </w:pPr>
                </w:p>
              </w:tc>
              <w:tc>
                <w:tcPr>
                  <w:tcW w:w="2351" w:type="dxa"/>
                  <w:vMerge w:val="continue"/>
                  <w:vAlign w:val="center"/>
                </w:tcPr>
                <w:p>
                  <w:pPr>
                    <w:jc w:val="center"/>
                    <w:rPr>
                      <w:szCs w:val="21"/>
                    </w:rPr>
                  </w:pPr>
                </w:p>
              </w:tc>
              <w:tc>
                <w:tcPr>
                  <w:tcW w:w="558" w:type="dxa"/>
                  <w:vAlign w:val="center"/>
                </w:tcPr>
                <w:p>
                  <w:pPr>
                    <w:jc w:val="center"/>
                    <w:rPr>
                      <w:szCs w:val="21"/>
                    </w:rPr>
                  </w:pPr>
                  <w:r>
                    <w:rPr>
                      <w:szCs w:val="21"/>
                    </w:rPr>
                    <w:t>宽</w:t>
                  </w:r>
                </w:p>
              </w:tc>
              <w:tc>
                <w:tcPr>
                  <w:tcW w:w="498" w:type="dxa"/>
                  <w:vAlign w:val="center"/>
                </w:tcPr>
                <w:p>
                  <w:pPr>
                    <w:jc w:val="center"/>
                    <w:rPr>
                      <w:szCs w:val="21"/>
                    </w:rPr>
                  </w:pPr>
                  <w:r>
                    <w:rPr>
                      <w:szCs w:val="21"/>
                    </w:rPr>
                    <w:t>m</w:t>
                  </w:r>
                </w:p>
              </w:tc>
              <w:tc>
                <w:tcPr>
                  <w:tcW w:w="3613" w:type="dxa"/>
                  <w:vAlign w:val="center"/>
                </w:tcPr>
                <w:p>
                  <w:pPr>
                    <w:jc w:val="center"/>
                    <w:rPr>
                      <w:szCs w:val="21"/>
                    </w:rPr>
                  </w:pPr>
                  <w:r>
                    <w:rPr>
                      <w:szCs w:val="21"/>
                    </w:rPr>
                    <w:t>396~740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34" w:type="dxa"/>
                  <w:vAlign w:val="center"/>
                </w:tcPr>
                <w:p>
                  <w:pPr>
                    <w:jc w:val="center"/>
                    <w:rPr>
                      <w:szCs w:val="21"/>
                    </w:rPr>
                  </w:pPr>
                  <w:r>
                    <w:rPr>
                      <w:rFonts w:hint="eastAsia"/>
                      <w:szCs w:val="21"/>
                    </w:rPr>
                    <w:t>9</w:t>
                  </w:r>
                </w:p>
              </w:tc>
              <w:tc>
                <w:tcPr>
                  <w:tcW w:w="2351" w:type="dxa"/>
                  <w:vAlign w:val="center"/>
                </w:tcPr>
                <w:p>
                  <w:pPr>
                    <w:jc w:val="center"/>
                    <w:rPr>
                      <w:szCs w:val="21"/>
                    </w:rPr>
                  </w:pPr>
                  <w:r>
                    <w:rPr>
                      <w:rFonts w:hint="eastAsia"/>
                      <w:szCs w:val="21"/>
                    </w:rPr>
                    <w:t>最终帮坡角</w:t>
                  </w:r>
                </w:p>
              </w:tc>
              <w:tc>
                <w:tcPr>
                  <w:tcW w:w="1056" w:type="dxa"/>
                  <w:gridSpan w:val="2"/>
                  <w:vAlign w:val="center"/>
                </w:tcPr>
                <w:p>
                  <w:pPr>
                    <w:jc w:val="center"/>
                    <w:rPr>
                      <w:szCs w:val="21"/>
                    </w:rPr>
                  </w:pPr>
                  <w:r>
                    <w:rPr>
                      <w:szCs w:val="21"/>
                    </w:rPr>
                    <w:t>°</w:t>
                  </w:r>
                </w:p>
              </w:tc>
              <w:tc>
                <w:tcPr>
                  <w:tcW w:w="3613" w:type="dxa"/>
                  <w:vAlign w:val="center"/>
                </w:tcPr>
                <w:p>
                  <w:pPr>
                    <w:jc w:val="center"/>
                    <w:rPr>
                      <w:szCs w:val="21"/>
                    </w:rPr>
                  </w:pPr>
                  <w:r>
                    <w:rPr>
                      <w:rFonts w:hint="eastAsia"/>
                      <w:szCs w:val="21"/>
                    </w:rPr>
                    <w:t>1</w:t>
                  </w:r>
                  <w:r>
                    <w:rPr>
                      <w:szCs w:val="21"/>
                    </w:rPr>
                    <w:t>1~28</w:t>
                  </w:r>
                </w:p>
              </w:tc>
            </w:tr>
          </w:tbl>
          <w:p>
            <w:pPr>
              <w:adjustRightInd w:val="0"/>
              <w:snapToGrid w:val="0"/>
              <w:spacing w:line="520" w:lineRule="exact"/>
              <w:ind w:firstLine="482" w:firstLineChars="200"/>
              <w:rPr>
                <w:b/>
                <w:bCs/>
                <w:sz w:val="24"/>
              </w:rPr>
            </w:pPr>
            <w:r>
              <w:rPr>
                <w:rFonts w:hint="eastAsia"/>
                <w:b/>
                <w:bCs/>
                <w:sz w:val="24"/>
              </w:rPr>
              <w:t>3、</w:t>
            </w:r>
            <w:r>
              <w:rPr>
                <w:b/>
                <w:bCs/>
                <w:sz w:val="24"/>
              </w:rPr>
              <w:t>主要生产设备</w:t>
            </w:r>
          </w:p>
          <w:p>
            <w:pPr>
              <w:adjustRightInd w:val="0"/>
              <w:snapToGrid w:val="0"/>
              <w:spacing w:line="520" w:lineRule="exact"/>
              <w:ind w:firstLine="480" w:firstLineChars="200"/>
              <w:rPr>
                <w:bCs/>
                <w:sz w:val="24"/>
              </w:rPr>
            </w:pPr>
            <w:r>
              <w:rPr>
                <w:bCs/>
                <w:sz w:val="24"/>
              </w:rPr>
              <w:t>本项目主要生产设备详见表2-7。</w:t>
            </w:r>
          </w:p>
          <w:p>
            <w:pPr>
              <w:pStyle w:val="55"/>
              <w:spacing w:line="240" w:lineRule="auto"/>
              <w:ind w:firstLine="480"/>
              <w:jc w:val="center"/>
              <w:rPr>
                <w:rFonts w:hAnsi="Times New Roman" w:eastAsia="黑体"/>
                <w:b w:val="0"/>
                <w:bCs w:val="0"/>
                <w:color w:val="auto"/>
                <w:szCs w:val="24"/>
              </w:rPr>
            </w:pPr>
            <w:r>
              <w:rPr>
                <w:rFonts w:hAnsi="Times New Roman" w:eastAsia="黑体"/>
                <w:b w:val="0"/>
                <w:bCs w:val="0"/>
                <w:color w:val="auto"/>
                <w:szCs w:val="24"/>
              </w:rPr>
              <w:t xml:space="preserve">表2-7   </w:t>
            </w:r>
            <w:r>
              <w:rPr>
                <w:rFonts w:hint="eastAsia" w:hAnsi="Times New Roman" w:eastAsia="黑体"/>
                <w:b w:val="0"/>
                <w:bCs w:val="0"/>
                <w:color w:val="auto"/>
                <w:szCs w:val="24"/>
              </w:rPr>
              <w:t xml:space="preserve"> </w:t>
            </w:r>
            <w:r>
              <w:rPr>
                <w:rFonts w:hAnsi="Times New Roman" w:eastAsia="黑体"/>
                <w:b w:val="0"/>
                <w:bCs w:val="0"/>
                <w:color w:val="auto"/>
                <w:szCs w:val="24"/>
              </w:rPr>
              <w:t>主要生产设备一览表</w:t>
            </w:r>
          </w:p>
          <w:tbl>
            <w:tblPr>
              <w:tblStyle w:val="31"/>
              <w:tblW w:w="7826"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31"/>
              <w:gridCol w:w="2835"/>
              <w:gridCol w:w="986"/>
              <w:gridCol w:w="947"/>
              <w:gridCol w:w="232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1" w:type="dxa"/>
                  <w:vAlign w:val="center"/>
                </w:tcPr>
                <w:p>
                  <w:pPr>
                    <w:adjustRightInd w:val="0"/>
                    <w:snapToGrid w:val="0"/>
                    <w:jc w:val="center"/>
                    <w:rPr>
                      <w:szCs w:val="21"/>
                    </w:rPr>
                  </w:pPr>
                  <w:r>
                    <w:rPr>
                      <w:szCs w:val="21"/>
                    </w:rPr>
                    <w:t>序号</w:t>
                  </w:r>
                </w:p>
              </w:tc>
              <w:tc>
                <w:tcPr>
                  <w:tcW w:w="2835" w:type="dxa"/>
                  <w:vAlign w:val="center"/>
                </w:tcPr>
                <w:p>
                  <w:pPr>
                    <w:adjustRightInd w:val="0"/>
                    <w:snapToGrid w:val="0"/>
                    <w:jc w:val="center"/>
                    <w:rPr>
                      <w:szCs w:val="21"/>
                    </w:rPr>
                  </w:pPr>
                  <w:r>
                    <w:rPr>
                      <w:szCs w:val="21"/>
                    </w:rPr>
                    <w:t>名称及规格</w:t>
                  </w:r>
                </w:p>
              </w:tc>
              <w:tc>
                <w:tcPr>
                  <w:tcW w:w="986" w:type="dxa"/>
                  <w:vAlign w:val="center"/>
                </w:tcPr>
                <w:p>
                  <w:pPr>
                    <w:adjustRightInd w:val="0"/>
                    <w:snapToGrid w:val="0"/>
                    <w:jc w:val="center"/>
                    <w:rPr>
                      <w:szCs w:val="21"/>
                    </w:rPr>
                  </w:pPr>
                  <w:r>
                    <w:rPr>
                      <w:szCs w:val="21"/>
                    </w:rPr>
                    <w:t>单位</w:t>
                  </w:r>
                </w:p>
              </w:tc>
              <w:tc>
                <w:tcPr>
                  <w:tcW w:w="947" w:type="dxa"/>
                  <w:vAlign w:val="center"/>
                </w:tcPr>
                <w:p>
                  <w:pPr>
                    <w:adjustRightInd w:val="0"/>
                    <w:snapToGrid w:val="0"/>
                    <w:jc w:val="center"/>
                    <w:rPr>
                      <w:szCs w:val="21"/>
                    </w:rPr>
                  </w:pPr>
                  <w:r>
                    <w:rPr>
                      <w:szCs w:val="21"/>
                    </w:rPr>
                    <w:t>数量</w:t>
                  </w:r>
                </w:p>
              </w:tc>
              <w:tc>
                <w:tcPr>
                  <w:tcW w:w="2327" w:type="dxa"/>
                  <w:vAlign w:val="center"/>
                </w:tcPr>
                <w:p>
                  <w:pPr>
                    <w:adjustRightInd w:val="0"/>
                    <w:snapToGrid w:val="0"/>
                    <w:jc w:val="center"/>
                    <w:rPr>
                      <w:szCs w:val="21"/>
                    </w:rPr>
                  </w:pPr>
                  <w:r>
                    <w:rPr>
                      <w:szCs w:val="21"/>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1" w:type="dxa"/>
                  <w:vAlign w:val="center"/>
                </w:tcPr>
                <w:p>
                  <w:pPr>
                    <w:adjustRightInd w:val="0"/>
                    <w:snapToGrid w:val="0"/>
                    <w:jc w:val="center"/>
                    <w:rPr>
                      <w:szCs w:val="21"/>
                    </w:rPr>
                  </w:pPr>
                  <w:r>
                    <w:rPr>
                      <w:rFonts w:hint="eastAsia"/>
                      <w:szCs w:val="21"/>
                    </w:rPr>
                    <w:t>1</w:t>
                  </w:r>
                </w:p>
              </w:tc>
              <w:tc>
                <w:tcPr>
                  <w:tcW w:w="2835" w:type="dxa"/>
                  <w:vAlign w:val="center"/>
                </w:tcPr>
                <w:p>
                  <w:pPr>
                    <w:adjustRightInd w:val="0"/>
                    <w:snapToGrid w:val="0"/>
                    <w:jc w:val="center"/>
                    <w:rPr>
                      <w:szCs w:val="21"/>
                    </w:rPr>
                  </w:pPr>
                  <w:r>
                    <w:rPr>
                      <w:rFonts w:hint="eastAsia"/>
                      <w:szCs w:val="21"/>
                    </w:rPr>
                    <w:t>Z</w:t>
                  </w:r>
                  <w:r>
                    <w:rPr>
                      <w:szCs w:val="21"/>
                    </w:rPr>
                    <w:t>L50</w:t>
                  </w:r>
                  <w:r>
                    <w:rPr>
                      <w:rFonts w:hint="eastAsia"/>
                      <w:szCs w:val="21"/>
                    </w:rPr>
                    <w:t>型</w:t>
                  </w:r>
                  <w:r>
                    <w:rPr>
                      <w:szCs w:val="21"/>
                    </w:rPr>
                    <w:t>装载机</w:t>
                  </w:r>
                </w:p>
              </w:tc>
              <w:tc>
                <w:tcPr>
                  <w:tcW w:w="986" w:type="dxa"/>
                  <w:vAlign w:val="center"/>
                </w:tcPr>
                <w:p>
                  <w:pPr>
                    <w:adjustRightInd w:val="0"/>
                    <w:snapToGrid w:val="0"/>
                    <w:jc w:val="center"/>
                    <w:rPr>
                      <w:szCs w:val="21"/>
                    </w:rPr>
                  </w:pPr>
                  <w:r>
                    <w:rPr>
                      <w:szCs w:val="21"/>
                    </w:rPr>
                    <w:t>台</w:t>
                  </w:r>
                </w:p>
              </w:tc>
              <w:tc>
                <w:tcPr>
                  <w:tcW w:w="947" w:type="dxa"/>
                  <w:vAlign w:val="center"/>
                </w:tcPr>
                <w:p>
                  <w:pPr>
                    <w:adjustRightInd w:val="0"/>
                    <w:snapToGrid w:val="0"/>
                    <w:jc w:val="center"/>
                    <w:rPr>
                      <w:szCs w:val="21"/>
                    </w:rPr>
                  </w:pPr>
                  <w:r>
                    <w:rPr>
                      <w:szCs w:val="21"/>
                    </w:rPr>
                    <w:t>6</w:t>
                  </w:r>
                </w:p>
              </w:tc>
              <w:tc>
                <w:tcPr>
                  <w:tcW w:w="2327" w:type="dxa"/>
                  <w:vAlign w:val="center"/>
                </w:tcPr>
                <w:p>
                  <w:pPr>
                    <w:adjustRightInd w:val="0"/>
                    <w:snapToGrid w:val="0"/>
                    <w:jc w:val="center"/>
                    <w:rPr>
                      <w:szCs w:val="21"/>
                    </w:rPr>
                  </w:pPr>
                  <w:r>
                    <w:rPr>
                      <w:szCs w:val="21"/>
                    </w:rPr>
                    <w:t>5</w:t>
                  </w:r>
                  <w:r>
                    <w:rPr>
                      <w:rFonts w:hint="eastAsia"/>
                      <w:szCs w:val="21"/>
                    </w:rPr>
                    <w:t>用1备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1" w:type="dxa"/>
                  <w:vAlign w:val="center"/>
                </w:tcPr>
                <w:p>
                  <w:pPr>
                    <w:adjustRightInd w:val="0"/>
                    <w:snapToGrid w:val="0"/>
                    <w:jc w:val="center"/>
                    <w:rPr>
                      <w:szCs w:val="21"/>
                    </w:rPr>
                  </w:pPr>
                  <w:r>
                    <w:rPr>
                      <w:rFonts w:hint="eastAsia"/>
                      <w:szCs w:val="21"/>
                    </w:rPr>
                    <w:t>2</w:t>
                  </w:r>
                </w:p>
              </w:tc>
              <w:tc>
                <w:tcPr>
                  <w:tcW w:w="2835" w:type="dxa"/>
                  <w:vAlign w:val="center"/>
                </w:tcPr>
                <w:p>
                  <w:pPr>
                    <w:adjustRightInd w:val="0"/>
                    <w:snapToGrid w:val="0"/>
                    <w:jc w:val="center"/>
                    <w:rPr>
                      <w:szCs w:val="21"/>
                    </w:rPr>
                  </w:pPr>
                  <w:r>
                    <w:rPr>
                      <w:rFonts w:hint="eastAsia"/>
                      <w:szCs w:val="21"/>
                    </w:rPr>
                    <w:t>C</w:t>
                  </w:r>
                  <w:r>
                    <w:rPr>
                      <w:szCs w:val="21"/>
                    </w:rPr>
                    <w:t>AT325</w:t>
                  </w:r>
                  <w:r>
                    <w:rPr>
                      <w:rFonts w:hint="eastAsia"/>
                      <w:szCs w:val="21"/>
                    </w:rPr>
                    <w:t>型液压反铲</w:t>
                  </w:r>
                  <w:r>
                    <w:rPr>
                      <w:szCs w:val="21"/>
                    </w:rPr>
                    <w:t>挖掘机</w:t>
                  </w:r>
                </w:p>
              </w:tc>
              <w:tc>
                <w:tcPr>
                  <w:tcW w:w="986" w:type="dxa"/>
                  <w:vAlign w:val="center"/>
                </w:tcPr>
                <w:p>
                  <w:pPr>
                    <w:adjustRightInd w:val="0"/>
                    <w:snapToGrid w:val="0"/>
                    <w:jc w:val="center"/>
                    <w:rPr>
                      <w:szCs w:val="21"/>
                    </w:rPr>
                  </w:pPr>
                  <w:r>
                    <w:rPr>
                      <w:szCs w:val="21"/>
                    </w:rPr>
                    <w:t>台</w:t>
                  </w:r>
                </w:p>
              </w:tc>
              <w:tc>
                <w:tcPr>
                  <w:tcW w:w="947" w:type="dxa"/>
                  <w:vAlign w:val="center"/>
                </w:tcPr>
                <w:p>
                  <w:pPr>
                    <w:adjustRightInd w:val="0"/>
                    <w:snapToGrid w:val="0"/>
                    <w:jc w:val="center"/>
                    <w:rPr>
                      <w:szCs w:val="21"/>
                    </w:rPr>
                  </w:pPr>
                  <w:r>
                    <w:rPr>
                      <w:szCs w:val="21"/>
                    </w:rPr>
                    <w:t>6</w:t>
                  </w:r>
                </w:p>
              </w:tc>
              <w:tc>
                <w:tcPr>
                  <w:tcW w:w="2327" w:type="dxa"/>
                  <w:vAlign w:val="center"/>
                </w:tcPr>
                <w:p>
                  <w:pPr>
                    <w:adjustRightInd w:val="0"/>
                    <w:snapToGrid w:val="0"/>
                    <w:jc w:val="center"/>
                    <w:rPr>
                      <w:szCs w:val="21"/>
                    </w:rPr>
                  </w:pPr>
                  <w:r>
                    <w:rPr>
                      <w:rFonts w:hint="eastAsia"/>
                      <w:szCs w:val="21"/>
                    </w:rPr>
                    <w:t>斗容2</w:t>
                  </w:r>
                  <w:r>
                    <w:rPr>
                      <w:szCs w:val="21"/>
                    </w:rPr>
                    <w:t>.0</w:t>
                  </w:r>
                  <w:r>
                    <w:rPr>
                      <w:rFonts w:hint="eastAsia"/>
                      <w:szCs w:val="21"/>
                    </w:rPr>
                    <w:t>m³，</w:t>
                  </w:r>
                  <w:r>
                    <w:rPr>
                      <w:szCs w:val="21"/>
                    </w:rPr>
                    <w:t>5</w:t>
                  </w:r>
                  <w:r>
                    <w:rPr>
                      <w:rFonts w:hint="eastAsia"/>
                      <w:szCs w:val="21"/>
                    </w:rPr>
                    <w:t>用1备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1" w:type="dxa"/>
                  <w:vAlign w:val="center"/>
                </w:tcPr>
                <w:p>
                  <w:pPr>
                    <w:adjustRightInd w:val="0"/>
                    <w:snapToGrid w:val="0"/>
                    <w:jc w:val="center"/>
                    <w:rPr>
                      <w:szCs w:val="21"/>
                    </w:rPr>
                  </w:pPr>
                  <w:r>
                    <w:rPr>
                      <w:rFonts w:hint="eastAsia"/>
                      <w:szCs w:val="21"/>
                    </w:rPr>
                    <w:t>3</w:t>
                  </w:r>
                </w:p>
              </w:tc>
              <w:tc>
                <w:tcPr>
                  <w:tcW w:w="2835" w:type="dxa"/>
                  <w:vAlign w:val="center"/>
                </w:tcPr>
                <w:p>
                  <w:pPr>
                    <w:adjustRightInd w:val="0"/>
                    <w:snapToGrid w:val="0"/>
                    <w:jc w:val="center"/>
                    <w:rPr>
                      <w:szCs w:val="21"/>
                    </w:rPr>
                  </w:pPr>
                  <w:r>
                    <w:rPr>
                      <w:rFonts w:hint="eastAsia"/>
                      <w:szCs w:val="21"/>
                    </w:rPr>
                    <w:t>自卸运输车</w:t>
                  </w:r>
                </w:p>
              </w:tc>
              <w:tc>
                <w:tcPr>
                  <w:tcW w:w="986" w:type="dxa"/>
                  <w:vAlign w:val="center"/>
                </w:tcPr>
                <w:p>
                  <w:pPr>
                    <w:adjustRightInd w:val="0"/>
                    <w:snapToGrid w:val="0"/>
                    <w:jc w:val="center"/>
                    <w:rPr>
                      <w:szCs w:val="21"/>
                    </w:rPr>
                  </w:pPr>
                  <w:r>
                    <w:rPr>
                      <w:rFonts w:hint="eastAsia"/>
                      <w:szCs w:val="21"/>
                    </w:rPr>
                    <w:t>台</w:t>
                  </w:r>
                </w:p>
              </w:tc>
              <w:tc>
                <w:tcPr>
                  <w:tcW w:w="947" w:type="dxa"/>
                  <w:vAlign w:val="center"/>
                </w:tcPr>
                <w:p>
                  <w:pPr>
                    <w:adjustRightInd w:val="0"/>
                    <w:snapToGrid w:val="0"/>
                    <w:jc w:val="center"/>
                    <w:rPr>
                      <w:szCs w:val="21"/>
                    </w:rPr>
                  </w:pPr>
                  <w:r>
                    <w:rPr>
                      <w:szCs w:val="21"/>
                    </w:rPr>
                    <w:t>50</w:t>
                  </w:r>
                </w:p>
              </w:tc>
              <w:tc>
                <w:tcPr>
                  <w:tcW w:w="2327" w:type="dxa"/>
                  <w:vAlign w:val="center"/>
                </w:tcPr>
                <w:p>
                  <w:pPr>
                    <w:adjustRightInd w:val="0"/>
                    <w:snapToGrid w:val="0"/>
                    <w:jc w:val="center"/>
                    <w:rPr>
                      <w:szCs w:val="21"/>
                    </w:rPr>
                  </w:pPr>
                  <w:r>
                    <w:rPr>
                      <w:rFonts w:hint="eastAsia"/>
                      <w:szCs w:val="21"/>
                    </w:rPr>
                    <w:t>运输</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31" w:type="dxa"/>
                  <w:vAlign w:val="center"/>
                </w:tcPr>
                <w:p>
                  <w:pPr>
                    <w:adjustRightInd w:val="0"/>
                    <w:snapToGrid w:val="0"/>
                    <w:jc w:val="center"/>
                    <w:rPr>
                      <w:szCs w:val="21"/>
                    </w:rPr>
                  </w:pPr>
                  <w:r>
                    <w:rPr>
                      <w:szCs w:val="21"/>
                    </w:rPr>
                    <w:t>4</w:t>
                  </w:r>
                </w:p>
              </w:tc>
              <w:tc>
                <w:tcPr>
                  <w:tcW w:w="2835" w:type="dxa"/>
                  <w:vAlign w:val="center"/>
                </w:tcPr>
                <w:p>
                  <w:pPr>
                    <w:adjustRightInd w:val="0"/>
                    <w:snapToGrid w:val="0"/>
                    <w:jc w:val="center"/>
                    <w:rPr>
                      <w:szCs w:val="21"/>
                    </w:rPr>
                  </w:pPr>
                  <w:r>
                    <w:rPr>
                      <w:szCs w:val="21"/>
                    </w:rPr>
                    <w:t>洒水车</w:t>
                  </w:r>
                </w:p>
              </w:tc>
              <w:tc>
                <w:tcPr>
                  <w:tcW w:w="986" w:type="dxa"/>
                  <w:vAlign w:val="center"/>
                </w:tcPr>
                <w:p>
                  <w:pPr>
                    <w:adjustRightInd w:val="0"/>
                    <w:snapToGrid w:val="0"/>
                    <w:jc w:val="center"/>
                    <w:rPr>
                      <w:szCs w:val="21"/>
                    </w:rPr>
                  </w:pPr>
                  <w:r>
                    <w:rPr>
                      <w:szCs w:val="21"/>
                    </w:rPr>
                    <w:t>辆</w:t>
                  </w:r>
                </w:p>
              </w:tc>
              <w:tc>
                <w:tcPr>
                  <w:tcW w:w="947" w:type="dxa"/>
                  <w:vAlign w:val="center"/>
                </w:tcPr>
                <w:p>
                  <w:pPr>
                    <w:adjustRightInd w:val="0"/>
                    <w:snapToGrid w:val="0"/>
                    <w:jc w:val="center"/>
                    <w:rPr>
                      <w:szCs w:val="21"/>
                    </w:rPr>
                  </w:pPr>
                  <w:r>
                    <w:rPr>
                      <w:szCs w:val="21"/>
                    </w:rPr>
                    <w:t>8</w:t>
                  </w:r>
                </w:p>
              </w:tc>
              <w:tc>
                <w:tcPr>
                  <w:tcW w:w="2327" w:type="dxa"/>
                  <w:vAlign w:val="center"/>
                </w:tcPr>
                <w:p>
                  <w:pPr>
                    <w:adjustRightInd w:val="0"/>
                    <w:snapToGrid w:val="0"/>
                    <w:jc w:val="center"/>
                    <w:rPr>
                      <w:szCs w:val="21"/>
                    </w:rPr>
                  </w:pPr>
                  <w:r>
                    <w:rPr>
                      <w:szCs w:val="21"/>
                    </w:rPr>
                    <w:t>洒水降尘</w:t>
                  </w:r>
                </w:p>
              </w:tc>
            </w:tr>
          </w:tbl>
          <w:p>
            <w:pPr>
              <w:adjustRightInd w:val="0"/>
              <w:snapToGrid w:val="0"/>
              <w:spacing w:line="480" w:lineRule="exact"/>
              <w:ind w:left="420"/>
              <w:rPr>
                <w:b/>
                <w:bCs/>
                <w:sz w:val="24"/>
              </w:rPr>
            </w:pPr>
            <w:r>
              <w:rPr>
                <w:rFonts w:hint="eastAsia"/>
                <w:b/>
                <w:bCs/>
                <w:sz w:val="24"/>
              </w:rPr>
              <w:t>4、主要</w:t>
            </w:r>
            <w:r>
              <w:rPr>
                <w:b/>
                <w:bCs/>
                <w:sz w:val="24"/>
              </w:rPr>
              <w:t>原辅材料</w:t>
            </w:r>
            <w:r>
              <w:rPr>
                <w:rFonts w:hint="eastAsia"/>
                <w:b/>
                <w:bCs/>
                <w:sz w:val="24"/>
              </w:rPr>
              <w:t>及用量</w:t>
            </w:r>
          </w:p>
          <w:p>
            <w:pPr>
              <w:adjustRightInd w:val="0"/>
              <w:snapToGrid w:val="0"/>
              <w:spacing w:line="480" w:lineRule="exact"/>
              <w:ind w:firstLine="480" w:firstLineChars="200"/>
              <w:rPr>
                <w:sz w:val="24"/>
              </w:rPr>
            </w:pPr>
            <w:r>
              <w:rPr>
                <w:sz w:val="24"/>
              </w:rPr>
              <w:t>本项目</w:t>
            </w:r>
            <w:r>
              <w:rPr>
                <w:rFonts w:hint="eastAsia"/>
                <w:sz w:val="24"/>
              </w:rPr>
              <w:t>原辅材料</w:t>
            </w:r>
            <w:r>
              <w:rPr>
                <w:sz w:val="24"/>
              </w:rPr>
              <w:t>情况见表2-8。</w:t>
            </w:r>
          </w:p>
          <w:p>
            <w:pPr>
              <w:pStyle w:val="55"/>
              <w:keepNext/>
              <w:spacing w:line="240" w:lineRule="auto"/>
              <w:ind w:firstLine="480"/>
              <w:jc w:val="center"/>
              <w:rPr>
                <w:rFonts w:hAnsi="Times New Roman" w:eastAsia="黑体"/>
                <w:b w:val="0"/>
                <w:bCs w:val="0"/>
                <w:color w:val="auto"/>
                <w:szCs w:val="24"/>
              </w:rPr>
            </w:pPr>
            <w:r>
              <w:rPr>
                <w:rFonts w:hAnsi="Times New Roman" w:eastAsia="黑体"/>
                <w:b w:val="0"/>
                <w:bCs w:val="0"/>
                <w:color w:val="auto"/>
                <w:szCs w:val="24"/>
              </w:rPr>
              <w:t>表</w:t>
            </w:r>
            <w:r>
              <w:rPr>
                <w:rFonts w:hint="eastAsia" w:hAnsi="Times New Roman" w:eastAsia="黑体"/>
                <w:b w:val="0"/>
                <w:bCs w:val="0"/>
                <w:color w:val="auto"/>
                <w:szCs w:val="24"/>
              </w:rPr>
              <w:t>2-</w:t>
            </w:r>
            <w:r>
              <w:rPr>
                <w:rFonts w:hAnsi="Times New Roman" w:eastAsia="黑体"/>
                <w:b w:val="0"/>
                <w:bCs w:val="0"/>
                <w:color w:val="auto"/>
                <w:szCs w:val="24"/>
              </w:rPr>
              <w:t xml:space="preserve">8  </w:t>
            </w:r>
            <w:r>
              <w:rPr>
                <w:rFonts w:hint="eastAsia" w:hAnsi="Times New Roman" w:eastAsia="黑体"/>
                <w:b w:val="0"/>
                <w:bCs w:val="0"/>
                <w:color w:val="auto"/>
                <w:szCs w:val="24"/>
              </w:rPr>
              <w:t xml:space="preserve">  </w:t>
            </w:r>
            <w:r>
              <w:rPr>
                <w:rFonts w:hAnsi="Times New Roman" w:eastAsia="黑体"/>
                <w:b w:val="0"/>
                <w:bCs w:val="0"/>
                <w:color w:val="auto"/>
                <w:szCs w:val="24"/>
              </w:rPr>
              <w:t>主要原材料消耗量</w:t>
            </w:r>
          </w:p>
          <w:tbl>
            <w:tblPr>
              <w:tblStyle w:val="31"/>
              <w:tblW w:w="7851" w:type="dxa"/>
              <w:jc w:val="center"/>
              <w:tblInd w:w="0" w:type="dxa"/>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Layout w:type="fixed"/>
              <w:tblCellMar>
                <w:top w:w="0" w:type="dxa"/>
                <w:left w:w="10" w:type="dxa"/>
                <w:bottom w:w="0" w:type="dxa"/>
                <w:right w:w="10" w:type="dxa"/>
              </w:tblCellMar>
            </w:tblPr>
            <w:tblGrid>
              <w:gridCol w:w="1048"/>
              <w:gridCol w:w="2331"/>
              <w:gridCol w:w="2220"/>
              <w:gridCol w:w="2252"/>
            </w:tblGrid>
            <w:tr>
              <w:tblPrEx>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Layout w:type="fixed"/>
                <w:tblCellMar>
                  <w:top w:w="0" w:type="dxa"/>
                  <w:left w:w="10" w:type="dxa"/>
                  <w:bottom w:w="0" w:type="dxa"/>
                  <w:right w:w="10" w:type="dxa"/>
                </w:tblCellMar>
              </w:tblPrEx>
              <w:trPr>
                <w:trHeight w:val="340" w:hRule="atLeast"/>
                <w:jc w:val="center"/>
              </w:trPr>
              <w:tc>
                <w:tcPr>
                  <w:tcW w:w="1048" w:type="dxa"/>
                  <w:tcMar>
                    <w:top w:w="0" w:type="dxa"/>
                    <w:left w:w="108" w:type="dxa"/>
                    <w:bottom w:w="0" w:type="dxa"/>
                    <w:right w:w="108" w:type="dxa"/>
                  </w:tcMar>
                  <w:vAlign w:val="center"/>
                </w:tcPr>
                <w:p>
                  <w:pPr>
                    <w:adjustRightInd w:val="0"/>
                    <w:snapToGrid w:val="0"/>
                    <w:jc w:val="center"/>
                    <w:rPr>
                      <w:szCs w:val="21"/>
                    </w:rPr>
                  </w:pPr>
                  <w:r>
                    <w:rPr>
                      <w:szCs w:val="21"/>
                    </w:rPr>
                    <w:t>序号</w:t>
                  </w:r>
                </w:p>
              </w:tc>
              <w:tc>
                <w:tcPr>
                  <w:tcW w:w="2331" w:type="dxa"/>
                  <w:tcMar>
                    <w:top w:w="0" w:type="dxa"/>
                    <w:left w:w="108" w:type="dxa"/>
                    <w:bottom w:w="0" w:type="dxa"/>
                    <w:right w:w="108" w:type="dxa"/>
                  </w:tcMar>
                  <w:vAlign w:val="center"/>
                </w:tcPr>
                <w:p>
                  <w:pPr>
                    <w:adjustRightInd w:val="0"/>
                    <w:snapToGrid w:val="0"/>
                    <w:jc w:val="center"/>
                    <w:rPr>
                      <w:szCs w:val="21"/>
                    </w:rPr>
                  </w:pPr>
                  <w:r>
                    <w:rPr>
                      <w:szCs w:val="21"/>
                    </w:rPr>
                    <w:t>名称</w:t>
                  </w:r>
                </w:p>
              </w:tc>
              <w:tc>
                <w:tcPr>
                  <w:tcW w:w="2220" w:type="dxa"/>
                  <w:tcMar>
                    <w:top w:w="0" w:type="dxa"/>
                    <w:left w:w="108" w:type="dxa"/>
                    <w:bottom w:w="0" w:type="dxa"/>
                    <w:right w:w="108" w:type="dxa"/>
                  </w:tcMar>
                  <w:vAlign w:val="center"/>
                </w:tcPr>
                <w:p>
                  <w:pPr>
                    <w:adjustRightInd w:val="0"/>
                    <w:snapToGrid w:val="0"/>
                    <w:jc w:val="center"/>
                    <w:rPr>
                      <w:szCs w:val="21"/>
                    </w:rPr>
                  </w:pPr>
                  <w:r>
                    <w:rPr>
                      <w:szCs w:val="21"/>
                    </w:rPr>
                    <w:t>单位</w:t>
                  </w:r>
                </w:p>
              </w:tc>
              <w:tc>
                <w:tcPr>
                  <w:tcW w:w="2252" w:type="dxa"/>
                  <w:tcMar>
                    <w:top w:w="0" w:type="dxa"/>
                    <w:left w:w="108" w:type="dxa"/>
                    <w:bottom w:w="0" w:type="dxa"/>
                    <w:right w:w="108" w:type="dxa"/>
                  </w:tcMar>
                  <w:vAlign w:val="center"/>
                </w:tcPr>
                <w:p>
                  <w:pPr>
                    <w:adjustRightInd w:val="0"/>
                    <w:snapToGrid w:val="0"/>
                    <w:jc w:val="center"/>
                    <w:rPr>
                      <w:szCs w:val="21"/>
                    </w:rPr>
                  </w:pPr>
                  <w:r>
                    <w:rPr>
                      <w:szCs w:val="21"/>
                    </w:rPr>
                    <w:t>消耗量</w:t>
                  </w:r>
                </w:p>
              </w:tc>
            </w:tr>
            <w:tr>
              <w:tblPrEx>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Layout w:type="fixed"/>
                <w:tblCellMar>
                  <w:top w:w="0" w:type="dxa"/>
                  <w:left w:w="10" w:type="dxa"/>
                  <w:bottom w:w="0" w:type="dxa"/>
                  <w:right w:w="10" w:type="dxa"/>
                </w:tblCellMar>
              </w:tblPrEx>
              <w:trPr>
                <w:trHeight w:val="340" w:hRule="atLeast"/>
                <w:jc w:val="center"/>
              </w:trPr>
              <w:tc>
                <w:tcPr>
                  <w:tcW w:w="1048" w:type="dxa"/>
                  <w:tcMar>
                    <w:top w:w="0" w:type="dxa"/>
                    <w:left w:w="108" w:type="dxa"/>
                    <w:bottom w:w="0" w:type="dxa"/>
                    <w:right w:w="108" w:type="dxa"/>
                  </w:tcMar>
                  <w:vAlign w:val="center"/>
                </w:tcPr>
                <w:p>
                  <w:pPr>
                    <w:adjustRightInd w:val="0"/>
                    <w:snapToGrid w:val="0"/>
                    <w:jc w:val="center"/>
                    <w:rPr>
                      <w:szCs w:val="21"/>
                    </w:rPr>
                  </w:pPr>
                  <w:r>
                    <w:rPr>
                      <w:rFonts w:hint="eastAsia"/>
                      <w:szCs w:val="21"/>
                    </w:rPr>
                    <w:t>1</w:t>
                  </w:r>
                </w:p>
              </w:tc>
              <w:tc>
                <w:tcPr>
                  <w:tcW w:w="2331" w:type="dxa"/>
                  <w:tcMar>
                    <w:top w:w="0" w:type="dxa"/>
                    <w:left w:w="108" w:type="dxa"/>
                    <w:bottom w:w="0" w:type="dxa"/>
                    <w:right w:w="108" w:type="dxa"/>
                  </w:tcMar>
                  <w:vAlign w:val="center"/>
                </w:tcPr>
                <w:p>
                  <w:pPr>
                    <w:adjustRightInd w:val="0"/>
                    <w:snapToGrid w:val="0"/>
                    <w:jc w:val="center"/>
                    <w:rPr>
                      <w:szCs w:val="21"/>
                    </w:rPr>
                  </w:pPr>
                  <w:r>
                    <w:rPr>
                      <w:szCs w:val="21"/>
                    </w:rPr>
                    <w:t>水</w:t>
                  </w:r>
                </w:p>
              </w:tc>
              <w:tc>
                <w:tcPr>
                  <w:tcW w:w="2220" w:type="dxa"/>
                  <w:tcMar>
                    <w:top w:w="0" w:type="dxa"/>
                    <w:left w:w="108" w:type="dxa"/>
                    <w:bottom w:w="0" w:type="dxa"/>
                    <w:right w:w="108" w:type="dxa"/>
                  </w:tcMar>
                  <w:vAlign w:val="center"/>
                </w:tcPr>
                <w:p>
                  <w:pPr>
                    <w:adjustRightInd w:val="0"/>
                    <w:snapToGrid w:val="0"/>
                    <w:jc w:val="center"/>
                    <w:rPr>
                      <w:szCs w:val="21"/>
                    </w:rPr>
                  </w:pPr>
                  <w:r>
                    <w:rPr>
                      <w:szCs w:val="21"/>
                    </w:rPr>
                    <w:t>m</w:t>
                  </w:r>
                  <w:r>
                    <w:rPr>
                      <w:szCs w:val="21"/>
                      <w:vertAlign w:val="superscript"/>
                    </w:rPr>
                    <w:t>3</w:t>
                  </w:r>
                  <w:r>
                    <w:rPr>
                      <w:rFonts w:hint="eastAsia"/>
                      <w:szCs w:val="21"/>
                    </w:rPr>
                    <w:t>/a</w:t>
                  </w:r>
                </w:p>
              </w:tc>
              <w:tc>
                <w:tcPr>
                  <w:tcW w:w="2252" w:type="dxa"/>
                  <w:tcMar>
                    <w:top w:w="0" w:type="dxa"/>
                    <w:left w:w="108" w:type="dxa"/>
                    <w:bottom w:w="0" w:type="dxa"/>
                    <w:right w:w="108" w:type="dxa"/>
                  </w:tcMar>
                  <w:vAlign w:val="center"/>
                </w:tcPr>
                <w:p>
                  <w:pPr>
                    <w:adjustRightInd w:val="0"/>
                    <w:snapToGrid w:val="0"/>
                    <w:jc w:val="center"/>
                    <w:rPr>
                      <w:szCs w:val="21"/>
                      <w:highlight w:val="yellow"/>
                    </w:rPr>
                  </w:pPr>
                  <w:r>
                    <w:rPr>
                      <w:szCs w:val="21"/>
                    </w:rPr>
                    <w:t>12</w:t>
                  </w:r>
                  <w:r>
                    <w:rPr>
                      <w:rFonts w:hint="eastAsia"/>
                      <w:szCs w:val="21"/>
                    </w:rPr>
                    <w:t>000</w:t>
                  </w:r>
                </w:p>
              </w:tc>
            </w:tr>
          </w:tbl>
          <w:p>
            <w:pPr>
              <w:adjustRightInd w:val="0"/>
              <w:snapToGrid w:val="0"/>
              <w:spacing w:line="520" w:lineRule="exact"/>
              <w:ind w:firstLine="480" w:firstLineChars="200"/>
              <w:rPr>
                <w:rFonts w:eastAsia="黑体"/>
                <w:b/>
                <w:bCs/>
              </w:rPr>
            </w:pPr>
            <w:r>
              <w:rPr>
                <w:rFonts w:hint="eastAsia"/>
                <w:sz w:val="24"/>
              </w:rPr>
              <w:t>本项目</w:t>
            </w:r>
            <w:r>
              <w:rPr>
                <w:sz w:val="24"/>
              </w:rPr>
              <w:t>年</w:t>
            </w:r>
            <w:r>
              <w:rPr>
                <w:rFonts w:hint="eastAsia"/>
                <w:sz w:val="24"/>
              </w:rPr>
              <w:t>开采</w:t>
            </w:r>
            <w:r>
              <w:rPr>
                <w:sz w:val="24"/>
              </w:rPr>
              <w:t>180.0</w:t>
            </w:r>
            <w:r>
              <w:rPr>
                <w:rFonts w:hint="eastAsia"/>
                <w:sz w:val="24"/>
              </w:rPr>
              <w:t>0</w:t>
            </w:r>
            <w:r>
              <w:rPr>
                <w:sz w:val="24"/>
              </w:rPr>
              <w:t>万m</w:t>
            </w:r>
            <w:r>
              <w:rPr>
                <w:sz w:val="24"/>
                <w:vertAlign w:val="superscript"/>
              </w:rPr>
              <w:t>3</w:t>
            </w:r>
            <w:r>
              <w:rPr>
                <w:rFonts w:hint="eastAsia"/>
                <w:sz w:val="24"/>
              </w:rPr>
              <w:t>石英砂，开采出的石英砂原矿全部拉运至阜康产业园阜西区新疆世纪能源化工有限公司世纪能源装备新材料产业园项目现有石英砂加工生产线进行加工。</w:t>
            </w:r>
          </w:p>
          <w:p>
            <w:pPr>
              <w:adjustRightInd w:val="0"/>
              <w:snapToGrid w:val="0"/>
              <w:spacing w:line="520" w:lineRule="exact"/>
              <w:ind w:firstLine="482" w:firstLineChars="200"/>
              <w:rPr>
                <w:b/>
                <w:bCs/>
                <w:sz w:val="24"/>
              </w:rPr>
            </w:pPr>
            <w:r>
              <w:rPr>
                <w:rFonts w:hint="eastAsia"/>
                <w:b/>
                <w:bCs/>
                <w:sz w:val="24"/>
              </w:rPr>
              <w:t>4</w:t>
            </w:r>
            <w:r>
              <w:rPr>
                <w:b/>
                <w:bCs/>
                <w:sz w:val="24"/>
              </w:rPr>
              <w:t>、公用工程</w:t>
            </w:r>
          </w:p>
          <w:p>
            <w:pPr>
              <w:adjustRightInd w:val="0"/>
              <w:snapToGrid w:val="0"/>
              <w:spacing w:line="480" w:lineRule="exact"/>
              <w:ind w:firstLine="480" w:firstLineChars="200"/>
              <w:rPr>
                <w:sz w:val="24"/>
              </w:rPr>
            </w:pPr>
            <w:r>
              <w:rPr>
                <w:sz w:val="24"/>
              </w:rPr>
              <w:t>（1）给水</w:t>
            </w:r>
          </w:p>
          <w:p>
            <w:pPr>
              <w:adjustRightInd w:val="0"/>
              <w:snapToGrid w:val="0"/>
              <w:spacing w:line="480" w:lineRule="exact"/>
              <w:ind w:firstLine="480" w:firstLineChars="200"/>
              <w:rPr>
                <w:sz w:val="24"/>
              </w:rPr>
            </w:pPr>
            <w:r>
              <w:rPr>
                <w:rFonts w:hint="eastAsia"/>
                <w:sz w:val="24"/>
              </w:rPr>
              <w:t>本项目矿区不设置办公生活区，职工食宿依托阜康产业园阜西区新疆世纪能源化工有限公司现有生活设施，矿区生产用水主要为道路洒水降尘用水，通过罐车从附近拉运。</w:t>
            </w:r>
          </w:p>
          <w:p>
            <w:pPr>
              <w:adjustRightInd w:val="0"/>
              <w:snapToGrid w:val="0"/>
              <w:spacing w:line="480" w:lineRule="exact"/>
              <w:ind w:firstLine="480" w:firstLineChars="200"/>
              <w:rPr>
                <w:sz w:val="24"/>
              </w:rPr>
            </w:pPr>
            <w:r>
              <w:rPr>
                <w:rFonts w:hint="eastAsia"/>
                <w:sz w:val="24"/>
              </w:rPr>
              <w:t>根据开发利用方案，建设单位提供资料洒水抑尘用水量为</w:t>
            </w:r>
            <w:r>
              <w:rPr>
                <w:sz w:val="24"/>
              </w:rPr>
              <w:t>60</w:t>
            </w:r>
            <w:r>
              <w:rPr>
                <w:rFonts w:hint="eastAsia"/>
                <w:sz w:val="24"/>
              </w:rPr>
              <w:t>m</w:t>
            </w:r>
            <w:r>
              <w:rPr>
                <w:rFonts w:hint="eastAsia"/>
                <w:sz w:val="24"/>
                <w:vertAlign w:val="superscript"/>
              </w:rPr>
              <w:t>3</w:t>
            </w:r>
            <w:r>
              <w:rPr>
                <w:rFonts w:hint="eastAsia"/>
                <w:sz w:val="24"/>
              </w:rPr>
              <w:t>/d（</w:t>
            </w:r>
            <w:r>
              <w:rPr>
                <w:sz w:val="24"/>
              </w:rPr>
              <w:t>120</w:t>
            </w:r>
            <w:r>
              <w:rPr>
                <w:rFonts w:hint="eastAsia"/>
                <w:sz w:val="24"/>
              </w:rPr>
              <w:t>00m</w:t>
            </w:r>
            <w:r>
              <w:rPr>
                <w:rFonts w:hint="eastAsia"/>
                <w:sz w:val="24"/>
                <w:vertAlign w:val="superscript"/>
              </w:rPr>
              <w:t>3</w:t>
            </w:r>
            <w:r>
              <w:rPr>
                <w:rFonts w:hint="eastAsia"/>
                <w:sz w:val="24"/>
              </w:rPr>
              <w:t>/a）。</w:t>
            </w:r>
          </w:p>
          <w:p>
            <w:pPr>
              <w:adjustRightInd w:val="0"/>
              <w:snapToGrid w:val="0"/>
              <w:spacing w:line="480" w:lineRule="exact"/>
              <w:ind w:firstLine="480" w:firstLineChars="200"/>
              <w:rPr>
                <w:sz w:val="24"/>
              </w:rPr>
            </w:pPr>
            <w:r>
              <w:rPr>
                <w:rFonts w:hint="eastAsia"/>
                <w:sz w:val="24"/>
              </w:rPr>
              <w:t>（2）</w:t>
            </w:r>
            <w:r>
              <w:rPr>
                <w:sz w:val="24"/>
              </w:rPr>
              <w:t>排水</w:t>
            </w:r>
          </w:p>
          <w:p>
            <w:pPr>
              <w:pStyle w:val="14"/>
              <w:spacing w:before="0" w:after="0" w:line="520" w:lineRule="exact"/>
              <w:ind w:right="0" w:firstLine="480" w:firstLineChars="200"/>
              <w:rPr>
                <w:sz w:val="24"/>
              </w:rPr>
            </w:pPr>
            <w:r>
              <w:rPr>
                <w:rFonts w:hint="eastAsia"/>
                <w:sz w:val="24"/>
              </w:rPr>
              <w:t>本工程</w:t>
            </w:r>
            <w:r>
              <w:rPr>
                <w:rFonts w:hint="eastAsia"/>
                <w:sz w:val="24"/>
                <w:szCs w:val="24"/>
              </w:rPr>
              <w:t>矿区不设置办公生活区，矿区设置1座防渗环保厕所，配套10m³防渗储粪池，定期委托环卫部门进行清运。车辆清洗废水经过沉淀后循环利用不外排。。</w:t>
            </w:r>
          </w:p>
          <w:p>
            <w:pPr>
              <w:numPr>
                <w:ilvl w:val="0"/>
                <w:numId w:val="4"/>
              </w:numPr>
              <w:adjustRightInd w:val="0"/>
              <w:snapToGrid w:val="0"/>
              <w:spacing w:line="520" w:lineRule="exact"/>
              <w:ind w:firstLine="480" w:firstLineChars="200"/>
              <w:rPr>
                <w:sz w:val="24"/>
              </w:rPr>
            </w:pPr>
            <w:r>
              <w:rPr>
                <w:sz w:val="24"/>
              </w:rPr>
              <w:t>供电</w:t>
            </w:r>
          </w:p>
          <w:p>
            <w:pPr>
              <w:adjustRightInd w:val="0"/>
              <w:snapToGrid w:val="0"/>
              <w:spacing w:line="520" w:lineRule="exact"/>
              <w:ind w:firstLine="480" w:firstLineChars="200"/>
              <w:rPr>
                <w:sz w:val="24"/>
              </w:rPr>
            </w:pPr>
            <w:r>
              <w:rPr>
                <w:rFonts w:hint="eastAsia"/>
                <w:sz w:val="24"/>
              </w:rPr>
              <w:t>本项目矿区不设置选矿设备，无需供电。</w:t>
            </w:r>
          </w:p>
          <w:p>
            <w:pPr>
              <w:adjustRightInd w:val="0"/>
              <w:snapToGrid w:val="0"/>
              <w:spacing w:line="520" w:lineRule="exact"/>
              <w:ind w:firstLine="480" w:firstLineChars="200"/>
              <w:rPr>
                <w:sz w:val="24"/>
              </w:rPr>
            </w:pPr>
            <w:r>
              <w:rPr>
                <w:rFonts w:hint="eastAsia"/>
                <w:sz w:val="24"/>
              </w:rPr>
              <w:t>（4）</w:t>
            </w:r>
            <w:r>
              <w:rPr>
                <w:sz w:val="24"/>
              </w:rPr>
              <w:t>供暖</w:t>
            </w:r>
          </w:p>
          <w:p>
            <w:pPr>
              <w:adjustRightInd w:val="0"/>
              <w:snapToGrid w:val="0"/>
              <w:spacing w:line="520" w:lineRule="exact"/>
              <w:ind w:firstLine="480" w:firstLineChars="200"/>
              <w:rPr>
                <w:sz w:val="24"/>
              </w:rPr>
            </w:pPr>
            <w:r>
              <w:rPr>
                <w:rFonts w:hint="eastAsia"/>
                <w:sz w:val="24"/>
              </w:rPr>
              <w:t>本工程矿区不设施办公生活区，且冬季不生产，无需供暖。</w:t>
            </w:r>
          </w:p>
          <w:p>
            <w:pPr>
              <w:adjustRightInd w:val="0"/>
              <w:snapToGrid w:val="0"/>
              <w:spacing w:line="520" w:lineRule="exact"/>
              <w:ind w:firstLine="482" w:firstLineChars="200"/>
              <w:rPr>
                <w:sz w:val="24"/>
              </w:rPr>
            </w:pPr>
            <w:r>
              <w:rPr>
                <w:rFonts w:hint="eastAsia"/>
                <w:b/>
                <w:bCs/>
                <w:sz w:val="24"/>
              </w:rPr>
              <w:t>5</w:t>
            </w:r>
            <w:r>
              <w:rPr>
                <w:b/>
                <w:bCs/>
                <w:sz w:val="24"/>
              </w:rPr>
              <w:t>、劳动定员及工作制度</w:t>
            </w:r>
          </w:p>
          <w:p>
            <w:pPr>
              <w:adjustRightInd w:val="0"/>
              <w:snapToGrid w:val="0"/>
              <w:spacing w:line="520" w:lineRule="exact"/>
              <w:ind w:firstLine="480" w:firstLineChars="200"/>
              <w:rPr>
                <w:rFonts w:ascii="宋体" w:hAnsi="宋体" w:cs="宋体"/>
                <w:kern w:val="0"/>
                <w:sz w:val="24"/>
              </w:rPr>
            </w:pPr>
            <w:r>
              <w:rPr>
                <w:sz w:val="24"/>
              </w:rPr>
              <w:t>本项目建成后，新增员工80人，年工作时间为2</w:t>
            </w:r>
            <w:r>
              <w:rPr>
                <w:rFonts w:hint="eastAsia"/>
                <w:sz w:val="24"/>
              </w:rPr>
              <w:t>00</w:t>
            </w:r>
            <w:r>
              <w:rPr>
                <w:sz w:val="24"/>
              </w:rPr>
              <w:t>天，2班/d、</w:t>
            </w:r>
            <w:r>
              <w:rPr>
                <w:rFonts w:hint="eastAsia"/>
                <w:sz w:val="24"/>
              </w:rPr>
              <w:t>8</w:t>
            </w:r>
            <w:r>
              <w:rPr>
                <w:sz w:val="24"/>
              </w:rPr>
              <w:t>h/班的工作制。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jc w:val="center"/>
        </w:trPr>
        <w:tc>
          <w:tcPr>
            <w:tcW w:w="709" w:type="dxa"/>
            <w:vAlign w:val="center"/>
          </w:tcPr>
          <w:p>
            <w:pPr>
              <w:adjustRightInd w:val="0"/>
              <w:snapToGrid w:val="0"/>
              <w:jc w:val="center"/>
              <w:rPr>
                <w:rFonts w:ascii="宋体" w:hAnsi="宋体" w:cs="宋体"/>
                <w:kern w:val="0"/>
                <w:sz w:val="24"/>
              </w:rPr>
            </w:pPr>
            <w:r>
              <w:rPr>
                <w:rFonts w:hint="eastAsia" w:ascii="宋体" w:hAnsi="宋体" w:cs="宋体"/>
                <w:kern w:val="0"/>
                <w:sz w:val="24"/>
              </w:rPr>
              <w:t>总平面及现场布置</w:t>
            </w:r>
          </w:p>
        </w:tc>
        <w:tc>
          <w:tcPr>
            <w:tcW w:w="8070" w:type="dxa"/>
            <w:vAlign w:val="center"/>
          </w:tcPr>
          <w:p>
            <w:pPr>
              <w:widowControl/>
              <w:tabs>
                <w:tab w:val="left" w:pos="-1800"/>
              </w:tabs>
              <w:spacing w:line="520" w:lineRule="exact"/>
              <w:ind w:firstLine="480" w:firstLineChars="200"/>
              <w:rPr>
                <w:sz w:val="24"/>
              </w:rPr>
            </w:pPr>
            <w:r>
              <w:rPr>
                <w:rFonts w:hint="eastAsia"/>
                <w:sz w:val="24"/>
              </w:rPr>
              <w:t>矿山总平面布置主要由露天采场、地表覆盖砂集中堆放场、矿山运输道路等组成。</w:t>
            </w:r>
            <w:r>
              <w:rPr>
                <w:rFonts w:hint="eastAsia" w:cs="宋体"/>
                <w:sz w:val="24"/>
                <w:lang w:bidi="ar"/>
              </w:rPr>
              <w:t>本项目职工生活及设备维修均依托</w:t>
            </w:r>
            <w:r>
              <w:rPr>
                <w:rFonts w:hint="eastAsia"/>
                <w:sz w:val="24"/>
              </w:rPr>
              <w:t>阜康产业园阜西区新疆世纪能源化工有限公司，矿区内不建设办公生活区、设备维修区及燃油存放区。</w:t>
            </w:r>
          </w:p>
          <w:p>
            <w:pPr>
              <w:widowControl/>
              <w:tabs>
                <w:tab w:val="left" w:pos="-1800"/>
              </w:tabs>
              <w:spacing w:line="520" w:lineRule="exact"/>
              <w:ind w:firstLine="480" w:firstLineChars="200"/>
              <w:rPr>
                <w:sz w:val="24"/>
              </w:rPr>
            </w:pPr>
            <w:r>
              <w:rPr>
                <w:rFonts w:hint="eastAsia"/>
                <w:sz w:val="24"/>
              </w:rPr>
              <w:t>（1）露天采场</w:t>
            </w:r>
          </w:p>
          <w:p>
            <w:pPr>
              <w:widowControl/>
              <w:tabs>
                <w:tab w:val="left" w:pos="-1800"/>
              </w:tabs>
              <w:spacing w:line="520" w:lineRule="exact"/>
              <w:ind w:firstLine="480" w:firstLineChars="200"/>
              <w:rPr>
                <w:sz w:val="24"/>
              </w:rPr>
            </w:pPr>
            <w:r>
              <w:rPr>
                <w:rFonts w:hint="eastAsia"/>
                <w:sz w:val="24"/>
              </w:rPr>
              <w:t>设计露天采场共有</w:t>
            </w:r>
            <w:r>
              <w:rPr>
                <w:sz w:val="24"/>
              </w:rPr>
              <w:t>4</w:t>
            </w:r>
            <w:r>
              <w:rPr>
                <w:rFonts w:hint="eastAsia"/>
                <w:sz w:val="24"/>
              </w:rPr>
              <w:t>个最终台段，标高分别为</w:t>
            </w:r>
            <w:r>
              <w:rPr>
                <w:sz w:val="24"/>
              </w:rPr>
              <w:t>650</w:t>
            </w:r>
            <w:r>
              <w:rPr>
                <w:rFonts w:hint="eastAsia"/>
                <w:sz w:val="24"/>
              </w:rPr>
              <w:t>m、</w:t>
            </w:r>
            <w:r>
              <w:rPr>
                <w:sz w:val="24"/>
              </w:rPr>
              <w:t>640</w:t>
            </w:r>
            <w:r>
              <w:rPr>
                <w:rFonts w:hint="eastAsia"/>
                <w:sz w:val="24"/>
              </w:rPr>
              <w:t>m、</w:t>
            </w:r>
            <w:r>
              <w:rPr>
                <w:sz w:val="24"/>
              </w:rPr>
              <w:t>630</w:t>
            </w:r>
            <w:r>
              <w:rPr>
                <w:rFonts w:hint="eastAsia"/>
                <w:sz w:val="24"/>
              </w:rPr>
              <w:t>m、</w:t>
            </w:r>
            <w:r>
              <w:rPr>
                <w:sz w:val="24"/>
              </w:rPr>
              <w:t>620</w:t>
            </w:r>
            <w:r>
              <w:rPr>
                <w:rFonts w:hint="eastAsia"/>
                <w:sz w:val="24"/>
              </w:rPr>
              <w:t>m，露天采场占地面积</w:t>
            </w:r>
            <w:r>
              <w:rPr>
                <w:sz w:val="24"/>
              </w:rPr>
              <w:t>133.76</w:t>
            </w:r>
            <w:r>
              <w:rPr>
                <w:rFonts w:hint="eastAsia"/>
                <w:sz w:val="24"/>
              </w:rPr>
              <w:t>hm</w:t>
            </w:r>
            <w:r>
              <w:rPr>
                <w:sz w:val="24"/>
                <w:vertAlign w:val="superscript"/>
              </w:rPr>
              <w:t>2</w:t>
            </w:r>
            <w:r>
              <w:rPr>
                <w:rFonts w:hint="eastAsia"/>
                <w:sz w:val="24"/>
              </w:rPr>
              <w:t>，开采标高</w:t>
            </w:r>
            <w:r>
              <w:rPr>
                <w:sz w:val="24"/>
              </w:rPr>
              <w:t>655-620</w:t>
            </w:r>
            <w:r>
              <w:rPr>
                <w:rFonts w:hint="eastAsia"/>
                <w:sz w:val="24"/>
              </w:rPr>
              <w:t>m。</w:t>
            </w:r>
          </w:p>
          <w:p>
            <w:pPr>
              <w:widowControl/>
              <w:tabs>
                <w:tab w:val="left" w:pos="-1800"/>
              </w:tabs>
              <w:spacing w:line="520" w:lineRule="exact"/>
              <w:ind w:firstLine="480" w:firstLineChars="200"/>
              <w:rPr>
                <w:sz w:val="24"/>
              </w:rPr>
            </w:pPr>
            <w:r>
              <w:rPr>
                <w:rFonts w:hint="eastAsia"/>
                <w:sz w:val="24"/>
              </w:rPr>
              <w:t>（2）地表覆盖砂集中堆放场</w:t>
            </w:r>
          </w:p>
          <w:p>
            <w:pPr>
              <w:widowControl/>
              <w:tabs>
                <w:tab w:val="left" w:pos="-1800"/>
              </w:tabs>
              <w:spacing w:line="520" w:lineRule="exact"/>
              <w:ind w:firstLine="480" w:firstLineChars="200"/>
              <w:rPr>
                <w:sz w:val="24"/>
              </w:rPr>
            </w:pPr>
            <w:r>
              <w:rPr>
                <w:rFonts w:hint="eastAsia"/>
                <w:sz w:val="24"/>
              </w:rPr>
              <w:t>矿山地表沙漠植被较发育，植被密度</w:t>
            </w:r>
            <w:r>
              <w:rPr>
                <w:sz w:val="24"/>
              </w:rPr>
              <w:t>1-20</w:t>
            </w:r>
            <w:r>
              <w:rPr>
                <w:rFonts w:hint="eastAsia"/>
                <w:sz w:val="24"/>
              </w:rPr>
              <w:t>株</w:t>
            </w:r>
            <w:r>
              <w:rPr>
                <w:sz w:val="24"/>
              </w:rPr>
              <w:t>/</w:t>
            </w:r>
            <w:r>
              <w:rPr>
                <w:rFonts w:hint="eastAsia"/>
                <w:sz w:val="24"/>
              </w:rPr>
              <w:t>m</w:t>
            </w:r>
            <w:r>
              <w:rPr>
                <w:sz w:val="24"/>
                <w:vertAlign w:val="superscript"/>
              </w:rPr>
              <w:t>2</w:t>
            </w:r>
            <w:r>
              <w:rPr>
                <w:rFonts w:hint="eastAsia"/>
                <w:sz w:val="24"/>
              </w:rPr>
              <w:t>，固沙作用明显。由于沙生植被和种子十分珍贵，为了满足矿山生态恢复治理需求，设计在露天采场附近设置一个地表覆盖砂集中堆放场，占地面积约1</w:t>
            </w:r>
            <w:r>
              <w:rPr>
                <w:sz w:val="24"/>
              </w:rPr>
              <w:t>.0</w:t>
            </w:r>
            <w:r>
              <w:rPr>
                <w:rFonts w:hint="eastAsia"/>
                <w:sz w:val="24"/>
              </w:rPr>
              <w:t>hm</w:t>
            </w:r>
            <w:r>
              <w:rPr>
                <w:rFonts w:hint="eastAsia"/>
                <w:sz w:val="24"/>
                <w:vertAlign w:val="superscript"/>
              </w:rPr>
              <w:t>2</w:t>
            </w:r>
            <w:r>
              <w:rPr>
                <w:rFonts w:hint="eastAsia"/>
                <w:sz w:val="24"/>
              </w:rPr>
              <w:t>，最大堆置高度</w:t>
            </w:r>
            <w:r>
              <w:rPr>
                <w:sz w:val="24"/>
              </w:rPr>
              <w:t>5</w:t>
            </w:r>
            <w:r>
              <w:rPr>
                <w:rFonts w:hint="eastAsia"/>
                <w:sz w:val="24"/>
              </w:rPr>
              <w:t>m。</w:t>
            </w:r>
            <w:r>
              <w:rPr>
                <w:rFonts w:hint="eastAsia"/>
                <w:kern w:val="0"/>
                <w:sz w:val="24"/>
              </w:rPr>
              <w:t>满足矿山生产期1年地表覆盖砂的排放量8.16万t（体积量4.53万m³）堆存需要。</w:t>
            </w:r>
            <w:r>
              <w:rPr>
                <w:rFonts w:hint="eastAsia"/>
                <w:sz w:val="24"/>
              </w:rPr>
              <w:t>在阶段性开采结束后，将地表覆盖砂全部有序清运至露天采坑回填覆盖，以恢复当地生态环境。</w:t>
            </w:r>
          </w:p>
          <w:p>
            <w:pPr>
              <w:widowControl/>
              <w:tabs>
                <w:tab w:val="left" w:pos="-1800"/>
              </w:tabs>
              <w:spacing w:line="520" w:lineRule="exact"/>
              <w:ind w:firstLine="480" w:firstLineChars="200"/>
              <w:rPr>
                <w:kern w:val="0"/>
                <w:sz w:val="24"/>
              </w:rPr>
            </w:pPr>
            <w:r>
              <w:rPr>
                <w:rFonts w:hint="eastAsia"/>
                <w:kern w:val="0"/>
                <w:sz w:val="24"/>
              </w:rPr>
              <w:t>（</w:t>
            </w:r>
            <w:r>
              <w:rPr>
                <w:kern w:val="0"/>
                <w:sz w:val="24"/>
              </w:rPr>
              <w:t>3</w:t>
            </w:r>
            <w:r>
              <w:rPr>
                <w:rFonts w:hint="eastAsia"/>
                <w:kern w:val="0"/>
                <w:sz w:val="24"/>
              </w:rPr>
              <w:t>）矿山运输</w:t>
            </w:r>
          </w:p>
          <w:p>
            <w:pPr>
              <w:widowControl/>
              <w:tabs>
                <w:tab w:val="left" w:pos="-1800"/>
              </w:tabs>
              <w:spacing w:line="520" w:lineRule="exact"/>
              <w:ind w:firstLine="480" w:firstLineChars="200"/>
              <w:rPr>
                <w:kern w:val="0"/>
                <w:sz w:val="24"/>
              </w:rPr>
            </w:pPr>
            <w:r>
              <w:rPr>
                <w:rFonts w:hint="eastAsia" w:ascii="仿宋" w:hAnsi="仿宋" w:eastAsia="仿宋"/>
                <w:kern w:val="0"/>
                <w:sz w:val="24"/>
              </w:rPr>
              <w:t>①</w:t>
            </w:r>
            <w:r>
              <w:rPr>
                <w:rFonts w:hint="eastAsia"/>
                <w:kern w:val="0"/>
                <w:sz w:val="24"/>
              </w:rPr>
              <w:t>运输道路：矿山公路起点标高为</w:t>
            </w:r>
            <w:r>
              <w:rPr>
                <w:kern w:val="0"/>
                <w:sz w:val="24"/>
              </w:rPr>
              <w:t>620</w:t>
            </w:r>
            <w:r>
              <w:rPr>
                <w:rFonts w:hint="eastAsia"/>
                <w:kern w:val="0"/>
                <w:sz w:val="24"/>
              </w:rPr>
              <w:t>m，终点标高为基建水平</w:t>
            </w:r>
            <w:r>
              <w:rPr>
                <w:kern w:val="0"/>
                <w:sz w:val="24"/>
              </w:rPr>
              <w:t>650</w:t>
            </w:r>
            <w:r>
              <w:rPr>
                <w:rFonts w:hint="eastAsia"/>
                <w:kern w:val="0"/>
                <w:sz w:val="24"/>
              </w:rPr>
              <w:t>m。露天采场运输道路平均纵坡</w:t>
            </w:r>
            <w:r>
              <w:rPr>
                <w:kern w:val="0"/>
                <w:sz w:val="24"/>
              </w:rPr>
              <w:t>6%</w:t>
            </w:r>
            <w:r>
              <w:rPr>
                <w:rFonts w:hint="eastAsia"/>
                <w:kern w:val="0"/>
                <w:sz w:val="24"/>
              </w:rPr>
              <w:t>，最大纵坡</w:t>
            </w:r>
            <w:r>
              <w:rPr>
                <w:kern w:val="0"/>
                <w:sz w:val="24"/>
              </w:rPr>
              <w:t>8%</w:t>
            </w:r>
            <w:r>
              <w:rPr>
                <w:rFonts w:hint="eastAsia"/>
                <w:kern w:val="0"/>
                <w:sz w:val="24"/>
              </w:rPr>
              <w:t>，全长</w:t>
            </w:r>
            <w:r>
              <w:rPr>
                <w:kern w:val="0"/>
                <w:sz w:val="24"/>
              </w:rPr>
              <w:t>6000</w:t>
            </w:r>
            <w:r>
              <w:rPr>
                <w:rFonts w:hint="eastAsia"/>
                <w:kern w:val="0"/>
                <w:sz w:val="24"/>
              </w:rPr>
              <w:t>m。采用矿山三级公路，泥结碎石路面，双车道，路基宽</w:t>
            </w:r>
            <w:r>
              <w:rPr>
                <w:kern w:val="0"/>
                <w:sz w:val="24"/>
              </w:rPr>
              <w:t>8</w:t>
            </w:r>
            <w:r>
              <w:rPr>
                <w:rFonts w:hint="eastAsia"/>
                <w:kern w:val="0"/>
                <w:sz w:val="24"/>
              </w:rPr>
              <w:t>m，路面宽</w:t>
            </w:r>
            <w:r>
              <w:rPr>
                <w:kern w:val="0"/>
                <w:sz w:val="24"/>
              </w:rPr>
              <w:t>6</w:t>
            </w:r>
            <w:r>
              <w:rPr>
                <w:rFonts w:hint="eastAsia"/>
                <w:kern w:val="0"/>
                <w:sz w:val="24"/>
              </w:rPr>
              <w:t>m，最小转弯半径</w:t>
            </w:r>
            <w:r>
              <w:rPr>
                <w:kern w:val="0"/>
                <w:sz w:val="24"/>
              </w:rPr>
              <w:t>15</w:t>
            </w:r>
            <w:r>
              <w:rPr>
                <w:rFonts w:hint="eastAsia"/>
                <w:kern w:val="0"/>
                <w:sz w:val="24"/>
              </w:rPr>
              <w:t>m。</w:t>
            </w:r>
          </w:p>
          <w:p>
            <w:pPr>
              <w:widowControl/>
              <w:tabs>
                <w:tab w:val="left" w:pos="-1800"/>
              </w:tabs>
              <w:spacing w:line="520" w:lineRule="exact"/>
              <w:ind w:firstLine="480" w:firstLineChars="200"/>
              <w:rPr>
                <w:kern w:val="0"/>
                <w:sz w:val="24"/>
              </w:rPr>
            </w:pPr>
            <w:r>
              <w:rPr>
                <w:rFonts w:hint="eastAsia" w:ascii="仿宋" w:hAnsi="仿宋" w:eastAsia="仿宋"/>
                <w:kern w:val="0"/>
                <w:sz w:val="24"/>
              </w:rPr>
              <w:t>②</w:t>
            </w:r>
            <w:r>
              <w:rPr>
                <w:rFonts w:hint="eastAsia"/>
                <w:kern w:val="0"/>
                <w:sz w:val="24"/>
              </w:rPr>
              <w:t>矿砂运输：该矿系山坡露天矿，矿石运输采用自卸汽车，矿石装车后直接运输至</w:t>
            </w:r>
            <w:r>
              <w:rPr>
                <w:rFonts w:hint="eastAsia"/>
                <w:sz w:val="24"/>
              </w:rPr>
              <w:t>阜康产业园阜西区新疆世纪能源化工有限公司生产</w:t>
            </w:r>
            <w:r>
              <w:rPr>
                <w:rFonts w:hint="eastAsia"/>
                <w:kern w:val="0"/>
                <w:sz w:val="24"/>
              </w:rPr>
              <w:t>加工厂区。矿山日均原矿矿砂量</w:t>
            </w:r>
            <w:r>
              <w:rPr>
                <w:kern w:val="0"/>
                <w:sz w:val="24"/>
              </w:rPr>
              <w:t>9000</w:t>
            </w:r>
            <w:r>
              <w:rPr>
                <w:rFonts w:hint="eastAsia"/>
                <w:kern w:val="0"/>
                <w:sz w:val="24"/>
              </w:rPr>
              <w:t>t，每天工作两班，每班运量</w:t>
            </w:r>
            <w:r>
              <w:rPr>
                <w:kern w:val="0"/>
                <w:sz w:val="24"/>
              </w:rPr>
              <w:t>4500</w:t>
            </w:r>
            <w:r>
              <w:rPr>
                <w:rFonts w:hint="eastAsia"/>
                <w:kern w:val="0"/>
                <w:sz w:val="24"/>
              </w:rPr>
              <w:t>t。</w:t>
            </w:r>
          </w:p>
          <w:p>
            <w:pPr>
              <w:widowControl/>
              <w:tabs>
                <w:tab w:val="left" w:pos="-1800"/>
              </w:tabs>
              <w:spacing w:line="520" w:lineRule="exact"/>
              <w:ind w:firstLine="480" w:firstLineChars="200"/>
              <w:rPr>
                <w:sz w:val="24"/>
              </w:rPr>
            </w:pPr>
            <w:r>
              <w:rPr>
                <w:rFonts w:hint="eastAsia"/>
                <w:sz w:val="24"/>
              </w:rPr>
              <w:t>综上所述</w:t>
            </w:r>
            <w:r>
              <w:rPr>
                <w:sz w:val="24"/>
              </w:rPr>
              <w:t>本项目场地布置</w:t>
            </w:r>
            <w:r>
              <w:rPr>
                <w:rFonts w:hint="eastAsia"/>
                <w:sz w:val="24"/>
              </w:rPr>
              <w:t>较合理。</w:t>
            </w:r>
            <w:r>
              <w:rPr>
                <w:sz w:val="24"/>
              </w:rPr>
              <w:t>项目平面布置图见</w:t>
            </w:r>
            <w:r>
              <w:rPr>
                <w:rFonts w:hint="eastAsia"/>
                <w:sz w:val="24"/>
              </w:rPr>
              <w:t>附图</w:t>
            </w:r>
            <w:r>
              <w:rPr>
                <w:sz w:val="24"/>
              </w:rPr>
              <w:t>4</w:t>
            </w:r>
            <w:r>
              <w:rPr>
                <w:rFonts w:hint="eastAsia"/>
                <w:sz w:val="24"/>
              </w:rPr>
              <w:t>。</w:t>
            </w:r>
          </w:p>
          <w:p>
            <w:pPr>
              <w:pStyle w:val="36"/>
              <w:rPr>
                <w:color w:val="auto"/>
              </w:rPr>
            </w:pPr>
          </w:p>
          <w:p>
            <w:pPr>
              <w:pStyle w:val="26"/>
              <w:ind w:left="420" w:hanging="420"/>
            </w:pPr>
          </w:p>
          <w:p/>
          <w:p>
            <w:pPr>
              <w:pStyle w:val="36"/>
              <w:rPr>
                <w:color w:val="auto"/>
              </w:rPr>
            </w:pPr>
          </w:p>
          <w:p>
            <w:pPr>
              <w:pStyle w:val="36"/>
              <w:rPr>
                <w:color w:val="auto"/>
              </w:rPr>
            </w:pPr>
          </w:p>
          <w:p>
            <w:pPr>
              <w:pStyle w:val="26"/>
              <w:ind w:left="420" w:hanging="420"/>
            </w:pPr>
          </w:p>
          <w:p/>
          <w:p/>
          <w:p>
            <w:pPr>
              <w:pStyle w:val="36"/>
              <w:rPr>
                <w:color w:val="auto"/>
              </w:rPr>
            </w:pPr>
          </w:p>
          <w:p>
            <w:pPr>
              <w:pStyle w:val="26"/>
              <w:ind w:left="420" w:hanging="420"/>
            </w:pP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709" w:type="dxa"/>
            <w:vAlign w:val="center"/>
          </w:tcPr>
          <w:p>
            <w:pPr>
              <w:adjustRightInd w:val="0"/>
              <w:snapToGrid w:val="0"/>
              <w:jc w:val="center"/>
              <w:rPr>
                <w:rFonts w:ascii="宋体" w:hAnsi="宋体" w:cs="宋体"/>
                <w:kern w:val="0"/>
                <w:sz w:val="24"/>
              </w:rPr>
            </w:pPr>
            <w:r>
              <w:rPr>
                <w:rFonts w:hint="eastAsia" w:ascii="宋体" w:hAnsi="宋体" w:cs="宋体"/>
                <w:kern w:val="0"/>
                <w:sz w:val="24"/>
              </w:rPr>
              <w:t>施工方案</w:t>
            </w:r>
          </w:p>
        </w:tc>
        <w:tc>
          <w:tcPr>
            <w:tcW w:w="8070" w:type="dxa"/>
            <w:vAlign w:val="center"/>
          </w:tcPr>
          <w:p>
            <w:pPr>
              <w:widowControl/>
              <w:numPr>
                <w:ilvl w:val="0"/>
                <w:numId w:val="5"/>
              </w:numPr>
              <w:tabs>
                <w:tab w:val="left" w:pos="-1800"/>
              </w:tabs>
              <w:spacing w:line="520" w:lineRule="exact"/>
              <w:ind w:firstLine="480"/>
              <w:rPr>
                <w:b/>
                <w:bCs/>
                <w:sz w:val="24"/>
              </w:rPr>
            </w:pPr>
            <w:r>
              <w:rPr>
                <w:rFonts w:hint="eastAsia"/>
                <w:b/>
                <w:bCs/>
                <w:sz w:val="24"/>
              </w:rPr>
              <w:t>施工工艺</w:t>
            </w:r>
          </w:p>
          <w:p>
            <w:pPr>
              <w:adjustRightInd w:val="0"/>
              <w:snapToGrid w:val="0"/>
              <w:spacing w:line="520" w:lineRule="exact"/>
              <w:ind w:firstLine="480" w:firstLineChars="200"/>
              <w:rPr>
                <w:sz w:val="24"/>
              </w:rPr>
            </w:pPr>
            <w:r>
              <w:rPr>
                <w:rFonts w:hint="eastAsia"/>
                <w:sz w:val="24"/>
              </w:rPr>
              <w:t>本工程矿场采取露天开采，计划开采后车外运至阜康产业园阜西区新疆世纪能源化工有限公司世纪能源装备新材料产业园项目现有石英砂加工生产线进行加工。矿区除环保厕所外，不设置其它生活设施，施工期主要工程为采矿区平整、矿区道路铺设及防风抑尘网的搭建。</w:t>
            </w:r>
          </w:p>
          <w:p>
            <w:pPr>
              <w:adjustRightInd w:val="0"/>
              <w:snapToGrid w:val="0"/>
              <w:spacing w:line="520" w:lineRule="exact"/>
              <w:ind w:firstLine="482" w:firstLineChars="200"/>
              <w:rPr>
                <w:b/>
                <w:bCs/>
                <w:sz w:val="24"/>
              </w:rPr>
            </w:pPr>
            <w:r>
              <w:rPr>
                <w:b/>
                <w:bCs/>
                <w:sz w:val="24"/>
              </w:rPr>
              <w:t>2</w:t>
            </w:r>
            <w:r>
              <w:rPr>
                <w:rFonts w:hint="eastAsia"/>
                <w:b/>
                <w:bCs/>
                <w:sz w:val="24"/>
              </w:rPr>
              <w:t>、运营期</w:t>
            </w:r>
          </w:p>
          <w:p>
            <w:pPr>
              <w:adjustRightInd w:val="0"/>
              <w:snapToGrid w:val="0"/>
              <w:spacing w:line="520" w:lineRule="exact"/>
              <w:ind w:firstLine="480" w:firstLineChars="200"/>
            </w:pPr>
            <w:r>
              <w:rPr>
                <w:rFonts w:hint="eastAsia"/>
                <w:sz w:val="24"/>
              </w:rPr>
              <w:t>运营期</w:t>
            </w:r>
            <w:r>
              <w:rPr>
                <w:sz w:val="24"/>
              </w:rPr>
              <w:t>生产工艺流程</w:t>
            </w:r>
          </w:p>
          <w:p>
            <w:pPr>
              <w:pStyle w:val="18"/>
            </w:pPr>
            <w:r>
              <mc:AlternateContent>
                <mc:Choice Requires="wps">
                  <w:drawing>
                    <wp:anchor distT="0" distB="0" distL="114300" distR="114300" simplePos="0" relativeHeight="251675648" behindDoc="0" locked="0" layoutInCell="1" allowOverlap="1">
                      <wp:simplePos x="0" y="0"/>
                      <wp:positionH relativeFrom="column">
                        <wp:posOffset>90805</wp:posOffset>
                      </wp:positionH>
                      <wp:positionV relativeFrom="paragraph">
                        <wp:posOffset>198755</wp:posOffset>
                      </wp:positionV>
                      <wp:extent cx="4857750" cy="2600325"/>
                      <wp:effectExtent l="0" t="0" r="19050" b="28575"/>
                      <wp:wrapNone/>
                      <wp:docPr id="132" name="矩形 132"/>
                      <wp:cNvGraphicFramePr/>
                      <a:graphic xmlns:a="http://schemas.openxmlformats.org/drawingml/2006/main">
                        <a:graphicData uri="http://schemas.microsoft.com/office/word/2010/wordprocessingShape">
                          <wps:wsp>
                            <wps:cNvSpPr>
                              <a:spLocks noChangeArrowheads="1"/>
                            </wps:cNvSpPr>
                            <wps:spPr bwMode="auto">
                              <a:xfrm>
                                <a:off x="0" y="0"/>
                                <a:ext cx="4857750" cy="2600325"/>
                              </a:xfrm>
                              <a:prstGeom prst="rect">
                                <a:avLst/>
                              </a:prstGeom>
                              <a:noFill/>
                              <a:ln w="19050" cmpd="sng">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5pt;margin-top:15.65pt;height:204.75pt;width:382.5pt;z-index:251675648;mso-width-relative:page;mso-height-relative:page;" filled="f" stroked="t" coordsize="21600,21600" o:gfxdata="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b0/OJ2QAAAAkB&#10;AAAPAAAAAAAAAAEAIAAAACIAAABkcnMvZG93bnJldi54bWxQSwECFAAUAAAACACHTuJA85XnmxoC&#10;AAAJBAAADgAAAAAAAAABACAAAAAoAQAAZHJzL2Uyb0RvYy54bWxQSwUGAAAAAAYABgBZAQAAtAUA&#10;AAAA&#10;">
                      <v:fill on="f" focussize="0,0"/>
                      <v:stroke weight="1.5pt" color="#000000" miterlimit="8" joinstyle="miter"/>
                      <v:imagedata o:title=""/>
                      <o:lock v:ext="edit" aspectratio="f"/>
                    </v:rect>
                  </w:pict>
                </mc:Fallback>
              </mc:AlternateContent>
            </w:r>
          </w:p>
          <w:p>
            <w:pPr>
              <w:pStyle w:val="16"/>
              <w:tabs>
                <w:tab w:val="left" w:pos="0"/>
              </w:tabs>
              <w:adjustRightInd w:val="0"/>
              <w:snapToGrid w:val="0"/>
              <w:spacing w:after="0" w:line="360" w:lineRule="auto"/>
              <w:ind w:left="0" w:leftChars="0"/>
              <w:jc w:val="center"/>
              <w:rPr>
                <w:rFonts w:eastAsia="仿宋"/>
              </w:rPr>
            </w:pPr>
            <w:r>
              <w:rPr>
                <w:rFonts w:eastAsia="仿宋"/>
              </w:rPr>
              <w:object>
                <v:shape id="_x0000_i1025" o:spt="75" type="#_x0000_t75" style="height:198.05pt;width:226.45pt;" o:ole="t" filled="f" coordsize="21600,21600">
                  <v:path/>
                  <v:fill on="f" focussize="0,0"/>
                  <v:stroke/>
                  <v:imagedata r:id="rId9" o:title=""/>
                  <o:lock v:ext="edit" aspectratio="f"/>
                  <w10:wrap type="none"/>
                  <w10:anchorlock/>
                </v:shape>
                <o:OLEObject Type="Embed" ProgID="Visio.Drawing.11" ShapeID="_x0000_i1025" DrawAspect="Content" ObjectID="_1468075725" r:id="rId8">
                  <o:LockedField>false</o:LockedField>
                </o:OLEObject>
              </w:object>
            </w:r>
          </w:p>
          <w:p>
            <w:pPr>
              <w:adjustRightInd w:val="0"/>
              <w:snapToGrid w:val="0"/>
              <w:spacing w:line="520" w:lineRule="exact"/>
              <w:ind w:firstLine="480" w:firstLineChars="200"/>
              <w:jc w:val="center"/>
              <w:rPr>
                <w:sz w:val="24"/>
              </w:rPr>
            </w:pPr>
            <w:r>
              <w:rPr>
                <w:rFonts w:hint="eastAsia" w:eastAsia="黑体"/>
                <w:sz w:val="24"/>
              </w:rPr>
              <w:t>图2-</w:t>
            </w:r>
            <w:r>
              <w:rPr>
                <w:rFonts w:eastAsia="黑体"/>
                <w:sz w:val="24"/>
              </w:rPr>
              <w:t>1</w:t>
            </w:r>
            <w:r>
              <w:rPr>
                <w:rFonts w:hint="eastAsia" w:eastAsia="黑体"/>
                <w:sz w:val="24"/>
              </w:rPr>
              <w:t xml:space="preserve">    运营期工艺流程及产污环节分析</w:t>
            </w:r>
          </w:p>
          <w:p>
            <w:pPr>
              <w:adjustRightInd w:val="0"/>
              <w:snapToGrid w:val="0"/>
              <w:spacing w:line="520" w:lineRule="exact"/>
              <w:ind w:firstLine="480" w:firstLineChars="200"/>
              <w:rPr>
                <w:sz w:val="24"/>
              </w:rPr>
            </w:pPr>
            <w:r>
              <w:rPr>
                <w:rFonts w:hint="eastAsia"/>
                <w:sz w:val="24"/>
              </w:rPr>
              <w:t>1</w:t>
            </w:r>
            <w:r>
              <w:rPr>
                <w:sz w:val="24"/>
              </w:rPr>
              <w:t>.2工艺流程简述</w:t>
            </w:r>
          </w:p>
          <w:p>
            <w:pPr>
              <w:adjustRightInd w:val="0"/>
              <w:snapToGrid w:val="0"/>
              <w:spacing w:line="520" w:lineRule="exact"/>
              <w:ind w:firstLine="480" w:firstLineChars="200"/>
              <w:rPr>
                <w:sz w:val="24"/>
              </w:rPr>
            </w:pPr>
            <w:r>
              <w:rPr>
                <w:sz w:val="24"/>
              </w:rPr>
              <w:t>采场内</w:t>
            </w:r>
            <w:r>
              <w:rPr>
                <w:rFonts w:hint="eastAsia"/>
                <w:sz w:val="24"/>
              </w:rPr>
              <w:t>采用</w:t>
            </w:r>
            <w:r>
              <w:rPr>
                <w:sz w:val="24"/>
              </w:rPr>
              <w:t>挖掘机直接挖取</w:t>
            </w:r>
            <w:r>
              <w:rPr>
                <w:rFonts w:hint="eastAsia"/>
                <w:sz w:val="24"/>
              </w:rPr>
              <w:t>石英砂</w:t>
            </w:r>
            <w:r>
              <w:rPr>
                <w:sz w:val="24"/>
              </w:rPr>
              <w:t>，</w:t>
            </w:r>
            <w:r>
              <w:rPr>
                <w:rFonts w:hint="eastAsia"/>
                <w:sz w:val="24"/>
              </w:rPr>
              <w:t>装载机装入自卸汽车外运至阜康产业园阜西区新疆世纪能源化工有限公司世纪能源装备新材料产业园项目现有石英砂加工生产线进行加工。</w:t>
            </w:r>
          </w:p>
          <w:p>
            <w:pPr>
              <w:adjustRightInd w:val="0"/>
              <w:snapToGrid w:val="0"/>
              <w:spacing w:line="520" w:lineRule="exact"/>
              <w:ind w:firstLine="480" w:firstLineChars="200"/>
              <w:rPr>
                <w:sz w:val="24"/>
              </w:rPr>
            </w:pPr>
            <w:r>
              <w:rPr>
                <w:rFonts w:hint="eastAsia"/>
                <w:sz w:val="24"/>
              </w:rPr>
              <w:t>为了满足矿山生态恢复治理需求，设计在露天采场附近设置一个地表覆盖砂集中堆放场，占地面积约1.0hm</w:t>
            </w:r>
            <w:r>
              <w:rPr>
                <w:rFonts w:hint="eastAsia"/>
                <w:sz w:val="24"/>
                <w:vertAlign w:val="superscript"/>
              </w:rPr>
              <w:t>2</w:t>
            </w:r>
            <w:r>
              <w:rPr>
                <w:rFonts w:hint="eastAsia"/>
                <w:sz w:val="24"/>
              </w:rPr>
              <w:t>，最大堆置高度5m。满足矿山生产期1年地表覆盖砂的排放量8.16万t（体积量4.53万m³）堆存需要。在阶段性开采结束后，将地表覆盖砂全部有序清运至露天采坑回填覆盖，以恢复当地生态环境。</w:t>
            </w:r>
          </w:p>
          <w:p>
            <w:pPr>
              <w:adjustRightInd w:val="0"/>
              <w:snapToGrid w:val="0"/>
              <w:spacing w:line="520" w:lineRule="exact"/>
              <w:ind w:firstLine="480" w:firstLineChars="200"/>
              <w:rPr>
                <w:rFonts w:hint="eastAsia"/>
                <w:sz w:val="24"/>
              </w:rPr>
            </w:pPr>
          </w:p>
          <w:p>
            <w:pPr>
              <w:widowControl/>
              <w:tabs>
                <w:tab w:val="left" w:pos="-1800"/>
              </w:tabs>
              <w:spacing w:line="520" w:lineRule="exact"/>
              <w:ind w:firstLine="482" w:firstLineChars="200"/>
              <w:rPr>
                <w:b/>
                <w:bCs/>
                <w:sz w:val="24"/>
              </w:rPr>
            </w:pPr>
            <w:r>
              <w:rPr>
                <w:rFonts w:hint="eastAsia"/>
                <w:b/>
                <w:bCs/>
                <w:sz w:val="24"/>
              </w:rPr>
              <w:t>2、建设周期</w:t>
            </w:r>
          </w:p>
          <w:p>
            <w:pPr>
              <w:widowControl/>
              <w:tabs>
                <w:tab w:val="left" w:pos="-1800"/>
              </w:tabs>
              <w:spacing w:line="520" w:lineRule="exact"/>
              <w:ind w:firstLine="480" w:firstLineChars="200"/>
              <w:rPr>
                <w:rFonts w:ascii="宋体" w:hAnsi="宋体" w:cs="宋体"/>
                <w:kern w:val="0"/>
                <w:sz w:val="24"/>
              </w:rPr>
            </w:pPr>
            <w:r>
              <w:rPr>
                <w:sz w:val="24"/>
              </w:rPr>
              <w:t>项目</w:t>
            </w:r>
            <w:r>
              <w:rPr>
                <w:rFonts w:hint="eastAsia"/>
                <w:sz w:val="24"/>
              </w:rPr>
              <w:t>于20</w:t>
            </w:r>
            <w:r>
              <w:rPr>
                <w:sz w:val="24"/>
              </w:rPr>
              <w:t>21</w:t>
            </w:r>
            <w:r>
              <w:rPr>
                <w:rFonts w:hint="eastAsia"/>
                <w:sz w:val="24"/>
              </w:rPr>
              <w:t>年</w:t>
            </w:r>
            <w:r>
              <w:rPr>
                <w:sz w:val="24"/>
              </w:rPr>
              <w:t>11</w:t>
            </w:r>
            <w:r>
              <w:rPr>
                <w:rFonts w:hint="eastAsia"/>
                <w:sz w:val="24"/>
              </w:rPr>
              <w:t>月开工，20</w:t>
            </w:r>
            <w:r>
              <w:rPr>
                <w:sz w:val="24"/>
              </w:rPr>
              <w:t>21</w:t>
            </w:r>
            <w:r>
              <w:rPr>
                <w:rFonts w:hint="eastAsia"/>
                <w:sz w:val="24"/>
              </w:rPr>
              <w:t>年</w:t>
            </w:r>
            <w:r>
              <w:rPr>
                <w:sz w:val="24"/>
              </w:rPr>
              <w:t>12</w:t>
            </w:r>
            <w:r>
              <w:rPr>
                <w:rFonts w:hint="eastAsia"/>
                <w:sz w:val="24"/>
              </w:rPr>
              <w:t>月竣工，项目工程建设周期约</w:t>
            </w:r>
            <w:r>
              <w:rPr>
                <w:sz w:val="24"/>
              </w:rPr>
              <w:t>1</w:t>
            </w:r>
            <w:r>
              <w:rPr>
                <w:rFonts w:hint="eastAsia"/>
                <w:sz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877" w:hRule="atLeast"/>
          <w:jc w:val="center"/>
        </w:trPr>
        <w:tc>
          <w:tcPr>
            <w:tcW w:w="709" w:type="dxa"/>
            <w:vAlign w:val="center"/>
          </w:tcPr>
          <w:p>
            <w:pPr>
              <w:adjustRightInd w:val="0"/>
              <w:snapToGrid w:val="0"/>
              <w:jc w:val="center"/>
              <w:rPr>
                <w:rFonts w:ascii="宋体" w:hAnsi="宋体" w:cs="宋体"/>
                <w:kern w:val="0"/>
                <w:sz w:val="24"/>
              </w:rPr>
            </w:pPr>
            <w:r>
              <w:rPr>
                <w:rFonts w:hint="eastAsia" w:ascii="宋体" w:hAnsi="宋体" w:cs="宋体"/>
                <w:kern w:val="0"/>
                <w:sz w:val="24"/>
              </w:rPr>
              <w:t>其他</w:t>
            </w:r>
          </w:p>
        </w:tc>
        <w:tc>
          <w:tcPr>
            <w:tcW w:w="8070" w:type="dxa"/>
            <w:vAlign w:val="center"/>
          </w:tcPr>
          <w:p>
            <w:pPr>
              <w:adjustRightInd w:val="0"/>
              <w:snapToGrid w:val="0"/>
              <w:jc w:val="center"/>
              <w:rPr>
                <w:rFonts w:ascii="宋体" w:hAnsi="宋体" w:cs="宋体"/>
                <w:kern w:val="0"/>
                <w:sz w:val="24"/>
              </w:rPr>
            </w:pPr>
            <w:r>
              <w:rPr>
                <w:rFonts w:hint="eastAsia" w:ascii="宋体" w:hAnsi="宋体" w:cs="宋体"/>
                <w:kern w:val="0"/>
                <w:sz w:val="24"/>
              </w:rPr>
              <w:t>无</w:t>
            </w:r>
          </w:p>
        </w:tc>
      </w:tr>
    </w:tbl>
    <w:p>
      <w:pPr>
        <w:pStyle w:val="28"/>
        <w:jc w:val="center"/>
        <w:outlineLvl w:val="0"/>
        <w:rPr>
          <w:rFonts w:ascii="黑体" w:hAnsi="黑体" w:eastAsia="黑体"/>
          <w:snapToGrid w:val="0"/>
          <w:sz w:val="30"/>
          <w:szCs w:val="30"/>
        </w:rPr>
      </w:pPr>
      <w:r>
        <w:rPr>
          <w:rFonts w:eastAsia="仿宋_GB2312"/>
          <w:b/>
          <w:bCs/>
        </w:rPr>
        <w:br w:type="page"/>
      </w:r>
      <w:r>
        <w:rPr>
          <w:rFonts w:hint="eastAsia" w:ascii="黑体" w:hAnsi="黑体" w:eastAsia="黑体"/>
          <w:snapToGrid w:val="0"/>
          <w:sz w:val="30"/>
          <w:szCs w:val="30"/>
        </w:rPr>
        <w:t>三、生态环境现状、保护目标及评价标准</w:t>
      </w:r>
    </w:p>
    <w:tbl>
      <w:tblPr>
        <w:tblStyle w:val="31"/>
        <w:tblW w:w="910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jc w:val="center"/>
        </w:trPr>
        <w:tc>
          <w:tcPr>
            <w:tcW w:w="456"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生态环境现状</w:t>
            </w:r>
          </w:p>
        </w:tc>
        <w:tc>
          <w:tcPr>
            <w:tcW w:w="8648" w:type="dxa"/>
            <w:vAlign w:val="center"/>
          </w:tcPr>
          <w:p>
            <w:pPr>
              <w:numPr>
                <w:ilvl w:val="0"/>
                <w:numId w:val="6"/>
              </w:numPr>
              <w:autoSpaceDE w:val="0"/>
              <w:autoSpaceDN w:val="0"/>
              <w:adjustRightInd w:val="0"/>
              <w:spacing w:line="520" w:lineRule="exact"/>
              <w:ind w:firstLine="482" w:firstLineChars="200"/>
              <w:rPr>
                <w:b/>
                <w:bCs/>
                <w:sz w:val="24"/>
              </w:rPr>
            </w:pPr>
            <w:r>
              <w:rPr>
                <w:b/>
                <w:bCs/>
                <w:sz w:val="24"/>
              </w:rPr>
              <w:t>生态环境质量现状调查</w:t>
            </w:r>
          </w:p>
          <w:p>
            <w:pPr>
              <w:autoSpaceDE w:val="0"/>
              <w:autoSpaceDN w:val="0"/>
              <w:adjustRightInd w:val="0"/>
              <w:spacing w:line="520" w:lineRule="exact"/>
              <w:ind w:firstLine="482" w:firstLineChars="200"/>
              <w:rPr>
                <w:b/>
                <w:bCs/>
                <w:sz w:val="24"/>
              </w:rPr>
            </w:pPr>
            <w:r>
              <w:rPr>
                <w:rFonts w:hint="eastAsia"/>
                <w:b/>
                <w:bCs/>
                <w:sz w:val="24"/>
              </w:rPr>
              <w:t>1.1生态功能区划</w:t>
            </w:r>
          </w:p>
          <w:p>
            <w:pPr>
              <w:pStyle w:val="36"/>
              <w:spacing w:line="520" w:lineRule="exact"/>
              <w:ind w:firstLine="480" w:firstLineChars="200"/>
              <w:rPr>
                <w:rFonts w:ascii="Times New Roman"/>
                <w:color w:val="auto"/>
                <w:lang w:val="zh-CN"/>
              </w:rPr>
            </w:pPr>
            <w:r>
              <w:rPr>
                <w:color w:val="auto"/>
              </w:rPr>
              <w:t>本项目</w:t>
            </w:r>
            <w:r>
              <w:rPr>
                <w:rFonts w:hint="eastAsia"/>
                <w:color w:val="auto"/>
              </w:rPr>
              <w:t>位于阜康市北部准格尔盆地古尔班通古特沙漠东部，阜康市城区1</w:t>
            </w:r>
            <w:r>
              <w:rPr>
                <w:color w:val="auto"/>
              </w:rPr>
              <w:t>7</w:t>
            </w:r>
            <w:r>
              <w:rPr>
                <w:rFonts w:hint="eastAsia"/>
                <w:color w:val="auto"/>
              </w:rPr>
              <w:t>°方位，距离阜康市直线距离78km处。</w:t>
            </w:r>
            <w:r>
              <w:rPr>
                <w:rFonts w:ascii="Times New Roman"/>
                <w:color w:val="auto"/>
                <w:lang w:val="zh-CN"/>
              </w:rPr>
              <w:t>根据《新疆生态功能区划》，项目位于</w:t>
            </w:r>
            <w:r>
              <w:rPr>
                <w:rFonts w:hint="eastAsia" w:ascii="Times New Roman"/>
                <w:color w:val="auto"/>
                <w:lang w:val="zh-CN"/>
              </w:rPr>
              <w:t>Ⅱ 准噶尔盆地温性荒漠与绿洲农业生态区</w:t>
            </w:r>
            <w:r>
              <w:rPr>
                <w:rFonts w:ascii="Times New Roman"/>
                <w:color w:val="auto"/>
                <w:lang w:val="zh-CN"/>
              </w:rPr>
              <w:t>，</w:t>
            </w:r>
            <w:r>
              <w:rPr>
                <w:rFonts w:hint="eastAsia" w:ascii="Times New Roman"/>
                <w:color w:val="auto"/>
                <w:lang w:val="zh-CN"/>
              </w:rPr>
              <w:t>Ⅱ3 准噶尔盆地中部固定、半固定沙漠生态亚区</w:t>
            </w:r>
            <w:r>
              <w:rPr>
                <w:rFonts w:ascii="Times New Roman"/>
                <w:color w:val="auto"/>
                <w:lang w:val="zh-CN"/>
              </w:rPr>
              <w:t>，</w:t>
            </w:r>
            <w:r>
              <w:rPr>
                <w:rFonts w:hint="eastAsia" w:hAnsi="宋体"/>
                <w:color w:val="auto"/>
              </w:rPr>
              <w:t>23．古尔班通古特沙漠化敏感及植被保护生态功能区</w:t>
            </w:r>
            <w:r>
              <w:rPr>
                <w:rFonts w:ascii="Times New Roman"/>
                <w:color w:val="auto"/>
                <w:lang w:val="zh-CN"/>
              </w:rPr>
              <w:t>。项目所在区域生态功能区划见表</w:t>
            </w:r>
            <w:r>
              <w:rPr>
                <w:rFonts w:ascii="Times New Roman"/>
                <w:color w:val="auto"/>
              </w:rPr>
              <w:t>3-1，附图5生态功能区划图</w:t>
            </w:r>
            <w:r>
              <w:rPr>
                <w:rFonts w:ascii="Times New Roman"/>
                <w:color w:val="auto"/>
                <w:lang w:val="zh-CN"/>
              </w:rPr>
              <w:t>。</w:t>
            </w:r>
          </w:p>
          <w:p>
            <w:pPr>
              <w:pStyle w:val="57"/>
              <w:spacing w:before="0" w:beforeLines="0"/>
              <w:rPr>
                <w:sz w:val="24"/>
              </w:rPr>
            </w:pPr>
            <w:r>
              <w:rPr>
                <w:sz w:val="24"/>
              </w:rPr>
              <w:t>表</w:t>
            </w:r>
            <w:r>
              <w:rPr>
                <w:rFonts w:hint="eastAsia"/>
                <w:sz w:val="24"/>
              </w:rPr>
              <w:t xml:space="preserve">3-1    </w:t>
            </w:r>
            <w:r>
              <w:rPr>
                <w:sz w:val="24"/>
              </w:rPr>
              <w:t>项目所在区域生态功能区划</w:t>
            </w:r>
          </w:p>
          <w:tbl>
            <w:tblPr>
              <w:tblStyle w:val="31"/>
              <w:tblW w:w="825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371"/>
              <w:gridCol w:w="57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088" w:type="dxa"/>
                  <w:vMerge w:val="restart"/>
                  <w:vAlign w:val="center"/>
                </w:tcPr>
                <w:p>
                  <w:pPr>
                    <w:adjustRightInd w:val="0"/>
                    <w:snapToGrid w:val="0"/>
                    <w:jc w:val="center"/>
                    <w:rPr>
                      <w:szCs w:val="21"/>
                      <w:lang w:val="zh-CN"/>
                    </w:rPr>
                  </w:pPr>
                  <w:r>
                    <w:rPr>
                      <w:bCs/>
                      <w:szCs w:val="21"/>
                    </w:rPr>
                    <w:t>生态功能分区单元</w:t>
                  </w:r>
                </w:p>
              </w:tc>
              <w:tc>
                <w:tcPr>
                  <w:tcW w:w="1371" w:type="dxa"/>
                  <w:vAlign w:val="center"/>
                </w:tcPr>
                <w:p>
                  <w:pPr>
                    <w:adjustRightInd w:val="0"/>
                    <w:snapToGrid w:val="0"/>
                    <w:jc w:val="center"/>
                    <w:rPr>
                      <w:szCs w:val="21"/>
                      <w:lang w:val="zh-CN"/>
                    </w:rPr>
                  </w:pPr>
                  <w:r>
                    <w:rPr>
                      <w:bCs/>
                      <w:szCs w:val="21"/>
                    </w:rPr>
                    <w:t>生态区</w:t>
                  </w:r>
                </w:p>
              </w:tc>
              <w:tc>
                <w:tcPr>
                  <w:tcW w:w="5798" w:type="dxa"/>
                  <w:vAlign w:val="center"/>
                </w:tcPr>
                <w:p>
                  <w:pPr>
                    <w:adjustRightInd w:val="0"/>
                    <w:snapToGrid w:val="0"/>
                    <w:jc w:val="center"/>
                    <w:rPr>
                      <w:szCs w:val="21"/>
                    </w:rPr>
                  </w:pPr>
                  <w:r>
                    <w:rPr>
                      <w:rFonts w:hint="eastAsia"/>
                      <w:lang w:val="zh-CN"/>
                    </w:rPr>
                    <w:t>Ⅱ 准噶尔盆地温性荒漠与绿洲农业生态区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088" w:type="dxa"/>
                  <w:vMerge w:val="continue"/>
                  <w:vAlign w:val="center"/>
                </w:tcPr>
                <w:p>
                  <w:pPr>
                    <w:adjustRightInd w:val="0"/>
                    <w:snapToGrid w:val="0"/>
                    <w:jc w:val="center"/>
                    <w:rPr>
                      <w:szCs w:val="21"/>
                      <w:lang w:val="zh-CN"/>
                    </w:rPr>
                  </w:pPr>
                </w:p>
              </w:tc>
              <w:tc>
                <w:tcPr>
                  <w:tcW w:w="1371" w:type="dxa"/>
                  <w:vAlign w:val="center"/>
                </w:tcPr>
                <w:p>
                  <w:pPr>
                    <w:adjustRightInd w:val="0"/>
                    <w:snapToGrid w:val="0"/>
                    <w:jc w:val="center"/>
                    <w:rPr>
                      <w:szCs w:val="21"/>
                      <w:lang w:val="zh-CN"/>
                    </w:rPr>
                  </w:pPr>
                  <w:r>
                    <w:rPr>
                      <w:bCs/>
                      <w:szCs w:val="21"/>
                    </w:rPr>
                    <w:t>生态亚区</w:t>
                  </w:r>
                </w:p>
              </w:tc>
              <w:tc>
                <w:tcPr>
                  <w:tcW w:w="5798" w:type="dxa"/>
                  <w:vAlign w:val="center"/>
                </w:tcPr>
                <w:p>
                  <w:pPr>
                    <w:adjustRightInd w:val="0"/>
                    <w:snapToGrid w:val="0"/>
                    <w:jc w:val="center"/>
                    <w:rPr>
                      <w:bCs/>
                      <w:szCs w:val="21"/>
                      <w:lang w:val="zh-CN"/>
                    </w:rPr>
                  </w:pPr>
                  <w:r>
                    <w:rPr>
                      <w:rFonts w:hint="eastAsia"/>
                      <w:lang w:val="zh-CN"/>
                    </w:rPr>
                    <w:t>Ⅱ3 准噶尔盆地中部固定、半固定沙漠生态亚区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088" w:type="dxa"/>
                  <w:vMerge w:val="continue"/>
                  <w:vAlign w:val="center"/>
                </w:tcPr>
                <w:p>
                  <w:pPr>
                    <w:adjustRightInd w:val="0"/>
                    <w:snapToGrid w:val="0"/>
                    <w:jc w:val="center"/>
                    <w:rPr>
                      <w:szCs w:val="21"/>
                      <w:lang w:val="zh-CN"/>
                    </w:rPr>
                  </w:pPr>
                </w:p>
              </w:tc>
              <w:tc>
                <w:tcPr>
                  <w:tcW w:w="1371" w:type="dxa"/>
                  <w:vAlign w:val="center"/>
                </w:tcPr>
                <w:p>
                  <w:pPr>
                    <w:adjustRightInd w:val="0"/>
                    <w:snapToGrid w:val="0"/>
                    <w:jc w:val="center"/>
                    <w:rPr>
                      <w:szCs w:val="21"/>
                      <w:lang w:val="zh-CN"/>
                    </w:rPr>
                  </w:pPr>
                  <w:r>
                    <w:rPr>
                      <w:bCs/>
                      <w:szCs w:val="21"/>
                    </w:rPr>
                    <w:t>生态功能区</w:t>
                  </w:r>
                </w:p>
              </w:tc>
              <w:tc>
                <w:tcPr>
                  <w:tcW w:w="5798" w:type="dxa"/>
                  <w:vAlign w:val="center"/>
                </w:tcPr>
                <w:p>
                  <w:pPr>
                    <w:adjustRightInd w:val="0"/>
                    <w:snapToGrid w:val="0"/>
                    <w:jc w:val="center"/>
                    <w:rPr>
                      <w:bCs/>
                      <w:szCs w:val="21"/>
                      <w:lang w:val="zh-CN"/>
                    </w:rPr>
                  </w:pPr>
                  <w:r>
                    <w:rPr>
                      <w:rFonts w:hint="eastAsia" w:ascii="宋体" w:hAnsi="宋体"/>
                    </w:rPr>
                    <w:t>23．古尔班通古特沙漠化敏感及植被保护生态功能区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459" w:type="dxa"/>
                  <w:gridSpan w:val="2"/>
                  <w:vAlign w:val="center"/>
                </w:tcPr>
                <w:p>
                  <w:pPr>
                    <w:adjustRightInd w:val="0"/>
                    <w:snapToGrid w:val="0"/>
                    <w:jc w:val="center"/>
                    <w:rPr>
                      <w:bCs/>
                      <w:szCs w:val="21"/>
                    </w:rPr>
                  </w:pPr>
                  <w:r>
                    <w:rPr>
                      <w:bCs/>
                      <w:szCs w:val="21"/>
                    </w:rPr>
                    <w:t>隶属行政区</w:t>
                  </w:r>
                </w:p>
              </w:tc>
              <w:tc>
                <w:tcPr>
                  <w:tcW w:w="5798" w:type="dxa"/>
                  <w:vAlign w:val="center"/>
                </w:tcPr>
                <w:p>
                  <w:pPr>
                    <w:adjustRightInd w:val="0"/>
                    <w:snapToGrid w:val="0"/>
                    <w:jc w:val="center"/>
                    <w:rPr>
                      <w:bCs/>
                      <w:szCs w:val="21"/>
                      <w:lang w:val="zh-CN"/>
                    </w:rPr>
                  </w:pPr>
                  <w:r>
                    <w:rPr>
                      <w:rFonts w:hint="eastAsia"/>
                      <w:szCs w:val="21"/>
                    </w:rPr>
                    <w:t>阜康市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459" w:type="dxa"/>
                  <w:gridSpan w:val="2"/>
                  <w:vAlign w:val="center"/>
                </w:tcPr>
                <w:p>
                  <w:pPr>
                    <w:adjustRightInd w:val="0"/>
                    <w:snapToGrid w:val="0"/>
                    <w:jc w:val="center"/>
                    <w:rPr>
                      <w:bCs/>
                      <w:szCs w:val="21"/>
                    </w:rPr>
                  </w:pPr>
                  <w:r>
                    <w:rPr>
                      <w:bCs/>
                      <w:szCs w:val="21"/>
                    </w:rPr>
                    <w:t>主要生态</w:t>
                  </w:r>
                  <w:r>
                    <w:rPr>
                      <w:rFonts w:hint="eastAsia"/>
                      <w:bCs/>
                      <w:szCs w:val="21"/>
                    </w:rPr>
                    <w:t>服务</w:t>
                  </w:r>
                  <w:r>
                    <w:rPr>
                      <w:bCs/>
                      <w:szCs w:val="21"/>
                    </w:rPr>
                    <w:t>功能</w:t>
                  </w:r>
                </w:p>
              </w:tc>
              <w:tc>
                <w:tcPr>
                  <w:tcW w:w="5798" w:type="dxa"/>
                  <w:vAlign w:val="center"/>
                </w:tcPr>
                <w:p>
                  <w:pPr>
                    <w:adjustRightInd w:val="0"/>
                    <w:snapToGrid w:val="0"/>
                    <w:jc w:val="center"/>
                    <w:rPr>
                      <w:bCs/>
                      <w:szCs w:val="21"/>
                      <w:lang w:val="zh-CN"/>
                    </w:rPr>
                  </w:pPr>
                  <w:r>
                    <w:rPr>
                      <w:rFonts w:hint="eastAsia" w:ascii="宋体" w:hAnsi="宋体"/>
                    </w:rPr>
                    <w:t>沙漠化控制、生物多样性维护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459" w:type="dxa"/>
                  <w:gridSpan w:val="2"/>
                  <w:vAlign w:val="center"/>
                </w:tcPr>
                <w:p>
                  <w:pPr>
                    <w:adjustRightInd w:val="0"/>
                    <w:snapToGrid w:val="0"/>
                    <w:jc w:val="center"/>
                    <w:rPr>
                      <w:bCs/>
                      <w:szCs w:val="21"/>
                    </w:rPr>
                  </w:pPr>
                  <w:r>
                    <w:rPr>
                      <w:bCs/>
                      <w:szCs w:val="21"/>
                    </w:rPr>
                    <w:t>主要生态</w:t>
                  </w:r>
                  <w:r>
                    <w:rPr>
                      <w:rFonts w:hint="eastAsia"/>
                      <w:bCs/>
                      <w:szCs w:val="21"/>
                    </w:rPr>
                    <w:t>环境</w:t>
                  </w:r>
                  <w:r>
                    <w:rPr>
                      <w:bCs/>
                      <w:szCs w:val="21"/>
                    </w:rPr>
                    <w:t>问题</w:t>
                  </w:r>
                </w:p>
              </w:tc>
              <w:tc>
                <w:tcPr>
                  <w:tcW w:w="5798" w:type="dxa"/>
                  <w:vAlign w:val="center"/>
                </w:tcPr>
                <w:p>
                  <w:pPr>
                    <w:adjustRightInd w:val="0"/>
                    <w:snapToGrid w:val="0"/>
                    <w:jc w:val="center"/>
                    <w:rPr>
                      <w:bCs/>
                      <w:szCs w:val="21"/>
                    </w:rPr>
                  </w:pPr>
                  <w:r>
                    <w:rPr>
                      <w:rFonts w:hint="eastAsia" w:ascii="宋体" w:hAnsi="宋体"/>
                    </w:rPr>
                    <w:t>人为干扰范围扩大、工程建设引起沙漠植被破坏、鼠害严重、植被退化、沙漠化构成对南缘绿洲的威胁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459" w:type="dxa"/>
                  <w:gridSpan w:val="2"/>
                  <w:vAlign w:val="center"/>
                </w:tcPr>
                <w:p>
                  <w:pPr>
                    <w:adjustRightInd w:val="0"/>
                    <w:snapToGrid w:val="0"/>
                    <w:jc w:val="center"/>
                    <w:rPr>
                      <w:bCs/>
                      <w:szCs w:val="21"/>
                    </w:rPr>
                  </w:pPr>
                  <w:r>
                    <w:rPr>
                      <w:rFonts w:hint="eastAsia"/>
                      <w:bCs/>
                      <w:szCs w:val="21"/>
                    </w:rPr>
                    <w:t>主要生态敏感因子、敏感程度</w:t>
                  </w:r>
                </w:p>
              </w:tc>
              <w:tc>
                <w:tcPr>
                  <w:tcW w:w="5798" w:type="dxa"/>
                  <w:vAlign w:val="center"/>
                </w:tcPr>
                <w:p>
                  <w:pPr>
                    <w:adjustRightInd w:val="0"/>
                    <w:snapToGrid w:val="0"/>
                    <w:jc w:val="center"/>
                    <w:rPr>
                      <w:szCs w:val="21"/>
                    </w:rPr>
                  </w:pPr>
                  <w:r>
                    <w:rPr>
                      <w:rFonts w:hint="eastAsia" w:ascii="宋体" w:hAnsi="宋体"/>
                    </w:rPr>
                    <w:t>生物多样性及其生境高度敏感，土地沙漠化极度敏感，土壤侵蚀高度敏感、土壤盐渍化轻度敏感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459" w:type="dxa"/>
                  <w:gridSpan w:val="2"/>
                  <w:vAlign w:val="center"/>
                </w:tcPr>
                <w:p>
                  <w:pPr>
                    <w:adjustRightInd w:val="0"/>
                    <w:snapToGrid w:val="0"/>
                    <w:jc w:val="center"/>
                    <w:rPr>
                      <w:szCs w:val="21"/>
                      <w:lang w:val="zh-CN"/>
                    </w:rPr>
                  </w:pPr>
                  <w:r>
                    <w:rPr>
                      <w:bCs/>
                      <w:szCs w:val="21"/>
                    </w:rPr>
                    <w:t>主要保护目标</w:t>
                  </w:r>
                </w:p>
              </w:tc>
              <w:tc>
                <w:tcPr>
                  <w:tcW w:w="5798" w:type="dxa"/>
                  <w:vAlign w:val="center"/>
                </w:tcPr>
                <w:p>
                  <w:pPr>
                    <w:adjustRightInd w:val="0"/>
                    <w:snapToGrid w:val="0"/>
                    <w:jc w:val="center"/>
                    <w:rPr>
                      <w:bCs/>
                      <w:szCs w:val="21"/>
                      <w:lang w:val="zh-CN"/>
                    </w:rPr>
                  </w:pPr>
                  <w:r>
                    <w:rPr>
                      <w:rFonts w:hint="eastAsia" w:ascii="宋体" w:hAnsi="宋体"/>
                    </w:rPr>
                    <w:t>保护沙漠植被、防止沙丘活化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459" w:type="dxa"/>
                  <w:gridSpan w:val="2"/>
                  <w:vAlign w:val="center"/>
                </w:tcPr>
                <w:p>
                  <w:pPr>
                    <w:adjustRightInd w:val="0"/>
                    <w:snapToGrid w:val="0"/>
                    <w:jc w:val="center"/>
                    <w:rPr>
                      <w:szCs w:val="21"/>
                      <w:lang w:val="zh-CN"/>
                    </w:rPr>
                  </w:pPr>
                  <w:r>
                    <w:rPr>
                      <w:bCs/>
                      <w:szCs w:val="21"/>
                    </w:rPr>
                    <w:t>主要保护措施</w:t>
                  </w:r>
                </w:p>
              </w:tc>
              <w:tc>
                <w:tcPr>
                  <w:tcW w:w="5798" w:type="dxa"/>
                  <w:vAlign w:val="center"/>
                </w:tcPr>
                <w:p>
                  <w:pPr>
                    <w:adjustRightInd w:val="0"/>
                    <w:snapToGrid w:val="0"/>
                    <w:jc w:val="center"/>
                    <w:rPr>
                      <w:bCs/>
                      <w:szCs w:val="21"/>
                      <w:lang w:val="zh-CN"/>
                    </w:rPr>
                  </w:pPr>
                  <w:r>
                    <w:rPr>
                      <w:rFonts w:hint="eastAsia" w:ascii="宋体" w:hAnsi="宋体"/>
                    </w:rPr>
                    <w:t>对沙漠边缘流动沙丘、活化沙地进行封沙育林、退耕还林（草），禁止憔采和放牧，禁止开荒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459" w:type="dxa"/>
                  <w:gridSpan w:val="2"/>
                  <w:vAlign w:val="center"/>
                </w:tcPr>
                <w:p>
                  <w:pPr>
                    <w:adjustRightInd w:val="0"/>
                    <w:snapToGrid w:val="0"/>
                    <w:jc w:val="center"/>
                    <w:rPr>
                      <w:szCs w:val="21"/>
                      <w:lang w:val="zh-CN"/>
                    </w:rPr>
                  </w:pPr>
                  <w:r>
                    <w:rPr>
                      <w:bCs/>
                      <w:szCs w:val="21"/>
                    </w:rPr>
                    <w:t>适宜发展方向</w:t>
                  </w:r>
                </w:p>
              </w:tc>
              <w:tc>
                <w:tcPr>
                  <w:tcW w:w="5798" w:type="dxa"/>
                  <w:vAlign w:val="center"/>
                </w:tcPr>
                <w:p>
                  <w:pPr>
                    <w:adjustRightInd w:val="0"/>
                    <w:snapToGrid w:val="0"/>
                    <w:jc w:val="center"/>
                    <w:rPr>
                      <w:bCs/>
                      <w:szCs w:val="21"/>
                      <w:lang w:val="zh-CN"/>
                    </w:rPr>
                  </w:pPr>
                  <w:r>
                    <w:rPr>
                      <w:rFonts w:hint="eastAsia" w:ascii="宋体" w:hAnsi="宋体"/>
                    </w:rPr>
                    <w:t>维护固定、半固定沙漠景观与植被，治理活化沙丘，遏制蔓延</w:t>
                  </w:r>
                </w:p>
              </w:tc>
            </w:tr>
          </w:tbl>
          <w:p>
            <w:pPr>
              <w:autoSpaceDE w:val="0"/>
              <w:autoSpaceDN w:val="0"/>
              <w:adjustRightInd w:val="0"/>
              <w:spacing w:line="520" w:lineRule="exact"/>
              <w:ind w:firstLine="482" w:firstLineChars="200"/>
              <w:rPr>
                <w:b/>
                <w:bCs/>
                <w:sz w:val="24"/>
              </w:rPr>
            </w:pPr>
            <w:bookmarkStart w:id="22" w:name="_Toc378429152"/>
            <w:r>
              <w:rPr>
                <w:rFonts w:hint="eastAsia"/>
                <w:b/>
                <w:bCs/>
                <w:sz w:val="24"/>
              </w:rPr>
              <w:t>1.2土地利用类型</w:t>
            </w:r>
          </w:p>
          <w:p>
            <w:pPr>
              <w:pStyle w:val="36"/>
              <w:spacing w:line="520" w:lineRule="exact"/>
              <w:ind w:firstLine="480" w:firstLineChars="200"/>
              <w:rPr>
                <w:rFonts w:ascii="Times New Roman"/>
                <w:color w:val="auto"/>
                <w:lang w:val="zh-CN"/>
              </w:rPr>
            </w:pPr>
            <w:r>
              <w:rPr>
                <w:color w:val="auto"/>
              </w:rPr>
              <w:t>本项目</w:t>
            </w:r>
            <w:r>
              <w:rPr>
                <w:rFonts w:hint="eastAsia"/>
                <w:color w:val="auto"/>
              </w:rPr>
              <w:t>位于阜康市北部准格尔盆地古尔班通古特沙漠东部，阜康市城区1</w:t>
            </w:r>
            <w:r>
              <w:rPr>
                <w:color w:val="auto"/>
              </w:rPr>
              <w:t>7</w:t>
            </w:r>
            <w:r>
              <w:rPr>
                <w:rFonts w:hint="eastAsia"/>
                <w:color w:val="auto"/>
              </w:rPr>
              <w:t>°方位，距离阜康市直线距离78km处。</w:t>
            </w:r>
            <w:r>
              <w:rPr>
                <w:rFonts w:ascii="Times New Roman"/>
                <w:color w:val="auto"/>
                <w:lang w:val="zh-CN"/>
              </w:rPr>
              <w:t>矿山未被开垦，</w:t>
            </w:r>
            <w:r>
              <w:rPr>
                <w:rFonts w:hint="eastAsia" w:ascii="Times New Roman"/>
                <w:color w:val="auto"/>
                <w:lang w:val="zh-CN"/>
              </w:rPr>
              <w:t>土地利用类型为其他土地中的裸地（详见附图</w:t>
            </w:r>
            <w:r>
              <w:rPr>
                <w:rFonts w:ascii="Times New Roman"/>
                <w:color w:val="auto"/>
              </w:rPr>
              <w:t>6</w:t>
            </w:r>
            <w:r>
              <w:rPr>
                <w:rFonts w:hint="eastAsia" w:ascii="Times New Roman"/>
                <w:color w:val="auto"/>
                <w:lang w:val="zh-CN"/>
              </w:rPr>
              <w:t>土地利用类型图）。</w:t>
            </w:r>
          </w:p>
          <w:p>
            <w:pPr>
              <w:autoSpaceDE w:val="0"/>
              <w:autoSpaceDN w:val="0"/>
              <w:adjustRightInd w:val="0"/>
              <w:spacing w:line="520" w:lineRule="exact"/>
              <w:ind w:firstLine="482" w:firstLineChars="200"/>
              <w:rPr>
                <w:b/>
                <w:bCs/>
                <w:sz w:val="24"/>
              </w:rPr>
            </w:pPr>
            <w:r>
              <w:rPr>
                <w:rFonts w:hint="eastAsia"/>
                <w:b/>
                <w:bCs/>
                <w:sz w:val="24"/>
              </w:rPr>
              <w:t>1.3土壤类型</w:t>
            </w:r>
          </w:p>
          <w:bookmarkEnd w:id="22"/>
          <w:p>
            <w:pPr>
              <w:pStyle w:val="36"/>
              <w:spacing w:line="520" w:lineRule="exact"/>
              <w:ind w:firstLine="480" w:firstLineChars="200"/>
              <w:rPr>
                <w:rFonts w:ascii="Times New Roman"/>
                <w:color w:val="auto"/>
                <w:lang w:val="zh-CN"/>
              </w:rPr>
            </w:pPr>
            <w:r>
              <w:rPr>
                <w:rFonts w:hint="eastAsia"/>
                <w:color w:val="auto"/>
              </w:rPr>
              <w:t>详查区位于准噶尔盆地南缘的阜康凹陷部位，区内均为第四系全新统风积物，在区域基本为风沙地貌，土壤类型为风沙土，包括固定风沙土及半固定风沙土，矿区岩性为石英砂，地表总体呈灰黄～土黄色，往深部黄色逐渐变淡，由矿物颗粒松散堆积而成，未固结微弱固结。砂粒矿物主要由石英、岩屑和少量长石组成。详查区无基岩出露，第四系风成砂即为石英砂矿的产出部位。区内地表无岩浆岩出露，构造不发育</w:t>
            </w:r>
            <w:r>
              <w:rPr>
                <w:rFonts w:hint="eastAsia" w:ascii="Times New Roman"/>
                <w:color w:val="auto"/>
                <w:lang w:val="zh-CN"/>
              </w:rPr>
              <w:t>，详见附图</w:t>
            </w:r>
            <w:r>
              <w:rPr>
                <w:rFonts w:ascii="Times New Roman"/>
                <w:color w:val="auto"/>
              </w:rPr>
              <w:t>7</w:t>
            </w:r>
            <w:r>
              <w:rPr>
                <w:rFonts w:hint="eastAsia" w:ascii="Times New Roman"/>
                <w:color w:val="auto"/>
                <w:lang w:val="zh-CN"/>
              </w:rPr>
              <w:t>土壤类型图。</w:t>
            </w:r>
          </w:p>
          <w:p>
            <w:pPr>
              <w:autoSpaceDE w:val="0"/>
              <w:autoSpaceDN w:val="0"/>
              <w:adjustRightInd w:val="0"/>
              <w:spacing w:line="520" w:lineRule="exact"/>
              <w:ind w:firstLine="482" w:firstLineChars="200"/>
              <w:rPr>
                <w:b/>
                <w:bCs/>
                <w:sz w:val="24"/>
              </w:rPr>
            </w:pPr>
            <w:r>
              <w:rPr>
                <w:rFonts w:hint="eastAsia"/>
                <w:b/>
                <w:bCs/>
                <w:sz w:val="24"/>
              </w:rPr>
              <w:t>1.4动植物</w:t>
            </w:r>
            <w:r>
              <w:rPr>
                <w:b/>
                <w:bCs/>
                <w:sz w:val="24"/>
              </w:rPr>
              <w:t>现状</w:t>
            </w:r>
          </w:p>
          <w:p>
            <w:pPr>
              <w:pStyle w:val="36"/>
              <w:spacing w:line="520" w:lineRule="exact"/>
              <w:ind w:firstLine="480" w:firstLineChars="200"/>
              <w:rPr>
                <w:rFonts w:ascii="Times New Roman"/>
                <w:color w:val="auto"/>
                <w:lang w:val="zh-CN"/>
              </w:rPr>
            </w:pPr>
            <w:r>
              <w:rPr>
                <w:rFonts w:hint="eastAsia" w:ascii="Times New Roman"/>
                <w:color w:val="auto"/>
                <w:lang w:val="zh-CN"/>
              </w:rPr>
              <w:t>本项目位于阜康市北部准格尔盆地古尔班通古特沙漠东部，阜康市城区17°方位，距离阜康市直线距离78km处，所在区域环境的生态条件较差，地域特征决定了该区域内植物组成简单、种类贫乏，</w:t>
            </w:r>
            <w:bookmarkStart w:id="23" w:name="_Hlk87533510"/>
            <w:r>
              <w:rPr>
                <w:rFonts w:hint="eastAsia" w:ascii="Times New Roman"/>
                <w:color w:val="auto"/>
                <w:lang w:val="zh-CN"/>
              </w:rPr>
              <w:t>矿区所在区域地处准格尔盆地古尔班通古特沙漠东部复地，整个沙漠面积的9</w:t>
            </w:r>
            <w:r>
              <w:rPr>
                <w:rFonts w:ascii="Times New Roman"/>
                <w:color w:val="auto"/>
                <w:lang w:val="zh-CN"/>
              </w:rPr>
              <w:t>5</w:t>
            </w:r>
            <w:r>
              <w:rPr>
                <w:rFonts w:hint="eastAsia" w:ascii="Times New Roman"/>
                <w:color w:val="auto"/>
                <w:lang w:val="zh-CN"/>
              </w:rPr>
              <w:t>%以上为固定、半固定风沙土，固定沙丘上植被覆盖度为4</w:t>
            </w:r>
            <w:r>
              <w:rPr>
                <w:rFonts w:ascii="Times New Roman"/>
                <w:color w:val="auto"/>
                <w:lang w:val="zh-CN"/>
              </w:rPr>
              <w:t>0</w:t>
            </w:r>
            <w:r>
              <w:rPr>
                <w:rFonts w:hint="eastAsia" w:ascii="Times New Roman"/>
                <w:color w:val="auto"/>
                <w:lang w:val="zh-CN"/>
              </w:rPr>
              <w:t>%~</w:t>
            </w:r>
            <w:r>
              <w:rPr>
                <w:rFonts w:ascii="Times New Roman"/>
                <w:color w:val="auto"/>
                <w:lang w:val="zh-CN"/>
              </w:rPr>
              <w:t>50</w:t>
            </w:r>
            <w:r>
              <w:rPr>
                <w:rFonts w:hint="eastAsia" w:ascii="Times New Roman"/>
                <w:color w:val="auto"/>
                <w:lang w:val="zh-CN"/>
              </w:rPr>
              <w:t>%，半固定沙丘达1</w:t>
            </w:r>
            <w:r>
              <w:rPr>
                <w:rFonts w:ascii="Times New Roman"/>
                <w:color w:val="auto"/>
                <w:lang w:val="zh-CN"/>
              </w:rPr>
              <w:t>5</w:t>
            </w:r>
            <w:r>
              <w:rPr>
                <w:rFonts w:hint="eastAsia" w:ascii="Times New Roman"/>
                <w:color w:val="auto"/>
                <w:lang w:val="zh-CN"/>
              </w:rPr>
              <w:t>%~</w:t>
            </w:r>
            <w:r>
              <w:rPr>
                <w:rFonts w:ascii="Times New Roman"/>
                <w:color w:val="auto"/>
                <w:lang w:val="zh-CN"/>
              </w:rPr>
              <w:t>25</w:t>
            </w:r>
            <w:r>
              <w:rPr>
                <w:rFonts w:hint="eastAsia" w:ascii="Times New Roman"/>
                <w:color w:val="auto"/>
                <w:lang w:val="zh-CN"/>
              </w:rPr>
              <w:t>%。</w:t>
            </w:r>
            <w:bookmarkEnd w:id="23"/>
            <w:r>
              <w:rPr>
                <w:rFonts w:hint="eastAsia" w:ascii="Times New Roman"/>
                <w:color w:val="auto"/>
                <w:lang w:val="zh-CN"/>
              </w:rPr>
              <w:t xml:space="preserve">主要建群种和优势种植物有为白梭梭（Haloxylon persicum）、沙拐枣（Calligonum mongolicum Turcz.）、沙蒿 （Artemisia desertorum Spreng. </w:t>
            </w:r>
            <w:r>
              <w:rPr>
                <w:rFonts w:ascii="Times New Roman"/>
                <w:color w:val="auto"/>
              </w:rPr>
              <w:t>Syst. Veg.</w:t>
            </w:r>
            <w:r>
              <w:rPr>
                <w:rFonts w:hint="eastAsia" w:ascii="Times New Roman"/>
                <w:color w:val="auto"/>
              </w:rPr>
              <w:t>）</w:t>
            </w:r>
            <w:r>
              <w:rPr>
                <w:rFonts w:hint="eastAsia" w:ascii="Times New Roman"/>
                <w:color w:val="auto"/>
                <w:lang w:val="zh-CN"/>
              </w:rPr>
              <w:t>及羽毛三芒草</w:t>
            </w:r>
            <w:r>
              <w:rPr>
                <w:rFonts w:hint="eastAsia" w:ascii="Times New Roman"/>
                <w:color w:val="auto"/>
              </w:rPr>
              <w:t>（</w:t>
            </w:r>
            <w:r>
              <w:rPr>
                <w:rFonts w:ascii="Times New Roman"/>
                <w:color w:val="auto"/>
              </w:rPr>
              <w:t>Aristida pennata Trin.</w:t>
            </w:r>
            <w:r>
              <w:rPr>
                <w:rFonts w:hint="eastAsia" w:ascii="Times New Roman"/>
                <w:color w:val="auto"/>
              </w:rPr>
              <w:t>）</w:t>
            </w:r>
            <w:r>
              <w:rPr>
                <w:rFonts w:hint="eastAsia" w:ascii="Times New Roman"/>
                <w:color w:val="auto"/>
                <w:lang w:val="zh-CN"/>
              </w:rPr>
              <w:t>。详见附图</w:t>
            </w:r>
            <w:r>
              <w:rPr>
                <w:rFonts w:ascii="Times New Roman"/>
                <w:color w:val="auto"/>
              </w:rPr>
              <w:t>8</w:t>
            </w:r>
            <w:r>
              <w:rPr>
                <w:rFonts w:hint="eastAsia" w:ascii="Times New Roman"/>
                <w:color w:val="auto"/>
                <w:lang w:val="zh-CN"/>
              </w:rPr>
              <w:t>植被类型图。</w:t>
            </w:r>
          </w:p>
          <w:p>
            <w:pPr>
              <w:pStyle w:val="36"/>
              <w:spacing w:line="520" w:lineRule="exact"/>
              <w:ind w:firstLine="480" w:firstLineChars="200"/>
              <w:rPr>
                <w:rFonts w:ascii="Times New Roman"/>
                <w:color w:val="auto"/>
                <w:lang w:val="zh-CN"/>
              </w:rPr>
            </w:pPr>
            <w:r>
              <w:rPr>
                <w:rFonts w:hint="eastAsia" w:ascii="Times New Roman"/>
                <w:color w:val="auto"/>
                <w:lang w:val="zh-CN"/>
              </w:rPr>
              <w:t>按中国动物地理区划的分级标准，油田区域属古北界、中亚亚界、蒙新区、西部荒漠亚区、准噶尔盆地小区。因该区域地处内陆盆地，气候极端干燥，按气候区划为酷热干旱区，野生动物的栖息生境极为单一，主要为荒漠（包括土漠与沙漠等）。在整个项目区域内，野生动物分布的环境主要是沙质荒漠，也就是沙丘分布区；另外一个分布区是梭梭林荒漠区。在沙质荒漠区，因干旱和食物短缺，加之乔灌木植被少，无栖息及躲藏之地，野生动物分布数量较少，尤其是大型野生脊椎动物，在该区域野外考察中仅多见啮齿类活动的痕迹。</w:t>
            </w:r>
          </w:p>
          <w:p>
            <w:pPr>
              <w:pStyle w:val="36"/>
              <w:spacing w:line="520" w:lineRule="exact"/>
              <w:ind w:firstLine="480" w:firstLineChars="200"/>
              <w:rPr>
                <w:rFonts w:ascii="Times New Roman"/>
                <w:color w:val="auto"/>
                <w:lang w:val="zh-CN"/>
              </w:rPr>
            </w:pPr>
            <w:r>
              <w:rPr>
                <w:rFonts w:hint="eastAsia" w:ascii="Times New Roman"/>
                <w:color w:val="auto"/>
                <w:lang w:val="zh-CN"/>
              </w:rPr>
              <w:t>项目所在区域内共栖息主要野生脊椎动物36种，其中爬行类5种、鸟类14种、哺乳类17种。爬行类的蜥蜴和哺乳类的啮齿动物是项目区内主要建群种动物。由于历史的原因，准噶尔盆地荒漠中各种大型动物资源数量显著减少，而且多集中在卡拉麦里山有蹄类野生动物自然保护区。</w:t>
            </w:r>
            <w:bookmarkStart w:id="24" w:name="_Hlk87528848"/>
            <w:r>
              <w:rPr>
                <w:rFonts w:hint="eastAsia" w:ascii="Times New Roman"/>
                <w:color w:val="auto"/>
                <w:lang w:val="zh-CN"/>
              </w:rPr>
              <w:t>根据现场勘查，项目区不存在</w:t>
            </w:r>
            <w:r>
              <w:rPr>
                <w:rFonts w:hint="eastAsia"/>
                <w:snapToGrid w:val="0"/>
                <w:color w:val="auto"/>
              </w:rPr>
              <w:t>国家或自治区保护的动植物。</w:t>
            </w:r>
            <w:bookmarkEnd w:id="24"/>
          </w:p>
          <w:p>
            <w:pPr>
              <w:autoSpaceDE w:val="0"/>
              <w:autoSpaceDN w:val="0"/>
              <w:adjustRightInd w:val="0"/>
              <w:spacing w:line="520" w:lineRule="exact"/>
              <w:ind w:firstLine="482" w:firstLineChars="200"/>
              <w:rPr>
                <w:b/>
                <w:bCs/>
                <w:sz w:val="24"/>
              </w:rPr>
            </w:pPr>
            <w:r>
              <w:rPr>
                <w:rFonts w:hint="eastAsia"/>
                <w:b/>
                <w:bCs/>
                <w:sz w:val="24"/>
              </w:rPr>
              <w:t>1.5自然保护区及其</w:t>
            </w:r>
            <w:r>
              <w:rPr>
                <w:b/>
                <w:bCs/>
                <w:sz w:val="24"/>
              </w:rPr>
              <w:t>生态</w:t>
            </w:r>
            <w:r>
              <w:rPr>
                <w:rFonts w:hint="eastAsia"/>
                <w:b/>
                <w:bCs/>
                <w:sz w:val="24"/>
              </w:rPr>
              <w:t>环境现状</w:t>
            </w:r>
          </w:p>
          <w:p>
            <w:pPr>
              <w:pStyle w:val="36"/>
              <w:spacing w:line="520" w:lineRule="exact"/>
              <w:ind w:firstLine="480" w:firstLineChars="200"/>
              <w:rPr>
                <w:color w:val="auto"/>
                <w:szCs w:val="21"/>
              </w:rPr>
            </w:pPr>
            <w:r>
              <w:rPr>
                <w:rFonts w:hint="eastAsia" w:ascii="Times New Roman"/>
                <w:color w:val="auto"/>
                <w:lang w:val="zh-CN"/>
              </w:rPr>
              <w:t>本项目</w:t>
            </w:r>
            <w:r>
              <w:rPr>
                <w:rFonts w:hint="eastAsia"/>
                <w:color w:val="auto"/>
              </w:rPr>
              <w:t>东侧距离卡拉麦里山有蹄类自然保护区1</w:t>
            </w:r>
            <w:r>
              <w:rPr>
                <w:color w:val="auto"/>
              </w:rPr>
              <w:t>7.5</w:t>
            </w:r>
            <w:r>
              <w:rPr>
                <w:rFonts w:hint="eastAsia"/>
                <w:color w:val="auto"/>
              </w:rPr>
              <w:t>km，</w:t>
            </w:r>
            <w:r>
              <w:rPr>
                <w:rFonts w:hint="eastAsia"/>
                <w:color w:val="auto"/>
                <w:szCs w:val="21"/>
              </w:rPr>
              <w:t>未占用卡拉麦里山有蹄类自然保护区用地，本项目的实施不会损害自然保护区内的环境质量和生态功能。</w:t>
            </w:r>
          </w:p>
          <w:p>
            <w:pPr>
              <w:pStyle w:val="36"/>
              <w:spacing w:line="520" w:lineRule="exact"/>
              <w:ind w:firstLine="480" w:firstLineChars="200"/>
              <w:rPr>
                <w:rFonts w:ascii="Times New Roman"/>
                <w:color w:val="auto"/>
                <w:lang w:val="zh-CN"/>
              </w:rPr>
            </w:pPr>
            <w:r>
              <w:rPr>
                <w:rFonts w:hint="eastAsia"/>
                <w:color w:val="auto"/>
                <w:szCs w:val="21"/>
              </w:rPr>
              <w:t>卡拉麦里山有蹄类野生动物自然保护区的生态条件由于相似于世界不同大陆的荒漠，致使物种存在趋同现象，如啮齿类和爬行类丰富，两栖类很少，有蹄类很多，如蒙古野驴，盘羊等，其中许多是家畜的祖先。卡拉麦里山有蹄类野生动物自然保护区动物种类繁多，据考察及资料记载共有58科288种，其中国家一级保护动物l1种，国家二级保护动物17余种。</w:t>
            </w:r>
          </w:p>
          <w:p>
            <w:pPr>
              <w:autoSpaceDE w:val="0"/>
              <w:autoSpaceDN w:val="0"/>
              <w:adjustRightInd w:val="0"/>
              <w:spacing w:line="520" w:lineRule="exact"/>
              <w:ind w:left="420"/>
              <w:rPr>
                <w:b/>
                <w:bCs/>
                <w:sz w:val="24"/>
              </w:rPr>
            </w:pPr>
            <w:r>
              <w:rPr>
                <w:rFonts w:hint="eastAsia"/>
                <w:b/>
                <w:bCs/>
                <w:sz w:val="24"/>
              </w:rPr>
              <w:t>2、环境空气质量现状评价</w:t>
            </w:r>
          </w:p>
          <w:p>
            <w:pPr>
              <w:widowControl/>
              <w:adjustRightInd w:val="0"/>
              <w:snapToGrid w:val="0"/>
              <w:spacing w:line="520" w:lineRule="exact"/>
              <w:ind w:firstLine="482" w:firstLineChars="200"/>
              <w:rPr>
                <w:b/>
                <w:bCs/>
                <w:sz w:val="24"/>
              </w:rPr>
            </w:pPr>
            <w:r>
              <w:rPr>
                <w:rFonts w:hint="eastAsia"/>
                <w:b/>
                <w:bCs/>
                <w:sz w:val="24"/>
              </w:rPr>
              <w:t>2</w:t>
            </w:r>
            <w:r>
              <w:rPr>
                <w:b/>
                <w:bCs/>
                <w:sz w:val="24"/>
              </w:rPr>
              <w:t>.1</w:t>
            </w:r>
            <w:r>
              <w:rPr>
                <w:rFonts w:hint="eastAsia"/>
                <w:b/>
                <w:bCs/>
                <w:sz w:val="24"/>
              </w:rPr>
              <w:t>基本污染物大气环境质量现状评价</w:t>
            </w:r>
          </w:p>
          <w:p>
            <w:pPr>
              <w:widowControl/>
              <w:adjustRightInd w:val="0"/>
              <w:snapToGrid w:val="0"/>
              <w:spacing w:line="520" w:lineRule="exact"/>
              <w:ind w:firstLine="480" w:firstLineChars="200"/>
              <w:rPr>
                <w:sz w:val="24"/>
              </w:rPr>
            </w:pPr>
            <w:r>
              <w:rPr>
                <w:rFonts w:hint="eastAsia"/>
                <w:sz w:val="24"/>
              </w:rPr>
              <w:t>本项目位于阜康市境内，</w:t>
            </w:r>
            <w:r>
              <w:rPr>
                <w:sz w:val="24"/>
              </w:rPr>
              <w:t>根据《环境影响评价技术导则大气环境》（HJ2.2-2018），可直接采用国家或地方生态</w:t>
            </w:r>
            <w:r>
              <w:rPr>
                <w:rFonts w:hint="eastAsia"/>
                <w:sz w:val="24"/>
              </w:rPr>
              <w:t>环境</w:t>
            </w:r>
            <w:r>
              <w:rPr>
                <w:sz w:val="24"/>
              </w:rPr>
              <w:t>主管部门公开发布的评价基准年环境质量公告或环境质量报告中的数据或结论。</w:t>
            </w:r>
          </w:p>
          <w:p>
            <w:pPr>
              <w:pStyle w:val="63"/>
              <w:rPr>
                <w:rFonts w:cs="Times New Roman"/>
              </w:rPr>
            </w:pPr>
            <w:r>
              <w:rPr>
                <w:rFonts w:cs="Times New Roman"/>
                <w:kern w:val="0"/>
                <w:lang w:bidi="ar"/>
              </w:rPr>
              <w:t>本次评价选择离本项目相对较近的国控监测站阜康市监测站2020年的监测数据进行统计分析，</w:t>
            </w:r>
            <w:r>
              <w:rPr>
                <w:rFonts w:hint="eastAsia" w:cs="Times New Roman"/>
                <w:kern w:val="0"/>
                <w:lang w:bidi="ar"/>
              </w:rPr>
              <w:t>监测点位位于项目区西南侧</w:t>
            </w:r>
            <w:r>
              <w:rPr>
                <w:rFonts w:cs="Times New Roman"/>
                <w:kern w:val="0"/>
                <w:lang w:bidi="ar"/>
              </w:rPr>
              <w:t>75</w:t>
            </w:r>
            <w:r>
              <w:rPr>
                <w:rFonts w:hint="eastAsia" w:cs="Times New Roman"/>
                <w:kern w:val="0"/>
                <w:lang w:bidi="ar"/>
              </w:rPr>
              <w:t>km处，</w:t>
            </w:r>
            <w:r>
              <w:rPr>
                <w:rFonts w:cs="Times New Roman"/>
                <w:kern w:val="0"/>
                <w:lang w:bidi="ar"/>
              </w:rPr>
              <w:t>作为本项目环境空气现状评价基本污染物SO</w:t>
            </w:r>
            <w:r>
              <w:rPr>
                <w:rFonts w:cs="Times New Roman"/>
                <w:kern w:val="0"/>
                <w:vertAlign w:val="subscript"/>
                <w:lang w:bidi="ar"/>
              </w:rPr>
              <w:t>2</w:t>
            </w:r>
            <w:r>
              <w:rPr>
                <w:rFonts w:cs="Times New Roman"/>
                <w:kern w:val="0"/>
                <w:lang w:bidi="ar"/>
              </w:rPr>
              <w:t>、NO</w:t>
            </w:r>
            <w:r>
              <w:rPr>
                <w:rFonts w:cs="Times New Roman"/>
                <w:kern w:val="0"/>
                <w:vertAlign w:val="subscript"/>
                <w:lang w:bidi="ar"/>
              </w:rPr>
              <w:t>2</w:t>
            </w:r>
            <w:r>
              <w:rPr>
                <w:rFonts w:cs="Times New Roman"/>
                <w:kern w:val="0"/>
                <w:lang w:bidi="ar"/>
              </w:rPr>
              <w:t>、PM</w:t>
            </w:r>
            <w:r>
              <w:rPr>
                <w:rFonts w:cs="Times New Roman"/>
                <w:kern w:val="0"/>
                <w:vertAlign w:val="subscript"/>
                <w:lang w:bidi="ar"/>
              </w:rPr>
              <w:t>10</w:t>
            </w:r>
            <w:r>
              <w:rPr>
                <w:rFonts w:cs="Times New Roman"/>
                <w:kern w:val="0"/>
                <w:lang w:bidi="ar"/>
              </w:rPr>
              <w:t>、PM</w:t>
            </w:r>
            <w:r>
              <w:rPr>
                <w:rFonts w:cs="Times New Roman"/>
                <w:kern w:val="0"/>
                <w:vertAlign w:val="subscript"/>
                <w:lang w:bidi="ar"/>
              </w:rPr>
              <w:t>2.5</w:t>
            </w:r>
            <w:r>
              <w:rPr>
                <w:rFonts w:cs="Times New Roman"/>
                <w:kern w:val="0"/>
                <w:lang w:bidi="ar"/>
              </w:rPr>
              <w:t>、CO和O</w:t>
            </w:r>
            <w:r>
              <w:rPr>
                <w:rFonts w:cs="Times New Roman"/>
                <w:kern w:val="0"/>
                <w:vertAlign w:val="subscript"/>
                <w:lang w:bidi="ar"/>
              </w:rPr>
              <w:t>3</w:t>
            </w:r>
            <w:r>
              <w:rPr>
                <w:rFonts w:cs="Times New Roman"/>
                <w:kern w:val="0"/>
                <w:lang w:bidi="ar"/>
              </w:rPr>
              <w:t>的数据来源。本项目所在区域</w:t>
            </w:r>
            <w:r>
              <w:rPr>
                <w:rFonts w:cs="Times New Roman"/>
              </w:rPr>
              <w:t>空气质量现状评价结果详见下表</w:t>
            </w:r>
            <w:r>
              <w:rPr>
                <w:rFonts w:hint="eastAsia" w:cs="Times New Roman"/>
              </w:rPr>
              <w:t>。</w:t>
            </w:r>
          </w:p>
          <w:p>
            <w:pPr>
              <w:pStyle w:val="62"/>
              <w:ind w:firstLine="480"/>
            </w:pPr>
            <w:r>
              <w:t>表3-2    区域空气质量现状评价表</w:t>
            </w:r>
          </w:p>
          <w:tbl>
            <w:tblPr>
              <w:tblStyle w:val="31"/>
              <w:tblW w:w="843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914"/>
              <w:gridCol w:w="1516"/>
              <w:gridCol w:w="1440"/>
              <w:gridCol w:w="995"/>
              <w:gridCol w:w="15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Align w:val="center"/>
                </w:tcPr>
                <w:p>
                  <w:pPr>
                    <w:autoSpaceDE w:val="0"/>
                    <w:autoSpaceDN w:val="0"/>
                    <w:jc w:val="center"/>
                    <w:rPr>
                      <w:sz w:val="24"/>
                    </w:rPr>
                  </w:pPr>
                  <w:r>
                    <w:t>污染物</w:t>
                  </w:r>
                </w:p>
              </w:tc>
              <w:tc>
                <w:tcPr>
                  <w:tcW w:w="1914" w:type="dxa"/>
                  <w:vAlign w:val="center"/>
                </w:tcPr>
                <w:p>
                  <w:pPr>
                    <w:autoSpaceDE w:val="0"/>
                    <w:autoSpaceDN w:val="0"/>
                    <w:jc w:val="center"/>
                    <w:rPr>
                      <w:sz w:val="24"/>
                    </w:rPr>
                  </w:pPr>
                  <w:r>
                    <w:t>年评价指标</w:t>
                  </w:r>
                </w:p>
              </w:tc>
              <w:tc>
                <w:tcPr>
                  <w:tcW w:w="1516" w:type="dxa"/>
                  <w:vAlign w:val="center"/>
                </w:tcPr>
                <w:p>
                  <w:pPr>
                    <w:autoSpaceDE w:val="0"/>
                    <w:autoSpaceDN w:val="0"/>
                    <w:jc w:val="center"/>
                    <w:rPr>
                      <w:sz w:val="24"/>
                    </w:rPr>
                  </w:pPr>
                  <w:r>
                    <w:t>现状浓度（</w:t>
                  </w:r>
                  <w:r>
                    <w:rPr>
                      <w:bCs/>
                      <w:szCs w:val="21"/>
                    </w:rPr>
                    <w:t>μ</w:t>
                  </w:r>
                  <w:r>
                    <w:t>g/m</w:t>
                  </w:r>
                  <w:r>
                    <w:rPr>
                      <w:vertAlign w:val="superscript"/>
                    </w:rPr>
                    <w:t>3</w:t>
                  </w:r>
                  <w:r>
                    <w:t>）</w:t>
                  </w:r>
                </w:p>
              </w:tc>
              <w:tc>
                <w:tcPr>
                  <w:tcW w:w="1440" w:type="dxa"/>
                  <w:vAlign w:val="center"/>
                </w:tcPr>
                <w:p>
                  <w:pPr>
                    <w:autoSpaceDE w:val="0"/>
                    <w:autoSpaceDN w:val="0"/>
                    <w:jc w:val="center"/>
                    <w:rPr>
                      <w:sz w:val="24"/>
                    </w:rPr>
                  </w:pPr>
                  <w:r>
                    <w:t>标准值（</w:t>
                  </w:r>
                  <w:r>
                    <w:rPr>
                      <w:bCs/>
                      <w:szCs w:val="21"/>
                    </w:rPr>
                    <w:t>μ</w:t>
                  </w:r>
                  <w:r>
                    <w:t>g/m</w:t>
                  </w:r>
                  <w:r>
                    <w:rPr>
                      <w:vertAlign w:val="superscript"/>
                    </w:rPr>
                    <w:t>3</w:t>
                  </w:r>
                  <w:r>
                    <w:t>）</w:t>
                  </w:r>
                </w:p>
              </w:tc>
              <w:tc>
                <w:tcPr>
                  <w:tcW w:w="995" w:type="dxa"/>
                  <w:vAlign w:val="center"/>
                </w:tcPr>
                <w:p>
                  <w:pPr>
                    <w:autoSpaceDE w:val="0"/>
                    <w:autoSpaceDN w:val="0"/>
                    <w:jc w:val="center"/>
                    <w:rPr>
                      <w:sz w:val="24"/>
                    </w:rPr>
                  </w:pPr>
                  <w:r>
                    <w:t>占标率</w:t>
                  </w:r>
                </w:p>
              </w:tc>
              <w:tc>
                <w:tcPr>
                  <w:tcW w:w="1590" w:type="dxa"/>
                  <w:vAlign w:val="center"/>
                </w:tcPr>
                <w:p>
                  <w:pPr>
                    <w:autoSpaceDE w:val="0"/>
                    <w:autoSpaceDN w:val="0"/>
                    <w:jc w:val="center"/>
                    <w:rPr>
                      <w:sz w:val="24"/>
                    </w:rPr>
                  </w:pPr>
                  <w: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Align w:val="center"/>
                </w:tcPr>
                <w:p>
                  <w:pPr>
                    <w:autoSpaceDE w:val="0"/>
                    <w:autoSpaceDN w:val="0"/>
                    <w:jc w:val="center"/>
                    <w:rPr>
                      <w:sz w:val="24"/>
                    </w:rPr>
                  </w:pPr>
                  <w:r>
                    <w:t>PM</w:t>
                  </w:r>
                  <w:r>
                    <w:rPr>
                      <w:vertAlign w:val="subscript"/>
                    </w:rPr>
                    <w:t>2.5</w:t>
                  </w:r>
                </w:p>
              </w:tc>
              <w:tc>
                <w:tcPr>
                  <w:tcW w:w="1914" w:type="dxa"/>
                  <w:vMerge w:val="restart"/>
                  <w:vAlign w:val="center"/>
                </w:tcPr>
                <w:p>
                  <w:pPr>
                    <w:autoSpaceDE w:val="0"/>
                    <w:autoSpaceDN w:val="0"/>
                    <w:jc w:val="center"/>
                    <w:rPr>
                      <w:sz w:val="24"/>
                    </w:rPr>
                  </w:pPr>
                  <w:r>
                    <w:t>年平均质量浓度</w:t>
                  </w:r>
                </w:p>
              </w:tc>
              <w:tc>
                <w:tcPr>
                  <w:tcW w:w="1516" w:type="dxa"/>
                  <w:vAlign w:val="center"/>
                </w:tcPr>
                <w:p>
                  <w:pPr>
                    <w:autoSpaceDE w:val="0"/>
                    <w:autoSpaceDN w:val="0"/>
                    <w:jc w:val="center"/>
                    <w:rPr>
                      <w:sz w:val="24"/>
                    </w:rPr>
                  </w:pPr>
                  <w:r>
                    <w:rPr>
                      <w:rFonts w:hint="eastAsia"/>
                    </w:rPr>
                    <w:t>53</w:t>
                  </w:r>
                </w:p>
              </w:tc>
              <w:tc>
                <w:tcPr>
                  <w:tcW w:w="1440" w:type="dxa"/>
                  <w:vAlign w:val="center"/>
                </w:tcPr>
                <w:p>
                  <w:pPr>
                    <w:autoSpaceDE w:val="0"/>
                    <w:autoSpaceDN w:val="0"/>
                    <w:jc w:val="center"/>
                    <w:rPr>
                      <w:sz w:val="24"/>
                    </w:rPr>
                  </w:pPr>
                  <w:r>
                    <w:t>35</w:t>
                  </w:r>
                </w:p>
              </w:tc>
              <w:tc>
                <w:tcPr>
                  <w:tcW w:w="995" w:type="dxa"/>
                  <w:vAlign w:val="center"/>
                </w:tcPr>
                <w:p>
                  <w:pPr>
                    <w:autoSpaceDE w:val="0"/>
                    <w:autoSpaceDN w:val="0"/>
                    <w:jc w:val="center"/>
                    <w:rPr>
                      <w:szCs w:val="21"/>
                    </w:rPr>
                  </w:pPr>
                  <w:r>
                    <w:rPr>
                      <w:szCs w:val="21"/>
                    </w:rPr>
                    <w:t>1.514</w:t>
                  </w:r>
                </w:p>
              </w:tc>
              <w:tc>
                <w:tcPr>
                  <w:tcW w:w="1590" w:type="dxa"/>
                  <w:vAlign w:val="center"/>
                </w:tcPr>
                <w:p>
                  <w:pPr>
                    <w:autoSpaceDE w:val="0"/>
                    <w:autoSpaceDN w:val="0"/>
                    <w:jc w:val="center"/>
                    <w:rPr>
                      <w:sz w:val="24"/>
                    </w:rPr>
                  </w:pPr>
                  <w: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Align w:val="center"/>
                </w:tcPr>
                <w:p>
                  <w:pPr>
                    <w:autoSpaceDE w:val="0"/>
                    <w:autoSpaceDN w:val="0"/>
                    <w:jc w:val="center"/>
                    <w:rPr>
                      <w:sz w:val="24"/>
                    </w:rPr>
                  </w:pPr>
                  <w:r>
                    <w:t>PM</w:t>
                  </w:r>
                  <w:r>
                    <w:rPr>
                      <w:vertAlign w:val="subscript"/>
                    </w:rPr>
                    <w:t>10</w:t>
                  </w:r>
                </w:p>
              </w:tc>
              <w:tc>
                <w:tcPr>
                  <w:tcW w:w="1914" w:type="dxa"/>
                  <w:vMerge w:val="continue"/>
                  <w:vAlign w:val="center"/>
                </w:tcPr>
                <w:p>
                  <w:pPr>
                    <w:jc w:val="center"/>
                    <w:rPr>
                      <w:sz w:val="24"/>
                    </w:rPr>
                  </w:pPr>
                </w:p>
              </w:tc>
              <w:tc>
                <w:tcPr>
                  <w:tcW w:w="1516" w:type="dxa"/>
                  <w:vAlign w:val="center"/>
                </w:tcPr>
                <w:p>
                  <w:pPr>
                    <w:autoSpaceDE w:val="0"/>
                    <w:autoSpaceDN w:val="0"/>
                    <w:jc w:val="center"/>
                    <w:rPr>
                      <w:sz w:val="24"/>
                    </w:rPr>
                  </w:pPr>
                  <w:r>
                    <w:rPr>
                      <w:rFonts w:hint="eastAsia"/>
                    </w:rPr>
                    <w:t>88</w:t>
                  </w:r>
                </w:p>
              </w:tc>
              <w:tc>
                <w:tcPr>
                  <w:tcW w:w="1440" w:type="dxa"/>
                  <w:vAlign w:val="center"/>
                </w:tcPr>
                <w:p>
                  <w:pPr>
                    <w:autoSpaceDE w:val="0"/>
                    <w:autoSpaceDN w:val="0"/>
                    <w:jc w:val="center"/>
                    <w:rPr>
                      <w:sz w:val="24"/>
                    </w:rPr>
                  </w:pPr>
                  <w:r>
                    <w:t>70</w:t>
                  </w:r>
                </w:p>
              </w:tc>
              <w:tc>
                <w:tcPr>
                  <w:tcW w:w="995" w:type="dxa"/>
                  <w:vAlign w:val="center"/>
                </w:tcPr>
                <w:p>
                  <w:pPr>
                    <w:autoSpaceDE w:val="0"/>
                    <w:autoSpaceDN w:val="0"/>
                    <w:jc w:val="center"/>
                    <w:rPr>
                      <w:szCs w:val="21"/>
                    </w:rPr>
                  </w:pPr>
                  <w:r>
                    <w:rPr>
                      <w:rFonts w:hint="eastAsia"/>
                      <w:szCs w:val="21"/>
                    </w:rPr>
                    <w:t>1.257</w:t>
                  </w:r>
                </w:p>
              </w:tc>
              <w:tc>
                <w:tcPr>
                  <w:tcW w:w="1590" w:type="dxa"/>
                  <w:vAlign w:val="center"/>
                </w:tcPr>
                <w:p>
                  <w:pPr>
                    <w:autoSpaceDE w:val="0"/>
                    <w:autoSpaceDN w:val="0"/>
                    <w:jc w:val="center"/>
                    <w:rPr>
                      <w:sz w:val="24"/>
                    </w:rPr>
                  </w:pPr>
                  <w: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Align w:val="center"/>
                </w:tcPr>
                <w:p>
                  <w:pPr>
                    <w:autoSpaceDE w:val="0"/>
                    <w:autoSpaceDN w:val="0"/>
                    <w:jc w:val="center"/>
                    <w:rPr>
                      <w:sz w:val="24"/>
                    </w:rPr>
                  </w:pPr>
                  <w:r>
                    <w:t>SO</w:t>
                  </w:r>
                  <w:r>
                    <w:rPr>
                      <w:vertAlign w:val="subscript"/>
                    </w:rPr>
                    <w:t>2</w:t>
                  </w:r>
                </w:p>
              </w:tc>
              <w:tc>
                <w:tcPr>
                  <w:tcW w:w="1914" w:type="dxa"/>
                  <w:vMerge w:val="continue"/>
                  <w:vAlign w:val="center"/>
                </w:tcPr>
                <w:p>
                  <w:pPr>
                    <w:jc w:val="center"/>
                    <w:rPr>
                      <w:sz w:val="24"/>
                    </w:rPr>
                  </w:pPr>
                </w:p>
              </w:tc>
              <w:tc>
                <w:tcPr>
                  <w:tcW w:w="1516" w:type="dxa"/>
                  <w:vAlign w:val="center"/>
                </w:tcPr>
                <w:p>
                  <w:pPr>
                    <w:autoSpaceDE w:val="0"/>
                    <w:autoSpaceDN w:val="0"/>
                    <w:jc w:val="center"/>
                    <w:rPr>
                      <w:sz w:val="24"/>
                    </w:rPr>
                  </w:pPr>
                  <w:r>
                    <w:rPr>
                      <w:rFonts w:hint="eastAsia"/>
                    </w:rPr>
                    <w:t>8</w:t>
                  </w:r>
                </w:p>
              </w:tc>
              <w:tc>
                <w:tcPr>
                  <w:tcW w:w="1440" w:type="dxa"/>
                  <w:vAlign w:val="center"/>
                </w:tcPr>
                <w:p>
                  <w:pPr>
                    <w:autoSpaceDE w:val="0"/>
                    <w:autoSpaceDN w:val="0"/>
                    <w:jc w:val="center"/>
                    <w:rPr>
                      <w:sz w:val="24"/>
                    </w:rPr>
                  </w:pPr>
                  <w:r>
                    <w:t>60</w:t>
                  </w:r>
                </w:p>
              </w:tc>
              <w:tc>
                <w:tcPr>
                  <w:tcW w:w="995" w:type="dxa"/>
                  <w:vAlign w:val="center"/>
                </w:tcPr>
                <w:p>
                  <w:pPr>
                    <w:autoSpaceDE w:val="0"/>
                    <w:autoSpaceDN w:val="0"/>
                    <w:jc w:val="center"/>
                    <w:rPr>
                      <w:szCs w:val="21"/>
                    </w:rPr>
                  </w:pPr>
                  <w:r>
                    <w:rPr>
                      <w:rFonts w:hint="eastAsia"/>
                      <w:szCs w:val="21"/>
                    </w:rPr>
                    <w:t>0.133</w:t>
                  </w:r>
                </w:p>
              </w:tc>
              <w:tc>
                <w:tcPr>
                  <w:tcW w:w="1590" w:type="dxa"/>
                  <w:vAlign w:val="center"/>
                </w:tcPr>
                <w:p>
                  <w:pPr>
                    <w:autoSpaceDE w:val="0"/>
                    <w:autoSpaceDN w:val="0"/>
                    <w:jc w:val="center"/>
                    <w:rPr>
                      <w:sz w:val="24"/>
                    </w:rPr>
                  </w:pPr>
                  <w: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Align w:val="center"/>
                </w:tcPr>
                <w:p>
                  <w:pPr>
                    <w:autoSpaceDE w:val="0"/>
                    <w:autoSpaceDN w:val="0"/>
                    <w:jc w:val="center"/>
                    <w:rPr>
                      <w:sz w:val="24"/>
                    </w:rPr>
                  </w:pPr>
                  <w:r>
                    <w:t>NO</w:t>
                  </w:r>
                  <w:r>
                    <w:rPr>
                      <w:vertAlign w:val="subscript"/>
                    </w:rPr>
                    <w:t>2</w:t>
                  </w:r>
                </w:p>
              </w:tc>
              <w:tc>
                <w:tcPr>
                  <w:tcW w:w="1914" w:type="dxa"/>
                  <w:vMerge w:val="continue"/>
                  <w:vAlign w:val="center"/>
                </w:tcPr>
                <w:p>
                  <w:pPr>
                    <w:jc w:val="center"/>
                    <w:rPr>
                      <w:sz w:val="24"/>
                    </w:rPr>
                  </w:pPr>
                </w:p>
              </w:tc>
              <w:tc>
                <w:tcPr>
                  <w:tcW w:w="1516" w:type="dxa"/>
                  <w:vAlign w:val="center"/>
                </w:tcPr>
                <w:p>
                  <w:pPr>
                    <w:autoSpaceDE w:val="0"/>
                    <w:autoSpaceDN w:val="0"/>
                    <w:jc w:val="center"/>
                    <w:rPr>
                      <w:sz w:val="24"/>
                    </w:rPr>
                  </w:pPr>
                  <w:r>
                    <w:rPr>
                      <w:rFonts w:hint="eastAsia"/>
                    </w:rPr>
                    <w:t>33</w:t>
                  </w:r>
                </w:p>
              </w:tc>
              <w:tc>
                <w:tcPr>
                  <w:tcW w:w="1440" w:type="dxa"/>
                  <w:vAlign w:val="center"/>
                </w:tcPr>
                <w:p>
                  <w:pPr>
                    <w:autoSpaceDE w:val="0"/>
                    <w:autoSpaceDN w:val="0"/>
                    <w:jc w:val="center"/>
                    <w:rPr>
                      <w:sz w:val="24"/>
                    </w:rPr>
                  </w:pPr>
                  <w:r>
                    <w:t>40</w:t>
                  </w:r>
                </w:p>
              </w:tc>
              <w:tc>
                <w:tcPr>
                  <w:tcW w:w="995" w:type="dxa"/>
                  <w:vAlign w:val="center"/>
                </w:tcPr>
                <w:p>
                  <w:pPr>
                    <w:autoSpaceDE w:val="0"/>
                    <w:autoSpaceDN w:val="0"/>
                    <w:jc w:val="center"/>
                    <w:rPr>
                      <w:szCs w:val="21"/>
                    </w:rPr>
                  </w:pPr>
                  <w:r>
                    <w:rPr>
                      <w:rFonts w:hint="eastAsia"/>
                      <w:szCs w:val="21"/>
                    </w:rPr>
                    <w:t>0.825</w:t>
                  </w:r>
                </w:p>
              </w:tc>
              <w:tc>
                <w:tcPr>
                  <w:tcW w:w="1590" w:type="dxa"/>
                  <w:vAlign w:val="center"/>
                </w:tcPr>
                <w:p>
                  <w:pPr>
                    <w:autoSpaceDE w:val="0"/>
                    <w:autoSpaceDN w:val="0"/>
                    <w:jc w:val="center"/>
                    <w:rPr>
                      <w:sz w:val="24"/>
                    </w:rPr>
                  </w:pPr>
                  <w: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Merge w:val="restart"/>
                  <w:vAlign w:val="center"/>
                </w:tcPr>
                <w:p>
                  <w:pPr>
                    <w:autoSpaceDE w:val="0"/>
                    <w:autoSpaceDN w:val="0"/>
                    <w:jc w:val="center"/>
                    <w:rPr>
                      <w:sz w:val="24"/>
                    </w:rPr>
                  </w:pPr>
                  <w:r>
                    <w:t>CO</w:t>
                  </w:r>
                </w:p>
              </w:tc>
              <w:tc>
                <w:tcPr>
                  <w:tcW w:w="1914" w:type="dxa"/>
                  <w:vAlign w:val="center"/>
                </w:tcPr>
                <w:p>
                  <w:pPr>
                    <w:autoSpaceDE w:val="0"/>
                    <w:autoSpaceDN w:val="0"/>
                    <w:jc w:val="center"/>
                    <w:rPr>
                      <w:sz w:val="24"/>
                    </w:rPr>
                  </w:pPr>
                  <w:r>
                    <w:t>年平均质量浓度</w:t>
                  </w:r>
                </w:p>
              </w:tc>
              <w:tc>
                <w:tcPr>
                  <w:tcW w:w="1516" w:type="dxa"/>
                  <w:vAlign w:val="center"/>
                </w:tcPr>
                <w:p>
                  <w:pPr>
                    <w:autoSpaceDE w:val="0"/>
                    <w:autoSpaceDN w:val="0"/>
                    <w:jc w:val="center"/>
                    <w:rPr>
                      <w:sz w:val="24"/>
                    </w:rPr>
                  </w:pPr>
                  <w:r>
                    <w:rPr>
                      <w:rFonts w:hint="eastAsia"/>
                      <w:sz w:val="24"/>
                    </w:rPr>
                    <w:t>/</w:t>
                  </w:r>
                </w:p>
              </w:tc>
              <w:tc>
                <w:tcPr>
                  <w:tcW w:w="4025" w:type="dxa"/>
                  <w:gridSpan w:val="3"/>
                  <w:vAlign w:val="center"/>
                </w:tcPr>
                <w:p>
                  <w:pPr>
                    <w:autoSpaceDE w:val="0"/>
                    <w:autoSpaceDN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Merge w:val="continue"/>
                  <w:vAlign w:val="center"/>
                </w:tcPr>
                <w:p>
                  <w:pPr>
                    <w:jc w:val="center"/>
                    <w:rPr>
                      <w:sz w:val="24"/>
                    </w:rPr>
                  </w:pPr>
                </w:p>
              </w:tc>
              <w:tc>
                <w:tcPr>
                  <w:tcW w:w="1914" w:type="dxa"/>
                  <w:vAlign w:val="center"/>
                </w:tcPr>
                <w:p>
                  <w:pPr>
                    <w:autoSpaceDE w:val="0"/>
                    <w:autoSpaceDN w:val="0"/>
                    <w:jc w:val="center"/>
                    <w:rPr>
                      <w:sz w:val="24"/>
                    </w:rPr>
                  </w:pPr>
                  <w:r>
                    <w:t>百分位数日平均</w:t>
                  </w:r>
                </w:p>
              </w:tc>
              <w:tc>
                <w:tcPr>
                  <w:tcW w:w="1516" w:type="dxa"/>
                  <w:vAlign w:val="center"/>
                </w:tcPr>
                <w:p>
                  <w:pPr>
                    <w:autoSpaceDE w:val="0"/>
                    <w:autoSpaceDN w:val="0"/>
                    <w:jc w:val="center"/>
                    <w:rPr>
                      <w:sz w:val="24"/>
                    </w:rPr>
                  </w:pPr>
                  <w:r>
                    <w:rPr>
                      <w:rFonts w:hint="eastAsia"/>
                    </w:rPr>
                    <w:t>2500</w:t>
                  </w:r>
                </w:p>
              </w:tc>
              <w:tc>
                <w:tcPr>
                  <w:tcW w:w="1440" w:type="dxa"/>
                  <w:vAlign w:val="center"/>
                </w:tcPr>
                <w:p>
                  <w:pPr>
                    <w:autoSpaceDE w:val="0"/>
                    <w:autoSpaceDN w:val="0"/>
                    <w:jc w:val="center"/>
                    <w:rPr>
                      <w:sz w:val="24"/>
                    </w:rPr>
                  </w:pPr>
                  <w:r>
                    <w:t>4000</w:t>
                  </w:r>
                </w:p>
              </w:tc>
              <w:tc>
                <w:tcPr>
                  <w:tcW w:w="995" w:type="dxa"/>
                  <w:vAlign w:val="center"/>
                </w:tcPr>
                <w:p>
                  <w:pPr>
                    <w:autoSpaceDE w:val="0"/>
                    <w:autoSpaceDN w:val="0"/>
                    <w:jc w:val="center"/>
                    <w:rPr>
                      <w:szCs w:val="21"/>
                    </w:rPr>
                  </w:pPr>
                  <w:r>
                    <w:rPr>
                      <w:rFonts w:hint="eastAsia"/>
                      <w:szCs w:val="21"/>
                    </w:rPr>
                    <w:t>0.625</w:t>
                  </w:r>
                </w:p>
              </w:tc>
              <w:tc>
                <w:tcPr>
                  <w:tcW w:w="1590" w:type="dxa"/>
                  <w:vAlign w:val="center"/>
                </w:tcPr>
                <w:p>
                  <w:pPr>
                    <w:autoSpaceDE w:val="0"/>
                    <w:autoSpaceDN w:val="0"/>
                    <w:jc w:val="center"/>
                    <w:rPr>
                      <w:sz w:val="24"/>
                    </w:rPr>
                  </w:pPr>
                  <w: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Merge w:val="restart"/>
                  <w:vAlign w:val="center"/>
                </w:tcPr>
                <w:p>
                  <w:pPr>
                    <w:autoSpaceDE w:val="0"/>
                    <w:autoSpaceDN w:val="0"/>
                    <w:jc w:val="center"/>
                    <w:rPr>
                      <w:sz w:val="24"/>
                    </w:rPr>
                  </w:pPr>
                  <w:r>
                    <w:t>O</w:t>
                  </w:r>
                  <w:r>
                    <w:rPr>
                      <w:vertAlign w:val="subscript"/>
                    </w:rPr>
                    <w:t>3</w:t>
                  </w:r>
                </w:p>
              </w:tc>
              <w:tc>
                <w:tcPr>
                  <w:tcW w:w="1914" w:type="dxa"/>
                  <w:vAlign w:val="center"/>
                </w:tcPr>
                <w:p>
                  <w:pPr>
                    <w:autoSpaceDE w:val="0"/>
                    <w:autoSpaceDN w:val="0"/>
                    <w:jc w:val="center"/>
                    <w:rPr>
                      <w:sz w:val="24"/>
                    </w:rPr>
                  </w:pPr>
                  <w:r>
                    <w:t>年平均质量浓度</w:t>
                  </w:r>
                </w:p>
              </w:tc>
              <w:tc>
                <w:tcPr>
                  <w:tcW w:w="1516" w:type="dxa"/>
                  <w:vAlign w:val="center"/>
                </w:tcPr>
                <w:p>
                  <w:pPr>
                    <w:autoSpaceDE w:val="0"/>
                    <w:autoSpaceDN w:val="0"/>
                    <w:jc w:val="center"/>
                    <w:rPr>
                      <w:sz w:val="24"/>
                    </w:rPr>
                  </w:pPr>
                </w:p>
              </w:tc>
              <w:tc>
                <w:tcPr>
                  <w:tcW w:w="4025" w:type="dxa"/>
                  <w:gridSpan w:val="3"/>
                  <w:vAlign w:val="center"/>
                </w:tcPr>
                <w:p>
                  <w:pPr>
                    <w:autoSpaceDE w:val="0"/>
                    <w:autoSpaceDN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77" w:type="dxa"/>
                  <w:vMerge w:val="continue"/>
                  <w:vAlign w:val="center"/>
                </w:tcPr>
                <w:p>
                  <w:pPr>
                    <w:jc w:val="center"/>
                    <w:rPr>
                      <w:sz w:val="24"/>
                    </w:rPr>
                  </w:pPr>
                </w:p>
              </w:tc>
              <w:tc>
                <w:tcPr>
                  <w:tcW w:w="1914" w:type="dxa"/>
                  <w:vAlign w:val="center"/>
                </w:tcPr>
                <w:p>
                  <w:pPr>
                    <w:autoSpaceDE w:val="0"/>
                    <w:autoSpaceDN w:val="0"/>
                    <w:jc w:val="center"/>
                    <w:rPr>
                      <w:sz w:val="24"/>
                    </w:rPr>
                  </w:pPr>
                  <w:r>
                    <w:t>8h平均质量浓度</w:t>
                  </w:r>
                </w:p>
              </w:tc>
              <w:tc>
                <w:tcPr>
                  <w:tcW w:w="1516" w:type="dxa"/>
                  <w:vAlign w:val="center"/>
                </w:tcPr>
                <w:p>
                  <w:pPr>
                    <w:autoSpaceDE w:val="0"/>
                    <w:autoSpaceDN w:val="0"/>
                    <w:jc w:val="center"/>
                    <w:rPr>
                      <w:sz w:val="24"/>
                    </w:rPr>
                  </w:pPr>
                  <w:r>
                    <w:rPr>
                      <w:rFonts w:hint="eastAsia"/>
                    </w:rPr>
                    <w:t>131</w:t>
                  </w:r>
                </w:p>
              </w:tc>
              <w:tc>
                <w:tcPr>
                  <w:tcW w:w="1440" w:type="dxa"/>
                  <w:vAlign w:val="center"/>
                </w:tcPr>
                <w:p>
                  <w:pPr>
                    <w:autoSpaceDE w:val="0"/>
                    <w:autoSpaceDN w:val="0"/>
                    <w:jc w:val="center"/>
                    <w:rPr>
                      <w:sz w:val="24"/>
                    </w:rPr>
                  </w:pPr>
                  <w:r>
                    <w:t>160</w:t>
                  </w:r>
                </w:p>
              </w:tc>
              <w:tc>
                <w:tcPr>
                  <w:tcW w:w="995" w:type="dxa"/>
                  <w:vAlign w:val="center"/>
                </w:tcPr>
                <w:p>
                  <w:pPr>
                    <w:autoSpaceDE w:val="0"/>
                    <w:autoSpaceDN w:val="0"/>
                    <w:jc w:val="center"/>
                    <w:rPr>
                      <w:szCs w:val="21"/>
                    </w:rPr>
                  </w:pPr>
                  <w:r>
                    <w:rPr>
                      <w:rFonts w:hint="eastAsia"/>
                      <w:szCs w:val="21"/>
                    </w:rPr>
                    <w:t>0.819</w:t>
                  </w:r>
                </w:p>
              </w:tc>
              <w:tc>
                <w:tcPr>
                  <w:tcW w:w="1590" w:type="dxa"/>
                  <w:vAlign w:val="center"/>
                </w:tcPr>
                <w:p>
                  <w:pPr>
                    <w:autoSpaceDE w:val="0"/>
                    <w:autoSpaceDN w:val="0"/>
                    <w:jc w:val="center"/>
                    <w:rPr>
                      <w:sz w:val="24"/>
                    </w:rPr>
                  </w:pPr>
                  <w:r>
                    <w:t>达标</w:t>
                  </w:r>
                </w:p>
              </w:tc>
            </w:tr>
          </w:tbl>
          <w:p>
            <w:pPr>
              <w:pStyle w:val="63"/>
            </w:pPr>
            <w:r>
              <w:t>项目所在区域PM</w:t>
            </w:r>
            <w:r>
              <w:rPr>
                <w:rFonts w:hint="eastAsia"/>
                <w:vertAlign w:val="subscript"/>
              </w:rPr>
              <w:t>2.5</w:t>
            </w:r>
            <w:r>
              <w:rPr>
                <w:rFonts w:hint="eastAsia"/>
              </w:rPr>
              <w:t>、</w:t>
            </w:r>
            <w:r>
              <w:t>PM</w:t>
            </w:r>
            <w:r>
              <w:rPr>
                <w:vertAlign w:val="subscript"/>
              </w:rPr>
              <w:t>10</w:t>
            </w:r>
            <w:r>
              <w:t>年平均浓度</w:t>
            </w:r>
            <w:r>
              <w:rPr>
                <w:rFonts w:hint="eastAsia"/>
              </w:rPr>
              <w:t>均</w:t>
            </w:r>
            <w:r>
              <w:t>超过《环境空气质量标准》（GB3095-2012）的二级标准要求；O</w:t>
            </w:r>
            <w:r>
              <w:rPr>
                <w:vertAlign w:val="subscript"/>
              </w:rPr>
              <w:t>3</w:t>
            </w:r>
            <w:r>
              <w:t>最大8小时平均浓度及CO、SO</w:t>
            </w:r>
            <w:r>
              <w:rPr>
                <w:vertAlign w:val="subscript"/>
              </w:rPr>
              <w:t>2</w:t>
            </w:r>
            <w:r>
              <w:rPr>
                <w:rFonts w:hint="eastAsia"/>
              </w:rPr>
              <w:t>、NO</w:t>
            </w:r>
            <w:r>
              <w:rPr>
                <w:rFonts w:hint="eastAsia"/>
                <w:vertAlign w:val="subscript"/>
              </w:rPr>
              <w:t>2</w:t>
            </w:r>
            <w:r>
              <w:t>的年均浓度均满足《环境空气质量标准》（GB3095-2012）的二级标准要求，本项目所在区域为不达标区域。</w:t>
            </w:r>
            <w:r>
              <w:rPr>
                <w:rFonts w:hint="eastAsia"/>
              </w:rPr>
              <w:t>超标主要是与当地气候条件和地理位置有关，评价区大气由于受到当地干旱气候的影响，空气中PM</w:t>
            </w:r>
            <w:r>
              <w:rPr>
                <w:rFonts w:hint="eastAsia"/>
                <w:vertAlign w:val="subscript"/>
              </w:rPr>
              <w:t>10</w:t>
            </w:r>
            <w:r>
              <w:rPr>
                <w:rFonts w:hint="eastAsia"/>
              </w:rPr>
              <w:t>的本底值偏高，尤其在沙尘暴和浮尘天气，会出现严重超标。</w:t>
            </w:r>
          </w:p>
          <w:p>
            <w:pPr>
              <w:pStyle w:val="63"/>
              <w:ind w:firstLine="482"/>
              <w:rPr>
                <w:b/>
                <w:bCs/>
              </w:rPr>
            </w:pPr>
            <w:r>
              <w:rPr>
                <w:rFonts w:hint="eastAsia"/>
                <w:b/>
                <w:bCs/>
              </w:rPr>
              <w:t>2</w:t>
            </w:r>
            <w:r>
              <w:rPr>
                <w:b/>
                <w:bCs/>
              </w:rPr>
              <w:t>.2</w:t>
            </w:r>
            <w:r>
              <w:rPr>
                <w:rFonts w:hint="eastAsia"/>
                <w:b/>
                <w:bCs/>
              </w:rPr>
              <w:t>其他污染物大气环境质量现状评价</w:t>
            </w:r>
          </w:p>
          <w:p>
            <w:pPr>
              <w:pStyle w:val="63"/>
            </w:pPr>
            <w:r>
              <w:rPr>
                <w:rFonts w:hint="eastAsia"/>
              </w:rPr>
              <w:t>（1）数据来源</w:t>
            </w:r>
          </w:p>
          <w:p>
            <w:pPr>
              <w:pStyle w:val="63"/>
            </w:pPr>
            <w:r>
              <w:rPr>
                <w:rStyle w:val="35"/>
                <w:rFonts w:hint="eastAsia" w:cs="Times New Roman"/>
                <w:snapToGrid/>
                <w:kern w:val="0"/>
                <w:sz w:val="24"/>
              </w:rPr>
              <w:t>根据</w:t>
            </w:r>
            <w:r>
              <w:rPr>
                <w:rFonts w:hint="eastAsia"/>
              </w:rPr>
              <w:t>《关于印发&lt;建设项目环境影响报告表&gt;内容、格式及编制技术指南的通知》</w:t>
            </w:r>
            <w:r>
              <w:t>（环办环评〔2020〕33号）的要求</w:t>
            </w:r>
            <w:r>
              <w:rPr>
                <w:rFonts w:hint="eastAsia"/>
              </w:rPr>
              <w:t>，本次评价委托新疆环疆绿源环保科技有限公司于2021年10月14日～2021年10月17日对项目区当季主导风向下风向进行T</w:t>
            </w:r>
            <w:r>
              <w:t>SP</w:t>
            </w:r>
            <w:r>
              <w:rPr>
                <w:rFonts w:hint="eastAsia"/>
              </w:rPr>
              <w:t>补充监测。</w:t>
            </w:r>
            <w:bookmarkStart w:id="25" w:name="_Hlk87530487"/>
            <w:r>
              <w:rPr>
                <w:rFonts w:hint="eastAsia"/>
              </w:rPr>
              <w:t>监测点位位于项目区东侧4</w:t>
            </w:r>
            <w:r>
              <w:t>.9</w:t>
            </w:r>
            <w:r>
              <w:rPr>
                <w:rFonts w:hint="eastAsia"/>
              </w:rPr>
              <w:t>km处，</w:t>
            </w:r>
            <w:bookmarkEnd w:id="25"/>
            <w:r>
              <w:rPr>
                <w:rFonts w:hint="eastAsia"/>
              </w:rPr>
              <w:t>监测布点详见报告附图9。</w:t>
            </w:r>
          </w:p>
          <w:p>
            <w:pPr>
              <w:pStyle w:val="63"/>
            </w:pPr>
            <w:r>
              <w:rPr>
                <w:rFonts w:hint="eastAsia"/>
              </w:rPr>
              <w:t>（2）评价标准</w:t>
            </w:r>
          </w:p>
          <w:p>
            <w:pPr>
              <w:pStyle w:val="63"/>
            </w:pPr>
            <w:r>
              <w:rPr>
                <w:rFonts w:hint="eastAsia"/>
              </w:rPr>
              <w:t>T</w:t>
            </w:r>
            <w:r>
              <w:t>SP</w:t>
            </w:r>
            <w:r>
              <w:rPr>
                <w:rFonts w:hint="eastAsia"/>
              </w:rPr>
              <w:t>执行</w:t>
            </w:r>
            <w:r>
              <w:t>《环境空气质量标准》（GB3095-2012）的二级标准要求</w:t>
            </w:r>
            <w:r>
              <w:rPr>
                <w:rFonts w:hint="eastAsia"/>
              </w:rPr>
              <w:t>。</w:t>
            </w:r>
          </w:p>
          <w:p>
            <w:pPr>
              <w:pStyle w:val="63"/>
            </w:pPr>
            <w:r>
              <w:rPr>
                <w:rFonts w:hint="eastAsia"/>
              </w:rPr>
              <w:t>（3）评价方法</w:t>
            </w:r>
          </w:p>
          <w:p>
            <w:pPr>
              <w:pStyle w:val="63"/>
            </w:pPr>
            <w:r>
              <w:rPr>
                <w:rFonts w:hint="eastAsia"/>
              </w:rPr>
              <w:t>取各污染物不同评价时段监测浓度的最大值，作为评价范围内环境空气保护目标及网格点环境质量现状浓度，计算最大浓度占标率。</w:t>
            </w:r>
          </w:p>
          <w:p>
            <w:pPr>
              <w:pStyle w:val="63"/>
              <w:spacing w:line="240" w:lineRule="auto"/>
            </w:pPr>
            <w:r>
              <w:rPr>
                <w:rFonts w:hint="eastAsia"/>
              </w:rPr>
              <w:t>最大浓度占标率公式：</w:t>
            </w:r>
            <m:oMath>
              <m:sSub>
                <m:sSubPr>
                  <m:ctrlPr>
                    <w:rPr>
                      <w:rFonts w:ascii="Cambria Math" w:hAnsi="Cambria Math"/>
                      <w:i/>
                    </w:rPr>
                  </m:ctrlPr>
                </m:sSubPr>
                <m:e>
                  <m:r>
                    <w:rPr>
                      <w:rFonts w:hint="eastAsia" w:ascii="Cambria Math"/>
                    </w:rPr>
                    <m:t>P</m:t>
                  </m:r>
                  <m:ctrlPr>
                    <w:rPr>
                      <w:rFonts w:ascii="Cambria Math" w:hAnsi="Cambria Math"/>
                      <w:i/>
                    </w:rPr>
                  </m:ctrlPr>
                </m:e>
                <m:sub>
                  <m:r>
                    <w:rPr>
                      <w:rFonts w:ascii="Cambria Math"/>
                    </w:rPr>
                    <m:t>i</m:t>
                  </m:r>
                  <m:ctrlPr>
                    <w:rPr>
                      <w:rFonts w:ascii="Cambria Math" w:hAnsi="Cambria Math"/>
                      <w:i/>
                    </w:rPr>
                  </m:ctrlP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C</m:t>
                      </m:r>
                      <m:ctrlPr>
                        <w:rPr>
                          <w:rFonts w:ascii="Cambria Math" w:hAnsi="Cambria Math"/>
                          <w:i/>
                        </w:rPr>
                      </m:ctrlPr>
                    </m:e>
                    <m:sub>
                      <m:r>
                        <w:rPr>
                          <w:rFonts w:ascii="Cambria Math"/>
                        </w:rPr>
                        <m:t>i</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w:rPr>
                          <w:rFonts w:ascii="Cambria Math"/>
                        </w:rPr>
                        <m:t>C</m:t>
                      </m:r>
                      <m:ctrlPr>
                        <w:rPr>
                          <w:rFonts w:ascii="Cambria Math" w:hAnsi="Cambria Math"/>
                          <w:i/>
                        </w:rPr>
                      </m:ctrlPr>
                    </m:e>
                    <m:sub>
                      <m:r>
                        <w:rPr>
                          <w:rFonts w:ascii="Cambria Math"/>
                        </w:rPr>
                        <m:t>oi</m:t>
                      </m:r>
                      <m:ctrlPr>
                        <w:rPr>
                          <w:rFonts w:ascii="Cambria Math" w:hAnsi="Cambria Math"/>
                          <w:i/>
                        </w:rPr>
                      </m:ctrlPr>
                    </m:sub>
                  </m:sSub>
                  <m:ctrlPr>
                    <w:rPr>
                      <w:rFonts w:ascii="Cambria Math" w:hAnsi="Cambria Math"/>
                      <w:i/>
                    </w:rPr>
                  </m:ctrlPr>
                </m:den>
              </m:f>
            </m:oMath>
          </w:p>
          <w:p>
            <w:pPr>
              <w:pStyle w:val="63"/>
            </w:pPr>
            <w:r>
              <w:rPr>
                <w:rFonts w:hint="eastAsia"/>
              </w:rPr>
              <w:t>式中：Pi一第i个污染物的最大地面空气质量浓度占标率，%；</w:t>
            </w:r>
          </w:p>
          <w:p>
            <w:pPr>
              <w:pStyle w:val="63"/>
              <w:ind w:firstLine="1200" w:firstLineChars="500"/>
            </w:pPr>
            <w:r>
              <w:rPr>
                <w:rFonts w:hint="eastAsia"/>
              </w:rPr>
              <w:t>Ci一采用估算模型计算出的第i个污染物的最大1h地面空气质量浓度，ug/m</w:t>
            </w:r>
            <w:r>
              <w:rPr>
                <w:rFonts w:hint="eastAsia"/>
                <w:vertAlign w:val="superscript"/>
              </w:rPr>
              <w:t>3</w:t>
            </w:r>
            <w:r>
              <w:rPr>
                <w:rFonts w:hint="eastAsia"/>
              </w:rPr>
              <w:t>；</w:t>
            </w:r>
          </w:p>
          <w:p>
            <w:pPr>
              <w:pStyle w:val="63"/>
              <w:ind w:firstLine="1200" w:firstLineChars="500"/>
              <w:rPr>
                <w:highlight w:val="yellow"/>
              </w:rPr>
            </w:pPr>
            <w:r>
              <w:rPr>
                <w:rFonts w:hint="eastAsia"/>
              </w:rPr>
              <w:t>Coi一第i个污染物的环境空气质量浓度标准，ug/m</w:t>
            </w:r>
            <w:r>
              <w:rPr>
                <w:rFonts w:hint="eastAsia"/>
                <w:vertAlign w:val="superscript"/>
              </w:rPr>
              <w:t>3</w:t>
            </w:r>
            <w:r>
              <w:rPr>
                <w:rFonts w:hint="eastAsia"/>
              </w:rPr>
              <w:t>。一般选用GB3095中1h平均质量浓度的二级浓度限值，如项目位于一类环境空气功能区，应选择相应的一级浓度限值；对该标准中未包含的污染物，使用5.2确定的各评价因子1h平均质量浓度限值。对仅有8h平均质量浓度限值、日平均质量浓度限值或年平均质量浓度限值的，可分别按2倍、3倍、6倍折算为1h平均质量浓度限值。</w:t>
            </w:r>
          </w:p>
          <w:p>
            <w:pPr>
              <w:pStyle w:val="63"/>
            </w:pPr>
            <w:r>
              <w:rPr>
                <w:rFonts w:hint="eastAsia"/>
              </w:rPr>
              <w:t>（4）补充监测点位信息</w:t>
            </w:r>
          </w:p>
          <w:p>
            <w:pPr>
              <w:pStyle w:val="72"/>
              <w:spacing w:before="120"/>
            </w:pPr>
            <w:r>
              <w:rPr>
                <w:rFonts w:hint="eastAsia"/>
              </w:rPr>
              <w:t>表</w:t>
            </w:r>
            <w:r>
              <w:t>3-3</w:t>
            </w:r>
            <w:r>
              <w:rPr>
                <w:rFonts w:hint="eastAsia"/>
              </w:rPr>
              <w:t xml:space="preserve">    </w:t>
            </w:r>
            <w:r>
              <w:t>其它污染物补充监测点位基本信息</w:t>
            </w:r>
          </w:p>
          <w:tbl>
            <w:tblPr>
              <w:tblStyle w:val="31"/>
              <w:tblW w:w="8432"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011"/>
              <w:gridCol w:w="885"/>
              <w:gridCol w:w="980"/>
              <w:gridCol w:w="745"/>
              <w:gridCol w:w="1396"/>
              <w:gridCol w:w="1177"/>
              <w:gridCol w:w="1189"/>
              <w:gridCol w:w="4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gridAfter w:val="1"/>
                <w:wAfter w:w="49" w:type="dxa"/>
                <w:tblHeader/>
              </w:trPr>
              <w:tc>
                <w:tcPr>
                  <w:tcW w:w="2011" w:type="dxa"/>
                  <w:vMerge w:val="restart"/>
                  <w:tcBorders>
                    <w:tl2br w:val="nil"/>
                    <w:tr2bl w:val="nil"/>
                  </w:tcBorders>
                  <w:vAlign w:val="center"/>
                </w:tcPr>
                <w:p>
                  <w:pPr>
                    <w:pStyle w:val="73"/>
                  </w:pPr>
                  <w:r>
                    <w:rPr>
                      <w:rFonts w:hint="eastAsia"/>
                    </w:rPr>
                    <w:t>监测点名称</w:t>
                  </w:r>
                </w:p>
              </w:tc>
              <w:tc>
                <w:tcPr>
                  <w:tcW w:w="1865" w:type="dxa"/>
                  <w:gridSpan w:val="2"/>
                  <w:tcBorders>
                    <w:tl2br w:val="nil"/>
                    <w:tr2bl w:val="nil"/>
                  </w:tcBorders>
                  <w:vAlign w:val="center"/>
                </w:tcPr>
                <w:p>
                  <w:pPr>
                    <w:pStyle w:val="73"/>
                  </w:pPr>
                  <w:r>
                    <w:rPr>
                      <w:rFonts w:hint="eastAsia"/>
                    </w:rPr>
                    <w:t>监测点坐标/m</w:t>
                  </w:r>
                  <w:r>
                    <w:rPr>
                      <w:rFonts w:hint="eastAsia"/>
                      <w:vertAlign w:val="superscript"/>
                    </w:rPr>
                    <w:t>注</w:t>
                  </w:r>
                </w:p>
              </w:tc>
              <w:tc>
                <w:tcPr>
                  <w:tcW w:w="745" w:type="dxa"/>
                  <w:vMerge w:val="restart"/>
                  <w:tcBorders>
                    <w:tl2br w:val="nil"/>
                    <w:tr2bl w:val="nil"/>
                  </w:tcBorders>
                  <w:vAlign w:val="center"/>
                </w:tcPr>
                <w:p>
                  <w:pPr>
                    <w:pStyle w:val="73"/>
                  </w:pPr>
                  <w:r>
                    <w:rPr>
                      <w:rFonts w:hint="eastAsia"/>
                    </w:rPr>
                    <w:t>监测因子</w:t>
                  </w:r>
                </w:p>
              </w:tc>
              <w:tc>
                <w:tcPr>
                  <w:tcW w:w="1396" w:type="dxa"/>
                  <w:vMerge w:val="restart"/>
                  <w:tcBorders>
                    <w:tl2br w:val="nil"/>
                    <w:tr2bl w:val="nil"/>
                  </w:tcBorders>
                  <w:vAlign w:val="center"/>
                </w:tcPr>
                <w:p>
                  <w:pPr>
                    <w:pStyle w:val="73"/>
                  </w:pPr>
                  <w:r>
                    <w:rPr>
                      <w:rFonts w:hint="eastAsia"/>
                    </w:rPr>
                    <w:t>监测时段</w:t>
                  </w:r>
                </w:p>
              </w:tc>
              <w:tc>
                <w:tcPr>
                  <w:tcW w:w="1177" w:type="dxa"/>
                  <w:vMerge w:val="restart"/>
                  <w:tcBorders>
                    <w:tl2br w:val="nil"/>
                    <w:tr2bl w:val="nil"/>
                  </w:tcBorders>
                  <w:vAlign w:val="center"/>
                </w:tcPr>
                <w:p>
                  <w:pPr>
                    <w:pStyle w:val="73"/>
                  </w:pPr>
                  <w:r>
                    <w:t>相对厂址方位</w:t>
                  </w:r>
                </w:p>
              </w:tc>
              <w:tc>
                <w:tcPr>
                  <w:tcW w:w="1189" w:type="dxa"/>
                  <w:vMerge w:val="restart"/>
                  <w:tcBorders>
                    <w:tl2br w:val="nil"/>
                    <w:tr2bl w:val="nil"/>
                  </w:tcBorders>
                  <w:vAlign w:val="center"/>
                </w:tcPr>
                <w:p>
                  <w:pPr>
                    <w:pStyle w:val="73"/>
                  </w:pPr>
                  <w:r>
                    <w:rPr>
                      <w:rFonts w:hint="eastAsia"/>
                    </w:rPr>
                    <w:t>相对厂界距离/m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gridAfter w:val="1"/>
                <w:wAfter w:w="49" w:type="dxa"/>
                <w:tblHeader/>
              </w:trPr>
              <w:tc>
                <w:tcPr>
                  <w:tcW w:w="2011" w:type="dxa"/>
                  <w:vMerge w:val="continue"/>
                  <w:tcBorders>
                    <w:tl2br w:val="nil"/>
                    <w:tr2bl w:val="nil"/>
                  </w:tcBorders>
                  <w:vAlign w:val="center"/>
                </w:tcPr>
                <w:p>
                  <w:pPr>
                    <w:pStyle w:val="73"/>
                  </w:pPr>
                </w:p>
              </w:tc>
              <w:tc>
                <w:tcPr>
                  <w:tcW w:w="885" w:type="dxa"/>
                  <w:tcBorders>
                    <w:tl2br w:val="nil"/>
                    <w:tr2bl w:val="nil"/>
                  </w:tcBorders>
                  <w:vAlign w:val="center"/>
                </w:tcPr>
                <w:p>
                  <w:pPr>
                    <w:pStyle w:val="73"/>
                  </w:pPr>
                  <w:r>
                    <w:t>X</w:t>
                  </w:r>
                </w:p>
              </w:tc>
              <w:tc>
                <w:tcPr>
                  <w:tcW w:w="980" w:type="dxa"/>
                  <w:tcBorders>
                    <w:tl2br w:val="nil"/>
                    <w:tr2bl w:val="nil"/>
                  </w:tcBorders>
                  <w:vAlign w:val="center"/>
                </w:tcPr>
                <w:p>
                  <w:pPr>
                    <w:pStyle w:val="73"/>
                  </w:pPr>
                  <w:r>
                    <w:t>Y</w:t>
                  </w:r>
                </w:p>
              </w:tc>
              <w:tc>
                <w:tcPr>
                  <w:tcW w:w="745" w:type="dxa"/>
                  <w:vMerge w:val="continue"/>
                  <w:tcBorders>
                    <w:tl2br w:val="nil"/>
                    <w:tr2bl w:val="nil"/>
                  </w:tcBorders>
                  <w:vAlign w:val="center"/>
                </w:tcPr>
                <w:p>
                  <w:pPr>
                    <w:pStyle w:val="73"/>
                  </w:pPr>
                </w:p>
              </w:tc>
              <w:tc>
                <w:tcPr>
                  <w:tcW w:w="1396" w:type="dxa"/>
                  <w:vMerge w:val="continue"/>
                  <w:tcBorders>
                    <w:tl2br w:val="nil"/>
                    <w:tr2bl w:val="nil"/>
                  </w:tcBorders>
                  <w:vAlign w:val="center"/>
                </w:tcPr>
                <w:p>
                  <w:pPr>
                    <w:pStyle w:val="73"/>
                  </w:pPr>
                </w:p>
              </w:tc>
              <w:tc>
                <w:tcPr>
                  <w:tcW w:w="1177" w:type="dxa"/>
                  <w:vMerge w:val="continue"/>
                  <w:tcBorders>
                    <w:tl2br w:val="nil"/>
                    <w:tr2bl w:val="nil"/>
                  </w:tcBorders>
                  <w:vAlign w:val="center"/>
                </w:tcPr>
                <w:p>
                  <w:pPr>
                    <w:pStyle w:val="73"/>
                  </w:pPr>
                </w:p>
              </w:tc>
              <w:tc>
                <w:tcPr>
                  <w:tcW w:w="1189" w:type="dxa"/>
                  <w:vMerge w:val="continue"/>
                  <w:tcBorders>
                    <w:tl2br w:val="nil"/>
                    <w:tr2bl w:val="nil"/>
                  </w:tcBorders>
                  <w:vAlign w:val="center"/>
                </w:tcPr>
                <w:p>
                  <w:pPr>
                    <w:pStyle w:val="73"/>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gridAfter w:val="1"/>
                <w:wAfter w:w="49" w:type="dxa"/>
              </w:trPr>
              <w:tc>
                <w:tcPr>
                  <w:tcW w:w="2011" w:type="dxa"/>
                  <w:tcBorders>
                    <w:tl2br w:val="nil"/>
                    <w:tr2bl w:val="nil"/>
                  </w:tcBorders>
                  <w:vAlign w:val="center"/>
                </w:tcPr>
                <w:p>
                  <w:pPr>
                    <w:pStyle w:val="73"/>
                  </w:pPr>
                  <w:r>
                    <w:rPr>
                      <w:rFonts w:hint="eastAsia"/>
                    </w:rPr>
                    <w:t>W1当季主导风向下风向（当季主导风向：西南风）</w:t>
                  </w:r>
                </w:p>
              </w:tc>
              <w:tc>
                <w:tcPr>
                  <w:tcW w:w="885" w:type="dxa"/>
                  <w:tcBorders>
                    <w:tl2br w:val="nil"/>
                    <w:tr2bl w:val="nil"/>
                  </w:tcBorders>
                  <w:vAlign w:val="center"/>
                </w:tcPr>
                <w:p>
                  <w:pPr>
                    <w:pStyle w:val="73"/>
                    <w:rPr>
                      <w:rFonts w:eastAsiaTheme="minorEastAsia"/>
                    </w:rPr>
                  </w:pPr>
                  <w:r>
                    <w:t>4500</w:t>
                  </w:r>
                </w:p>
              </w:tc>
              <w:tc>
                <w:tcPr>
                  <w:tcW w:w="980" w:type="dxa"/>
                  <w:tcBorders>
                    <w:tl2br w:val="nil"/>
                    <w:tr2bl w:val="nil"/>
                  </w:tcBorders>
                  <w:vAlign w:val="center"/>
                </w:tcPr>
                <w:p>
                  <w:pPr>
                    <w:pStyle w:val="73"/>
                    <w:rPr>
                      <w:rFonts w:eastAsiaTheme="minorEastAsia"/>
                    </w:rPr>
                  </w:pPr>
                  <w:r>
                    <w:t>17</w:t>
                  </w:r>
                  <w:r>
                    <w:rPr>
                      <w:rFonts w:hint="eastAsia"/>
                    </w:rPr>
                    <w:t>00</w:t>
                  </w:r>
                </w:p>
              </w:tc>
              <w:tc>
                <w:tcPr>
                  <w:tcW w:w="745" w:type="dxa"/>
                  <w:tcBorders>
                    <w:tl2br w:val="nil"/>
                    <w:tr2bl w:val="nil"/>
                  </w:tcBorders>
                  <w:vAlign w:val="center"/>
                </w:tcPr>
                <w:p>
                  <w:pPr>
                    <w:pStyle w:val="73"/>
                  </w:pPr>
                  <w:r>
                    <w:rPr>
                      <w:rFonts w:hint="eastAsia"/>
                    </w:rPr>
                    <w:t>T</w:t>
                  </w:r>
                  <w:r>
                    <w:t>SP</w:t>
                  </w:r>
                </w:p>
              </w:tc>
              <w:tc>
                <w:tcPr>
                  <w:tcW w:w="1396" w:type="dxa"/>
                  <w:tcBorders>
                    <w:tl2br w:val="nil"/>
                    <w:tr2bl w:val="nil"/>
                  </w:tcBorders>
                  <w:vAlign w:val="center"/>
                </w:tcPr>
                <w:p>
                  <w:pPr>
                    <w:pStyle w:val="73"/>
                  </w:pPr>
                  <w:r>
                    <w:rPr>
                      <w:rFonts w:hint="eastAsia"/>
                    </w:rPr>
                    <w:t>202</w:t>
                  </w:r>
                  <w:r>
                    <w:t>1</w:t>
                  </w:r>
                  <w:r>
                    <w:rPr>
                      <w:rFonts w:hint="eastAsia"/>
                    </w:rPr>
                    <w:t>.</w:t>
                  </w:r>
                  <w:r>
                    <w:t>10</w:t>
                  </w:r>
                  <w:r>
                    <w:rPr>
                      <w:rFonts w:hint="eastAsia"/>
                    </w:rPr>
                    <w:t>.</w:t>
                  </w:r>
                  <w:r>
                    <w:t>14</w:t>
                  </w:r>
                  <w:r>
                    <w:rPr>
                      <w:rFonts w:hint="eastAsia"/>
                    </w:rPr>
                    <w:t>～202</w:t>
                  </w:r>
                  <w:r>
                    <w:t>1</w:t>
                  </w:r>
                  <w:r>
                    <w:rPr>
                      <w:rFonts w:hint="eastAsia"/>
                    </w:rPr>
                    <w:t>.</w:t>
                  </w:r>
                  <w:r>
                    <w:t>10</w:t>
                  </w:r>
                  <w:r>
                    <w:rPr>
                      <w:rFonts w:hint="eastAsia"/>
                    </w:rPr>
                    <w:t>.1</w:t>
                  </w:r>
                  <w:r>
                    <w:t xml:space="preserve">7 </w:t>
                  </w:r>
                </w:p>
              </w:tc>
              <w:tc>
                <w:tcPr>
                  <w:tcW w:w="1177" w:type="dxa"/>
                  <w:tcBorders>
                    <w:tl2br w:val="nil"/>
                    <w:tr2bl w:val="nil"/>
                  </w:tcBorders>
                  <w:vAlign w:val="center"/>
                </w:tcPr>
                <w:p>
                  <w:pPr>
                    <w:pStyle w:val="73"/>
                  </w:pPr>
                  <w:r>
                    <w:rPr>
                      <w:rFonts w:hint="eastAsia"/>
                    </w:rPr>
                    <w:t>东北</w:t>
                  </w:r>
                </w:p>
              </w:tc>
              <w:tc>
                <w:tcPr>
                  <w:tcW w:w="1189" w:type="dxa"/>
                  <w:tcBorders>
                    <w:tl2br w:val="nil"/>
                    <w:tr2bl w:val="nil"/>
                  </w:tcBorders>
                  <w:vAlign w:val="center"/>
                </w:tcPr>
                <w:p>
                  <w:pPr>
                    <w:pStyle w:val="73"/>
                  </w:pPr>
                  <w:r>
                    <w:t>49</w:t>
                  </w:r>
                  <w:r>
                    <w:rPr>
                      <w:rFonts w:hint="eastAsia"/>
                    </w:rPr>
                    <w:t>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432" w:type="dxa"/>
                  <w:gridSpan w:val="8"/>
                  <w:tcBorders>
                    <w:tl2br w:val="nil"/>
                    <w:tr2bl w:val="nil"/>
                  </w:tcBorders>
                  <w:vAlign w:val="center"/>
                </w:tcPr>
                <w:p>
                  <w:r>
                    <w:t>注：监测点坐标为相对项目</w:t>
                  </w:r>
                  <w:r>
                    <w:rPr>
                      <w:rFonts w:hint="eastAsia"/>
                    </w:rPr>
                    <w:t>厂界距离监测点</w:t>
                  </w:r>
                  <w:r>
                    <w:t>的坐标</w:t>
                  </w:r>
                </w:p>
              </w:tc>
            </w:tr>
          </w:tbl>
          <w:p>
            <w:pPr>
              <w:pStyle w:val="63"/>
            </w:pPr>
            <w:r>
              <w:rPr>
                <w:rFonts w:hint="eastAsia"/>
              </w:rPr>
              <w:t>（5）监测结果</w:t>
            </w:r>
          </w:p>
          <w:p>
            <w:pPr>
              <w:pStyle w:val="63"/>
            </w:pPr>
            <w:r>
              <w:rPr>
                <w:rFonts w:hint="eastAsia"/>
              </w:rPr>
              <w:t>补充监测结果达标情况见下表。</w:t>
            </w:r>
          </w:p>
          <w:p>
            <w:pPr>
              <w:pStyle w:val="72"/>
              <w:spacing w:before="120"/>
            </w:pPr>
            <w:r>
              <w:rPr>
                <w:rFonts w:hint="eastAsia"/>
              </w:rPr>
              <w:t>表</w:t>
            </w:r>
            <w:r>
              <w:t>3-4</w:t>
            </w:r>
            <w:r>
              <w:rPr>
                <w:rFonts w:hint="eastAsia"/>
              </w:rPr>
              <w:t xml:space="preserve">    其他污染物环境质量现状（监测结果）表</w:t>
            </w:r>
          </w:p>
          <w:tbl>
            <w:tblPr>
              <w:tblStyle w:val="32"/>
              <w:tblW w:w="8432"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1982"/>
              <w:gridCol w:w="988"/>
              <w:gridCol w:w="593"/>
              <w:gridCol w:w="1012"/>
              <w:gridCol w:w="1296"/>
              <w:gridCol w:w="999"/>
              <w:gridCol w:w="813"/>
              <w:gridCol w:w="74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261" w:hRule="atLeast"/>
                <w:tblHeader/>
              </w:trPr>
              <w:tc>
                <w:tcPr>
                  <w:tcW w:w="1982" w:type="dxa"/>
                  <w:vMerge w:val="restart"/>
                  <w:tcBorders>
                    <w:tl2br w:val="nil"/>
                    <w:tr2bl w:val="nil"/>
                  </w:tcBorders>
                  <w:vAlign w:val="center"/>
                </w:tcPr>
                <w:p>
                  <w:pPr>
                    <w:pStyle w:val="73"/>
                  </w:pPr>
                  <w:r>
                    <w:rPr>
                      <w:rFonts w:hint="eastAsia"/>
                    </w:rPr>
                    <w:t>监测点位</w:t>
                  </w:r>
                </w:p>
              </w:tc>
              <w:tc>
                <w:tcPr>
                  <w:tcW w:w="988" w:type="dxa"/>
                  <w:vMerge w:val="restart"/>
                  <w:tcBorders>
                    <w:tl2br w:val="nil"/>
                    <w:tr2bl w:val="nil"/>
                  </w:tcBorders>
                  <w:vAlign w:val="center"/>
                </w:tcPr>
                <w:p>
                  <w:pPr>
                    <w:pStyle w:val="73"/>
                  </w:pPr>
                  <w:r>
                    <w:rPr>
                      <w:rFonts w:hint="eastAsia"/>
                    </w:rPr>
                    <w:t>污染物</w:t>
                  </w:r>
                </w:p>
              </w:tc>
              <w:tc>
                <w:tcPr>
                  <w:tcW w:w="593" w:type="dxa"/>
                  <w:vMerge w:val="restart"/>
                  <w:tcBorders>
                    <w:tl2br w:val="nil"/>
                    <w:tr2bl w:val="nil"/>
                  </w:tcBorders>
                  <w:vAlign w:val="center"/>
                </w:tcPr>
                <w:p>
                  <w:pPr>
                    <w:pStyle w:val="73"/>
                  </w:pPr>
                  <w:r>
                    <w:rPr>
                      <w:rFonts w:hint="eastAsia"/>
                    </w:rPr>
                    <w:t>平均时间</w:t>
                  </w:r>
                </w:p>
              </w:tc>
              <w:tc>
                <w:tcPr>
                  <w:tcW w:w="1012" w:type="dxa"/>
                  <w:vMerge w:val="restart"/>
                  <w:tcBorders>
                    <w:tl2br w:val="nil"/>
                    <w:tr2bl w:val="nil"/>
                  </w:tcBorders>
                  <w:vAlign w:val="center"/>
                </w:tcPr>
                <w:p>
                  <w:pPr>
                    <w:pStyle w:val="73"/>
                  </w:pPr>
                  <w:r>
                    <w:rPr>
                      <w:rFonts w:hint="eastAsia"/>
                    </w:rPr>
                    <w:t>标准（</w:t>
                  </w:r>
                  <w:r>
                    <w:t>μ</w:t>
                  </w:r>
                  <w:r>
                    <w:rPr>
                      <w:rFonts w:hint="eastAsia"/>
                    </w:rPr>
                    <w:t>g/m</w:t>
                  </w:r>
                  <w:r>
                    <w:rPr>
                      <w:rFonts w:hint="eastAsia"/>
                      <w:vertAlign w:val="superscript"/>
                    </w:rPr>
                    <w:t>3</w:t>
                  </w:r>
                  <w:r>
                    <w:rPr>
                      <w:rFonts w:hint="eastAsia"/>
                    </w:rPr>
                    <w:t>）</w:t>
                  </w:r>
                </w:p>
              </w:tc>
              <w:tc>
                <w:tcPr>
                  <w:tcW w:w="1296" w:type="dxa"/>
                  <w:vMerge w:val="restart"/>
                  <w:tcBorders>
                    <w:tl2br w:val="nil"/>
                    <w:tr2bl w:val="nil"/>
                  </w:tcBorders>
                  <w:vAlign w:val="center"/>
                </w:tcPr>
                <w:p>
                  <w:pPr>
                    <w:pStyle w:val="73"/>
                  </w:pPr>
                  <w:r>
                    <w:rPr>
                      <w:rFonts w:hint="eastAsia"/>
                    </w:rPr>
                    <w:t>监测浓度范围（mg/m</w:t>
                  </w:r>
                  <w:r>
                    <w:rPr>
                      <w:rFonts w:hint="eastAsia"/>
                      <w:vertAlign w:val="superscript"/>
                    </w:rPr>
                    <w:t>3</w:t>
                  </w:r>
                  <w:r>
                    <w:rPr>
                      <w:rFonts w:hint="eastAsia"/>
                    </w:rPr>
                    <w:t>）</w:t>
                  </w:r>
                </w:p>
              </w:tc>
              <w:tc>
                <w:tcPr>
                  <w:tcW w:w="999" w:type="dxa"/>
                  <w:vMerge w:val="restart"/>
                  <w:tcBorders>
                    <w:tl2br w:val="nil"/>
                    <w:tr2bl w:val="nil"/>
                  </w:tcBorders>
                  <w:vAlign w:val="center"/>
                </w:tcPr>
                <w:p>
                  <w:pPr>
                    <w:pStyle w:val="73"/>
                  </w:pPr>
                  <w:r>
                    <w:rPr>
                      <w:rFonts w:hint="eastAsia"/>
                    </w:rPr>
                    <w:t>最大浓度占标率（%）</w:t>
                  </w:r>
                </w:p>
              </w:tc>
              <w:tc>
                <w:tcPr>
                  <w:tcW w:w="813" w:type="dxa"/>
                  <w:vMerge w:val="restart"/>
                  <w:tcBorders>
                    <w:tl2br w:val="nil"/>
                    <w:tr2bl w:val="nil"/>
                  </w:tcBorders>
                  <w:vAlign w:val="center"/>
                </w:tcPr>
                <w:p>
                  <w:pPr>
                    <w:pStyle w:val="73"/>
                  </w:pPr>
                  <w:r>
                    <w:rPr>
                      <w:rFonts w:hint="eastAsia"/>
                    </w:rPr>
                    <w:t>超标率（%）</w:t>
                  </w:r>
                </w:p>
              </w:tc>
              <w:tc>
                <w:tcPr>
                  <w:tcW w:w="749" w:type="dxa"/>
                  <w:vMerge w:val="restart"/>
                  <w:tcBorders>
                    <w:tl2br w:val="nil"/>
                    <w:tr2bl w:val="nil"/>
                  </w:tcBorders>
                  <w:vAlign w:val="center"/>
                </w:tcPr>
                <w:p>
                  <w:pPr>
                    <w:pStyle w:val="73"/>
                  </w:pPr>
                  <w:r>
                    <w:rPr>
                      <w:rFonts w:hint="eastAsia"/>
                    </w:rPr>
                    <w:t>达标情况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281" w:hRule="atLeast"/>
                <w:tblHeader/>
              </w:trPr>
              <w:tc>
                <w:tcPr>
                  <w:tcW w:w="1982" w:type="dxa"/>
                  <w:vMerge w:val="continue"/>
                  <w:tcBorders>
                    <w:tl2br w:val="nil"/>
                    <w:tr2bl w:val="nil"/>
                  </w:tcBorders>
                  <w:vAlign w:val="center"/>
                </w:tcPr>
                <w:p>
                  <w:pPr>
                    <w:pStyle w:val="73"/>
                  </w:pPr>
                </w:p>
              </w:tc>
              <w:tc>
                <w:tcPr>
                  <w:tcW w:w="988" w:type="dxa"/>
                  <w:vMerge w:val="continue"/>
                  <w:tcBorders>
                    <w:tl2br w:val="nil"/>
                    <w:tr2bl w:val="nil"/>
                  </w:tcBorders>
                  <w:vAlign w:val="center"/>
                </w:tcPr>
                <w:p>
                  <w:pPr>
                    <w:pStyle w:val="73"/>
                  </w:pPr>
                </w:p>
              </w:tc>
              <w:tc>
                <w:tcPr>
                  <w:tcW w:w="593" w:type="dxa"/>
                  <w:vMerge w:val="continue"/>
                  <w:tcBorders>
                    <w:tl2br w:val="nil"/>
                    <w:tr2bl w:val="nil"/>
                  </w:tcBorders>
                  <w:vAlign w:val="center"/>
                </w:tcPr>
                <w:p>
                  <w:pPr>
                    <w:pStyle w:val="73"/>
                  </w:pPr>
                </w:p>
              </w:tc>
              <w:tc>
                <w:tcPr>
                  <w:tcW w:w="1012" w:type="dxa"/>
                  <w:vMerge w:val="continue"/>
                  <w:tcBorders>
                    <w:tl2br w:val="nil"/>
                    <w:tr2bl w:val="nil"/>
                  </w:tcBorders>
                  <w:vAlign w:val="center"/>
                </w:tcPr>
                <w:p>
                  <w:pPr>
                    <w:pStyle w:val="73"/>
                  </w:pPr>
                </w:p>
              </w:tc>
              <w:tc>
                <w:tcPr>
                  <w:tcW w:w="1296" w:type="dxa"/>
                  <w:vMerge w:val="continue"/>
                  <w:tcBorders>
                    <w:tl2br w:val="nil"/>
                    <w:tr2bl w:val="nil"/>
                  </w:tcBorders>
                  <w:vAlign w:val="center"/>
                </w:tcPr>
                <w:p>
                  <w:pPr>
                    <w:pStyle w:val="73"/>
                  </w:pPr>
                </w:p>
              </w:tc>
              <w:tc>
                <w:tcPr>
                  <w:tcW w:w="999" w:type="dxa"/>
                  <w:vMerge w:val="continue"/>
                  <w:tcBorders>
                    <w:tl2br w:val="nil"/>
                    <w:tr2bl w:val="nil"/>
                  </w:tcBorders>
                  <w:vAlign w:val="center"/>
                </w:tcPr>
                <w:p>
                  <w:pPr>
                    <w:pStyle w:val="73"/>
                  </w:pPr>
                </w:p>
              </w:tc>
              <w:tc>
                <w:tcPr>
                  <w:tcW w:w="813" w:type="dxa"/>
                  <w:vMerge w:val="continue"/>
                  <w:tcBorders>
                    <w:tl2br w:val="nil"/>
                    <w:tr2bl w:val="nil"/>
                  </w:tcBorders>
                  <w:vAlign w:val="center"/>
                </w:tcPr>
                <w:p>
                  <w:pPr>
                    <w:pStyle w:val="73"/>
                  </w:pPr>
                </w:p>
              </w:tc>
              <w:tc>
                <w:tcPr>
                  <w:tcW w:w="749" w:type="dxa"/>
                  <w:vMerge w:val="continue"/>
                  <w:tcBorders>
                    <w:tl2br w:val="nil"/>
                    <w:tr2bl w:val="nil"/>
                  </w:tcBorders>
                  <w:vAlign w:val="center"/>
                </w:tcPr>
                <w:p>
                  <w:pPr>
                    <w:pStyle w:val="73"/>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c>
                <w:tcPr>
                  <w:tcW w:w="1982" w:type="dxa"/>
                  <w:tcBorders>
                    <w:tl2br w:val="nil"/>
                    <w:tr2bl w:val="nil"/>
                  </w:tcBorders>
                  <w:vAlign w:val="center"/>
                </w:tcPr>
                <w:p>
                  <w:pPr>
                    <w:pStyle w:val="73"/>
                  </w:pPr>
                  <w:r>
                    <w:rPr>
                      <w:rFonts w:hint="eastAsia"/>
                    </w:rPr>
                    <w:t>W1当季主导风向下风向（当季主导风向：西南风）</w:t>
                  </w:r>
                </w:p>
              </w:tc>
              <w:tc>
                <w:tcPr>
                  <w:tcW w:w="988" w:type="dxa"/>
                  <w:tcBorders>
                    <w:tl2br w:val="nil"/>
                    <w:tr2bl w:val="nil"/>
                  </w:tcBorders>
                  <w:vAlign w:val="center"/>
                </w:tcPr>
                <w:p>
                  <w:pPr>
                    <w:pStyle w:val="73"/>
                  </w:pPr>
                  <w:r>
                    <w:rPr>
                      <w:rFonts w:hint="eastAsia"/>
                    </w:rPr>
                    <w:t>T</w:t>
                  </w:r>
                  <w:r>
                    <w:t>SP</w:t>
                  </w:r>
                </w:p>
              </w:tc>
              <w:tc>
                <w:tcPr>
                  <w:tcW w:w="593" w:type="dxa"/>
                  <w:tcBorders>
                    <w:tl2br w:val="nil"/>
                    <w:tr2bl w:val="nil"/>
                  </w:tcBorders>
                  <w:vAlign w:val="center"/>
                </w:tcPr>
                <w:p>
                  <w:pPr>
                    <w:pStyle w:val="73"/>
                  </w:pPr>
                  <w:r>
                    <w:t>24</w:t>
                  </w:r>
                  <w:r>
                    <w:rPr>
                      <w:rFonts w:hint="eastAsia"/>
                    </w:rPr>
                    <w:t>h</w:t>
                  </w:r>
                </w:p>
              </w:tc>
              <w:tc>
                <w:tcPr>
                  <w:tcW w:w="1012" w:type="dxa"/>
                  <w:tcBorders>
                    <w:tl2br w:val="nil"/>
                    <w:tr2bl w:val="nil"/>
                  </w:tcBorders>
                  <w:vAlign w:val="center"/>
                </w:tcPr>
                <w:p>
                  <w:pPr>
                    <w:pStyle w:val="73"/>
                  </w:pPr>
                  <w:r>
                    <w:t>300</w:t>
                  </w:r>
                </w:p>
              </w:tc>
              <w:tc>
                <w:tcPr>
                  <w:tcW w:w="1296" w:type="dxa"/>
                  <w:tcBorders>
                    <w:tl2br w:val="nil"/>
                    <w:tr2bl w:val="nil"/>
                  </w:tcBorders>
                  <w:vAlign w:val="center"/>
                </w:tcPr>
                <w:p>
                  <w:pPr>
                    <w:pStyle w:val="73"/>
                  </w:pPr>
                  <w:r>
                    <w:t>0.147</w:t>
                  </w:r>
                  <w:r>
                    <w:rPr>
                      <w:rFonts w:hint="eastAsia"/>
                    </w:rPr>
                    <w:t>~</w:t>
                  </w:r>
                  <w:r>
                    <w:t>0.154</w:t>
                  </w:r>
                </w:p>
              </w:tc>
              <w:tc>
                <w:tcPr>
                  <w:tcW w:w="999" w:type="dxa"/>
                  <w:tcBorders>
                    <w:tl2br w:val="nil"/>
                    <w:tr2bl w:val="nil"/>
                  </w:tcBorders>
                  <w:vAlign w:val="center"/>
                </w:tcPr>
                <w:p>
                  <w:pPr>
                    <w:pStyle w:val="73"/>
                  </w:pPr>
                  <w:r>
                    <w:t>51.3</w:t>
                  </w:r>
                </w:p>
              </w:tc>
              <w:tc>
                <w:tcPr>
                  <w:tcW w:w="813" w:type="dxa"/>
                  <w:tcBorders>
                    <w:tl2br w:val="nil"/>
                    <w:tr2bl w:val="nil"/>
                  </w:tcBorders>
                  <w:vAlign w:val="center"/>
                </w:tcPr>
                <w:p>
                  <w:pPr>
                    <w:pStyle w:val="73"/>
                  </w:pPr>
                  <w:r>
                    <w:rPr>
                      <w:rFonts w:hint="eastAsia"/>
                    </w:rPr>
                    <w:t>0</w:t>
                  </w:r>
                </w:p>
              </w:tc>
              <w:tc>
                <w:tcPr>
                  <w:tcW w:w="749" w:type="dxa"/>
                  <w:tcBorders>
                    <w:tl2br w:val="nil"/>
                    <w:tr2bl w:val="nil"/>
                  </w:tcBorders>
                  <w:vAlign w:val="center"/>
                </w:tcPr>
                <w:p>
                  <w:pPr>
                    <w:pStyle w:val="73"/>
                  </w:pPr>
                  <w:r>
                    <w:rPr>
                      <w:rFonts w:hint="eastAsia"/>
                    </w:rPr>
                    <w:t>达标</w:t>
                  </w:r>
                </w:p>
              </w:tc>
            </w:tr>
          </w:tbl>
          <w:p>
            <w:pPr>
              <w:pStyle w:val="63"/>
            </w:pPr>
            <w:r>
              <w:rPr>
                <w:rFonts w:hint="eastAsia"/>
              </w:rPr>
              <w:t>（6）大气环境质量现状分析结论</w:t>
            </w:r>
          </w:p>
          <w:p>
            <w:pPr>
              <w:pStyle w:val="63"/>
            </w:pPr>
            <w:r>
              <w:rPr>
                <w:rFonts w:hint="eastAsia"/>
              </w:rPr>
              <w:t>监测结果表明：项目所在区域下风向特征因子T</w:t>
            </w:r>
            <w:r>
              <w:t>SP</w:t>
            </w:r>
            <w:r>
              <w:rPr>
                <w:rFonts w:hint="eastAsia"/>
              </w:rPr>
              <w:t>满足</w:t>
            </w:r>
            <w:r>
              <w:t>《环境空气质量标准》（GB3095-2012）的二级标准</w:t>
            </w:r>
            <w:r>
              <w:rPr>
                <w:rFonts w:hint="eastAsia"/>
              </w:rPr>
              <w:t>限值</w:t>
            </w:r>
            <w:r>
              <w:t>要求</w:t>
            </w:r>
            <w:r>
              <w:rPr>
                <w:rFonts w:hint="eastAsia"/>
              </w:rPr>
              <w:t>。</w:t>
            </w:r>
          </w:p>
          <w:p>
            <w:pPr>
              <w:pStyle w:val="63"/>
              <w:ind w:firstLine="482"/>
              <w:rPr>
                <w:b/>
                <w:bCs/>
              </w:rPr>
            </w:pPr>
            <w:r>
              <w:rPr>
                <w:rFonts w:hint="eastAsia"/>
                <w:b/>
                <w:bCs/>
              </w:rPr>
              <w:t>3地表水</w:t>
            </w:r>
          </w:p>
          <w:p>
            <w:pPr>
              <w:pStyle w:val="63"/>
            </w:pPr>
            <w:r>
              <w:rPr>
                <w:lang w:val="zh-CN"/>
              </w:rPr>
              <w:t>本项目</w:t>
            </w:r>
            <w:r>
              <w:rPr>
                <w:rFonts w:hint="eastAsia"/>
                <w:lang w:val="zh-CN"/>
              </w:rPr>
              <w:t>运营期</w:t>
            </w:r>
            <w:r>
              <w:rPr>
                <w:rFonts w:hint="eastAsia"/>
              </w:rPr>
              <w:t>，无工艺废水产生</w:t>
            </w:r>
            <w:r>
              <w:t>。</w:t>
            </w:r>
            <w:r>
              <w:rPr>
                <w:rFonts w:hint="eastAsia"/>
                <w:lang w:val="zh-CN"/>
              </w:rPr>
              <w:t>根据</w:t>
            </w:r>
            <w:bookmarkStart w:id="26" w:name="_Hlk87517713"/>
            <w:r>
              <w:rPr>
                <w:lang w:val="zh-CN"/>
              </w:rPr>
              <w:t>《环境影响评价技术导则</w:t>
            </w:r>
            <w:r>
              <w:rPr>
                <w:rFonts w:hint="eastAsia"/>
              </w:rPr>
              <w:t xml:space="preserve">  </w:t>
            </w:r>
            <w:r>
              <w:rPr>
                <w:lang w:val="zh-CN"/>
              </w:rPr>
              <w:t>地面水环境》（HJ2.3-2018）</w:t>
            </w:r>
            <w:bookmarkEnd w:id="26"/>
            <w:r>
              <w:rPr>
                <w:rFonts w:hint="eastAsia"/>
              </w:rPr>
              <w:t>本次评价可不开展地表水质量现状调查。</w:t>
            </w:r>
          </w:p>
          <w:p>
            <w:pPr>
              <w:widowControl/>
              <w:adjustRightInd w:val="0"/>
              <w:snapToGrid w:val="0"/>
              <w:spacing w:line="520" w:lineRule="exact"/>
              <w:ind w:firstLine="482" w:firstLineChars="200"/>
              <w:rPr>
                <w:b/>
                <w:bCs/>
                <w:sz w:val="24"/>
              </w:rPr>
            </w:pPr>
            <w:r>
              <w:rPr>
                <w:rFonts w:hint="eastAsia"/>
                <w:b/>
                <w:bCs/>
                <w:sz w:val="24"/>
              </w:rPr>
              <w:t>4</w:t>
            </w:r>
            <w:r>
              <w:rPr>
                <w:b/>
                <w:bCs/>
                <w:sz w:val="24"/>
              </w:rPr>
              <w:t>地下水</w:t>
            </w:r>
            <w:r>
              <w:rPr>
                <w:rFonts w:hint="eastAsia"/>
                <w:b/>
                <w:bCs/>
                <w:sz w:val="24"/>
              </w:rPr>
              <w:t>、土壤环境</w:t>
            </w:r>
          </w:p>
          <w:p>
            <w:pPr>
              <w:pStyle w:val="63"/>
            </w:pPr>
            <w:r>
              <w:t>按照</w:t>
            </w:r>
            <w:r>
              <w:rPr>
                <w:rFonts w:hint="eastAsia"/>
              </w:rPr>
              <w:t>《关于印发&lt;建设项目环境影响报告表&gt;内容、格式及编制技术指南的通知》</w:t>
            </w:r>
            <w:r>
              <w:t>（环办环评〔2020〕33号）的要求：</w:t>
            </w:r>
            <w:r>
              <w:rPr>
                <w:rFonts w:hint="eastAsia"/>
              </w:rPr>
              <w:t>“</w:t>
            </w:r>
            <w:r>
              <w:t>建设项目存在土壤、地下水环境污染途径的，应结合污染源、保护目标分布情况开展现状调查以留作背景值。</w:t>
            </w:r>
            <w:r>
              <w:rPr>
                <w:rFonts w:hint="eastAsia"/>
              </w:rPr>
              <w:t>”</w:t>
            </w:r>
            <w:r>
              <w:t>本项目为</w:t>
            </w:r>
            <w:r>
              <w:rPr>
                <w:rFonts w:hint="eastAsia"/>
              </w:rPr>
              <w:t>采矿</w:t>
            </w:r>
            <w:r>
              <w:t>项目，</w:t>
            </w:r>
            <w:r>
              <w:rPr>
                <w:rFonts w:hint="eastAsia"/>
              </w:rPr>
              <w:t>矿区范围内不设办公生活区，仅设置1座环保厕所，定期委托环卫部门清运。</w:t>
            </w:r>
            <w:r>
              <w:t>不存在土壤、地下水环境污染途径的。无需展开地下水和土壤环境质量现状调查。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6" w:type="dxa"/>
            <w:vAlign w:val="center"/>
          </w:tcPr>
          <w:p>
            <w:pPr>
              <w:adjustRightInd w:val="0"/>
              <w:snapToGrid w:val="0"/>
              <w:jc w:val="center"/>
            </w:pPr>
            <w:r>
              <w:rPr>
                <w:rFonts w:hint="eastAsia"/>
                <w:sz w:val="24"/>
              </w:rPr>
              <w:t>与项目有关的原有环境污染和生态破坏问题</w:t>
            </w:r>
          </w:p>
        </w:tc>
        <w:tc>
          <w:tcPr>
            <w:tcW w:w="8648" w:type="dxa"/>
            <w:vAlign w:val="center"/>
          </w:tcPr>
          <w:p>
            <w:pPr>
              <w:pStyle w:val="28"/>
              <w:adjustRightInd w:val="0"/>
              <w:snapToGrid w:val="0"/>
              <w:spacing w:before="0" w:beforeAutospacing="0" w:after="0" w:afterAutospacing="0" w:line="520" w:lineRule="exact"/>
              <w:ind w:firstLine="480" w:firstLineChars="200"/>
              <w:jc w:val="both"/>
              <w:rPr>
                <w:rFonts w:cs="宋体"/>
                <w:szCs w:val="21"/>
              </w:rPr>
            </w:pPr>
            <w:r>
              <w:rPr>
                <w:rFonts w:hint="eastAsia" w:cs="宋体"/>
                <w:szCs w:val="21"/>
              </w:rPr>
              <w:t>本项目为新建项目，</w:t>
            </w:r>
            <w:bookmarkStart w:id="27" w:name="_Hlk87517918"/>
            <w:r>
              <w:rPr>
                <w:rFonts w:hint="eastAsia" w:cs="宋体"/>
                <w:szCs w:val="21"/>
              </w:rPr>
              <w:t>根据《土地利用现状分类》（G</w:t>
            </w:r>
            <w:r>
              <w:rPr>
                <w:rFonts w:cs="宋体"/>
                <w:szCs w:val="21"/>
              </w:rPr>
              <w:t>B/T21010-2017</w:t>
            </w:r>
            <w:r>
              <w:rPr>
                <w:rFonts w:hint="eastAsia" w:cs="宋体"/>
                <w:szCs w:val="21"/>
              </w:rPr>
              <w:t>）本项目属于1</w:t>
            </w:r>
            <w:r>
              <w:rPr>
                <w:rFonts w:cs="宋体"/>
                <w:szCs w:val="21"/>
              </w:rPr>
              <w:t>205</w:t>
            </w:r>
            <w:r>
              <w:rPr>
                <w:rFonts w:hint="eastAsia" w:cs="宋体"/>
                <w:szCs w:val="21"/>
              </w:rPr>
              <w:t>沙地，</w:t>
            </w:r>
            <w:bookmarkEnd w:id="27"/>
            <w:r>
              <w:rPr>
                <w:rFonts w:hint="eastAsia" w:cs="宋体"/>
                <w:szCs w:val="21"/>
              </w:rPr>
              <w:t>不存在原有环境问题。本项目与</w:t>
            </w:r>
            <w:r>
              <w:rPr>
                <w:rFonts w:hint="eastAsia"/>
                <w:snapToGrid w:val="0"/>
              </w:rPr>
              <w:t>《新疆第五次沙化土地监测报告》中全疆沙化土地分布关系图见报告附图1</w:t>
            </w:r>
            <w:r>
              <w:rPr>
                <w:snapToGrid w:val="0"/>
              </w:rPr>
              <w:t>2</w:t>
            </w:r>
            <w:r>
              <w:rPr>
                <w:rFonts w:hint="eastAsia"/>
                <w:snapToGrid w:val="0"/>
              </w:rPr>
              <w:t>。</w:t>
            </w:r>
          </w:p>
          <w:p>
            <w:pPr>
              <w:pStyle w:val="28"/>
              <w:adjustRightInd w:val="0"/>
              <w:snapToGrid w:val="0"/>
              <w:spacing w:before="0" w:beforeAutospacing="0" w:after="0" w:afterAutospacing="0" w:line="520" w:lineRule="exact"/>
              <w:ind w:firstLine="480" w:firstLineChars="200"/>
              <w:jc w:val="both"/>
              <w:rPr>
                <w:rFonts w:cs="宋体"/>
                <w:szCs w:val="21"/>
              </w:rPr>
            </w:pPr>
            <w:bookmarkStart w:id="28" w:name="_Hlk87533859"/>
            <w:r>
              <w:rPr>
                <w:rFonts w:hint="eastAsia" w:cs="宋体"/>
                <w:szCs w:val="21"/>
              </w:rPr>
              <w:t>本项目石英砂加工依托阜康产业园阜西区新疆世纪能源化工有限公司世纪能源装备新材料产业园项目现有石英砂加工生产线进行加工。该企业已办理环保手续，于2</w:t>
            </w:r>
            <w:r>
              <w:rPr>
                <w:rFonts w:cs="宋体"/>
                <w:szCs w:val="21"/>
              </w:rPr>
              <w:t>020</w:t>
            </w:r>
            <w:r>
              <w:rPr>
                <w:rFonts w:hint="eastAsia" w:cs="宋体"/>
                <w:szCs w:val="21"/>
              </w:rPr>
              <w:t>年5月1</w:t>
            </w:r>
            <w:r>
              <w:rPr>
                <w:rFonts w:cs="宋体"/>
                <w:szCs w:val="21"/>
              </w:rPr>
              <w:t>4</w:t>
            </w:r>
            <w:r>
              <w:rPr>
                <w:rFonts w:hint="eastAsia" w:cs="宋体"/>
                <w:szCs w:val="21"/>
              </w:rPr>
              <w:t>日取得</w:t>
            </w:r>
            <w:r>
              <w:rPr>
                <w:rFonts w:hint="eastAsia"/>
              </w:rPr>
              <w:t>《关于新疆世纪能源化工有限公司世纪能源装备新材料园项目环境影响报告表的批复》（昌州环评〔202</w:t>
            </w:r>
            <w:r>
              <w:t>0</w:t>
            </w:r>
            <w:r>
              <w:rPr>
                <w:rFonts w:hint="eastAsia"/>
              </w:rPr>
              <w:t>〕4</w:t>
            </w:r>
            <w:r>
              <w:t>5</w:t>
            </w:r>
            <w:r>
              <w:rPr>
                <w:rFonts w:hint="eastAsia"/>
              </w:rPr>
              <w:t>号）。</w:t>
            </w:r>
            <w:bookmarkEnd w:id="28"/>
            <w:r>
              <w:rPr>
                <w:rFonts w:hint="eastAsia"/>
              </w:rPr>
              <w:t>该项目厂址位于本项目西南侧8</w:t>
            </w:r>
            <w:r>
              <w:t>0</w:t>
            </w:r>
            <w:r>
              <w:rPr>
                <w:rFonts w:hint="eastAsia"/>
              </w:rPr>
              <w:t>km处，本项目石英砂、</w:t>
            </w:r>
            <w:r>
              <w:rPr>
                <w:rFonts w:hint="eastAsia" w:cs="宋体"/>
                <w:szCs w:val="21"/>
              </w:rPr>
              <w:t>厂区车辆日常养护及员工食宿均依托该企业进行。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6" w:type="dxa"/>
            <w:vAlign w:val="center"/>
          </w:tcPr>
          <w:p>
            <w:pPr>
              <w:adjustRightInd w:val="0"/>
              <w:snapToGrid w:val="0"/>
              <w:jc w:val="center"/>
              <w:rPr>
                <w:rFonts w:ascii="宋体" w:hAnsi="宋体" w:cs="宋体"/>
                <w:kern w:val="0"/>
                <w:szCs w:val="21"/>
              </w:rPr>
            </w:pPr>
            <w:r>
              <w:rPr>
                <w:rFonts w:hint="eastAsia" w:ascii="宋体" w:hAnsi="宋体" w:cs="宋体"/>
                <w:kern w:val="0"/>
                <w:sz w:val="24"/>
              </w:rPr>
              <w:t>生态环境保护目标</w:t>
            </w:r>
          </w:p>
        </w:tc>
        <w:tc>
          <w:tcPr>
            <w:tcW w:w="8648" w:type="dxa"/>
            <w:vAlign w:val="center"/>
          </w:tcPr>
          <w:p>
            <w:pPr>
              <w:spacing w:line="480" w:lineRule="exact"/>
              <w:ind w:firstLine="482" w:firstLineChars="200"/>
              <w:rPr>
                <w:b/>
                <w:bCs/>
                <w:sz w:val="24"/>
              </w:rPr>
            </w:pPr>
            <w:r>
              <w:rPr>
                <w:rFonts w:hint="eastAsia"/>
                <w:b/>
                <w:bCs/>
                <w:sz w:val="24"/>
              </w:rPr>
              <w:t>1、</w:t>
            </w:r>
            <w:r>
              <w:rPr>
                <w:b/>
                <w:bCs/>
                <w:sz w:val="24"/>
              </w:rPr>
              <w:t>大气环境</w:t>
            </w:r>
          </w:p>
          <w:p>
            <w:pPr>
              <w:spacing w:line="480" w:lineRule="exact"/>
              <w:ind w:firstLine="480" w:firstLineChars="200"/>
              <w:rPr>
                <w:sz w:val="24"/>
              </w:rPr>
            </w:pPr>
            <w:r>
              <w:rPr>
                <w:sz w:val="24"/>
              </w:rPr>
              <w:t>本项目厂界外500</w:t>
            </w:r>
            <w:r>
              <w:rPr>
                <w:rFonts w:hint="eastAsia"/>
                <w:sz w:val="24"/>
              </w:rPr>
              <w:t>m</w:t>
            </w:r>
            <w:r>
              <w:rPr>
                <w:sz w:val="24"/>
              </w:rPr>
              <w:t>范围内</w:t>
            </w:r>
            <w:r>
              <w:rPr>
                <w:rFonts w:hint="eastAsia"/>
                <w:sz w:val="24"/>
              </w:rPr>
              <w:t>无大气环境保护目标，</w:t>
            </w:r>
            <w:r>
              <w:rPr>
                <w:sz w:val="24"/>
              </w:rPr>
              <w:t>无自然保护区、风景名胜区</w:t>
            </w:r>
            <w:r>
              <w:rPr>
                <w:rFonts w:hint="eastAsia"/>
                <w:sz w:val="24"/>
              </w:rPr>
              <w:t>、居民区。</w:t>
            </w:r>
          </w:p>
          <w:p>
            <w:pPr>
              <w:spacing w:line="480" w:lineRule="exact"/>
              <w:ind w:firstLine="482" w:firstLineChars="200"/>
              <w:rPr>
                <w:b/>
                <w:bCs/>
                <w:sz w:val="24"/>
              </w:rPr>
            </w:pPr>
            <w:r>
              <w:rPr>
                <w:rFonts w:hint="eastAsia"/>
                <w:b/>
                <w:bCs/>
                <w:sz w:val="24"/>
              </w:rPr>
              <w:t>2、</w:t>
            </w:r>
            <w:r>
              <w:rPr>
                <w:b/>
                <w:bCs/>
                <w:sz w:val="24"/>
              </w:rPr>
              <w:t>声环境</w:t>
            </w:r>
          </w:p>
          <w:p>
            <w:pPr>
              <w:spacing w:line="480" w:lineRule="exact"/>
              <w:ind w:firstLine="480" w:firstLineChars="200"/>
              <w:rPr>
                <w:sz w:val="24"/>
              </w:rPr>
            </w:pPr>
            <w:r>
              <w:rPr>
                <w:rFonts w:hint="eastAsia"/>
                <w:sz w:val="24"/>
              </w:rPr>
              <w:t>本项目厂界外50m范围内无声环境保护目标。</w:t>
            </w:r>
          </w:p>
          <w:p>
            <w:pPr>
              <w:spacing w:line="480" w:lineRule="exact"/>
              <w:ind w:firstLine="482" w:firstLineChars="200"/>
              <w:rPr>
                <w:b/>
                <w:bCs/>
                <w:sz w:val="24"/>
              </w:rPr>
            </w:pPr>
            <w:r>
              <w:rPr>
                <w:rFonts w:hint="eastAsia"/>
                <w:b/>
                <w:bCs/>
                <w:sz w:val="24"/>
              </w:rPr>
              <w:t>3、</w:t>
            </w:r>
            <w:r>
              <w:rPr>
                <w:b/>
                <w:bCs/>
                <w:sz w:val="24"/>
              </w:rPr>
              <w:t>地下水环境</w:t>
            </w:r>
          </w:p>
          <w:p>
            <w:pPr>
              <w:adjustRightInd w:val="0"/>
              <w:snapToGrid w:val="0"/>
              <w:spacing w:line="520" w:lineRule="exact"/>
              <w:ind w:firstLine="480" w:firstLineChars="200"/>
              <w:rPr>
                <w:rFonts w:ascii="宋体" w:hAnsi="宋体" w:cs="宋体"/>
                <w:kern w:val="0"/>
                <w:szCs w:val="21"/>
              </w:rPr>
            </w:pPr>
            <w:r>
              <w:rPr>
                <w:sz w:val="24"/>
              </w:rPr>
              <w:t>本项目厂界外500</w:t>
            </w:r>
            <w:r>
              <w:rPr>
                <w:rFonts w:hint="eastAsia"/>
                <w:sz w:val="24"/>
              </w:rPr>
              <w:t>m</w:t>
            </w:r>
            <w:r>
              <w:rPr>
                <w:sz w:val="24"/>
              </w:rPr>
              <w:t>范围内无地下水集中式饮用水水源和热水、矿泉水、温泉等特殊地下水资源</w:t>
            </w: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211" w:hRule="atLeast"/>
          <w:jc w:val="center"/>
        </w:trPr>
        <w:tc>
          <w:tcPr>
            <w:tcW w:w="456" w:type="dxa"/>
            <w:vAlign w:val="center"/>
          </w:tcPr>
          <w:p>
            <w:pPr>
              <w:adjustRightInd w:val="0"/>
              <w:snapToGrid w:val="0"/>
              <w:jc w:val="center"/>
              <w:rPr>
                <w:rFonts w:ascii="宋体" w:hAnsi="宋体" w:cs="宋体"/>
                <w:kern w:val="0"/>
                <w:sz w:val="24"/>
              </w:rPr>
            </w:pPr>
            <w:r>
              <w:rPr>
                <w:rFonts w:hint="eastAsia" w:ascii="宋体" w:hAnsi="宋体" w:cs="宋体"/>
                <w:kern w:val="0"/>
                <w:sz w:val="24"/>
              </w:rPr>
              <w:t>评价</w:t>
            </w:r>
          </w:p>
          <w:p>
            <w:pPr>
              <w:adjustRightInd w:val="0"/>
              <w:snapToGrid w:val="0"/>
              <w:jc w:val="center"/>
              <w:rPr>
                <w:rFonts w:ascii="宋体" w:hAnsi="宋体" w:cs="宋体"/>
                <w:kern w:val="0"/>
                <w:sz w:val="24"/>
              </w:rPr>
            </w:pPr>
            <w:r>
              <w:rPr>
                <w:rFonts w:hint="eastAsia" w:ascii="宋体" w:hAnsi="宋体" w:cs="宋体"/>
                <w:kern w:val="0"/>
                <w:sz w:val="24"/>
              </w:rPr>
              <w:t>标准</w:t>
            </w:r>
          </w:p>
        </w:tc>
        <w:tc>
          <w:tcPr>
            <w:tcW w:w="8648" w:type="dxa"/>
            <w:vAlign w:val="center"/>
          </w:tcPr>
          <w:p>
            <w:pPr>
              <w:numPr>
                <w:ilvl w:val="0"/>
                <w:numId w:val="7"/>
              </w:numPr>
              <w:adjustRightInd w:val="0"/>
              <w:snapToGrid w:val="0"/>
              <w:spacing w:line="520" w:lineRule="exact"/>
              <w:ind w:firstLine="482" w:firstLineChars="200"/>
              <w:rPr>
                <w:b/>
                <w:bCs/>
                <w:sz w:val="24"/>
              </w:rPr>
            </w:pPr>
            <w:r>
              <w:rPr>
                <w:rFonts w:hint="eastAsia"/>
                <w:b/>
                <w:bCs/>
                <w:sz w:val="24"/>
              </w:rPr>
              <w:t>大气污染物：</w:t>
            </w:r>
          </w:p>
          <w:p>
            <w:pPr>
              <w:adjustRightInd w:val="0"/>
              <w:snapToGrid w:val="0"/>
              <w:spacing w:line="520" w:lineRule="exact"/>
              <w:ind w:firstLine="480" w:firstLineChars="200"/>
              <w:rPr>
                <w:sz w:val="24"/>
              </w:rPr>
            </w:pPr>
            <w:r>
              <w:rPr>
                <w:rFonts w:hint="eastAsia"/>
                <w:kern w:val="0"/>
                <w:sz w:val="24"/>
              </w:rPr>
              <w:t>厂界无组织颗粒物执行《大气污染物综合排放标准》（GB16297-1996）表2新污染源大气污染物排放限值。</w:t>
            </w:r>
          </w:p>
          <w:p>
            <w:pPr>
              <w:pStyle w:val="62"/>
              <w:spacing w:line="240" w:lineRule="auto"/>
              <w:rPr>
                <w:rFonts w:ascii="Times New Roman" w:hAnsi="Times New Roman" w:cs="Times New Roman"/>
              </w:rPr>
            </w:pPr>
            <w:r>
              <w:t xml:space="preserve">表3-5 </w:t>
            </w:r>
            <w:r>
              <w:rPr>
                <w:rFonts w:hint="eastAsia"/>
              </w:rPr>
              <w:t xml:space="preserve"> 大气污染物综合排放标准  单位</w:t>
            </w:r>
            <w:r>
              <w:rPr>
                <w:rFonts w:ascii="Times New Roman" w:hAnsi="Times New Roman" w:cs="Times New Roman"/>
              </w:rPr>
              <w:t>：mg/m</w:t>
            </w:r>
            <w:r>
              <w:rPr>
                <w:rFonts w:ascii="Times New Roman" w:hAnsi="Times New Roman" w:cs="Times New Roman"/>
                <w:vertAlign w:val="superscript"/>
              </w:rPr>
              <w:t>3</w:t>
            </w:r>
          </w:p>
          <w:tbl>
            <w:tblPr>
              <w:tblStyle w:val="31"/>
              <w:tblW w:w="829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467"/>
              <w:gridCol w:w="41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728" w:type="dxa"/>
                  <w:vAlign w:val="center"/>
                </w:tcPr>
                <w:p>
                  <w:pPr>
                    <w:adjustRightInd w:val="0"/>
                    <w:snapToGrid w:val="0"/>
                    <w:jc w:val="center"/>
                    <w:rPr>
                      <w:bCs/>
                      <w:szCs w:val="21"/>
                    </w:rPr>
                  </w:pPr>
                  <w:r>
                    <w:rPr>
                      <w:bCs/>
                      <w:szCs w:val="21"/>
                    </w:rPr>
                    <w:t>污染物</w:t>
                  </w:r>
                </w:p>
              </w:tc>
              <w:tc>
                <w:tcPr>
                  <w:tcW w:w="2467" w:type="dxa"/>
                  <w:vAlign w:val="center"/>
                </w:tcPr>
                <w:p>
                  <w:pPr>
                    <w:adjustRightInd w:val="0"/>
                    <w:snapToGrid w:val="0"/>
                    <w:jc w:val="center"/>
                    <w:rPr>
                      <w:bCs/>
                      <w:szCs w:val="21"/>
                    </w:rPr>
                  </w:pPr>
                  <w:r>
                    <w:rPr>
                      <w:bCs/>
                      <w:szCs w:val="21"/>
                    </w:rPr>
                    <w:t>限值</w:t>
                  </w:r>
                </w:p>
              </w:tc>
              <w:tc>
                <w:tcPr>
                  <w:tcW w:w="4102" w:type="dxa"/>
                  <w:vAlign w:val="center"/>
                </w:tcPr>
                <w:p>
                  <w:pPr>
                    <w:adjustRightInd w:val="0"/>
                    <w:snapToGrid w:val="0"/>
                    <w:jc w:val="center"/>
                    <w:rPr>
                      <w:bCs/>
                      <w:szCs w:val="21"/>
                    </w:rPr>
                  </w:pPr>
                  <w:r>
                    <w:rPr>
                      <w:bCs/>
                      <w:szCs w:val="21"/>
                    </w:rPr>
                    <w:t>污染物排放监控位置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728" w:type="dxa"/>
                  <w:vAlign w:val="center"/>
                </w:tcPr>
                <w:p>
                  <w:pPr>
                    <w:adjustRightInd w:val="0"/>
                    <w:snapToGrid w:val="0"/>
                    <w:jc w:val="center"/>
                    <w:rPr>
                      <w:bCs/>
                      <w:szCs w:val="21"/>
                    </w:rPr>
                  </w:pPr>
                  <w:r>
                    <w:rPr>
                      <w:rFonts w:hint="eastAsia"/>
                      <w:bCs/>
                      <w:szCs w:val="21"/>
                    </w:rPr>
                    <w:t>无组织颗粒物</w:t>
                  </w:r>
                </w:p>
              </w:tc>
              <w:tc>
                <w:tcPr>
                  <w:tcW w:w="2467" w:type="dxa"/>
                  <w:vAlign w:val="center"/>
                </w:tcPr>
                <w:p>
                  <w:pPr>
                    <w:adjustRightInd w:val="0"/>
                    <w:snapToGrid w:val="0"/>
                    <w:jc w:val="center"/>
                    <w:rPr>
                      <w:bCs/>
                      <w:szCs w:val="21"/>
                    </w:rPr>
                  </w:pPr>
                  <w:r>
                    <w:rPr>
                      <w:rFonts w:hint="eastAsia"/>
                      <w:bCs/>
                      <w:szCs w:val="21"/>
                    </w:rPr>
                    <w:t>1</w:t>
                  </w:r>
                  <w:r>
                    <w:rPr>
                      <w:bCs/>
                      <w:szCs w:val="21"/>
                    </w:rPr>
                    <w:t>.0</w:t>
                  </w:r>
                </w:p>
              </w:tc>
              <w:tc>
                <w:tcPr>
                  <w:tcW w:w="4102" w:type="dxa"/>
                  <w:vAlign w:val="center"/>
                </w:tcPr>
                <w:p>
                  <w:pPr>
                    <w:adjustRightInd w:val="0"/>
                    <w:snapToGrid w:val="0"/>
                    <w:jc w:val="center"/>
                    <w:rPr>
                      <w:bCs/>
                      <w:szCs w:val="21"/>
                    </w:rPr>
                  </w:pPr>
                  <w:r>
                    <w:rPr>
                      <w:rFonts w:hint="eastAsia"/>
                      <w:bCs/>
                      <w:szCs w:val="21"/>
                    </w:rPr>
                    <w:t>周界外浓度最高点</w:t>
                  </w:r>
                </w:p>
              </w:tc>
            </w:tr>
          </w:tbl>
          <w:p>
            <w:pPr>
              <w:spacing w:line="520" w:lineRule="exact"/>
              <w:ind w:firstLine="482" w:firstLineChars="200"/>
              <w:rPr>
                <w:b/>
                <w:bCs/>
                <w:kern w:val="0"/>
                <w:sz w:val="24"/>
              </w:rPr>
            </w:pPr>
            <w:r>
              <w:rPr>
                <w:b/>
                <w:bCs/>
                <w:kern w:val="0"/>
                <w:sz w:val="24"/>
              </w:rPr>
              <w:t>2</w:t>
            </w:r>
            <w:r>
              <w:rPr>
                <w:rFonts w:hint="eastAsia"/>
                <w:b/>
                <w:bCs/>
                <w:kern w:val="0"/>
                <w:sz w:val="24"/>
              </w:rPr>
              <w:t>、噪声</w:t>
            </w:r>
          </w:p>
          <w:p>
            <w:pPr>
              <w:spacing w:line="520" w:lineRule="exact"/>
              <w:ind w:firstLine="480" w:firstLineChars="200"/>
              <w:rPr>
                <w:sz w:val="24"/>
              </w:rPr>
            </w:pPr>
            <w:r>
              <w:rPr>
                <w:rFonts w:hint="eastAsia"/>
                <w:sz w:val="24"/>
              </w:rPr>
              <w:t>施工期噪声执行《建筑施工场界环境噪声排放标准》（GB12523-2011）排放限值。</w:t>
            </w:r>
          </w:p>
          <w:p>
            <w:pPr>
              <w:pStyle w:val="62"/>
              <w:spacing w:line="240" w:lineRule="auto"/>
            </w:pPr>
            <w:r>
              <w:t xml:space="preserve">表3-6  </w:t>
            </w:r>
            <w:r>
              <w:rPr>
                <w:rFonts w:hint="eastAsia"/>
              </w:rPr>
              <w:t>建筑施工场界环境噪声排放标准  单位：</w:t>
            </w:r>
            <w:r>
              <w:rPr>
                <w:rFonts w:ascii="Times New Roman" w:hAnsi="Times New Roman" w:cs="Times New Roman"/>
              </w:rPr>
              <w:t>dB（A）</w:t>
            </w:r>
          </w:p>
          <w:tbl>
            <w:tblPr>
              <w:tblStyle w:val="31"/>
              <w:tblW w:w="84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810"/>
              <w:gridCol w:w="28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2810" w:type="dxa"/>
                  <w:vAlign w:val="center"/>
                </w:tcPr>
                <w:p>
                  <w:pPr>
                    <w:jc w:val="center"/>
                    <w:rPr>
                      <w:szCs w:val="21"/>
                    </w:rPr>
                  </w:pPr>
                  <w:r>
                    <w:rPr>
                      <w:szCs w:val="21"/>
                    </w:rPr>
                    <w:t>类  别</w:t>
                  </w:r>
                </w:p>
              </w:tc>
              <w:tc>
                <w:tcPr>
                  <w:tcW w:w="2810" w:type="dxa"/>
                  <w:vAlign w:val="center"/>
                </w:tcPr>
                <w:p>
                  <w:pPr>
                    <w:jc w:val="center"/>
                    <w:rPr>
                      <w:szCs w:val="21"/>
                    </w:rPr>
                  </w:pPr>
                  <w:r>
                    <w:rPr>
                      <w:szCs w:val="21"/>
                    </w:rPr>
                    <w:t>昼  间</w:t>
                  </w:r>
                </w:p>
              </w:tc>
              <w:tc>
                <w:tcPr>
                  <w:tcW w:w="2810" w:type="dxa"/>
                  <w:vAlign w:val="center"/>
                </w:tcPr>
                <w:p>
                  <w:pPr>
                    <w:jc w:val="center"/>
                    <w:rPr>
                      <w:szCs w:val="21"/>
                    </w:rPr>
                  </w:pPr>
                  <w:r>
                    <w:rPr>
                      <w:szCs w:val="21"/>
                    </w:rPr>
                    <w:t>夜  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2810" w:type="dxa"/>
                  <w:vAlign w:val="center"/>
                </w:tcPr>
                <w:p>
                  <w:pPr>
                    <w:jc w:val="center"/>
                    <w:rPr>
                      <w:szCs w:val="21"/>
                    </w:rPr>
                  </w:pPr>
                  <w:r>
                    <w:rPr>
                      <w:rFonts w:hint="eastAsia"/>
                      <w:szCs w:val="21"/>
                    </w:rPr>
                    <w:t>场界</w:t>
                  </w:r>
                </w:p>
              </w:tc>
              <w:tc>
                <w:tcPr>
                  <w:tcW w:w="2810" w:type="dxa"/>
                  <w:vAlign w:val="center"/>
                </w:tcPr>
                <w:p>
                  <w:pPr>
                    <w:jc w:val="center"/>
                    <w:rPr>
                      <w:szCs w:val="21"/>
                    </w:rPr>
                  </w:pPr>
                  <w:r>
                    <w:rPr>
                      <w:szCs w:val="21"/>
                    </w:rPr>
                    <w:t>70</w:t>
                  </w:r>
                </w:p>
              </w:tc>
              <w:tc>
                <w:tcPr>
                  <w:tcW w:w="2810" w:type="dxa"/>
                  <w:vAlign w:val="center"/>
                </w:tcPr>
                <w:p>
                  <w:pPr>
                    <w:jc w:val="center"/>
                    <w:rPr>
                      <w:szCs w:val="21"/>
                    </w:rPr>
                  </w:pPr>
                  <w:r>
                    <w:rPr>
                      <w:rFonts w:hint="eastAsia"/>
                      <w:szCs w:val="21"/>
                    </w:rPr>
                    <w:t>5</w:t>
                  </w:r>
                  <w:r>
                    <w:rPr>
                      <w:szCs w:val="21"/>
                    </w:rPr>
                    <w:t>5</w:t>
                  </w:r>
                </w:p>
              </w:tc>
            </w:tr>
          </w:tbl>
          <w:p>
            <w:pPr>
              <w:spacing w:line="520" w:lineRule="exact"/>
              <w:ind w:firstLine="480" w:firstLineChars="200"/>
              <w:rPr>
                <w:sz w:val="24"/>
              </w:rPr>
            </w:pPr>
            <w:r>
              <w:rPr>
                <w:sz w:val="24"/>
              </w:rPr>
              <w:t>运营期噪声执行《工业企业厂界环境噪声排放标准》（GB12348-2008）中</w:t>
            </w:r>
            <w:r>
              <w:rPr>
                <w:rFonts w:hint="eastAsia"/>
                <w:sz w:val="24"/>
              </w:rPr>
              <w:t>2</w:t>
            </w:r>
            <w:r>
              <w:rPr>
                <w:sz w:val="24"/>
              </w:rPr>
              <w:t>类标准。</w:t>
            </w:r>
          </w:p>
          <w:p>
            <w:pPr>
              <w:pStyle w:val="62"/>
              <w:spacing w:line="240" w:lineRule="auto"/>
            </w:pPr>
            <w:r>
              <w:t>表3-7  工业企业厂界环境噪声排放标准</w:t>
            </w:r>
            <w:r>
              <w:rPr>
                <w:rFonts w:hint="eastAsia"/>
              </w:rPr>
              <w:t xml:space="preserve">  单位：</w:t>
            </w:r>
            <w:r>
              <w:rPr>
                <w:rFonts w:ascii="Times New Roman" w:hAnsi="Times New Roman" w:cs="Times New Roman"/>
              </w:rPr>
              <w:t>dB（A）</w:t>
            </w:r>
          </w:p>
          <w:tbl>
            <w:tblPr>
              <w:tblStyle w:val="31"/>
              <w:tblW w:w="84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810"/>
              <w:gridCol w:w="28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2810" w:type="dxa"/>
                  <w:vAlign w:val="center"/>
                </w:tcPr>
                <w:p>
                  <w:pPr>
                    <w:jc w:val="center"/>
                    <w:rPr>
                      <w:szCs w:val="21"/>
                    </w:rPr>
                  </w:pPr>
                  <w:r>
                    <w:rPr>
                      <w:szCs w:val="21"/>
                    </w:rPr>
                    <w:t>类  别</w:t>
                  </w:r>
                </w:p>
              </w:tc>
              <w:tc>
                <w:tcPr>
                  <w:tcW w:w="2810" w:type="dxa"/>
                  <w:vAlign w:val="center"/>
                </w:tcPr>
                <w:p>
                  <w:pPr>
                    <w:jc w:val="center"/>
                    <w:rPr>
                      <w:szCs w:val="21"/>
                    </w:rPr>
                  </w:pPr>
                  <w:r>
                    <w:rPr>
                      <w:szCs w:val="21"/>
                    </w:rPr>
                    <w:t>昼  间</w:t>
                  </w:r>
                </w:p>
              </w:tc>
              <w:tc>
                <w:tcPr>
                  <w:tcW w:w="2810" w:type="dxa"/>
                  <w:vAlign w:val="center"/>
                </w:tcPr>
                <w:p>
                  <w:pPr>
                    <w:jc w:val="center"/>
                    <w:rPr>
                      <w:szCs w:val="21"/>
                    </w:rPr>
                  </w:pPr>
                  <w:r>
                    <w:rPr>
                      <w:szCs w:val="21"/>
                    </w:rPr>
                    <w:t>夜  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2810" w:type="dxa"/>
                  <w:vAlign w:val="center"/>
                </w:tcPr>
                <w:p>
                  <w:pPr>
                    <w:jc w:val="center"/>
                    <w:rPr>
                      <w:szCs w:val="21"/>
                    </w:rPr>
                  </w:pPr>
                  <w:r>
                    <w:rPr>
                      <w:rFonts w:hint="eastAsia"/>
                      <w:szCs w:val="21"/>
                    </w:rPr>
                    <w:t>2</w:t>
                  </w:r>
                  <w:r>
                    <w:rPr>
                      <w:szCs w:val="21"/>
                    </w:rPr>
                    <w:t>类标准</w:t>
                  </w:r>
                </w:p>
              </w:tc>
              <w:tc>
                <w:tcPr>
                  <w:tcW w:w="2810" w:type="dxa"/>
                  <w:vAlign w:val="center"/>
                </w:tcPr>
                <w:p>
                  <w:pPr>
                    <w:jc w:val="center"/>
                    <w:rPr>
                      <w:szCs w:val="21"/>
                    </w:rPr>
                  </w:pPr>
                  <w:r>
                    <w:rPr>
                      <w:szCs w:val="21"/>
                    </w:rPr>
                    <w:t>6</w:t>
                  </w:r>
                  <w:r>
                    <w:rPr>
                      <w:rFonts w:hint="eastAsia"/>
                      <w:szCs w:val="21"/>
                    </w:rPr>
                    <w:t>0</w:t>
                  </w:r>
                </w:p>
              </w:tc>
              <w:tc>
                <w:tcPr>
                  <w:tcW w:w="2810" w:type="dxa"/>
                  <w:vAlign w:val="center"/>
                </w:tcPr>
                <w:p>
                  <w:pPr>
                    <w:jc w:val="center"/>
                    <w:rPr>
                      <w:szCs w:val="21"/>
                    </w:rPr>
                  </w:pPr>
                  <w:r>
                    <w:rPr>
                      <w:szCs w:val="21"/>
                    </w:rPr>
                    <w:t>5</w:t>
                  </w:r>
                  <w:r>
                    <w:rPr>
                      <w:rFonts w:hint="eastAsia"/>
                      <w:szCs w:val="21"/>
                    </w:rPr>
                    <w:t>0</w:t>
                  </w:r>
                </w:p>
              </w:tc>
            </w:tr>
          </w:tbl>
          <w:p>
            <w:pPr>
              <w:spacing w:line="520" w:lineRule="exact"/>
              <w:ind w:firstLine="482" w:firstLineChars="200"/>
              <w:rPr>
                <w:b/>
                <w:bCs/>
                <w:sz w:val="24"/>
              </w:rPr>
            </w:pPr>
            <w:r>
              <w:rPr>
                <w:b/>
                <w:bCs/>
                <w:sz w:val="24"/>
              </w:rPr>
              <w:t>3</w:t>
            </w:r>
            <w:r>
              <w:rPr>
                <w:rFonts w:hint="eastAsia"/>
                <w:b/>
                <w:bCs/>
                <w:sz w:val="24"/>
              </w:rPr>
              <w:t>、固废</w:t>
            </w:r>
          </w:p>
          <w:p>
            <w:pPr>
              <w:spacing w:line="520" w:lineRule="exact"/>
              <w:ind w:firstLine="480" w:firstLineChars="200"/>
              <w:rPr>
                <w:rFonts w:ascii="宋体" w:hAnsi="宋体" w:cs="宋体"/>
                <w:kern w:val="0"/>
                <w:szCs w:val="21"/>
              </w:rPr>
            </w:pPr>
            <w:r>
              <w:rPr>
                <w:rFonts w:hint="eastAsia"/>
                <w:bCs/>
                <w:sz w:val="24"/>
              </w:rPr>
              <w:t>《一般工业固体废物贮存和填埋污染控制标准》（GB18599-2020）。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496" w:hRule="atLeast"/>
          <w:jc w:val="center"/>
        </w:trPr>
        <w:tc>
          <w:tcPr>
            <w:tcW w:w="456" w:type="dxa"/>
            <w:vAlign w:val="center"/>
          </w:tcPr>
          <w:p>
            <w:pPr>
              <w:adjustRightInd w:val="0"/>
              <w:snapToGrid w:val="0"/>
              <w:jc w:val="center"/>
              <w:rPr>
                <w:rFonts w:ascii="宋体" w:hAnsi="宋体" w:cs="宋体"/>
                <w:kern w:val="0"/>
                <w:sz w:val="24"/>
              </w:rPr>
            </w:pPr>
            <w:r>
              <w:rPr>
                <w:rFonts w:hint="eastAsia" w:ascii="宋体" w:hAnsi="宋体" w:cs="宋体"/>
                <w:kern w:val="0"/>
                <w:sz w:val="24"/>
              </w:rPr>
              <w:t>其他</w:t>
            </w:r>
          </w:p>
        </w:tc>
        <w:tc>
          <w:tcPr>
            <w:tcW w:w="8648" w:type="dxa"/>
            <w:vAlign w:val="center"/>
          </w:tcPr>
          <w:p>
            <w:pPr>
              <w:spacing w:line="520" w:lineRule="exact"/>
              <w:ind w:firstLine="480" w:firstLineChars="200"/>
              <w:rPr>
                <w:bCs/>
                <w:sz w:val="24"/>
              </w:rPr>
            </w:pPr>
            <w:r>
              <w:rPr>
                <w:rFonts w:hint="eastAsia"/>
                <w:bCs/>
                <w:sz w:val="24"/>
              </w:rPr>
              <w:t>根据国家规定的总量控制污染物种类，结合本项目的排污特点、所在区域的环境质量现状等因素综合考虑，本项目不设置总量控制指标。</w:t>
            </w:r>
          </w:p>
          <w:p>
            <w:pPr>
              <w:spacing w:line="520" w:lineRule="exact"/>
              <w:ind w:firstLine="480" w:firstLineChars="200"/>
              <w:rPr>
                <w:rFonts w:ascii="宋体" w:hAnsi="宋体" w:cs="宋体"/>
                <w:kern w:val="0"/>
                <w:szCs w:val="21"/>
              </w:rPr>
            </w:pPr>
            <w:r>
              <w:rPr>
                <w:rFonts w:hint="eastAsia"/>
                <w:bCs/>
                <w:sz w:val="24"/>
              </w:rPr>
              <w:t>因此，根据上述建议值可以作为环保管理部门制定企业污染物排放总量控制指标的参考。</w:t>
            </w:r>
          </w:p>
        </w:tc>
      </w:tr>
    </w:tbl>
    <w:p>
      <w:pPr>
        <w:pStyle w:val="28"/>
        <w:adjustRightInd w:val="0"/>
        <w:snapToGrid w:val="0"/>
        <w:spacing w:before="0" w:beforeAutospacing="0" w:after="0" w:afterAutospacing="0" w:line="14" w:lineRule="auto"/>
        <w:jc w:val="center"/>
        <w:outlineLvl w:val="0"/>
        <w:rPr>
          <w:rFonts w:ascii="黑体" w:hAnsi="黑体" w:eastAsia="黑体"/>
          <w:snapToGrid w:val="0"/>
          <w:kern w:val="2"/>
          <w:sz w:val="36"/>
          <w:szCs w:val="36"/>
        </w:rPr>
      </w:pPr>
    </w:p>
    <w:p>
      <w:pPr>
        <w:pStyle w:val="28"/>
        <w:jc w:val="center"/>
        <w:outlineLvl w:val="0"/>
        <w:rPr>
          <w:rFonts w:ascii="黑体" w:hAnsi="黑体" w:eastAsia="黑体"/>
          <w:snapToGrid w:val="0"/>
          <w:sz w:val="30"/>
          <w:szCs w:val="30"/>
        </w:rPr>
      </w:pPr>
      <w:r>
        <w:rPr>
          <w:rFonts w:ascii="黑体" w:hAnsi="黑体" w:eastAsia="黑体"/>
          <w:snapToGrid w:val="0"/>
          <w:kern w:val="2"/>
          <w:sz w:val="36"/>
          <w:szCs w:val="36"/>
        </w:rPr>
        <w:br w:type="page"/>
      </w:r>
      <w:r>
        <w:rPr>
          <w:rFonts w:hint="eastAsia" w:ascii="黑体" w:hAnsi="黑体" w:eastAsia="黑体"/>
          <w:snapToGrid w:val="0"/>
          <w:sz w:val="30"/>
          <w:szCs w:val="30"/>
        </w:rPr>
        <w:t>四、生态环境影响分析</w:t>
      </w:r>
    </w:p>
    <w:tbl>
      <w:tblPr>
        <w:tblStyle w:val="31"/>
        <w:tblW w:w="924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3"/>
        <w:gridCol w:w="83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jc w:val="center"/>
        </w:trPr>
        <w:tc>
          <w:tcPr>
            <w:tcW w:w="873" w:type="dxa"/>
            <w:tcMar>
              <w:left w:w="28" w:type="dxa"/>
              <w:right w:w="28" w:type="dxa"/>
            </w:tcMar>
            <w:vAlign w:val="center"/>
          </w:tcPr>
          <w:p>
            <w:pPr>
              <w:pStyle w:val="28"/>
              <w:adjustRightInd w:val="0"/>
              <w:snapToGrid w:val="0"/>
              <w:spacing w:before="0" w:beforeAutospacing="0" w:after="0" w:afterAutospacing="0"/>
              <w:jc w:val="center"/>
              <w:rPr>
                <w:rFonts w:cs="宋体"/>
                <w:bCs/>
                <w:kern w:val="2"/>
              </w:rPr>
            </w:pPr>
            <w:bookmarkStart w:id="29" w:name="_Hlk49796138"/>
            <w:r>
              <w:rPr>
                <w:rFonts w:hint="eastAsia" w:cs="宋体"/>
                <w:bCs/>
                <w:spacing w:val="10"/>
                <w:kern w:val="2"/>
              </w:rPr>
              <w:t>施工期生态环境影响分析</w:t>
            </w:r>
            <w:bookmarkEnd w:id="29"/>
          </w:p>
        </w:tc>
        <w:tc>
          <w:tcPr>
            <w:tcW w:w="8369" w:type="dxa"/>
          </w:tcPr>
          <w:p>
            <w:pPr>
              <w:numPr>
                <w:ilvl w:val="0"/>
                <w:numId w:val="8"/>
              </w:numPr>
              <w:adjustRightInd w:val="0"/>
              <w:snapToGrid w:val="0"/>
              <w:spacing w:line="520" w:lineRule="exact"/>
              <w:ind w:firstLine="482"/>
              <w:rPr>
                <w:b/>
                <w:bCs/>
                <w:sz w:val="24"/>
              </w:rPr>
            </w:pPr>
            <w:r>
              <w:rPr>
                <w:rFonts w:hint="eastAsia"/>
                <w:b/>
                <w:bCs/>
                <w:sz w:val="24"/>
              </w:rPr>
              <w:t>施工期生态环境影响</w:t>
            </w:r>
          </w:p>
          <w:p>
            <w:pPr>
              <w:spacing w:line="520" w:lineRule="exact"/>
              <w:ind w:firstLine="480" w:firstLineChars="200"/>
              <w:rPr>
                <w:sz w:val="24"/>
              </w:rPr>
            </w:pPr>
            <w:r>
              <w:rPr>
                <w:rFonts w:hint="eastAsia"/>
                <w:sz w:val="24"/>
              </w:rPr>
              <w:t>本项目施工期生态影响过程环节主要包括：（1）施工永久占地、临时占地对地表植被的影响；（2）表土剥离、防风抑尘网的建设及厂区道路修建对土方开挖、堆放、调用等过程。</w:t>
            </w:r>
          </w:p>
          <w:p>
            <w:pPr>
              <w:spacing w:line="520" w:lineRule="exact"/>
              <w:ind w:firstLine="480" w:firstLineChars="200"/>
              <w:rPr>
                <w:sz w:val="24"/>
              </w:rPr>
            </w:pPr>
            <w:r>
              <w:rPr>
                <w:rFonts w:hint="eastAsia"/>
                <w:sz w:val="24"/>
              </w:rPr>
              <w:t>本项目永久占地范围原地表荒漠植被将被永久剥离，造成植被破坏、地表裸露。随着土方开挖堆放等，将产生地表扰动，若管理不善，将可能造成水土流失，进而破坏生态。</w:t>
            </w:r>
          </w:p>
          <w:p>
            <w:pPr>
              <w:spacing w:line="520" w:lineRule="exact"/>
              <w:ind w:firstLine="482" w:firstLineChars="200"/>
              <w:rPr>
                <w:b/>
                <w:bCs/>
                <w:sz w:val="24"/>
              </w:rPr>
            </w:pPr>
            <w:r>
              <w:rPr>
                <w:rFonts w:hint="eastAsia"/>
                <w:b/>
                <w:bCs/>
                <w:sz w:val="24"/>
              </w:rPr>
              <w:t>1.1 施工期对土壤的影响</w:t>
            </w:r>
          </w:p>
          <w:p>
            <w:pPr>
              <w:spacing w:line="520" w:lineRule="exact"/>
              <w:ind w:firstLine="480" w:firstLineChars="200"/>
              <w:rPr>
                <w:sz w:val="24"/>
              </w:rPr>
            </w:pPr>
            <w:r>
              <w:rPr>
                <w:rFonts w:hint="eastAsia"/>
                <w:sz w:val="24"/>
              </w:rPr>
              <w:t>项目临时占地主要为施工人员活动，施工机械辗轧，施工材料堆放，施工料场开挖，施工临时设施建设，施工场地平整所占用的场地。施工生产生活区占地性质为</w:t>
            </w:r>
            <w:r>
              <w:rPr>
                <w:rFonts w:hint="eastAsia"/>
                <w:sz w:val="24"/>
                <w:lang w:val="zh-CN"/>
              </w:rPr>
              <w:t>裸地</w:t>
            </w:r>
            <w:r>
              <w:rPr>
                <w:rFonts w:hint="eastAsia"/>
                <w:sz w:val="24"/>
              </w:rPr>
              <w:t>。随着临时占地范围人工、机械移动、土方转移等活动增加，范围内荒漠植被等将被踩踏、压埋等，植被生长将受到影响，长势变差等。弃土等的临时堆放，除在施工时期压埋临时占地范围草木植被外，若管理不善，将可能造成水土流失、扬尘等。</w:t>
            </w:r>
          </w:p>
          <w:p>
            <w:pPr>
              <w:spacing w:line="520" w:lineRule="exact"/>
              <w:ind w:firstLine="482" w:firstLineChars="200"/>
              <w:rPr>
                <w:b/>
                <w:bCs/>
                <w:sz w:val="24"/>
              </w:rPr>
            </w:pPr>
            <w:r>
              <w:rPr>
                <w:rFonts w:hint="eastAsia"/>
                <w:b/>
                <w:bCs/>
                <w:sz w:val="24"/>
              </w:rPr>
              <w:t>1.2 施工期对植被的影响</w:t>
            </w:r>
          </w:p>
          <w:p>
            <w:pPr>
              <w:spacing w:line="520" w:lineRule="exact"/>
              <w:ind w:firstLine="480" w:firstLineChars="200"/>
              <w:rPr>
                <w:sz w:val="24"/>
              </w:rPr>
            </w:pPr>
            <w:r>
              <w:rPr>
                <w:rFonts w:hint="eastAsia"/>
                <w:sz w:val="24"/>
              </w:rPr>
              <w:t>本项目会对地表扰动，会对植被造成一定的破坏，遇雨容易引起水土流失。为此，施工期应做好水土保持工作，项目竣工后做好相应的植被恢复工作。临时占地对植被的影响是暂时的，施工完成后其影响会逐渐减少，预计在1～2年后即可恢复。</w:t>
            </w:r>
          </w:p>
          <w:p>
            <w:pPr>
              <w:spacing w:line="520" w:lineRule="exact"/>
              <w:ind w:firstLine="482" w:firstLineChars="200"/>
              <w:rPr>
                <w:b/>
                <w:bCs/>
                <w:sz w:val="24"/>
              </w:rPr>
            </w:pPr>
            <w:r>
              <w:rPr>
                <w:rFonts w:hint="eastAsia"/>
                <w:b/>
                <w:bCs/>
                <w:sz w:val="24"/>
              </w:rPr>
              <w:t>1.3 施工对野生动物的影响</w:t>
            </w:r>
          </w:p>
          <w:p>
            <w:pPr>
              <w:spacing w:line="520" w:lineRule="exact"/>
              <w:ind w:firstLine="480" w:firstLineChars="200"/>
              <w:rPr>
                <w:sz w:val="24"/>
              </w:rPr>
            </w:pPr>
            <w:r>
              <w:rPr>
                <w:rFonts w:hint="eastAsia"/>
                <w:sz w:val="24"/>
              </w:rPr>
              <w:t>施工期对野生动物的主要影响因素有车辆运输、工程建设、施工场所临时占地和永久占地，这些施工行为可能会影响野生动物的栖息环境。施工单位应尽量缩短施工作业时间，严格限制施工范围，严禁施工人员捕杀野生动物。</w:t>
            </w:r>
          </w:p>
          <w:p>
            <w:pPr>
              <w:spacing w:line="520" w:lineRule="exact"/>
              <w:ind w:firstLine="482" w:firstLineChars="200"/>
              <w:rPr>
                <w:b/>
                <w:bCs/>
                <w:sz w:val="24"/>
              </w:rPr>
            </w:pPr>
            <w:r>
              <w:rPr>
                <w:rFonts w:hint="eastAsia"/>
                <w:b/>
                <w:bCs/>
                <w:sz w:val="24"/>
              </w:rPr>
              <w:t>1.4 水土流失的影响</w:t>
            </w:r>
          </w:p>
          <w:p>
            <w:pPr>
              <w:spacing w:line="520" w:lineRule="exact"/>
              <w:ind w:firstLine="480" w:firstLineChars="200"/>
              <w:rPr>
                <w:sz w:val="24"/>
              </w:rPr>
            </w:pPr>
            <w:r>
              <w:rPr>
                <w:rFonts w:hint="eastAsia"/>
                <w:sz w:val="24"/>
              </w:rPr>
              <w:t>工程开挖土方的临时堆放，弃土方的长期搁置都会引发水土流失，包括风蚀和水蚀。特别是在坡度较大的深挖地段，若弃方随意堆放，并在运营期长期留存，这些堆积土，由于土质疏松，土质较细，易被大风扬起沙尘或在暴雨期易产生水蚀，造成水土流失。</w:t>
            </w:r>
          </w:p>
          <w:p>
            <w:pPr>
              <w:pStyle w:val="21"/>
              <w:numPr>
                <w:ilvl w:val="0"/>
                <w:numId w:val="8"/>
              </w:numPr>
              <w:spacing w:line="520" w:lineRule="exact"/>
              <w:ind w:left="145" w:firstLine="482"/>
              <w:rPr>
                <w:b/>
                <w:bCs/>
                <w:sz w:val="24"/>
              </w:rPr>
            </w:pPr>
            <w:r>
              <w:rPr>
                <w:rFonts w:hint="eastAsia"/>
                <w:b/>
                <w:bCs/>
                <w:sz w:val="24"/>
              </w:rPr>
              <w:t>施工期大气环境影响分析</w:t>
            </w:r>
          </w:p>
          <w:p>
            <w:pPr>
              <w:spacing w:line="520" w:lineRule="exact"/>
              <w:ind w:firstLine="480" w:firstLineChars="200"/>
              <w:rPr>
                <w:sz w:val="24"/>
              </w:rPr>
            </w:pPr>
            <w:r>
              <w:rPr>
                <w:rFonts w:hint="eastAsia"/>
                <w:sz w:val="24"/>
              </w:rPr>
              <w:t>本项目施工期废气产生环节主要包括：</w:t>
            </w:r>
          </w:p>
          <w:p>
            <w:pPr>
              <w:spacing w:line="520" w:lineRule="exact"/>
              <w:ind w:firstLine="480" w:firstLineChars="200"/>
              <w:rPr>
                <w:sz w:val="24"/>
              </w:rPr>
            </w:pPr>
            <w:r>
              <w:rPr>
                <w:rFonts w:hint="eastAsia"/>
                <w:sz w:val="24"/>
              </w:rPr>
              <w:t>（1）施工扬尘，</w:t>
            </w:r>
            <w:r>
              <w:rPr>
                <w:sz w:val="24"/>
              </w:rPr>
              <w:t>场地平整、土方堆放和清运过程造成的扬尘；道路建设造成的扬尘；建筑材料运输、装卸、堆放的扬尘；运输车辆往来造成的扬尘；施工垃圾的堆放和清运过程造成的扬尘</w:t>
            </w:r>
            <w:r>
              <w:rPr>
                <w:rFonts w:hint="eastAsia"/>
                <w:sz w:val="24"/>
              </w:rPr>
              <w:t>；</w:t>
            </w:r>
          </w:p>
          <w:p>
            <w:pPr>
              <w:spacing w:line="520" w:lineRule="exact"/>
              <w:ind w:firstLine="480" w:firstLineChars="200"/>
              <w:rPr>
                <w:sz w:val="24"/>
              </w:rPr>
            </w:pPr>
            <w:r>
              <w:rPr>
                <w:rFonts w:hint="eastAsia"/>
                <w:sz w:val="24"/>
              </w:rPr>
              <w:t>（2）施工机械车辆等产生的尾气。</w:t>
            </w:r>
          </w:p>
          <w:p>
            <w:pPr>
              <w:spacing w:line="520" w:lineRule="exact"/>
              <w:ind w:firstLine="480" w:firstLineChars="200"/>
              <w:rPr>
                <w:sz w:val="24"/>
              </w:rPr>
            </w:pPr>
            <w:r>
              <w:rPr>
                <w:rFonts w:hint="eastAsia"/>
                <w:sz w:val="24"/>
              </w:rPr>
              <w:t>本项目施工废气排放特点为间歇性、局部性，且排放时间短，周围扩散条件好。总体而言，施工影响范围和影响程度较小。</w:t>
            </w:r>
          </w:p>
          <w:p>
            <w:pPr>
              <w:spacing w:line="520" w:lineRule="exact"/>
              <w:ind w:firstLine="482" w:firstLineChars="200"/>
              <w:rPr>
                <w:b/>
                <w:bCs/>
                <w:sz w:val="24"/>
              </w:rPr>
            </w:pPr>
            <w:r>
              <w:rPr>
                <w:rFonts w:hint="eastAsia"/>
                <w:b/>
                <w:bCs/>
                <w:sz w:val="24"/>
              </w:rPr>
              <w:t>3、施工期废水环境影响分析</w:t>
            </w:r>
          </w:p>
          <w:p>
            <w:pPr>
              <w:spacing w:line="520" w:lineRule="exact"/>
              <w:ind w:firstLine="480" w:firstLineChars="200"/>
              <w:rPr>
                <w:sz w:val="24"/>
              </w:rPr>
            </w:pPr>
            <w:r>
              <w:rPr>
                <w:rFonts w:hint="eastAsia"/>
                <w:sz w:val="24"/>
              </w:rPr>
              <w:t>施工期废污水来自基建施工人员排放的生活污水。全部排入环保厕所，待施工完毕后委托环卫部门清运。</w:t>
            </w:r>
          </w:p>
          <w:p>
            <w:pPr>
              <w:spacing w:line="520" w:lineRule="exact"/>
              <w:ind w:firstLine="482" w:firstLineChars="200"/>
              <w:rPr>
                <w:b/>
                <w:bCs/>
                <w:sz w:val="24"/>
              </w:rPr>
            </w:pPr>
            <w:r>
              <w:rPr>
                <w:rFonts w:hint="eastAsia"/>
                <w:b/>
                <w:bCs/>
                <w:sz w:val="24"/>
              </w:rPr>
              <w:t>4、施工期噪声环境影响分析</w:t>
            </w:r>
          </w:p>
          <w:p>
            <w:pPr>
              <w:spacing w:line="520" w:lineRule="exact"/>
              <w:ind w:firstLine="480" w:firstLineChars="200"/>
              <w:rPr>
                <w:sz w:val="24"/>
              </w:rPr>
            </w:pPr>
            <w:r>
              <w:rPr>
                <w:rFonts w:hint="eastAsia"/>
                <w:sz w:val="24"/>
              </w:rPr>
              <w:t>本项目施工期噪声产生环节主要包括施工机械设备运行噪声、运输车辆噪声等。施工区域无声环境敏感目标，施工噪声影响是短期的，施工结束后施工噪声自然消失。只要注意合理安排施工时间、施工场地、高噪声设备操作人员配备耳塞、耳罩等，是可以将施工噪声的影响减至最低的。</w:t>
            </w:r>
          </w:p>
          <w:p>
            <w:pPr>
              <w:adjustRightInd w:val="0"/>
              <w:snapToGrid w:val="0"/>
              <w:spacing w:line="400" w:lineRule="exact"/>
              <w:ind w:firstLine="482" w:firstLineChars="200"/>
              <w:rPr>
                <w:rFonts w:ascii="宋体" w:hAnsi="宋体" w:cs="宋体"/>
                <w:bCs/>
                <w:szCs w:val="21"/>
              </w:rPr>
            </w:pPr>
            <w:r>
              <w:rPr>
                <w:rFonts w:hint="eastAsia"/>
                <w:b/>
                <w:bCs/>
                <w:sz w:val="24"/>
              </w:rPr>
              <w:t>5、施工期固体废物环境影响分析</w:t>
            </w:r>
          </w:p>
          <w:p>
            <w:pPr>
              <w:widowControl/>
              <w:spacing w:line="520" w:lineRule="exact"/>
              <w:ind w:firstLine="480" w:firstLineChars="200"/>
              <w:rPr>
                <w:sz w:val="24"/>
              </w:rPr>
            </w:pPr>
            <w:r>
              <w:rPr>
                <w:rFonts w:hint="eastAsia"/>
                <w:sz w:val="24"/>
              </w:rPr>
              <w:t>施工期基础开挖产生的土石方，产生量较少，主要为运输道路修建及防风抑尘网的安装，因</w:t>
            </w:r>
            <w:r>
              <w:rPr>
                <w:rFonts w:hint="eastAsia" w:ascii="宋体" w:hAnsi="宋体" w:cs="宋体"/>
                <w:sz w:val="24"/>
              </w:rPr>
              <w:t>尽量减少临时占地面积；不可利用建筑垃圾应定点堆放和苫盖，定期拉运（篷布遮盖）至指定地点处置。</w:t>
            </w:r>
          </w:p>
          <w:p>
            <w:pPr>
              <w:pStyle w:val="21"/>
              <w:spacing w:line="520" w:lineRule="exact"/>
              <w:ind w:firstLine="480" w:firstLineChars="200"/>
              <w:rPr>
                <w:sz w:val="24"/>
              </w:rPr>
            </w:pPr>
            <w:r>
              <w:rPr>
                <w:rFonts w:hint="eastAsia"/>
                <w:sz w:val="24"/>
              </w:rPr>
              <w:t>施工期员工生活垃圾收集后及时清运至阜康市垃圾填埋场处理，不得随意抛洒。</w:t>
            </w:r>
          </w:p>
          <w:p>
            <w:pPr>
              <w:pStyle w:val="21"/>
              <w:spacing w:line="520" w:lineRule="exact"/>
              <w:ind w:firstLine="480" w:firstLineChars="200"/>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tcMar>
              <w:left w:w="28" w:type="dxa"/>
              <w:right w:w="28" w:type="dxa"/>
            </w:tcMar>
            <w:vAlign w:val="center"/>
          </w:tcPr>
          <w:p>
            <w:pPr>
              <w:pStyle w:val="28"/>
              <w:adjustRightInd w:val="0"/>
              <w:snapToGrid w:val="0"/>
              <w:spacing w:before="0" w:beforeAutospacing="0" w:after="0" w:afterAutospacing="0"/>
              <w:jc w:val="center"/>
              <w:rPr>
                <w:rFonts w:cs="宋体"/>
                <w:bCs/>
                <w:kern w:val="2"/>
              </w:rPr>
            </w:pPr>
            <w:r>
              <w:rPr>
                <w:rFonts w:hint="eastAsia" w:cs="宋体"/>
                <w:bCs/>
                <w:spacing w:val="10"/>
                <w:kern w:val="2"/>
              </w:rPr>
              <w:t>运营期生态环境影响分析</w:t>
            </w:r>
          </w:p>
        </w:tc>
        <w:tc>
          <w:tcPr>
            <w:tcW w:w="8369" w:type="dxa"/>
          </w:tcPr>
          <w:p>
            <w:pPr>
              <w:numPr>
                <w:ilvl w:val="0"/>
                <w:numId w:val="9"/>
              </w:numPr>
              <w:adjustRightInd w:val="0"/>
              <w:snapToGrid w:val="0"/>
              <w:spacing w:line="520" w:lineRule="exact"/>
              <w:ind w:firstLine="482" w:firstLineChars="200"/>
              <w:rPr>
                <w:b/>
                <w:bCs/>
                <w:sz w:val="24"/>
              </w:rPr>
            </w:pPr>
            <w:r>
              <w:rPr>
                <w:b/>
                <w:bCs/>
                <w:sz w:val="24"/>
              </w:rPr>
              <w:t>生态环境影响分析</w:t>
            </w:r>
          </w:p>
          <w:p>
            <w:pPr>
              <w:widowControl/>
              <w:spacing w:line="520" w:lineRule="exact"/>
              <w:ind w:firstLine="480" w:firstLineChars="200"/>
              <w:rPr>
                <w:sz w:val="24"/>
              </w:rPr>
            </w:pPr>
            <w:r>
              <w:rPr>
                <w:rFonts w:hint="eastAsia"/>
                <w:sz w:val="24"/>
              </w:rPr>
              <w:t>（1）对地表形态的影响</w:t>
            </w:r>
          </w:p>
          <w:p>
            <w:pPr>
              <w:widowControl/>
              <w:spacing w:line="520" w:lineRule="exact"/>
              <w:ind w:firstLine="480" w:firstLineChars="200"/>
              <w:rPr>
                <w:sz w:val="24"/>
              </w:rPr>
            </w:pPr>
            <w:r>
              <w:rPr>
                <w:sz w:val="24"/>
              </w:rPr>
              <w:t>结合矿区地形地势的总体特点及区域地质特点，在便于生产的前提下，</w:t>
            </w:r>
            <w:r>
              <w:rPr>
                <w:rFonts w:hint="eastAsia"/>
                <w:sz w:val="24"/>
              </w:rPr>
              <w:t>设计以装载机直接采挖为主要开采方式，工作线垂直矿体走向布置，</w:t>
            </w:r>
            <w:r>
              <w:rPr>
                <w:sz w:val="24"/>
              </w:rPr>
              <w:t>最小工作线长度50m，最小工作平台宽度30m，最终边坡角</w:t>
            </w:r>
            <w:r>
              <w:rPr>
                <w:rFonts w:hint="eastAsia"/>
                <w:sz w:val="24"/>
              </w:rPr>
              <w:t>≤</w:t>
            </w:r>
            <w:r>
              <w:rPr>
                <w:sz w:val="24"/>
              </w:rPr>
              <w:t>45°。</w:t>
            </w:r>
            <w:r>
              <w:rPr>
                <w:rFonts w:hint="eastAsia"/>
                <w:sz w:val="24"/>
              </w:rPr>
              <w:t>矿山开采标高为</w:t>
            </w:r>
            <w:r>
              <w:rPr>
                <w:sz w:val="24"/>
              </w:rPr>
              <w:t>655</w:t>
            </w:r>
            <w:r>
              <w:rPr>
                <w:rFonts w:hint="eastAsia"/>
                <w:sz w:val="24"/>
              </w:rPr>
              <w:t>~</w:t>
            </w:r>
            <w:r>
              <w:rPr>
                <w:sz w:val="24"/>
              </w:rPr>
              <w:t>620m</w:t>
            </w:r>
            <w:r>
              <w:rPr>
                <w:rFonts w:hint="eastAsia"/>
                <w:sz w:val="24"/>
              </w:rPr>
              <w:t>。本项目采取露天开采方式，需要剥离表土，将改变原地表形态，由原来的丘陵地貌变为平坦，改变区域地质结构和地层分布不明显。在阶段性开采结束后，将地表覆盖砂全部有序清运至露天采坑回填覆盖。</w:t>
            </w:r>
          </w:p>
          <w:p>
            <w:pPr>
              <w:widowControl/>
              <w:spacing w:line="520" w:lineRule="exact"/>
              <w:ind w:firstLine="480" w:firstLineChars="200"/>
              <w:rPr>
                <w:sz w:val="24"/>
              </w:rPr>
            </w:pPr>
            <w:r>
              <w:rPr>
                <w:rFonts w:hint="eastAsia"/>
                <w:sz w:val="24"/>
              </w:rPr>
              <w:t>（2）对土地利用类型的影响</w:t>
            </w:r>
          </w:p>
          <w:p>
            <w:pPr>
              <w:widowControl/>
              <w:spacing w:line="520" w:lineRule="exact"/>
              <w:ind w:firstLine="480" w:firstLineChars="200"/>
              <w:rPr>
                <w:sz w:val="24"/>
              </w:rPr>
            </w:pPr>
            <w:r>
              <w:rPr>
                <w:rFonts w:hint="eastAsia"/>
                <w:sz w:val="24"/>
              </w:rPr>
              <w:t>项目占地改变区域的用地性质，破坏原有植被，使局部生物量减少，对局部地表植物造成直接的破坏。</w:t>
            </w:r>
            <w:r>
              <w:rPr>
                <w:sz w:val="24"/>
              </w:rPr>
              <w:t>项目区位于</w:t>
            </w:r>
            <w:r>
              <w:rPr>
                <w:rFonts w:hint="eastAsia"/>
                <w:sz w:val="24"/>
              </w:rPr>
              <w:t>本</w:t>
            </w:r>
            <w:r>
              <w:rPr>
                <w:sz w:val="24"/>
              </w:rPr>
              <w:t>项目位于</w:t>
            </w:r>
            <w:r>
              <w:rPr>
                <w:rFonts w:hint="eastAsia"/>
                <w:sz w:val="24"/>
              </w:rPr>
              <w:t>阜康市北部准格尔盆地古尔班通古特沙漠东部，阜康市城区17°方位，距离阜康市直线距离78km处</w:t>
            </w:r>
            <w:r>
              <w:rPr>
                <w:sz w:val="24"/>
              </w:rPr>
              <w:t>，</w:t>
            </w:r>
            <w:r>
              <w:rPr>
                <w:rFonts w:hint="eastAsia"/>
                <w:sz w:val="24"/>
              </w:rPr>
              <w:t>土地利用类型为</w:t>
            </w:r>
            <w:r>
              <w:rPr>
                <w:rFonts w:hint="eastAsia"/>
                <w:sz w:val="24"/>
                <w:lang w:val="zh-CN"/>
              </w:rPr>
              <w:t>裸地</w:t>
            </w:r>
            <w:r>
              <w:rPr>
                <w:rFonts w:hint="eastAsia"/>
                <w:sz w:val="24"/>
              </w:rPr>
              <w:t>，采区和表土临时堆场对地表破坏较大，对土地的破坏比较彻底，短期内将使土地失去其原有使用功能，但通过表土回填、土地复垦基本可以恢复原有土地功能。矿区道路以及其他对土地的占用，对土地的破坏相对较轻，通过土地整治、复垦等可以恢复原土地功能，减少项目占用土地对生态的影响。</w:t>
            </w:r>
          </w:p>
          <w:p>
            <w:pPr>
              <w:widowControl/>
              <w:spacing w:line="520" w:lineRule="exact"/>
              <w:ind w:firstLine="480" w:firstLineChars="200"/>
              <w:rPr>
                <w:sz w:val="24"/>
              </w:rPr>
            </w:pPr>
            <w:r>
              <w:rPr>
                <w:rFonts w:hint="eastAsia"/>
                <w:sz w:val="24"/>
              </w:rPr>
              <w:t>（3）对植被的影响分析</w:t>
            </w:r>
          </w:p>
          <w:p>
            <w:pPr>
              <w:widowControl/>
              <w:spacing w:line="520" w:lineRule="exact"/>
              <w:ind w:firstLine="480" w:firstLineChars="200"/>
              <w:rPr>
                <w:sz w:val="24"/>
              </w:rPr>
            </w:pPr>
            <w:r>
              <w:rPr>
                <w:rFonts w:hint="eastAsia"/>
                <w:sz w:val="24"/>
              </w:rPr>
              <w:t>本项目矿区总占地面积2</w:t>
            </w:r>
            <w:r>
              <w:rPr>
                <w:sz w:val="24"/>
              </w:rPr>
              <w:t>.68</w:t>
            </w:r>
            <w:r>
              <w:rPr>
                <w:rFonts w:hint="eastAsia"/>
                <w:sz w:val="24"/>
              </w:rPr>
              <w:t>km</w:t>
            </w:r>
            <w:r>
              <w:rPr>
                <w:sz w:val="24"/>
                <w:vertAlign w:val="superscript"/>
              </w:rPr>
              <w:t>2</w:t>
            </w:r>
            <w:r>
              <w:rPr>
                <w:rFonts w:hint="eastAsia"/>
                <w:sz w:val="24"/>
              </w:rPr>
              <w:t>，其中露天采场占地面积</w:t>
            </w:r>
            <w:r>
              <w:rPr>
                <w:sz w:val="24"/>
              </w:rPr>
              <w:t>133.76</w:t>
            </w:r>
            <w:r>
              <w:rPr>
                <w:rFonts w:hint="eastAsia"/>
                <w:sz w:val="24"/>
              </w:rPr>
              <w:t>hm</w:t>
            </w:r>
            <w:r>
              <w:rPr>
                <w:sz w:val="24"/>
                <w:vertAlign w:val="superscript"/>
              </w:rPr>
              <w:t>2</w:t>
            </w:r>
            <w:r>
              <w:rPr>
                <w:rFonts w:hint="eastAsia"/>
                <w:sz w:val="24"/>
              </w:rPr>
              <w:t>，矿区道路4</w:t>
            </w:r>
            <w:r>
              <w:rPr>
                <w:sz w:val="24"/>
              </w:rPr>
              <w:t>.8</w:t>
            </w:r>
            <w:r>
              <w:rPr>
                <w:rFonts w:hint="eastAsia"/>
                <w:sz w:val="24"/>
              </w:rPr>
              <w:t>hm</w:t>
            </w:r>
            <w:r>
              <w:rPr>
                <w:sz w:val="24"/>
                <w:vertAlign w:val="superscript"/>
              </w:rPr>
              <w:t>2</w:t>
            </w:r>
            <w:r>
              <w:rPr>
                <w:rFonts w:hint="eastAsia"/>
                <w:sz w:val="24"/>
              </w:rPr>
              <w:t>，</w:t>
            </w:r>
            <w:r>
              <w:rPr>
                <w:sz w:val="24"/>
              </w:rPr>
              <w:t>区域内植被种类稀少，植被类型单一</w:t>
            </w:r>
            <w:r>
              <w:rPr>
                <w:rFonts w:hint="eastAsia"/>
                <w:sz w:val="24"/>
              </w:rPr>
              <w:t>。参照《中国石油新疆油田分公司准东采油厂彩南作业区环境影响后评价报告书》（项目区北侧1</w:t>
            </w:r>
            <w:r>
              <w:rPr>
                <w:sz w:val="24"/>
              </w:rPr>
              <w:t>5</w:t>
            </w:r>
            <w:r>
              <w:rPr>
                <w:rFonts w:hint="eastAsia"/>
                <w:sz w:val="24"/>
              </w:rPr>
              <w:t>km）现状调查资料，区域地表植被生物量约为520kg/hm</w:t>
            </w:r>
            <w:r>
              <w:rPr>
                <w:rFonts w:hint="eastAsia"/>
                <w:sz w:val="24"/>
                <w:vertAlign w:val="superscript"/>
              </w:rPr>
              <w:t>2</w:t>
            </w:r>
            <w:r>
              <w:rPr>
                <w:rFonts w:hint="eastAsia"/>
                <w:sz w:val="24"/>
              </w:rPr>
              <w:t>，本项目露天采场及矿区道路占地生物损失量约为</w:t>
            </w:r>
            <w:r>
              <w:rPr>
                <w:sz w:val="24"/>
              </w:rPr>
              <w:t>72.05</w:t>
            </w:r>
            <w:r>
              <w:rPr>
                <w:rFonts w:hint="eastAsia"/>
                <w:sz w:val="24"/>
              </w:rPr>
              <w:t>t。随着矿区开采活动的结束，矿区和表土临时堆场将进行绿化复垦作业，生产迹地范围内植被将逐渐得到恢复。</w:t>
            </w:r>
          </w:p>
          <w:p>
            <w:pPr>
              <w:widowControl/>
              <w:spacing w:line="520" w:lineRule="exact"/>
              <w:ind w:firstLine="480" w:firstLineChars="200"/>
              <w:rPr>
                <w:sz w:val="24"/>
              </w:rPr>
            </w:pPr>
            <w:r>
              <w:rPr>
                <w:rFonts w:hint="eastAsia"/>
                <w:sz w:val="24"/>
              </w:rPr>
              <w:t>（4）对动物的影响分析</w:t>
            </w:r>
          </w:p>
          <w:p>
            <w:pPr>
              <w:widowControl/>
              <w:spacing w:line="520" w:lineRule="exact"/>
              <w:ind w:firstLine="480" w:firstLineChars="200"/>
              <w:rPr>
                <w:sz w:val="24"/>
              </w:rPr>
            </w:pPr>
            <w:r>
              <w:rPr>
                <w:rFonts w:hint="eastAsia"/>
                <w:sz w:val="24"/>
              </w:rPr>
              <w:t>经现场调查，</w:t>
            </w:r>
            <w:r>
              <w:rPr>
                <w:sz w:val="24"/>
              </w:rPr>
              <w:t>项目区</w:t>
            </w:r>
            <w:r>
              <w:rPr>
                <w:rFonts w:hint="eastAsia"/>
                <w:sz w:val="24"/>
              </w:rPr>
              <w:t>野生动物种类分布较少，没有区域特有种类，但大型哺乳动物种类相对较多，区域内分布有鹅喉羚、狼、沙狐等种类，本次评价要求项目全过程严禁捕杀野生动物。</w:t>
            </w:r>
          </w:p>
          <w:p>
            <w:pPr>
              <w:widowControl/>
              <w:spacing w:line="520" w:lineRule="exact"/>
              <w:ind w:firstLine="480" w:firstLineChars="200"/>
              <w:rPr>
                <w:sz w:val="24"/>
              </w:rPr>
            </w:pPr>
            <w:r>
              <w:rPr>
                <w:rFonts w:hint="eastAsia"/>
                <w:sz w:val="24"/>
              </w:rPr>
              <w:t>矿区开采不可避免破坏动物的生存环境。矿区地表剥离直接导致以矿区地表植被或表土作为栖息地或觅食场所的野生动物生存环境的丧失，如鼠类、蚂蚁等。本项目周边区域环境与矿区环境相同，原来生活在矿区范围内的动物完全可以在周边区域找到替代生境。矿区开采结束后，所有生产迹地区域都将进行植被恢复，野生动物的隐蔽、觅食、繁殖等活动范围可得到一定程度的恢复和改善。因此，矿区的开采对野生动物的影响是暂时的，不会导致野生动物物种的消失，矿区开采活动结束后不利影响可逐渐得到一定程度的恢复。</w:t>
            </w:r>
          </w:p>
          <w:p>
            <w:pPr>
              <w:widowControl/>
              <w:spacing w:line="520" w:lineRule="exact"/>
              <w:ind w:firstLine="480" w:firstLineChars="200"/>
              <w:rPr>
                <w:sz w:val="24"/>
              </w:rPr>
            </w:pPr>
            <w:r>
              <w:rPr>
                <w:rFonts w:hint="eastAsia"/>
                <w:sz w:val="24"/>
              </w:rPr>
              <w:t>（5）景观生态的影响分析</w:t>
            </w:r>
          </w:p>
          <w:p>
            <w:pPr>
              <w:widowControl/>
              <w:spacing w:line="520" w:lineRule="exact"/>
              <w:ind w:firstLine="480" w:firstLineChars="200"/>
              <w:rPr>
                <w:sz w:val="24"/>
              </w:rPr>
            </w:pPr>
            <w:r>
              <w:rPr>
                <w:rFonts w:hint="eastAsia"/>
                <w:sz w:val="24"/>
              </w:rPr>
              <w:t>本项目采取露天开采形式，开采面积</w:t>
            </w:r>
            <w:r>
              <w:rPr>
                <w:sz w:val="24"/>
              </w:rPr>
              <w:t>133.76</w:t>
            </w:r>
            <w:r>
              <w:rPr>
                <w:rFonts w:hint="eastAsia"/>
                <w:sz w:val="24"/>
              </w:rPr>
              <w:t>hm</w:t>
            </w:r>
            <w:r>
              <w:rPr>
                <w:sz w:val="24"/>
                <w:vertAlign w:val="superscript"/>
              </w:rPr>
              <w:t>2</w:t>
            </w:r>
            <w:r>
              <w:rPr>
                <w:rFonts w:hint="eastAsia"/>
                <w:sz w:val="24"/>
              </w:rPr>
              <w:t>，开采标高</w:t>
            </w:r>
            <w:r>
              <w:rPr>
                <w:sz w:val="24"/>
              </w:rPr>
              <w:t>620</w:t>
            </w:r>
            <w:r>
              <w:rPr>
                <w:rFonts w:hint="eastAsia"/>
                <w:sz w:val="24"/>
              </w:rPr>
              <w:t>m至</w:t>
            </w:r>
            <w:r>
              <w:rPr>
                <w:sz w:val="24"/>
              </w:rPr>
              <w:t>655</w:t>
            </w:r>
            <w:r>
              <w:rPr>
                <w:rFonts w:hint="eastAsia"/>
                <w:sz w:val="24"/>
              </w:rPr>
              <w:t>m，矿山的开采将改变原地表形态。矿山的开采会对景观格局产生干扰破坏作用。剥离地表植被直接破坏地表植被，造成局部地表植被缺省，剥离区域原来的基质被破坏，退化为局部工矿用地斑块。矿山开采过程通过开挖矿石破坏局部山体骨架，山包或斜坡被削平为人造凹坑，形成切坡，进一步分割了绿地基质，同时对其它斑块数量和面积产生一定的冲击影响。</w:t>
            </w:r>
          </w:p>
          <w:p>
            <w:pPr>
              <w:widowControl/>
              <w:spacing w:line="520" w:lineRule="exact"/>
              <w:ind w:firstLine="480" w:firstLineChars="200"/>
              <w:rPr>
                <w:sz w:val="24"/>
              </w:rPr>
            </w:pPr>
            <w:r>
              <w:rPr>
                <w:rFonts w:hint="eastAsia"/>
                <w:sz w:val="24"/>
              </w:rPr>
              <w:t>总体来看，项目区生态评价范围地荒草地基质骤减，工矿用地斑块数量和面积增大，其它斑块数量和面积有所减少，工矿用地成为生态评价区域的主要干扰入侵斑块，引起生境破碎化程度加剧，矿山景观异质性程度降低，不利于当地景观生态体系的稳定。但是，项目占地范围有限，通过在开采过程中采取边开采边复垦方式，在闭矿期对占地区域进行植被恢复，可在一定程度上恢复原有基质，有助于恢复当地自然景观生态体系。</w:t>
            </w:r>
          </w:p>
          <w:p>
            <w:pPr>
              <w:widowControl/>
              <w:spacing w:line="520" w:lineRule="exact"/>
              <w:ind w:firstLine="480" w:firstLineChars="200"/>
              <w:rPr>
                <w:sz w:val="24"/>
              </w:rPr>
            </w:pPr>
            <w:r>
              <w:rPr>
                <w:rFonts w:hint="eastAsia"/>
                <w:sz w:val="24"/>
              </w:rPr>
              <w:t>（6）区域生态完整性的影响</w:t>
            </w:r>
          </w:p>
          <w:p>
            <w:pPr>
              <w:widowControl/>
              <w:spacing w:line="520" w:lineRule="exact"/>
              <w:ind w:firstLine="480" w:firstLineChars="200"/>
              <w:rPr>
                <w:sz w:val="24"/>
              </w:rPr>
            </w:pPr>
            <w:r>
              <w:rPr>
                <w:rFonts w:hint="eastAsia"/>
                <w:sz w:val="24"/>
              </w:rPr>
              <w:t>①恢复稳定性分析</w:t>
            </w:r>
          </w:p>
          <w:p>
            <w:pPr>
              <w:widowControl/>
              <w:spacing w:line="520" w:lineRule="exact"/>
              <w:ind w:firstLine="480" w:firstLineChars="200"/>
              <w:rPr>
                <w:sz w:val="24"/>
              </w:rPr>
            </w:pPr>
            <w:r>
              <w:rPr>
                <w:rFonts w:hint="eastAsia"/>
                <w:sz w:val="24"/>
              </w:rPr>
              <w:t>本项目工程占压、扰动原地貌、土地和植被将降低区域内的平均生物生产力。本工程采矿区规模小，工程开采期占压和扰动的土地面积小，因此评价区内因开采造成的生物生产力变化较小，总体上，区域生物生产力仍处于原有水平，对评价区景观生态体系恢复稳定性的影响较小，是评价区内自然体系可以承受的。在对矿区进行生态恢复和重建后，工程的生态影响还可以进一步降低。</w:t>
            </w:r>
          </w:p>
          <w:p>
            <w:pPr>
              <w:widowControl/>
              <w:spacing w:line="520" w:lineRule="exact"/>
              <w:ind w:firstLine="480" w:firstLineChars="200"/>
              <w:rPr>
                <w:sz w:val="24"/>
              </w:rPr>
            </w:pPr>
            <w:r>
              <w:rPr>
                <w:rFonts w:hint="eastAsia"/>
                <w:sz w:val="24"/>
              </w:rPr>
              <w:t>②阻抗稳定性分析</w:t>
            </w:r>
          </w:p>
          <w:p>
            <w:pPr>
              <w:widowControl/>
              <w:spacing w:line="520" w:lineRule="exact"/>
              <w:ind w:firstLine="480" w:firstLineChars="200"/>
              <w:rPr>
                <w:sz w:val="24"/>
              </w:rPr>
            </w:pPr>
            <w:r>
              <w:rPr>
                <w:sz w:val="24"/>
              </w:rPr>
              <w:t>1）生物多样性变化分析</w:t>
            </w:r>
          </w:p>
          <w:p>
            <w:pPr>
              <w:widowControl/>
              <w:spacing w:line="520" w:lineRule="exact"/>
              <w:ind w:firstLine="480" w:firstLineChars="200"/>
              <w:rPr>
                <w:sz w:val="24"/>
              </w:rPr>
            </w:pPr>
            <w:r>
              <w:rPr>
                <w:sz w:val="24"/>
              </w:rPr>
              <w:t>根据对现场踏勘调查分析，工程评价区域内无珍稀动植物资源集中分布区，本项目的建设不会对生物多样性产生影响。采矿区评价区域的土地利用方式将发生变化，但由于采矿区规模较小。影响范围有限，且评价区域内物种较单一，因此评价区内生物生境基本维持现状，物种数目不存在减少的可能，总体上生物多样性不会降低，对整个生态系统的稳定性影响较小。</w:t>
            </w:r>
          </w:p>
          <w:p>
            <w:pPr>
              <w:widowControl/>
              <w:spacing w:line="520" w:lineRule="exact"/>
              <w:ind w:firstLine="480" w:firstLineChars="200"/>
              <w:rPr>
                <w:sz w:val="24"/>
              </w:rPr>
            </w:pPr>
            <w:r>
              <w:rPr>
                <w:sz w:val="24"/>
              </w:rPr>
              <w:t>2）景观异质性变化分析</w:t>
            </w:r>
          </w:p>
          <w:p>
            <w:pPr>
              <w:widowControl/>
              <w:spacing w:line="520" w:lineRule="exact"/>
              <w:ind w:firstLine="480" w:firstLineChars="200"/>
              <w:rPr>
                <w:sz w:val="24"/>
              </w:rPr>
            </w:pPr>
            <w:r>
              <w:rPr>
                <w:sz w:val="24"/>
              </w:rPr>
              <w:t>由于采矿区部分的影响面积较小，尽管工程建设和运行会一定程度增加人工引进拼块的面积，但拼块变化很小，基本不会改变各类拼块总体异质化程度，对评价区景观生态系统的阻抗稳定性影响极小。</w:t>
            </w:r>
          </w:p>
          <w:p>
            <w:pPr>
              <w:widowControl/>
              <w:spacing w:line="520" w:lineRule="exact"/>
              <w:ind w:firstLine="480" w:firstLineChars="200"/>
              <w:rPr>
                <w:sz w:val="24"/>
              </w:rPr>
            </w:pPr>
            <w:r>
              <w:rPr>
                <w:sz w:val="24"/>
              </w:rPr>
              <w:t>根据上述生物多样性和景观异质性变化分析结果，本工程的建设、运行不会导致物种的丧失，景观异质化程度总体上改变也很小，人工引进拼块景观类型比例和镶嵌格局的改变对整个生态体系的稳定性不构成显著影响。因此，评价区景观生态体系阻抗稳定性仍将维持现状。</w:t>
            </w:r>
          </w:p>
          <w:p>
            <w:pPr>
              <w:widowControl/>
              <w:spacing w:line="520" w:lineRule="exact"/>
              <w:ind w:firstLine="480" w:firstLineChars="200"/>
              <w:rPr>
                <w:sz w:val="24"/>
              </w:rPr>
            </w:pPr>
            <w:r>
              <w:rPr>
                <w:rFonts w:hint="eastAsia"/>
                <w:sz w:val="24"/>
              </w:rPr>
              <w:t>（7）边坡失稳影响分析</w:t>
            </w:r>
          </w:p>
          <w:p>
            <w:pPr>
              <w:widowControl/>
              <w:spacing w:line="520" w:lineRule="exact"/>
              <w:ind w:firstLine="480" w:firstLineChars="200"/>
              <w:rPr>
                <w:sz w:val="24"/>
              </w:rPr>
            </w:pPr>
            <w:r>
              <w:rPr>
                <w:rFonts w:hint="eastAsia"/>
                <w:sz w:val="24"/>
              </w:rPr>
              <w:t>经现场踏勘，矿区范围及周边未发现滑坡、崩塌、泥石流、地面塌陷等不良地质现象，现状稳定。矿区采矿后，形成的边坡可能产生局部岩体滑移、崩塌掉块现象，边坡失稳的可能性中等-大，损失小，危险性小-中等。</w:t>
            </w:r>
          </w:p>
          <w:p>
            <w:pPr>
              <w:widowControl/>
              <w:spacing w:line="520" w:lineRule="exact"/>
              <w:ind w:firstLine="480" w:firstLineChars="200"/>
              <w:rPr>
                <w:sz w:val="24"/>
              </w:rPr>
            </w:pPr>
            <w:r>
              <w:rPr>
                <w:rFonts w:hint="eastAsia"/>
                <w:sz w:val="24"/>
              </w:rPr>
              <w:t>矿山采用露天机械式开采方式，受机械开挖等生产活动的影响，在生产过程中会形成一些边坡。露天采矿活动自身是一种对原岩的破坏，暴露的边坡岩体较破碎，并易产生此生裂隙，破坏岩体的完整性。矿山边坡失稳的最大危害是诱发矿山地质灾害，危害人民生命财产安全。由于矿山水文地质、工程地质条件较好。矿山采用台阶式开采方式，露采边坡高度不大，矿山开采对边坡的稳固性基本不产生大的影响。</w:t>
            </w:r>
          </w:p>
          <w:p>
            <w:pPr>
              <w:adjustRightInd w:val="0"/>
              <w:snapToGrid w:val="0"/>
              <w:spacing w:line="520" w:lineRule="exact"/>
              <w:ind w:firstLine="480" w:firstLineChars="200"/>
              <w:rPr>
                <w:kern w:val="0"/>
                <w:sz w:val="24"/>
              </w:rPr>
            </w:pPr>
            <w:r>
              <w:rPr>
                <w:rFonts w:hint="eastAsia"/>
                <w:kern w:val="0"/>
                <w:sz w:val="24"/>
              </w:rPr>
              <w:t>（8）防沙治沙影响分析与评价</w:t>
            </w:r>
          </w:p>
          <w:p>
            <w:pPr>
              <w:adjustRightInd w:val="0"/>
              <w:snapToGrid w:val="0"/>
              <w:spacing w:line="520" w:lineRule="exact"/>
              <w:ind w:firstLine="480" w:firstLineChars="200"/>
              <w:rPr>
                <w:kern w:val="0"/>
                <w:sz w:val="24"/>
              </w:rPr>
            </w:pPr>
            <w:r>
              <w:rPr>
                <w:rFonts w:hint="eastAsia"/>
                <w:kern w:val="0"/>
                <w:sz w:val="24"/>
              </w:rPr>
              <w:fldChar w:fldCharType="begin"/>
            </w:r>
            <w:r>
              <w:rPr>
                <w:rFonts w:hint="eastAsia"/>
                <w:kern w:val="0"/>
                <w:sz w:val="24"/>
              </w:rPr>
              <w:instrText xml:space="preserve"> = 1 \* GB3 \* MERGEFORMAT </w:instrText>
            </w:r>
            <w:r>
              <w:rPr>
                <w:rFonts w:hint="eastAsia"/>
                <w:kern w:val="0"/>
                <w:sz w:val="24"/>
              </w:rPr>
              <w:fldChar w:fldCharType="separate"/>
            </w:r>
            <w:r>
              <w:rPr>
                <w:rFonts w:hint="eastAsia" w:ascii="宋体" w:hAnsi="宋体" w:cs="宋体"/>
                <w:kern w:val="0"/>
                <w:sz w:val="24"/>
              </w:rPr>
              <w:t>①</w:t>
            </w:r>
            <w:r>
              <w:rPr>
                <w:rFonts w:hint="eastAsia"/>
                <w:kern w:val="0"/>
                <w:sz w:val="24"/>
              </w:rPr>
              <w:fldChar w:fldCharType="end"/>
            </w:r>
            <w:r>
              <w:rPr>
                <w:rFonts w:hint="eastAsia"/>
                <w:kern w:val="0"/>
                <w:sz w:val="24"/>
              </w:rPr>
              <w:t>弃土、石、渣地等对当地土地沙化和沙尘天气的影响</w:t>
            </w:r>
          </w:p>
          <w:p>
            <w:pPr>
              <w:adjustRightInd w:val="0"/>
              <w:snapToGrid w:val="0"/>
              <w:spacing w:line="520" w:lineRule="exact"/>
              <w:ind w:firstLine="480" w:firstLineChars="200"/>
              <w:rPr>
                <w:kern w:val="0"/>
                <w:sz w:val="24"/>
              </w:rPr>
            </w:pPr>
            <w:r>
              <w:rPr>
                <w:rFonts w:hint="eastAsia"/>
                <w:kern w:val="0"/>
                <w:sz w:val="24"/>
              </w:rPr>
              <w:t>项目建设过程中对原地貌的扰动将降低项目占地范围内的土壤抗侵蚀能力，造成土地沙化；此外，由于项目地处内陆地区，风沙较大，空气干燥，加上地表植被覆盖度低，若项目产品及表土堆存过程中未采取防尘网苫盖、洒水抑尘等措施，地表沙化的土壤及废土、废渣遇大风天气易产生严重的扬尘，形成沙尘天气。</w:t>
            </w:r>
          </w:p>
          <w:p>
            <w:pPr>
              <w:adjustRightInd w:val="0"/>
              <w:snapToGrid w:val="0"/>
              <w:spacing w:line="520" w:lineRule="exact"/>
              <w:ind w:firstLine="480" w:firstLineChars="200"/>
              <w:rPr>
                <w:kern w:val="0"/>
                <w:sz w:val="24"/>
              </w:rPr>
            </w:pPr>
            <w:r>
              <w:rPr>
                <w:rFonts w:hint="eastAsia"/>
                <w:kern w:val="0"/>
                <w:sz w:val="24"/>
              </w:rPr>
              <w:fldChar w:fldCharType="begin"/>
            </w:r>
            <w:r>
              <w:rPr>
                <w:rFonts w:hint="eastAsia"/>
                <w:kern w:val="0"/>
                <w:sz w:val="24"/>
              </w:rPr>
              <w:instrText xml:space="preserve"> = 2 \* GB3 \* MERGEFORMAT </w:instrText>
            </w:r>
            <w:r>
              <w:rPr>
                <w:rFonts w:hint="eastAsia"/>
                <w:kern w:val="0"/>
                <w:sz w:val="24"/>
              </w:rPr>
              <w:fldChar w:fldCharType="separate"/>
            </w:r>
            <w:r>
              <w:rPr>
                <w:rFonts w:hint="eastAsia" w:ascii="宋体" w:hAnsi="宋体" w:cs="宋体"/>
                <w:kern w:val="0"/>
                <w:sz w:val="24"/>
              </w:rPr>
              <w:t>②</w:t>
            </w:r>
            <w:r>
              <w:rPr>
                <w:rFonts w:hint="eastAsia"/>
                <w:kern w:val="0"/>
                <w:sz w:val="24"/>
              </w:rPr>
              <w:fldChar w:fldCharType="end"/>
            </w:r>
            <w:r>
              <w:rPr>
                <w:rFonts w:hint="eastAsia"/>
                <w:kern w:val="0"/>
                <w:sz w:val="24"/>
              </w:rPr>
              <w:t>损坏的防沙治沙设施（包括生物、物理或化学固沙等措施）</w:t>
            </w:r>
          </w:p>
          <w:p>
            <w:pPr>
              <w:adjustRightInd w:val="0"/>
              <w:snapToGrid w:val="0"/>
              <w:spacing w:line="520" w:lineRule="exact"/>
              <w:ind w:firstLine="480" w:firstLineChars="200"/>
              <w:rPr>
                <w:kern w:val="0"/>
                <w:sz w:val="24"/>
              </w:rPr>
            </w:pPr>
            <w:r>
              <w:rPr>
                <w:rFonts w:hint="eastAsia"/>
                <w:kern w:val="0"/>
                <w:sz w:val="24"/>
              </w:rPr>
              <w:t>本项目占地主要为沙漠荒地，占地范围均不涉及已建设的防沙治沙设施。</w:t>
            </w:r>
          </w:p>
          <w:p>
            <w:pPr>
              <w:adjustRightInd w:val="0"/>
              <w:snapToGrid w:val="0"/>
              <w:spacing w:line="520" w:lineRule="exact"/>
              <w:ind w:firstLine="480" w:firstLineChars="200"/>
              <w:rPr>
                <w:kern w:val="0"/>
                <w:sz w:val="24"/>
              </w:rPr>
            </w:pPr>
            <w:r>
              <w:rPr>
                <w:rFonts w:hint="eastAsia"/>
                <w:kern w:val="0"/>
                <w:sz w:val="24"/>
              </w:rPr>
              <w:fldChar w:fldCharType="begin"/>
            </w:r>
            <w:r>
              <w:rPr>
                <w:rFonts w:hint="eastAsia"/>
                <w:kern w:val="0"/>
                <w:sz w:val="24"/>
              </w:rPr>
              <w:instrText xml:space="preserve"> = 3 \* GB3 \* MERGEFORMAT </w:instrText>
            </w:r>
            <w:r>
              <w:rPr>
                <w:rFonts w:hint="eastAsia"/>
                <w:kern w:val="0"/>
                <w:sz w:val="24"/>
              </w:rPr>
              <w:fldChar w:fldCharType="separate"/>
            </w:r>
            <w:r>
              <w:rPr>
                <w:rFonts w:hint="eastAsia" w:ascii="宋体" w:hAnsi="宋体" w:cs="宋体"/>
                <w:kern w:val="0"/>
                <w:sz w:val="24"/>
              </w:rPr>
              <w:t>③</w:t>
            </w:r>
            <w:r>
              <w:rPr>
                <w:rFonts w:hint="eastAsia"/>
                <w:kern w:val="0"/>
                <w:sz w:val="24"/>
              </w:rPr>
              <w:fldChar w:fldCharType="end"/>
            </w:r>
            <w:r>
              <w:rPr>
                <w:rFonts w:hint="eastAsia"/>
                <w:kern w:val="0"/>
                <w:sz w:val="24"/>
              </w:rPr>
              <w:t>可能造成的土地沙化和沙尘等生态危害</w:t>
            </w:r>
          </w:p>
          <w:p>
            <w:pPr>
              <w:adjustRightInd w:val="0"/>
              <w:snapToGrid w:val="0"/>
              <w:spacing w:line="520" w:lineRule="exact"/>
              <w:ind w:firstLine="480" w:firstLineChars="200"/>
              <w:rPr>
                <w:kern w:val="0"/>
                <w:sz w:val="24"/>
              </w:rPr>
            </w:pPr>
            <w:r>
              <w:rPr>
                <w:rFonts w:hint="eastAsia"/>
                <w:kern w:val="0"/>
                <w:sz w:val="24"/>
              </w:rPr>
              <w:t>项目建设过程中对原有地表土壤造成扰动，造成地表原有结构的破坏，可能导致土壤的蓄水保肥能力降低，影响区域植被生长，造成傻话进一步加剧。此外，在施工过程中，各种车辆在荒漠上行驶将使经过的土壤变紧实，严重的经过多次碾压后植物很难再生长。</w:t>
            </w:r>
          </w:p>
          <w:p>
            <w:pPr>
              <w:adjustRightInd w:val="0"/>
              <w:snapToGrid w:val="0"/>
              <w:spacing w:line="520" w:lineRule="exact"/>
              <w:ind w:firstLine="480" w:firstLineChars="200"/>
              <w:rPr>
                <w:kern w:val="0"/>
                <w:sz w:val="24"/>
              </w:rPr>
            </w:pPr>
            <w:r>
              <w:rPr>
                <w:rFonts w:hint="eastAsia"/>
                <w:kern w:val="0"/>
                <w:sz w:val="24"/>
              </w:rPr>
              <w:t>上述施工作业过程中，对原地貌的扰动大大降低了项目占地范围内的土壤抗侵蚀能力，若未采取相应的防护措施，遇大风天气，极易加重区域沙尘天气。</w:t>
            </w:r>
          </w:p>
          <w:p>
            <w:pPr>
              <w:numPr>
                <w:ilvl w:val="0"/>
                <w:numId w:val="9"/>
              </w:numPr>
              <w:adjustRightInd w:val="0"/>
              <w:snapToGrid w:val="0"/>
              <w:spacing w:line="520" w:lineRule="exact"/>
              <w:ind w:firstLine="482" w:firstLineChars="200"/>
              <w:rPr>
                <w:b/>
                <w:bCs/>
                <w:sz w:val="24"/>
              </w:rPr>
            </w:pPr>
            <w:r>
              <w:rPr>
                <w:b/>
                <w:bCs/>
                <w:sz w:val="24"/>
              </w:rPr>
              <w:t>大气环境影响分析</w:t>
            </w:r>
          </w:p>
          <w:p>
            <w:pPr>
              <w:adjustRightInd w:val="0"/>
              <w:snapToGrid w:val="0"/>
              <w:spacing w:line="520" w:lineRule="exact"/>
              <w:ind w:firstLine="480" w:firstLineChars="200"/>
              <w:rPr>
                <w:sz w:val="24"/>
              </w:rPr>
            </w:pPr>
            <w:r>
              <w:rPr>
                <w:sz w:val="24"/>
              </w:rPr>
              <w:t>本项目营运期废气污染源主要来自于</w:t>
            </w:r>
            <w:r>
              <w:rPr>
                <w:rFonts w:hint="eastAsia"/>
                <w:sz w:val="24"/>
              </w:rPr>
              <w:t>开采产生的粉尘，</w:t>
            </w:r>
            <w:r>
              <w:rPr>
                <w:sz w:val="24"/>
              </w:rPr>
              <w:t>装卸工段产生的粉尘，堆场在大风天气下产生的扬尘</w:t>
            </w:r>
            <w:r>
              <w:rPr>
                <w:rFonts w:hint="eastAsia"/>
                <w:sz w:val="24"/>
              </w:rPr>
              <w:t>，</w:t>
            </w:r>
            <w:r>
              <w:rPr>
                <w:sz w:val="24"/>
              </w:rPr>
              <w:t>机械燃油废气以及道路运输扬尘、产品运输车辆扬尘等。</w:t>
            </w:r>
          </w:p>
          <w:p>
            <w:pPr>
              <w:adjustRightInd w:val="0"/>
              <w:snapToGrid w:val="0"/>
              <w:spacing w:line="520" w:lineRule="exact"/>
              <w:ind w:firstLine="482" w:firstLineChars="200"/>
              <w:rPr>
                <w:b/>
                <w:bCs/>
                <w:sz w:val="24"/>
              </w:rPr>
            </w:pPr>
            <w:r>
              <w:rPr>
                <w:rFonts w:hint="eastAsia"/>
                <w:b/>
                <w:bCs/>
                <w:sz w:val="24"/>
              </w:rPr>
              <w:t>2</w:t>
            </w:r>
            <w:r>
              <w:rPr>
                <w:b/>
                <w:bCs/>
                <w:sz w:val="24"/>
              </w:rPr>
              <w:t>.1</w:t>
            </w:r>
            <w:r>
              <w:rPr>
                <w:rFonts w:hint="eastAsia"/>
                <w:b/>
                <w:bCs/>
                <w:sz w:val="24"/>
              </w:rPr>
              <w:t>开采</w:t>
            </w:r>
            <w:r>
              <w:rPr>
                <w:b/>
                <w:bCs/>
                <w:sz w:val="24"/>
              </w:rPr>
              <w:t>粉尘</w:t>
            </w:r>
          </w:p>
          <w:p>
            <w:pPr>
              <w:adjustRightInd w:val="0"/>
              <w:snapToGrid w:val="0"/>
              <w:spacing w:line="520" w:lineRule="exact"/>
              <w:ind w:firstLine="480" w:firstLineChars="200"/>
              <w:rPr>
                <w:rStyle w:val="35"/>
                <w:kern w:val="0"/>
                <w:sz w:val="24"/>
                <w:szCs w:val="32"/>
              </w:rPr>
            </w:pPr>
            <w:r>
              <w:rPr>
                <w:rFonts w:hint="eastAsia"/>
                <w:sz w:val="24"/>
              </w:rPr>
              <w:t>本项目用铲车将采剥下来的石英砂直接通过装载机装车、表土运送至临时堆场存放，该过程会产生一定量的粉尘，</w:t>
            </w:r>
            <w:r>
              <w:rPr>
                <w:sz w:val="24"/>
              </w:rPr>
              <w:t>根据</w:t>
            </w:r>
            <w:r>
              <w:rPr>
                <w:rFonts w:hint="eastAsia"/>
                <w:sz w:val="24"/>
              </w:rPr>
              <w:t>《排放源统计调查产排污核算方法和系数手册（2021年版）》中1019粘土及其他土砂石开采行业系数手册</w:t>
            </w:r>
            <w:r>
              <w:rPr>
                <w:rStyle w:val="35"/>
                <w:rFonts w:hint="eastAsia"/>
                <w:kern w:val="0"/>
                <w:sz w:val="24"/>
                <w:szCs w:val="32"/>
              </w:rPr>
              <w:t>计算本项目颗粒物产生情况。</w:t>
            </w:r>
          </w:p>
          <w:p>
            <w:pPr>
              <w:pStyle w:val="36"/>
              <w:jc w:val="center"/>
              <w:rPr>
                <w:rFonts w:ascii="Times New Roman" w:eastAsia="黑体"/>
                <w:color w:val="auto"/>
              </w:rPr>
            </w:pPr>
            <w:r>
              <w:rPr>
                <w:rFonts w:ascii="Times New Roman" w:eastAsia="黑体"/>
                <w:color w:val="auto"/>
              </w:rPr>
              <w:t>表4-1    产污系数表</w:t>
            </w:r>
          </w:p>
          <w:tbl>
            <w:tblPr>
              <w:tblStyle w:val="31"/>
              <w:tblW w:w="815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86"/>
              <w:gridCol w:w="1100"/>
              <w:gridCol w:w="1136"/>
              <w:gridCol w:w="1182"/>
              <w:gridCol w:w="714"/>
              <w:gridCol w:w="890"/>
              <w:gridCol w:w="932"/>
              <w:gridCol w:w="111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86" w:type="dxa"/>
                  <w:vAlign w:val="center"/>
                </w:tcPr>
                <w:p>
                  <w:pPr>
                    <w:adjustRightInd w:val="0"/>
                    <w:snapToGrid w:val="0"/>
                    <w:jc w:val="center"/>
                    <w:rPr>
                      <w:rStyle w:val="35"/>
                      <w:kern w:val="0"/>
                    </w:rPr>
                  </w:pPr>
                  <w:r>
                    <w:rPr>
                      <w:rStyle w:val="35"/>
                      <w:rFonts w:hint="eastAsia"/>
                      <w:kern w:val="0"/>
                    </w:rPr>
                    <w:t>工段名称</w:t>
                  </w:r>
                </w:p>
              </w:tc>
              <w:tc>
                <w:tcPr>
                  <w:tcW w:w="1100" w:type="dxa"/>
                  <w:vAlign w:val="center"/>
                </w:tcPr>
                <w:p>
                  <w:pPr>
                    <w:adjustRightInd w:val="0"/>
                    <w:snapToGrid w:val="0"/>
                    <w:jc w:val="center"/>
                    <w:rPr>
                      <w:rStyle w:val="35"/>
                      <w:kern w:val="0"/>
                    </w:rPr>
                  </w:pPr>
                  <w:r>
                    <w:rPr>
                      <w:rStyle w:val="35"/>
                      <w:rFonts w:hint="eastAsia"/>
                      <w:kern w:val="0"/>
                    </w:rPr>
                    <w:t>产品名称</w:t>
                  </w:r>
                </w:p>
              </w:tc>
              <w:tc>
                <w:tcPr>
                  <w:tcW w:w="1136" w:type="dxa"/>
                  <w:vAlign w:val="center"/>
                </w:tcPr>
                <w:p>
                  <w:pPr>
                    <w:adjustRightInd w:val="0"/>
                    <w:snapToGrid w:val="0"/>
                    <w:jc w:val="center"/>
                    <w:rPr>
                      <w:rStyle w:val="35"/>
                      <w:kern w:val="0"/>
                    </w:rPr>
                  </w:pPr>
                  <w:r>
                    <w:rPr>
                      <w:rStyle w:val="35"/>
                      <w:rFonts w:hint="eastAsia"/>
                      <w:kern w:val="0"/>
                    </w:rPr>
                    <w:t>工艺名称</w:t>
                  </w:r>
                </w:p>
              </w:tc>
              <w:tc>
                <w:tcPr>
                  <w:tcW w:w="1182" w:type="dxa"/>
                  <w:vAlign w:val="center"/>
                </w:tcPr>
                <w:p>
                  <w:pPr>
                    <w:adjustRightInd w:val="0"/>
                    <w:snapToGrid w:val="0"/>
                    <w:jc w:val="center"/>
                    <w:rPr>
                      <w:rStyle w:val="35"/>
                      <w:kern w:val="0"/>
                    </w:rPr>
                  </w:pPr>
                  <w:r>
                    <w:rPr>
                      <w:rStyle w:val="35"/>
                      <w:rFonts w:hint="eastAsia"/>
                      <w:kern w:val="0"/>
                    </w:rPr>
                    <w:t>规模等级</w:t>
                  </w:r>
                </w:p>
              </w:tc>
              <w:tc>
                <w:tcPr>
                  <w:tcW w:w="1604" w:type="dxa"/>
                  <w:gridSpan w:val="2"/>
                  <w:vAlign w:val="center"/>
                </w:tcPr>
                <w:p>
                  <w:pPr>
                    <w:adjustRightInd w:val="0"/>
                    <w:snapToGrid w:val="0"/>
                    <w:jc w:val="center"/>
                    <w:rPr>
                      <w:rStyle w:val="35"/>
                      <w:kern w:val="0"/>
                    </w:rPr>
                  </w:pPr>
                  <w:r>
                    <w:rPr>
                      <w:rStyle w:val="35"/>
                      <w:rFonts w:hint="eastAsia"/>
                      <w:kern w:val="0"/>
                    </w:rPr>
                    <w:t>污染物指标</w:t>
                  </w:r>
                </w:p>
              </w:tc>
              <w:tc>
                <w:tcPr>
                  <w:tcW w:w="932" w:type="dxa"/>
                  <w:vAlign w:val="center"/>
                </w:tcPr>
                <w:p>
                  <w:pPr>
                    <w:adjustRightInd w:val="0"/>
                    <w:snapToGrid w:val="0"/>
                    <w:jc w:val="center"/>
                    <w:rPr>
                      <w:rStyle w:val="35"/>
                      <w:kern w:val="0"/>
                    </w:rPr>
                  </w:pPr>
                  <w:r>
                    <w:rPr>
                      <w:rStyle w:val="35"/>
                      <w:rFonts w:hint="eastAsia"/>
                      <w:kern w:val="0"/>
                    </w:rPr>
                    <w:t>单位</w:t>
                  </w:r>
                </w:p>
              </w:tc>
              <w:tc>
                <w:tcPr>
                  <w:tcW w:w="1110" w:type="dxa"/>
                  <w:vAlign w:val="center"/>
                </w:tcPr>
                <w:p>
                  <w:pPr>
                    <w:adjustRightInd w:val="0"/>
                    <w:snapToGrid w:val="0"/>
                    <w:jc w:val="center"/>
                    <w:rPr>
                      <w:rStyle w:val="35"/>
                      <w:kern w:val="0"/>
                    </w:rPr>
                  </w:pPr>
                  <w:r>
                    <w:rPr>
                      <w:rStyle w:val="35"/>
                      <w:rFonts w:hint="eastAsia"/>
                      <w:kern w:val="0"/>
                    </w:rPr>
                    <w:t>产污系数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086" w:type="dxa"/>
                  <w:vAlign w:val="center"/>
                </w:tcPr>
                <w:p>
                  <w:pPr>
                    <w:adjustRightInd w:val="0"/>
                    <w:snapToGrid w:val="0"/>
                    <w:jc w:val="center"/>
                    <w:rPr>
                      <w:rStyle w:val="35"/>
                      <w:kern w:val="0"/>
                    </w:rPr>
                  </w:pPr>
                  <w:r>
                    <w:rPr>
                      <w:rStyle w:val="35"/>
                      <w:rFonts w:hint="eastAsia"/>
                      <w:kern w:val="0"/>
                    </w:rPr>
                    <w:t>开采</w:t>
                  </w:r>
                </w:p>
              </w:tc>
              <w:tc>
                <w:tcPr>
                  <w:tcW w:w="1100" w:type="dxa"/>
                  <w:vAlign w:val="center"/>
                </w:tcPr>
                <w:p>
                  <w:pPr>
                    <w:adjustRightInd w:val="0"/>
                    <w:snapToGrid w:val="0"/>
                    <w:jc w:val="center"/>
                    <w:rPr>
                      <w:rStyle w:val="35"/>
                      <w:kern w:val="0"/>
                    </w:rPr>
                  </w:pPr>
                  <w:r>
                    <w:rPr>
                      <w:rStyle w:val="35"/>
                      <w:rFonts w:hint="eastAsia"/>
                      <w:kern w:val="0"/>
                    </w:rPr>
                    <w:t>硅砂</w:t>
                  </w:r>
                </w:p>
              </w:tc>
              <w:tc>
                <w:tcPr>
                  <w:tcW w:w="1136" w:type="dxa"/>
                  <w:vAlign w:val="center"/>
                </w:tcPr>
                <w:p>
                  <w:pPr>
                    <w:adjustRightInd w:val="0"/>
                    <w:snapToGrid w:val="0"/>
                    <w:jc w:val="center"/>
                    <w:rPr>
                      <w:rStyle w:val="35"/>
                      <w:kern w:val="0"/>
                    </w:rPr>
                  </w:pPr>
                  <w:r>
                    <w:rPr>
                      <w:rStyle w:val="35"/>
                      <w:rFonts w:hint="eastAsia"/>
                      <w:kern w:val="0"/>
                    </w:rPr>
                    <w:t>露天开采</w:t>
                  </w:r>
                </w:p>
              </w:tc>
              <w:tc>
                <w:tcPr>
                  <w:tcW w:w="1182" w:type="dxa"/>
                  <w:vAlign w:val="center"/>
                </w:tcPr>
                <w:p>
                  <w:pPr>
                    <w:adjustRightInd w:val="0"/>
                    <w:snapToGrid w:val="0"/>
                    <w:jc w:val="center"/>
                    <w:rPr>
                      <w:rStyle w:val="35"/>
                      <w:kern w:val="0"/>
                    </w:rPr>
                  </w:pPr>
                  <w:r>
                    <w:rPr>
                      <w:rStyle w:val="35"/>
                      <w:rFonts w:hint="eastAsia"/>
                      <w:kern w:val="0"/>
                    </w:rPr>
                    <w:t>所有规模</w:t>
                  </w:r>
                </w:p>
              </w:tc>
              <w:tc>
                <w:tcPr>
                  <w:tcW w:w="714" w:type="dxa"/>
                  <w:vAlign w:val="center"/>
                </w:tcPr>
                <w:p>
                  <w:pPr>
                    <w:adjustRightInd w:val="0"/>
                    <w:snapToGrid w:val="0"/>
                    <w:jc w:val="center"/>
                    <w:rPr>
                      <w:rStyle w:val="35"/>
                      <w:kern w:val="0"/>
                    </w:rPr>
                  </w:pPr>
                  <w:r>
                    <w:rPr>
                      <w:rStyle w:val="35"/>
                      <w:rFonts w:hint="eastAsia"/>
                      <w:kern w:val="0"/>
                    </w:rPr>
                    <w:t>废气</w:t>
                  </w:r>
                </w:p>
              </w:tc>
              <w:tc>
                <w:tcPr>
                  <w:tcW w:w="890" w:type="dxa"/>
                  <w:vAlign w:val="center"/>
                </w:tcPr>
                <w:p>
                  <w:pPr>
                    <w:adjustRightInd w:val="0"/>
                    <w:snapToGrid w:val="0"/>
                    <w:jc w:val="center"/>
                    <w:rPr>
                      <w:rStyle w:val="35"/>
                      <w:kern w:val="0"/>
                    </w:rPr>
                  </w:pPr>
                  <w:r>
                    <w:rPr>
                      <w:rStyle w:val="35"/>
                      <w:rFonts w:hint="eastAsia"/>
                      <w:kern w:val="0"/>
                    </w:rPr>
                    <w:t>颗粒物</w:t>
                  </w:r>
                </w:p>
              </w:tc>
              <w:tc>
                <w:tcPr>
                  <w:tcW w:w="932" w:type="dxa"/>
                  <w:vAlign w:val="center"/>
                </w:tcPr>
                <w:p>
                  <w:pPr>
                    <w:adjustRightInd w:val="0"/>
                    <w:snapToGrid w:val="0"/>
                    <w:jc w:val="center"/>
                    <w:rPr>
                      <w:rStyle w:val="35"/>
                      <w:kern w:val="0"/>
                    </w:rPr>
                  </w:pPr>
                  <w:r>
                    <w:rPr>
                      <w:rStyle w:val="35"/>
                      <w:rFonts w:hint="eastAsia"/>
                      <w:kern w:val="0"/>
                    </w:rPr>
                    <w:t>千克/吨产品</w:t>
                  </w:r>
                </w:p>
              </w:tc>
              <w:tc>
                <w:tcPr>
                  <w:tcW w:w="1110" w:type="dxa"/>
                  <w:vAlign w:val="center"/>
                </w:tcPr>
                <w:p>
                  <w:pPr>
                    <w:adjustRightInd w:val="0"/>
                    <w:snapToGrid w:val="0"/>
                    <w:jc w:val="center"/>
                    <w:rPr>
                      <w:rStyle w:val="35"/>
                      <w:kern w:val="0"/>
                      <w:vertAlign w:val="superscript"/>
                    </w:rPr>
                  </w:pPr>
                  <w:r>
                    <w:rPr>
                      <w:rStyle w:val="35"/>
                      <w:rFonts w:hint="eastAsia"/>
                      <w:kern w:val="0"/>
                    </w:rPr>
                    <w:t>8.2×10</w:t>
                  </w:r>
                  <w:r>
                    <w:rPr>
                      <w:rStyle w:val="35"/>
                      <w:rFonts w:hint="eastAsia"/>
                      <w:kern w:val="0"/>
                      <w:vertAlign w:val="superscript"/>
                    </w:rPr>
                    <w:t>-2</w:t>
                  </w:r>
                </w:p>
              </w:tc>
            </w:tr>
          </w:tbl>
          <w:p>
            <w:pPr>
              <w:adjustRightInd w:val="0"/>
              <w:snapToGrid w:val="0"/>
              <w:spacing w:line="520" w:lineRule="exact"/>
              <w:ind w:firstLine="480" w:firstLineChars="200"/>
              <w:rPr>
                <w:sz w:val="24"/>
              </w:rPr>
            </w:pPr>
            <w:r>
              <w:rPr>
                <w:sz w:val="24"/>
              </w:rPr>
              <w:t>项目年开采规模为180万t/a，则无组织粉尘产生量约为147.6t/a</w:t>
            </w:r>
            <w:r>
              <w:rPr>
                <w:rFonts w:hint="eastAsia"/>
                <w:sz w:val="24"/>
              </w:rPr>
              <w:t>。本环评要求</w:t>
            </w:r>
            <w:r>
              <w:rPr>
                <w:rFonts w:hint="eastAsia"/>
                <w:sz w:val="24"/>
                <w:szCs w:val="32"/>
                <w:lang w:val="en-GB"/>
              </w:rPr>
              <w:t>采掘过程对采掘场地采用移动式雾炮机降尘（控制效率74%）、规定开采方式、大风天气不得生产、分区分片开采（控制效率</w:t>
            </w:r>
            <w:r>
              <w:rPr>
                <w:sz w:val="24"/>
                <w:szCs w:val="32"/>
                <w:lang w:val="en-GB"/>
              </w:rPr>
              <w:t>80</w:t>
            </w:r>
            <w:r>
              <w:rPr>
                <w:rFonts w:hint="eastAsia"/>
                <w:sz w:val="24"/>
                <w:szCs w:val="32"/>
                <w:lang w:val="en-GB"/>
              </w:rPr>
              <w:t>%）等减缓措施，通过采取以上措施粉尘控制效率可达</w:t>
            </w:r>
            <w:r>
              <w:rPr>
                <w:sz w:val="24"/>
                <w:szCs w:val="32"/>
                <w:lang w:val="en-GB"/>
              </w:rPr>
              <w:t>89.6</w:t>
            </w:r>
            <w:r>
              <w:rPr>
                <w:rFonts w:hint="eastAsia"/>
                <w:sz w:val="24"/>
                <w:szCs w:val="32"/>
                <w:lang w:val="en-GB"/>
              </w:rPr>
              <w:t>%</w:t>
            </w:r>
            <w:r>
              <w:rPr>
                <w:sz w:val="24"/>
              </w:rPr>
              <w:t>，则排放量为15.35t/a粉尘</w:t>
            </w:r>
            <w:r>
              <w:rPr>
                <w:rFonts w:hint="eastAsia"/>
                <w:sz w:val="24"/>
              </w:rPr>
              <w:t>。</w:t>
            </w:r>
          </w:p>
          <w:p>
            <w:pPr>
              <w:adjustRightInd w:val="0"/>
              <w:snapToGrid w:val="0"/>
              <w:spacing w:line="520" w:lineRule="exact"/>
              <w:ind w:firstLine="482" w:firstLineChars="200"/>
              <w:rPr>
                <w:b/>
                <w:bCs/>
                <w:sz w:val="24"/>
              </w:rPr>
            </w:pPr>
            <w:r>
              <w:rPr>
                <w:rFonts w:hint="eastAsia"/>
                <w:b/>
                <w:bCs/>
                <w:sz w:val="24"/>
              </w:rPr>
              <w:t>2.2</w:t>
            </w:r>
            <w:r>
              <w:rPr>
                <w:b/>
                <w:bCs/>
                <w:sz w:val="24"/>
              </w:rPr>
              <w:t>装卸</w:t>
            </w:r>
            <w:r>
              <w:rPr>
                <w:rFonts w:hint="eastAsia"/>
                <w:b/>
                <w:bCs/>
                <w:sz w:val="24"/>
              </w:rPr>
              <w:t>扬尘</w:t>
            </w:r>
          </w:p>
          <w:p>
            <w:pPr>
              <w:adjustRightInd w:val="0"/>
              <w:snapToGrid w:val="0"/>
              <w:spacing w:line="520" w:lineRule="exact"/>
              <w:ind w:firstLine="480" w:firstLineChars="200"/>
              <w:rPr>
                <w:bCs/>
                <w:kern w:val="0"/>
                <w:sz w:val="24"/>
              </w:rPr>
            </w:pPr>
            <w:r>
              <w:rPr>
                <w:rFonts w:hint="eastAsia"/>
                <w:sz w:val="24"/>
              </w:rPr>
              <w:t>本项目</w:t>
            </w:r>
            <w:r>
              <w:rPr>
                <w:sz w:val="24"/>
              </w:rPr>
              <w:t>铲装工序的工作面相对较大，在工作时会产生的一定量的粉尘，</w:t>
            </w:r>
            <w:r>
              <w:rPr>
                <w:rFonts w:hint="eastAsia"/>
                <w:sz w:val="24"/>
              </w:rPr>
              <w:t>本项目年开采石英砂1</w:t>
            </w:r>
            <w:r>
              <w:rPr>
                <w:sz w:val="24"/>
              </w:rPr>
              <w:t>80</w:t>
            </w:r>
            <w:r>
              <w:rPr>
                <w:rFonts w:hint="eastAsia"/>
                <w:sz w:val="24"/>
              </w:rPr>
              <w:t>万t，采用3</w:t>
            </w:r>
            <w:r>
              <w:rPr>
                <w:sz w:val="24"/>
              </w:rPr>
              <w:t>0</w:t>
            </w:r>
            <w:r>
              <w:rPr>
                <w:rFonts w:hint="eastAsia"/>
                <w:sz w:val="24"/>
              </w:rPr>
              <w:t>t自卸卡车拉运，年装卸6万车次。</w:t>
            </w:r>
            <w:r>
              <w:rPr>
                <w:rFonts w:hint="eastAsia"/>
                <w:bCs/>
                <w:kern w:val="0"/>
                <w:sz w:val="24"/>
              </w:rPr>
              <w:t>根据</w:t>
            </w:r>
            <w:bookmarkStart w:id="30" w:name="_Hlk87524501"/>
            <w:r>
              <w:rPr>
                <w:rFonts w:hint="eastAsia"/>
                <w:bCs/>
                <w:kern w:val="0"/>
                <w:sz w:val="24"/>
              </w:rPr>
              <w:t>《排放源统计调查产排污核算方法和系数手册（2021年版）》</w:t>
            </w:r>
            <w:bookmarkEnd w:id="30"/>
            <w:r>
              <w:rPr>
                <w:rFonts w:hint="eastAsia"/>
                <w:bCs/>
                <w:kern w:val="0"/>
                <w:sz w:val="24"/>
              </w:rPr>
              <w:t>中附表2固体物料堆存颗粒物产排污核算系数手册中颗粒物产生量核算公式：</w:t>
            </w:r>
          </w:p>
          <w:p>
            <w:pPr>
              <w:pStyle w:val="36"/>
              <w:ind w:firstLine="624" w:firstLineChars="260"/>
              <w:rPr>
                <w:color w:val="auto"/>
                <w:position w:val="-30"/>
              </w:rPr>
            </w:pPr>
            <m:oMathPara>
              <m:oMathParaPr>
                <m:jc m:val="center"/>
              </m:oMathParaPr>
              <m:oMath>
                <m:r>
                  <w:rPr>
                    <w:rFonts w:ascii="Cambria Math"/>
                    <w:color w:val="auto"/>
                  </w:rPr>
                  <m:t>Z</m:t>
                </m:r>
                <m:sSub>
                  <m:sSubPr>
                    <m:ctrlPr>
                      <w:rPr>
                        <w:rFonts w:ascii="Cambria Math" w:hAnsi="Cambria Math"/>
                        <w:i/>
                        <w:color w:val="auto"/>
                      </w:rPr>
                    </m:ctrlPr>
                  </m:sSubPr>
                  <m:e>
                    <m:r>
                      <w:rPr>
                        <w:rFonts w:ascii="Cambria Math"/>
                        <w:color w:val="auto"/>
                      </w:rPr>
                      <m:t>C</m:t>
                    </m:r>
                    <m:ctrlPr>
                      <w:rPr>
                        <w:rFonts w:ascii="Cambria Math" w:hAnsi="Cambria Math"/>
                        <w:i/>
                        <w:color w:val="auto"/>
                      </w:rPr>
                    </m:ctrlPr>
                  </m:e>
                  <m:sub>
                    <m:r>
                      <w:rPr>
                        <w:rFonts w:ascii="Cambria Math"/>
                        <w:color w:val="auto"/>
                      </w:rPr>
                      <m:t>y</m:t>
                    </m:r>
                    <m:ctrlPr>
                      <w:rPr>
                        <w:rFonts w:ascii="Cambria Math" w:hAnsi="Cambria Math"/>
                        <w:i/>
                        <w:color w:val="auto"/>
                      </w:rPr>
                    </m:ctrlPr>
                  </m:sub>
                </m:sSub>
                <m:r>
                  <w:rPr>
                    <w:rFonts w:ascii="Cambria Math"/>
                    <w:color w:val="auto"/>
                  </w:rPr>
                  <m:t>=</m:t>
                </m:r>
                <m:d>
                  <m:dPr>
                    <m:begChr m:val="{"/>
                    <m:endChr m:val="}"/>
                    <m:ctrlPr>
                      <w:rPr>
                        <w:rFonts w:ascii="Cambria Math" w:hAnsi="Cambria Math"/>
                        <w:i/>
                        <w:color w:val="auto"/>
                      </w:rPr>
                    </m:ctrlPr>
                  </m:dPr>
                  <m:e>
                    <m:sSub>
                      <m:sSubPr>
                        <m:ctrlPr>
                          <w:rPr>
                            <w:rFonts w:ascii="Cambria Math" w:hAnsi="Cambria Math"/>
                            <w:i/>
                            <w:color w:val="auto"/>
                          </w:rPr>
                        </m:ctrlPr>
                      </m:sSubPr>
                      <m:e>
                        <m:r>
                          <w:rPr>
                            <w:rFonts w:ascii="Cambria Math"/>
                            <w:color w:val="auto"/>
                          </w:rPr>
                          <m:t>N</m:t>
                        </m:r>
                        <m:ctrlPr>
                          <w:rPr>
                            <w:rFonts w:ascii="Cambria Math" w:hAnsi="Cambria Math"/>
                            <w:i/>
                            <w:color w:val="auto"/>
                          </w:rPr>
                        </m:ctrlPr>
                      </m:e>
                      <m:sub>
                        <m:r>
                          <w:rPr>
                            <w:rFonts w:ascii="Cambria Math"/>
                            <w:color w:val="auto"/>
                          </w:rPr>
                          <m:t>C</m:t>
                        </m:r>
                        <m:ctrlPr>
                          <w:rPr>
                            <w:rFonts w:ascii="Cambria Math" w:hAnsi="Cambria Math"/>
                            <w:i/>
                            <w:color w:val="auto"/>
                          </w:rPr>
                        </m:ctrlPr>
                      </m:sub>
                    </m:sSub>
                    <m:r>
                      <w:rPr>
                        <w:rFonts w:ascii="Cambria Math"/>
                        <w:color w:val="auto"/>
                      </w:rPr>
                      <m:t>×D×</m:t>
                    </m:r>
                    <m:d>
                      <m:dPr>
                        <m:ctrlPr>
                          <w:rPr>
                            <w:rFonts w:ascii="Cambria Math" w:hAnsi="Cambria Math"/>
                            <w:i/>
                            <w:color w:val="auto"/>
                          </w:rPr>
                        </m:ctrlPr>
                      </m:dPr>
                      <m:e>
                        <m:f>
                          <m:fPr>
                            <m:ctrlPr>
                              <w:rPr>
                                <w:rFonts w:ascii="Cambria Math" w:hAnsi="Cambria Math"/>
                                <w:i/>
                                <w:color w:val="auto"/>
                              </w:rPr>
                            </m:ctrlPr>
                          </m:fPr>
                          <m:num>
                            <m:r>
                              <w:rPr>
                                <w:rFonts w:ascii="Cambria Math"/>
                                <w:color w:val="auto"/>
                              </w:rPr>
                              <m:t>a</m:t>
                            </m:r>
                            <m:ctrlPr>
                              <w:rPr>
                                <w:rFonts w:ascii="Cambria Math" w:hAnsi="Cambria Math"/>
                                <w:i/>
                                <w:color w:val="auto"/>
                              </w:rPr>
                            </m:ctrlPr>
                          </m:num>
                          <m:den>
                            <m:r>
                              <w:rPr>
                                <w:rFonts w:ascii="Cambria Math"/>
                                <w:color w:val="auto"/>
                              </w:rPr>
                              <m:t>b</m:t>
                            </m:r>
                            <m:ctrlPr>
                              <w:rPr>
                                <w:rFonts w:ascii="Cambria Math" w:hAnsi="Cambria Math"/>
                                <w:i/>
                                <w:color w:val="auto"/>
                              </w:rPr>
                            </m:ctrlPr>
                          </m:den>
                        </m:f>
                        <m:ctrlPr>
                          <w:rPr>
                            <w:rFonts w:ascii="Cambria Math" w:hAnsi="Cambria Math"/>
                            <w:i/>
                            <w:color w:val="auto"/>
                          </w:rPr>
                        </m:ctrlPr>
                      </m:e>
                    </m:d>
                    <m:ctrlPr>
                      <w:rPr>
                        <w:rFonts w:ascii="Cambria Math" w:hAnsi="Cambria Math"/>
                        <w:i/>
                        <w:color w:val="auto"/>
                      </w:rPr>
                    </m:ctrlPr>
                  </m:e>
                </m:d>
                <m:r>
                  <w:rPr>
                    <w:rFonts w:ascii="Cambria Math"/>
                    <w:color w:val="auto"/>
                  </w:rPr>
                  <m:t>×1</m:t>
                </m:r>
                <m:sSup>
                  <m:sSupPr>
                    <m:ctrlPr>
                      <w:rPr>
                        <w:rFonts w:ascii="Cambria Math" w:hAnsi="Cambria Math"/>
                        <w:i/>
                        <w:color w:val="auto"/>
                      </w:rPr>
                    </m:ctrlPr>
                  </m:sSupPr>
                  <m:e>
                    <m:r>
                      <w:rPr>
                        <w:rFonts w:ascii="Cambria Math"/>
                        <w:color w:val="auto"/>
                      </w:rPr>
                      <m:t>0</m:t>
                    </m:r>
                    <m:ctrlPr>
                      <w:rPr>
                        <w:rFonts w:ascii="Cambria Math" w:hAnsi="Cambria Math"/>
                        <w:i/>
                        <w:color w:val="auto"/>
                      </w:rPr>
                    </m:ctrlPr>
                  </m:e>
                  <m:sup>
                    <m:r>
                      <w:rPr>
                        <w:rFonts w:ascii="Cambria Math"/>
                        <w:color w:val="auto"/>
                      </w:rPr>
                      <m:t>-3</m:t>
                    </m:r>
                    <m:ctrlPr>
                      <w:rPr>
                        <w:rFonts w:ascii="Cambria Math" w:hAnsi="Cambria Math"/>
                        <w:i/>
                        <w:color w:val="auto"/>
                      </w:rPr>
                    </m:ctrlPr>
                  </m:sup>
                </m:sSup>
              </m:oMath>
            </m:oMathPara>
          </w:p>
          <w:p>
            <w:pPr>
              <w:pStyle w:val="36"/>
              <w:ind w:firstLine="480" w:firstLineChars="200"/>
              <w:rPr>
                <w:color w:val="auto"/>
              </w:rPr>
            </w:pPr>
            <w:r>
              <w:rPr>
                <w:rFonts w:hint="eastAsia"/>
                <w:color w:val="auto"/>
              </w:rPr>
              <w:t>式中：</w:t>
            </w:r>
          </w:p>
          <w:p>
            <w:pPr>
              <w:pStyle w:val="36"/>
              <w:spacing w:line="520" w:lineRule="exact"/>
              <w:ind w:firstLine="1200" w:firstLineChars="500"/>
              <w:rPr>
                <w:rFonts w:ascii="Times New Roman"/>
                <w:color w:val="auto"/>
              </w:rPr>
            </w:pPr>
            <w:r>
              <w:rPr>
                <w:color w:val="auto"/>
                <w:position w:val="-14"/>
              </w:rPr>
              <w:object>
                <v:shape id="_x0000_i1026" o:spt="75" type="#_x0000_t75" style="height:18.75pt;width:23.25pt;" o:ole="t" filled="f" coordsize="21600,21600">
                  <v:path/>
                  <v:fill on="f" focussize="0,0"/>
                  <v:stroke/>
                  <v:imagedata r:id="rId11" o:title=""/>
                  <o:lock v:ext="edit" aspectratio="f"/>
                  <w10:wrap type="none"/>
                  <w10:anchorlock/>
                </v:shape>
                <o:OLEObject Type="Embed" ProgID="Equation.DSMT4" ShapeID="_x0000_i1026" DrawAspect="Content" ObjectID="_1468075726" r:id="rId10">
                  <o:LockedField>false</o:LockedField>
                </o:OLEObject>
              </w:object>
            </w:r>
            <w:r>
              <w:rPr>
                <w:bCs/>
                <w:color w:val="auto"/>
                <w:szCs w:val="32"/>
              </w:rPr>
              <w:t>——</w:t>
            </w:r>
            <w:r>
              <w:rPr>
                <w:rFonts w:ascii="Times New Roman"/>
                <w:color w:val="auto"/>
              </w:rPr>
              <w:t>指装卸扬尘产生量（单位：吨）；</w:t>
            </w:r>
          </w:p>
          <w:p>
            <w:pPr>
              <w:pStyle w:val="36"/>
              <w:spacing w:line="520" w:lineRule="exact"/>
              <w:ind w:firstLine="1200" w:firstLineChars="500"/>
              <w:rPr>
                <w:rFonts w:ascii="Times New Roman"/>
                <w:color w:val="auto"/>
              </w:rPr>
            </w:pPr>
            <w:r>
              <w:rPr>
                <w:color w:val="auto"/>
                <w:position w:val="-12"/>
              </w:rPr>
              <w:object>
                <v:shape id="_x0000_i1027" o:spt="75" type="#_x0000_t75" style="height:18pt;width:18pt;" o:ole="t" filled="f" coordsize="21600,21600">
                  <v:path/>
                  <v:fill on="f" focussize="0,0"/>
                  <v:stroke/>
                  <v:imagedata r:id="rId13" o:title=""/>
                  <o:lock v:ext="edit" aspectratio="f"/>
                  <w10:wrap type="none"/>
                  <w10:anchorlock/>
                </v:shape>
                <o:OLEObject Type="Embed" ProgID="Equation.DSMT4" ShapeID="_x0000_i1027" DrawAspect="Content" ObjectID="_1468075727" r:id="rId12">
                  <o:LockedField>false</o:LockedField>
                </o:OLEObject>
              </w:object>
            </w:r>
            <w:r>
              <w:rPr>
                <w:bCs/>
                <w:color w:val="auto"/>
                <w:szCs w:val="32"/>
              </w:rPr>
              <w:t>——</w:t>
            </w:r>
            <w:r>
              <w:rPr>
                <w:rFonts w:ascii="Times New Roman"/>
                <w:color w:val="auto"/>
              </w:rPr>
              <w:t>指年物料运载车次（单位：车）</w:t>
            </w:r>
            <w:r>
              <w:rPr>
                <w:rFonts w:hint="eastAsia" w:ascii="Times New Roman"/>
                <w:color w:val="auto"/>
              </w:rPr>
              <w:t>：本次评价取</w:t>
            </w:r>
            <w:r>
              <w:rPr>
                <w:rFonts w:ascii="Times New Roman"/>
                <w:color w:val="auto"/>
              </w:rPr>
              <w:t>60000</w:t>
            </w:r>
            <w:r>
              <w:rPr>
                <w:rFonts w:hint="eastAsia" w:ascii="Times New Roman"/>
                <w:color w:val="auto"/>
              </w:rPr>
              <w:t>车；</w:t>
            </w:r>
          </w:p>
          <w:p>
            <w:pPr>
              <w:pStyle w:val="36"/>
              <w:spacing w:line="520" w:lineRule="exact"/>
              <w:ind w:firstLine="1200" w:firstLineChars="500"/>
              <w:rPr>
                <w:rFonts w:ascii="Times New Roman"/>
                <w:color w:val="auto"/>
              </w:rPr>
            </w:pPr>
            <w:r>
              <w:rPr>
                <w:color w:val="auto"/>
                <w:position w:val="-4"/>
              </w:rPr>
              <w:object>
                <v:shape id="_x0000_i1028" o:spt="75" type="#_x0000_t75" style="height:12.75pt;width:12.75pt;" o:ole="t" filled="f" coordsize="21600,21600">
                  <v:path/>
                  <v:fill on="f" focussize="0,0"/>
                  <v:stroke/>
                  <v:imagedata r:id="rId15" o:title=""/>
                  <o:lock v:ext="edit" aspectratio="f"/>
                  <w10:wrap type="none"/>
                  <w10:anchorlock/>
                </v:shape>
                <o:OLEObject Type="Embed" ProgID="Equation.DSMT4" ShapeID="_x0000_i1028" DrawAspect="Content" ObjectID="_1468075728" r:id="rId14">
                  <o:LockedField>false</o:LockedField>
                </o:OLEObject>
              </w:object>
            </w:r>
            <w:r>
              <w:rPr>
                <w:bCs/>
                <w:color w:val="auto"/>
                <w:szCs w:val="32"/>
              </w:rPr>
              <w:t>——</w:t>
            </w:r>
            <w:r>
              <w:rPr>
                <w:rFonts w:ascii="Times New Roman"/>
                <w:color w:val="auto"/>
              </w:rPr>
              <w:t>指单车平均运载量（单位：吨/车）</w:t>
            </w:r>
            <w:r>
              <w:rPr>
                <w:rFonts w:hint="eastAsia" w:ascii="Times New Roman"/>
                <w:color w:val="auto"/>
              </w:rPr>
              <w:t>：本次评价取</w:t>
            </w:r>
            <w:r>
              <w:rPr>
                <w:rFonts w:ascii="Times New Roman"/>
                <w:color w:val="auto"/>
              </w:rPr>
              <w:t>30</w:t>
            </w:r>
            <w:r>
              <w:rPr>
                <w:rFonts w:hint="eastAsia" w:ascii="Times New Roman"/>
                <w:color w:val="auto"/>
              </w:rPr>
              <w:t>t/车；</w:t>
            </w:r>
          </w:p>
          <w:p>
            <w:pPr>
              <w:pStyle w:val="36"/>
              <w:ind w:firstLine="1200" w:firstLineChars="500"/>
              <w:rPr>
                <w:rFonts w:ascii="Times New Roman"/>
                <w:color w:val="auto"/>
              </w:rPr>
            </w:pPr>
            <w:r>
              <w:rPr>
                <w:color w:val="auto"/>
                <w:position w:val="-28"/>
              </w:rPr>
              <w:object>
                <v:shape id="_x0000_i1029" o:spt="75" type="#_x0000_t75" style="height:33.75pt;width:24pt;" o:ole="t" filled="f" coordsize="21600,21600">
                  <v:path/>
                  <v:fill on="f" focussize="0,0"/>
                  <v:stroke/>
                  <v:imagedata r:id="rId17" o:title=""/>
                  <o:lock v:ext="edit" aspectratio="f"/>
                  <w10:wrap type="none"/>
                  <w10:anchorlock/>
                </v:shape>
                <o:OLEObject Type="Embed" ProgID="Equation.DSMT4" ShapeID="_x0000_i1029" DrawAspect="Content" ObjectID="_1468075729" r:id="rId16">
                  <o:LockedField>false</o:LockedField>
                </o:OLEObject>
              </w:object>
            </w:r>
            <w:r>
              <w:rPr>
                <w:bCs/>
                <w:color w:val="auto"/>
                <w:szCs w:val="32"/>
              </w:rPr>
              <w:t>——</w:t>
            </w:r>
            <w:r>
              <w:rPr>
                <w:rFonts w:ascii="Times New Roman"/>
                <w:color w:val="auto"/>
              </w:rPr>
              <w:t>指装卸扬尘概化系数（单位：千克/吨），a指各省风速概化系数</w:t>
            </w:r>
            <w:r>
              <w:rPr>
                <w:rFonts w:hint="eastAsia" w:ascii="Times New Roman"/>
                <w:color w:val="auto"/>
              </w:rPr>
              <w:t>：本次评价取0.0011，</w:t>
            </w:r>
            <w:r>
              <w:rPr>
                <w:rFonts w:ascii="Times New Roman"/>
                <w:color w:val="auto"/>
              </w:rPr>
              <w:t>b指物料含水率概化系数</w:t>
            </w:r>
            <w:r>
              <w:rPr>
                <w:rFonts w:hint="eastAsia" w:ascii="Times New Roman"/>
                <w:color w:val="auto"/>
              </w:rPr>
              <w:t>：本次评价取</w:t>
            </w:r>
            <w:r>
              <w:rPr>
                <w:rFonts w:ascii="Times New Roman"/>
                <w:color w:val="auto"/>
              </w:rPr>
              <w:t>0.0151</w:t>
            </w:r>
            <w:r>
              <w:rPr>
                <w:rFonts w:hint="eastAsia" w:ascii="Times New Roman"/>
                <w:color w:val="auto"/>
              </w:rPr>
              <w:t>；</w:t>
            </w:r>
          </w:p>
          <w:p>
            <w:pPr>
              <w:adjustRightInd w:val="0"/>
              <w:snapToGrid w:val="0"/>
              <w:spacing w:line="520" w:lineRule="exact"/>
              <w:ind w:firstLine="480" w:firstLineChars="200"/>
            </w:pPr>
            <w:r>
              <w:rPr>
                <w:rFonts w:hint="eastAsia"/>
                <w:sz w:val="24"/>
              </w:rPr>
              <w:t>计算结果：在不采取抑尘措施的情况下装卸过程中产尘量为</w:t>
            </w:r>
            <w:r>
              <w:rPr>
                <w:sz w:val="24"/>
              </w:rPr>
              <w:t>131.13t/a</w:t>
            </w:r>
            <w:r>
              <w:rPr>
                <w:rFonts w:hint="eastAsia"/>
                <w:sz w:val="24"/>
              </w:rPr>
              <w:t>，本次评价要求采取控制落差并在开采区配套移动式雾炮机（控制效率7</w:t>
            </w:r>
            <w:r>
              <w:rPr>
                <w:sz w:val="24"/>
              </w:rPr>
              <w:t>4</w:t>
            </w:r>
            <w:r>
              <w:rPr>
                <w:rFonts w:hint="eastAsia"/>
                <w:sz w:val="24"/>
              </w:rPr>
              <w:t>%）并设防风抑尘网（控制效率6</w:t>
            </w:r>
            <w:r>
              <w:rPr>
                <w:sz w:val="24"/>
              </w:rPr>
              <w:t>0</w:t>
            </w:r>
            <w:r>
              <w:rPr>
                <w:rFonts w:hint="eastAsia"/>
                <w:sz w:val="24"/>
              </w:rPr>
              <w:t>%）</w:t>
            </w:r>
            <w:r>
              <w:rPr>
                <w:sz w:val="24"/>
              </w:rPr>
              <w:t>，</w:t>
            </w:r>
            <w:r>
              <w:rPr>
                <w:rFonts w:hint="eastAsia"/>
                <w:sz w:val="24"/>
              </w:rPr>
              <w:t>通过采取以上措施粉尘控制效率可达</w:t>
            </w:r>
            <w:r>
              <w:rPr>
                <w:sz w:val="24"/>
              </w:rPr>
              <w:t>89.6</w:t>
            </w:r>
            <w:r>
              <w:rPr>
                <w:rFonts w:hint="eastAsia"/>
                <w:sz w:val="24"/>
              </w:rPr>
              <w:t>％，采取措施后扬尘量为</w:t>
            </w:r>
            <w:r>
              <w:rPr>
                <w:sz w:val="24"/>
              </w:rPr>
              <w:t>13.64t/a</w:t>
            </w:r>
            <w:r>
              <w:rPr>
                <w:rFonts w:hint="eastAsia"/>
                <w:sz w:val="24"/>
              </w:rPr>
              <w:t>。</w:t>
            </w:r>
          </w:p>
          <w:p>
            <w:pPr>
              <w:adjustRightInd w:val="0"/>
              <w:snapToGrid w:val="0"/>
              <w:spacing w:line="520" w:lineRule="exact"/>
              <w:ind w:firstLine="482" w:firstLineChars="200"/>
              <w:rPr>
                <w:b/>
                <w:bCs/>
                <w:sz w:val="24"/>
              </w:rPr>
            </w:pPr>
            <w:r>
              <w:rPr>
                <w:rFonts w:hint="eastAsia"/>
                <w:b/>
                <w:bCs/>
                <w:sz w:val="24"/>
              </w:rPr>
              <w:t>2.3堆场装卸粉尘、风蚀扬尘</w:t>
            </w:r>
          </w:p>
          <w:p>
            <w:pPr>
              <w:spacing w:line="520" w:lineRule="exact"/>
              <w:ind w:firstLine="480" w:firstLineChars="200"/>
              <w:rPr>
                <w:bCs/>
                <w:kern w:val="0"/>
                <w:sz w:val="24"/>
              </w:rPr>
            </w:pPr>
            <w:r>
              <w:rPr>
                <w:rFonts w:hint="eastAsia"/>
                <w:bCs/>
                <w:kern w:val="0"/>
                <w:sz w:val="24"/>
              </w:rPr>
              <w:t>本项目需要对采矿区表土进行剥离，根据开发利用方案资料，整个矿区地表覆盖砂量163.42万t（体积量90.78万m³），</w:t>
            </w:r>
            <w:r>
              <w:rPr>
                <w:rFonts w:hint="eastAsia"/>
                <w:sz w:val="24"/>
              </w:rPr>
              <w:t>全矿区服务年限2</w:t>
            </w:r>
            <w:r>
              <w:rPr>
                <w:sz w:val="24"/>
              </w:rPr>
              <w:t>0.03</w:t>
            </w:r>
            <w:r>
              <w:rPr>
                <w:rFonts w:hint="eastAsia"/>
                <w:sz w:val="24"/>
              </w:rPr>
              <w:t>年。平均每年剥离地表覆盖砂8</w:t>
            </w:r>
            <w:r>
              <w:rPr>
                <w:sz w:val="24"/>
              </w:rPr>
              <w:t>.16</w:t>
            </w:r>
            <w:r>
              <w:rPr>
                <w:rFonts w:hint="eastAsia"/>
                <w:sz w:val="24"/>
              </w:rPr>
              <w:t>万t（体积量4</w:t>
            </w:r>
            <w:r>
              <w:rPr>
                <w:sz w:val="24"/>
              </w:rPr>
              <w:t>.53</w:t>
            </w:r>
            <w:r>
              <w:rPr>
                <w:rFonts w:hint="eastAsia"/>
                <w:sz w:val="24"/>
              </w:rPr>
              <w:t>万m³），矿区设置1</w:t>
            </w:r>
            <w:r>
              <w:rPr>
                <w:sz w:val="24"/>
              </w:rPr>
              <w:t>.0</w:t>
            </w:r>
            <w:r>
              <w:rPr>
                <w:rFonts w:hint="eastAsia"/>
                <w:sz w:val="24"/>
              </w:rPr>
              <w:t>hm</w:t>
            </w:r>
            <w:r>
              <w:rPr>
                <w:sz w:val="24"/>
                <w:vertAlign w:val="superscript"/>
              </w:rPr>
              <w:t>2</w:t>
            </w:r>
            <w:r>
              <w:rPr>
                <w:rFonts w:hint="eastAsia"/>
                <w:sz w:val="24"/>
              </w:rPr>
              <w:t>，地表覆盖砂集中堆放场，最大堆放高度5m。</w:t>
            </w:r>
          </w:p>
          <w:p>
            <w:pPr>
              <w:spacing w:line="520" w:lineRule="exact"/>
              <w:ind w:firstLine="480" w:firstLineChars="200"/>
              <w:rPr>
                <w:bCs/>
                <w:kern w:val="0"/>
                <w:sz w:val="24"/>
              </w:rPr>
            </w:pPr>
            <w:r>
              <w:rPr>
                <w:rFonts w:hint="eastAsia"/>
                <w:bCs/>
                <w:kern w:val="0"/>
                <w:sz w:val="24"/>
              </w:rPr>
              <w:t>根据《排放源统计调查产排污核算方法和系数手册（2021年版）》中附表2固体物料堆存颗粒物产排污核算系数手册装卸扬尘和风蚀扬尘产生量核算公式核算本项目的堆场扬尘：</w:t>
            </w:r>
          </w:p>
          <w:p>
            <w:pPr>
              <w:pStyle w:val="36"/>
              <w:ind w:firstLine="1200" w:firstLineChars="500"/>
              <w:rPr>
                <w:color w:val="auto"/>
                <w:position w:val="-30"/>
              </w:rPr>
            </w:pPr>
            <m:oMathPara>
              <m:oMath>
                <m:r>
                  <w:rPr>
                    <w:rFonts w:ascii="Cambria Math"/>
                    <w:color w:val="auto"/>
                  </w:rPr>
                  <m:t>P=Z</m:t>
                </m:r>
                <m:sSub>
                  <m:sSubPr>
                    <m:ctrlPr>
                      <w:rPr>
                        <w:rFonts w:ascii="Cambria Math" w:hAnsi="Cambria Math"/>
                        <w:i/>
                        <w:color w:val="auto"/>
                      </w:rPr>
                    </m:ctrlPr>
                  </m:sSubPr>
                  <m:e>
                    <m:r>
                      <w:rPr>
                        <w:rFonts w:ascii="Cambria Math"/>
                        <w:color w:val="auto"/>
                      </w:rPr>
                      <m:t>C</m:t>
                    </m:r>
                    <m:ctrlPr>
                      <w:rPr>
                        <w:rFonts w:ascii="Cambria Math" w:hAnsi="Cambria Math"/>
                        <w:i/>
                        <w:color w:val="auto"/>
                      </w:rPr>
                    </m:ctrlPr>
                  </m:e>
                  <m:sub>
                    <m:r>
                      <w:rPr>
                        <w:rFonts w:ascii="Cambria Math"/>
                        <w:color w:val="auto"/>
                      </w:rPr>
                      <m:t>y</m:t>
                    </m:r>
                    <m:ctrlPr>
                      <w:rPr>
                        <w:rFonts w:ascii="Cambria Math" w:hAnsi="Cambria Math"/>
                        <w:i/>
                        <w:color w:val="auto"/>
                      </w:rPr>
                    </m:ctrlPr>
                  </m:sub>
                </m:sSub>
                <m:r>
                  <w:rPr>
                    <w:rFonts w:ascii="Cambria Math"/>
                    <w:color w:val="auto"/>
                  </w:rPr>
                  <m:t>+F</m:t>
                </m:r>
                <m:sSub>
                  <m:sSubPr>
                    <m:ctrlPr>
                      <w:rPr>
                        <w:rFonts w:ascii="Cambria Math" w:hAnsi="Cambria Math"/>
                        <w:i/>
                        <w:color w:val="auto"/>
                      </w:rPr>
                    </m:ctrlPr>
                  </m:sSubPr>
                  <m:e>
                    <m:r>
                      <w:rPr>
                        <w:rFonts w:ascii="Cambria Math"/>
                        <w:color w:val="auto"/>
                      </w:rPr>
                      <m:t>C</m:t>
                    </m:r>
                    <m:ctrlPr>
                      <w:rPr>
                        <w:rFonts w:ascii="Cambria Math" w:hAnsi="Cambria Math"/>
                        <w:i/>
                        <w:color w:val="auto"/>
                      </w:rPr>
                    </m:ctrlPr>
                  </m:e>
                  <m:sub>
                    <m:r>
                      <w:rPr>
                        <w:rFonts w:ascii="Cambria Math"/>
                        <w:color w:val="auto"/>
                      </w:rPr>
                      <m:t>y</m:t>
                    </m:r>
                    <m:ctrlPr>
                      <w:rPr>
                        <w:rFonts w:ascii="Cambria Math" w:hAnsi="Cambria Math"/>
                        <w:i/>
                        <w:color w:val="auto"/>
                      </w:rPr>
                    </m:ctrlPr>
                  </m:sub>
                </m:sSub>
                <m:r>
                  <w:rPr>
                    <w:rFonts w:ascii="Cambria Math"/>
                    <w:color w:val="auto"/>
                  </w:rPr>
                  <m:t>=</m:t>
                </m:r>
                <m:d>
                  <m:dPr>
                    <m:begChr m:val="{"/>
                    <m:endChr m:val="}"/>
                    <m:ctrlPr>
                      <w:rPr>
                        <w:rFonts w:ascii="Cambria Math" w:hAnsi="Cambria Math"/>
                        <w:i/>
                        <w:color w:val="auto"/>
                      </w:rPr>
                    </m:ctrlPr>
                  </m:dPr>
                  <m:e>
                    <m:sSub>
                      <m:sSubPr>
                        <m:ctrlPr>
                          <w:rPr>
                            <w:rFonts w:ascii="Cambria Math" w:hAnsi="Cambria Math"/>
                            <w:i/>
                            <w:color w:val="auto"/>
                          </w:rPr>
                        </m:ctrlPr>
                      </m:sSubPr>
                      <m:e>
                        <m:r>
                          <w:rPr>
                            <w:rFonts w:ascii="Cambria Math"/>
                            <w:color w:val="auto"/>
                          </w:rPr>
                          <m:t>N</m:t>
                        </m:r>
                        <m:ctrlPr>
                          <w:rPr>
                            <w:rFonts w:ascii="Cambria Math" w:hAnsi="Cambria Math"/>
                            <w:i/>
                            <w:color w:val="auto"/>
                          </w:rPr>
                        </m:ctrlPr>
                      </m:e>
                      <m:sub>
                        <m:r>
                          <w:rPr>
                            <w:rFonts w:ascii="Cambria Math"/>
                            <w:color w:val="auto"/>
                          </w:rPr>
                          <m:t>C</m:t>
                        </m:r>
                        <m:ctrlPr>
                          <w:rPr>
                            <w:rFonts w:ascii="Cambria Math" w:hAnsi="Cambria Math"/>
                            <w:i/>
                            <w:color w:val="auto"/>
                          </w:rPr>
                        </m:ctrlPr>
                      </m:sub>
                    </m:sSub>
                    <m:r>
                      <w:rPr>
                        <w:rFonts w:ascii="Cambria Math"/>
                        <w:color w:val="auto"/>
                      </w:rPr>
                      <m:t>×D×</m:t>
                    </m:r>
                    <m:d>
                      <m:dPr>
                        <m:ctrlPr>
                          <w:rPr>
                            <w:rFonts w:ascii="Cambria Math" w:hAnsi="Cambria Math"/>
                            <w:i/>
                            <w:color w:val="auto"/>
                          </w:rPr>
                        </m:ctrlPr>
                      </m:dPr>
                      <m:e>
                        <m:f>
                          <m:fPr>
                            <m:ctrlPr>
                              <w:rPr>
                                <w:rFonts w:ascii="Cambria Math" w:hAnsi="Cambria Math"/>
                                <w:i/>
                                <w:color w:val="auto"/>
                              </w:rPr>
                            </m:ctrlPr>
                          </m:fPr>
                          <m:num>
                            <m:r>
                              <w:rPr>
                                <w:rFonts w:ascii="Cambria Math"/>
                                <w:color w:val="auto"/>
                              </w:rPr>
                              <m:t>a</m:t>
                            </m:r>
                            <m:ctrlPr>
                              <w:rPr>
                                <w:rFonts w:ascii="Cambria Math" w:hAnsi="Cambria Math"/>
                                <w:i/>
                                <w:color w:val="auto"/>
                              </w:rPr>
                            </m:ctrlPr>
                          </m:num>
                          <m:den>
                            <m:r>
                              <w:rPr>
                                <w:rFonts w:ascii="Cambria Math"/>
                                <w:color w:val="auto"/>
                              </w:rPr>
                              <m:t>b</m:t>
                            </m:r>
                            <m:ctrlPr>
                              <w:rPr>
                                <w:rFonts w:ascii="Cambria Math" w:hAnsi="Cambria Math"/>
                                <w:i/>
                                <w:color w:val="auto"/>
                              </w:rPr>
                            </m:ctrlPr>
                          </m:den>
                        </m:f>
                        <m:ctrlPr>
                          <w:rPr>
                            <w:rFonts w:ascii="Cambria Math" w:hAnsi="Cambria Math"/>
                            <w:i/>
                            <w:color w:val="auto"/>
                          </w:rPr>
                        </m:ctrlPr>
                      </m:e>
                    </m:d>
                    <m:r>
                      <w:rPr>
                        <w:rFonts w:ascii="Cambria Math"/>
                        <w:color w:val="auto"/>
                      </w:rPr>
                      <m:t>+2×</m:t>
                    </m:r>
                    <m:sSub>
                      <m:sSubPr>
                        <m:ctrlPr>
                          <w:rPr>
                            <w:rFonts w:ascii="Cambria Math" w:hAnsi="Cambria Math"/>
                            <w:i/>
                            <w:color w:val="auto"/>
                          </w:rPr>
                        </m:ctrlPr>
                      </m:sSubPr>
                      <m:e>
                        <m:r>
                          <w:rPr>
                            <w:rFonts w:ascii="Cambria Math"/>
                            <w:color w:val="auto"/>
                          </w:rPr>
                          <m:t>E</m:t>
                        </m:r>
                        <m:ctrlPr>
                          <w:rPr>
                            <w:rFonts w:ascii="Cambria Math" w:hAnsi="Cambria Math"/>
                            <w:i/>
                            <w:color w:val="auto"/>
                          </w:rPr>
                        </m:ctrlPr>
                      </m:e>
                      <m:sub>
                        <m:r>
                          <w:rPr>
                            <w:rFonts w:ascii="Cambria Math"/>
                            <w:color w:val="auto"/>
                          </w:rPr>
                          <m:t>f</m:t>
                        </m:r>
                        <m:ctrlPr>
                          <w:rPr>
                            <w:rFonts w:ascii="Cambria Math" w:hAnsi="Cambria Math"/>
                            <w:i/>
                            <w:color w:val="auto"/>
                          </w:rPr>
                        </m:ctrlPr>
                      </m:sub>
                    </m:sSub>
                    <m:r>
                      <w:rPr>
                        <w:rFonts w:ascii="Cambria Math"/>
                        <w:color w:val="auto"/>
                      </w:rPr>
                      <m:t>×S</m:t>
                    </m:r>
                    <m:ctrlPr>
                      <w:rPr>
                        <w:rFonts w:ascii="Cambria Math" w:hAnsi="Cambria Math"/>
                        <w:i/>
                        <w:color w:val="auto"/>
                      </w:rPr>
                    </m:ctrlPr>
                  </m:e>
                </m:d>
                <m:r>
                  <w:rPr>
                    <w:rFonts w:ascii="Cambria Math"/>
                    <w:color w:val="auto"/>
                  </w:rPr>
                  <m:t>×1</m:t>
                </m:r>
                <m:sSup>
                  <m:sSupPr>
                    <m:ctrlPr>
                      <w:rPr>
                        <w:rFonts w:ascii="Cambria Math" w:hAnsi="Cambria Math"/>
                        <w:i/>
                        <w:color w:val="auto"/>
                      </w:rPr>
                    </m:ctrlPr>
                  </m:sSupPr>
                  <m:e>
                    <m:r>
                      <w:rPr>
                        <w:rFonts w:ascii="Cambria Math"/>
                        <w:color w:val="auto"/>
                      </w:rPr>
                      <m:t>0</m:t>
                    </m:r>
                    <m:ctrlPr>
                      <w:rPr>
                        <w:rFonts w:ascii="Cambria Math" w:hAnsi="Cambria Math"/>
                        <w:i/>
                        <w:color w:val="auto"/>
                      </w:rPr>
                    </m:ctrlPr>
                  </m:e>
                  <m:sup>
                    <m:r>
                      <w:rPr>
                        <w:rFonts w:ascii="Cambria Math"/>
                        <w:color w:val="auto"/>
                      </w:rPr>
                      <m:t>-3</m:t>
                    </m:r>
                    <m:ctrlPr>
                      <w:rPr>
                        <w:rFonts w:ascii="Cambria Math" w:hAnsi="Cambria Math"/>
                        <w:i/>
                        <w:color w:val="auto"/>
                      </w:rPr>
                    </m:ctrlPr>
                  </m:sup>
                </m:sSup>
              </m:oMath>
            </m:oMathPara>
          </w:p>
          <w:p>
            <w:pPr>
              <w:pStyle w:val="36"/>
              <w:spacing w:line="520" w:lineRule="exact"/>
              <w:ind w:firstLine="480" w:firstLineChars="200"/>
              <w:rPr>
                <w:rFonts w:ascii="Times New Roman"/>
                <w:color w:val="auto"/>
              </w:rPr>
            </w:pPr>
            <w:r>
              <w:rPr>
                <w:rFonts w:hint="eastAsia" w:ascii="Times New Roman"/>
                <w:color w:val="auto"/>
              </w:rPr>
              <w:t>式中：</w:t>
            </w:r>
            <w:r>
              <w:rPr>
                <w:color w:val="auto"/>
                <w:position w:val="-4"/>
              </w:rPr>
              <w:object>
                <v:shape id="_x0000_i1030" o:spt="75" type="#_x0000_t75" style="height:12.75pt;width:12pt;" o:ole="t" filled="f" coordsize="21600,21600">
                  <v:path/>
                  <v:fill on="f" focussize="0,0"/>
                  <v:stroke/>
                  <v:imagedata r:id="rId19" o:title=""/>
                  <o:lock v:ext="edit" aspectratio="f"/>
                  <w10:wrap type="none"/>
                  <w10:anchorlock/>
                </v:shape>
                <o:OLEObject Type="Embed" ProgID="Equation.DSMT4" ShapeID="_x0000_i1030" DrawAspect="Content" ObjectID="_1468075730" r:id="rId18">
                  <o:LockedField>false</o:LockedField>
                </o:OLEObject>
              </w:object>
            </w:r>
            <w:r>
              <w:rPr>
                <w:bCs/>
                <w:color w:val="auto"/>
                <w:szCs w:val="32"/>
              </w:rPr>
              <w:t>——</w:t>
            </w:r>
            <w:r>
              <w:rPr>
                <w:rFonts w:ascii="Times New Roman"/>
                <w:color w:val="auto"/>
              </w:rPr>
              <w:t>指颗粒物产生量（单位：吨）；</w:t>
            </w:r>
          </w:p>
          <w:p>
            <w:pPr>
              <w:pStyle w:val="36"/>
              <w:spacing w:line="520" w:lineRule="exact"/>
              <w:ind w:firstLine="1200" w:firstLineChars="500"/>
              <w:rPr>
                <w:rFonts w:ascii="Times New Roman"/>
                <w:color w:val="auto"/>
              </w:rPr>
            </w:pPr>
            <w:r>
              <w:rPr>
                <w:color w:val="auto"/>
                <w:position w:val="-14"/>
              </w:rPr>
              <w:object>
                <v:shape id="_x0000_i1031" o:spt="75" type="#_x0000_t75" style="height:18.75pt;width:23.25pt;" o:ole="t" filled="f" coordsize="21600,21600">
                  <v:path/>
                  <v:fill on="f" focussize="0,0"/>
                  <v:stroke/>
                  <v:imagedata r:id="rId11" o:title=""/>
                  <o:lock v:ext="edit" aspectratio="f"/>
                  <w10:wrap type="none"/>
                  <w10:anchorlock/>
                </v:shape>
                <o:OLEObject Type="Embed" ProgID="Equation.DSMT4" ShapeID="_x0000_i1031" DrawAspect="Content" ObjectID="_1468075731" r:id="rId20">
                  <o:LockedField>false</o:LockedField>
                </o:OLEObject>
              </w:object>
            </w:r>
            <w:r>
              <w:rPr>
                <w:bCs/>
                <w:color w:val="auto"/>
                <w:szCs w:val="32"/>
              </w:rPr>
              <w:t>——</w:t>
            </w:r>
            <w:r>
              <w:rPr>
                <w:rFonts w:ascii="Times New Roman"/>
                <w:color w:val="auto"/>
              </w:rPr>
              <w:t>指装卸扬尘产生量（单位：吨）；</w:t>
            </w:r>
          </w:p>
          <w:p>
            <w:pPr>
              <w:pStyle w:val="36"/>
              <w:spacing w:line="520" w:lineRule="exact"/>
              <w:ind w:firstLine="1200" w:firstLineChars="500"/>
              <w:rPr>
                <w:rFonts w:ascii="Times New Roman"/>
                <w:color w:val="auto"/>
              </w:rPr>
            </w:pPr>
            <w:r>
              <w:rPr>
                <w:color w:val="auto"/>
                <w:position w:val="-14"/>
              </w:rPr>
              <w:object>
                <v:shape id="_x0000_i1032" o:spt="75" type="#_x0000_t75" style="height:18.75pt;width:24pt;" o:ole="t" filled="f" coordsize="21600,21600">
                  <v:path/>
                  <v:fill on="f" focussize="0,0"/>
                  <v:stroke/>
                  <v:imagedata r:id="rId22" o:title=""/>
                  <o:lock v:ext="edit" aspectratio="f"/>
                  <w10:wrap type="none"/>
                  <w10:anchorlock/>
                </v:shape>
                <o:OLEObject Type="Embed" ProgID="Equation.DSMT4" ShapeID="_x0000_i1032" DrawAspect="Content" ObjectID="_1468075732" r:id="rId21">
                  <o:LockedField>false</o:LockedField>
                </o:OLEObject>
              </w:object>
            </w:r>
            <w:r>
              <w:rPr>
                <w:bCs/>
                <w:color w:val="auto"/>
                <w:szCs w:val="32"/>
              </w:rPr>
              <w:t>——</w:t>
            </w:r>
            <w:r>
              <w:rPr>
                <w:rFonts w:ascii="Times New Roman"/>
                <w:color w:val="auto"/>
              </w:rPr>
              <w:t>指风蚀扬尘产生量（单位：吨）；</w:t>
            </w:r>
          </w:p>
          <w:p>
            <w:pPr>
              <w:pStyle w:val="36"/>
              <w:spacing w:line="520" w:lineRule="exact"/>
              <w:ind w:firstLine="1200" w:firstLineChars="500"/>
              <w:rPr>
                <w:rFonts w:ascii="Times New Roman"/>
                <w:color w:val="auto"/>
              </w:rPr>
            </w:pPr>
            <w:r>
              <w:rPr>
                <w:color w:val="auto"/>
                <w:position w:val="-12"/>
              </w:rPr>
              <w:object>
                <v:shape id="_x0000_i1033" o:spt="75" type="#_x0000_t75" style="height:18pt;width:18pt;" o:ole="t" filled="f" coordsize="21600,21600">
                  <v:path/>
                  <v:fill on="f" focussize="0,0"/>
                  <v:stroke/>
                  <v:imagedata r:id="rId13" o:title=""/>
                  <o:lock v:ext="edit" aspectratio="f"/>
                  <w10:wrap type="none"/>
                  <w10:anchorlock/>
                </v:shape>
                <o:OLEObject Type="Embed" ProgID="Equation.DSMT4" ShapeID="_x0000_i1033" DrawAspect="Content" ObjectID="_1468075733" r:id="rId23">
                  <o:LockedField>false</o:LockedField>
                </o:OLEObject>
              </w:object>
            </w:r>
            <w:r>
              <w:rPr>
                <w:bCs/>
                <w:color w:val="auto"/>
                <w:szCs w:val="32"/>
              </w:rPr>
              <w:t>——</w:t>
            </w:r>
            <w:r>
              <w:rPr>
                <w:rFonts w:ascii="Times New Roman"/>
                <w:color w:val="auto"/>
              </w:rPr>
              <w:t>指年物料运载车次（单位：车）</w:t>
            </w:r>
            <w:r>
              <w:rPr>
                <w:rFonts w:hint="eastAsia" w:ascii="Times New Roman"/>
                <w:color w:val="auto"/>
              </w:rPr>
              <w:t>：本次评价取2</w:t>
            </w:r>
            <w:r>
              <w:rPr>
                <w:rFonts w:ascii="Times New Roman"/>
                <w:color w:val="auto"/>
              </w:rPr>
              <w:t>720</w:t>
            </w:r>
            <w:r>
              <w:rPr>
                <w:rFonts w:hint="eastAsia" w:ascii="Times New Roman"/>
                <w:color w:val="auto"/>
              </w:rPr>
              <w:t>车；</w:t>
            </w:r>
          </w:p>
          <w:p>
            <w:pPr>
              <w:pStyle w:val="36"/>
              <w:spacing w:line="520" w:lineRule="exact"/>
              <w:ind w:firstLine="1200" w:firstLineChars="500"/>
              <w:rPr>
                <w:rFonts w:ascii="Times New Roman"/>
                <w:color w:val="auto"/>
              </w:rPr>
            </w:pPr>
            <w:r>
              <w:rPr>
                <w:color w:val="auto"/>
                <w:position w:val="-4"/>
              </w:rPr>
              <w:object>
                <v:shape id="_x0000_i1034" o:spt="75" type="#_x0000_t75" style="height:12.75pt;width:12.75pt;" o:ole="t" filled="f" coordsize="21600,21600">
                  <v:path/>
                  <v:fill on="f" focussize="0,0"/>
                  <v:stroke/>
                  <v:imagedata r:id="rId15" o:title=""/>
                  <o:lock v:ext="edit" aspectratio="f"/>
                  <w10:wrap type="none"/>
                  <w10:anchorlock/>
                </v:shape>
                <o:OLEObject Type="Embed" ProgID="Equation.DSMT4" ShapeID="_x0000_i1034" DrawAspect="Content" ObjectID="_1468075734" r:id="rId24">
                  <o:LockedField>false</o:LockedField>
                </o:OLEObject>
              </w:object>
            </w:r>
            <w:r>
              <w:rPr>
                <w:bCs/>
                <w:color w:val="auto"/>
                <w:szCs w:val="32"/>
              </w:rPr>
              <w:t>——</w:t>
            </w:r>
            <w:r>
              <w:rPr>
                <w:rFonts w:ascii="Times New Roman"/>
                <w:color w:val="auto"/>
              </w:rPr>
              <w:t>指单车平均运载量（单位：吨/车）</w:t>
            </w:r>
            <w:r>
              <w:rPr>
                <w:rFonts w:hint="eastAsia" w:ascii="Times New Roman"/>
                <w:color w:val="auto"/>
              </w:rPr>
              <w:t>：本次评价取</w:t>
            </w:r>
            <w:r>
              <w:rPr>
                <w:rFonts w:ascii="Times New Roman"/>
                <w:color w:val="auto"/>
              </w:rPr>
              <w:t>30</w:t>
            </w:r>
            <w:r>
              <w:rPr>
                <w:rFonts w:hint="eastAsia" w:ascii="Times New Roman"/>
                <w:color w:val="auto"/>
              </w:rPr>
              <w:t>t/车；</w:t>
            </w:r>
          </w:p>
          <w:p>
            <w:pPr>
              <w:pStyle w:val="36"/>
              <w:ind w:firstLine="1200" w:firstLineChars="500"/>
              <w:rPr>
                <w:rFonts w:ascii="Times New Roman"/>
                <w:color w:val="auto"/>
              </w:rPr>
            </w:pPr>
            <w:r>
              <w:rPr>
                <w:color w:val="auto"/>
                <w:position w:val="-28"/>
              </w:rPr>
              <w:object>
                <v:shape id="_x0000_i1035" o:spt="75" type="#_x0000_t75" style="height:33.75pt;width:24pt;" o:ole="t" filled="f" coordsize="21600,21600">
                  <v:path/>
                  <v:fill on="f" focussize="0,0"/>
                  <v:stroke/>
                  <v:imagedata r:id="rId17" o:title=""/>
                  <o:lock v:ext="edit" aspectratio="f"/>
                  <w10:wrap type="none"/>
                  <w10:anchorlock/>
                </v:shape>
                <o:OLEObject Type="Embed" ProgID="Equation.DSMT4" ShapeID="_x0000_i1035" DrawAspect="Content" ObjectID="_1468075735" r:id="rId25">
                  <o:LockedField>false</o:LockedField>
                </o:OLEObject>
              </w:object>
            </w:r>
            <w:r>
              <w:rPr>
                <w:bCs/>
                <w:color w:val="auto"/>
                <w:szCs w:val="32"/>
              </w:rPr>
              <w:t>——</w:t>
            </w:r>
            <w:r>
              <w:rPr>
                <w:rFonts w:ascii="Times New Roman"/>
                <w:color w:val="auto"/>
              </w:rPr>
              <w:t>指装卸扬尘概化系数（单位：千克/吨），a指各省风速概化系数</w:t>
            </w:r>
            <w:r>
              <w:rPr>
                <w:rFonts w:hint="eastAsia" w:ascii="Times New Roman"/>
                <w:color w:val="auto"/>
              </w:rPr>
              <w:t>：本次评价取0.0011，</w:t>
            </w:r>
            <w:r>
              <w:rPr>
                <w:rFonts w:ascii="Times New Roman"/>
                <w:color w:val="auto"/>
              </w:rPr>
              <w:t>b指物料含水率概化系数</w:t>
            </w:r>
            <w:r>
              <w:rPr>
                <w:rFonts w:hint="eastAsia" w:ascii="Times New Roman"/>
                <w:color w:val="auto"/>
              </w:rPr>
              <w:t>：本次评价取</w:t>
            </w:r>
            <w:r>
              <w:rPr>
                <w:rFonts w:ascii="Times New Roman"/>
                <w:color w:val="auto"/>
              </w:rPr>
              <w:t>0.0151</w:t>
            </w:r>
            <w:r>
              <w:rPr>
                <w:rFonts w:hint="eastAsia" w:ascii="Times New Roman"/>
                <w:color w:val="auto"/>
              </w:rPr>
              <w:t>；</w:t>
            </w:r>
          </w:p>
          <w:p>
            <w:pPr>
              <w:pStyle w:val="36"/>
              <w:spacing w:line="520" w:lineRule="exact"/>
              <w:ind w:firstLine="1200" w:firstLineChars="500"/>
              <w:rPr>
                <w:rFonts w:ascii="Times New Roman"/>
                <w:color w:val="auto"/>
              </w:rPr>
            </w:pPr>
            <w:r>
              <w:rPr>
                <w:color w:val="auto"/>
                <w:position w:val="-14"/>
              </w:rPr>
              <w:object>
                <v:shape id="_x0000_i1036" o:spt="75" type="#_x0000_t75" style="height:18.75pt;width:17.25pt;" o:ole="t" filled="f" coordsize="21600,21600">
                  <v:path/>
                  <v:fill on="f" focussize="0,0"/>
                  <v:stroke/>
                  <v:imagedata r:id="rId27" o:title=""/>
                  <o:lock v:ext="edit" aspectratio="f"/>
                  <w10:wrap type="none"/>
                  <w10:anchorlock/>
                </v:shape>
                <o:OLEObject Type="Embed" ProgID="Equation.DSMT4" ShapeID="_x0000_i1036" DrawAspect="Content" ObjectID="_1468075736" r:id="rId26">
                  <o:LockedField>false</o:LockedField>
                </o:OLEObject>
              </w:object>
            </w:r>
            <w:r>
              <w:rPr>
                <w:bCs/>
                <w:color w:val="auto"/>
                <w:szCs w:val="32"/>
              </w:rPr>
              <w:t>——</w:t>
            </w:r>
            <w:r>
              <w:rPr>
                <w:rFonts w:ascii="Times New Roman"/>
                <w:color w:val="auto"/>
              </w:rPr>
              <w:t>指堆场风蚀扬尘概化系数，（单位：千克/平方米）</w:t>
            </w:r>
            <w:r>
              <w:rPr>
                <w:rFonts w:hint="eastAsia" w:ascii="Times New Roman"/>
                <w:color w:val="auto"/>
              </w:rPr>
              <w:t>：本次评价取</w:t>
            </w:r>
            <w:r>
              <w:rPr>
                <w:rFonts w:ascii="Times New Roman"/>
                <w:color w:val="auto"/>
              </w:rPr>
              <w:t>41.5808；</w:t>
            </w:r>
          </w:p>
          <w:p>
            <w:pPr>
              <w:pStyle w:val="36"/>
              <w:spacing w:line="520" w:lineRule="exact"/>
              <w:ind w:firstLine="1200" w:firstLineChars="500"/>
              <w:rPr>
                <w:rFonts w:ascii="Times New Roman"/>
                <w:color w:val="auto"/>
              </w:rPr>
            </w:pPr>
            <w:r>
              <w:rPr>
                <w:color w:val="auto"/>
                <w:position w:val="-6"/>
              </w:rPr>
              <w:object>
                <v:shape id="_x0000_i1037" o:spt="75" type="#_x0000_t75" style="height:14.25pt;width:11.25pt;" o:ole="t" filled="f" coordsize="21600,21600">
                  <v:path/>
                  <v:fill on="f" focussize="0,0"/>
                  <v:stroke/>
                  <v:imagedata r:id="rId29" o:title=""/>
                  <o:lock v:ext="edit" aspectratio="f"/>
                  <w10:wrap type="none"/>
                  <w10:anchorlock/>
                </v:shape>
                <o:OLEObject Type="Embed" ProgID="Equation.DSMT4" ShapeID="_x0000_i1037" DrawAspect="Content" ObjectID="_1468075737" r:id="rId28">
                  <o:LockedField>false</o:LockedField>
                </o:OLEObject>
              </w:object>
            </w:r>
            <w:r>
              <w:rPr>
                <w:rFonts w:ascii="Times New Roman"/>
                <w:color w:val="auto"/>
              </w:rPr>
              <w:t>指堆场占地面积（单位：平方米）</w:t>
            </w:r>
            <w:r>
              <w:rPr>
                <w:rFonts w:hint="eastAsia" w:ascii="Times New Roman"/>
                <w:color w:val="auto"/>
              </w:rPr>
              <w:t>：本次评价取1</w:t>
            </w:r>
            <w:r>
              <w:rPr>
                <w:rFonts w:ascii="Times New Roman"/>
                <w:color w:val="auto"/>
              </w:rPr>
              <w:t>0000</w:t>
            </w:r>
            <w:r>
              <w:rPr>
                <w:rFonts w:hint="eastAsia" w:ascii="Times New Roman"/>
                <w:color w:val="auto"/>
              </w:rPr>
              <w:t>m</w:t>
            </w:r>
            <w:r>
              <w:rPr>
                <w:rFonts w:hint="eastAsia" w:ascii="Times New Roman"/>
                <w:color w:val="auto"/>
                <w:vertAlign w:val="superscript"/>
              </w:rPr>
              <w:t>2</w:t>
            </w:r>
            <w:r>
              <w:rPr>
                <w:rFonts w:ascii="Times New Roman"/>
                <w:color w:val="auto"/>
              </w:rPr>
              <w:t>。</w:t>
            </w:r>
          </w:p>
          <w:p>
            <w:pPr>
              <w:adjustRightInd w:val="0"/>
              <w:snapToGrid w:val="0"/>
              <w:spacing w:line="520" w:lineRule="exact"/>
              <w:ind w:firstLine="480" w:firstLineChars="200"/>
              <w:rPr>
                <w:bCs/>
                <w:kern w:val="0"/>
                <w:sz w:val="24"/>
              </w:rPr>
            </w:pPr>
            <w:r>
              <w:rPr>
                <w:bCs/>
                <w:kern w:val="0"/>
                <w:sz w:val="24"/>
              </w:rPr>
              <w:t>根据公式计算得，本项目</w:t>
            </w:r>
            <w:r>
              <w:rPr>
                <w:rFonts w:hint="eastAsia"/>
                <w:sz w:val="24"/>
              </w:rPr>
              <w:t>地表覆盖砂集中堆放场</w:t>
            </w:r>
            <w:r>
              <w:rPr>
                <w:bCs/>
                <w:kern w:val="0"/>
                <w:sz w:val="24"/>
              </w:rPr>
              <w:t>起尘量约为837.56t/a。</w:t>
            </w:r>
            <w:r>
              <w:rPr>
                <w:rFonts w:hint="eastAsia"/>
                <w:bCs/>
                <w:kern w:val="0"/>
                <w:sz w:val="24"/>
              </w:rPr>
              <w:t>本次评价要求对</w:t>
            </w:r>
            <w:r>
              <w:rPr>
                <w:rFonts w:hint="eastAsia"/>
                <w:sz w:val="24"/>
              </w:rPr>
              <w:t>地表覆盖砂集中堆放场采取设置防风抑尘网（控制效率6</w:t>
            </w:r>
            <w:r>
              <w:rPr>
                <w:sz w:val="24"/>
              </w:rPr>
              <w:t>0</w:t>
            </w:r>
            <w:r>
              <w:rPr>
                <w:rFonts w:hint="eastAsia"/>
                <w:sz w:val="24"/>
              </w:rPr>
              <w:t>%），用苫盖遮挡（控制效率</w:t>
            </w:r>
            <w:r>
              <w:rPr>
                <w:sz w:val="24"/>
              </w:rPr>
              <w:t>86</w:t>
            </w:r>
            <w:r>
              <w:rPr>
                <w:rFonts w:hint="eastAsia"/>
                <w:sz w:val="24"/>
              </w:rPr>
              <w:t>%），采取上述措施后可以减少扬尘约</w:t>
            </w:r>
            <w:r>
              <w:rPr>
                <w:sz w:val="24"/>
              </w:rPr>
              <w:t>94.4</w:t>
            </w:r>
            <w:r>
              <w:rPr>
                <w:rFonts w:hint="eastAsia"/>
                <w:sz w:val="24"/>
              </w:rPr>
              <w:t>％，采取措施后扬尘量为</w:t>
            </w:r>
            <w:r>
              <w:rPr>
                <w:sz w:val="24"/>
              </w:rPr>
              <w:t>46.90t/a</w:t>
            </w:r>
            <w:r>
              <w:rPr>
                <w:rFonts w:hint="eastAsia"/>
                <w:sz w:val="24"/>
              </w:rPr>
              <w:t>。</w:t>
            </w:r>
          </w:p>
          <w:p>
            <w:pPr>
              <w:adjustRightInd w:val="0"/>
              <w:snapToGrid w:val="0"/>
              <w:spacing w:line="520" w:lineRule="exact"/>
              <w:ind w:firstLine="482" w:firstLineChars="200"/>
              <w:rPr>
                <w:b/>
                <w:bCs/>
                <w:sz w:val="24"/>
              </w:rPr>
            </w:pPr>
            <w:r>
              <w:rPr>
                <w:rFonts w:hint="eastAsia"/>
                <w:b/>
                <w:bCs/>
                <w:sz w:val="24"/>
              </w:rPr>
              <w:t>2.4</w:t>
            </w:r>
            <w:r>
              <w:rPr>
                <w:b/>
                <w:bCs/>
                <w:sz w:val="24"/>
              </w:rPr>
              <w:t>运输道路扬尘</w:t>
            </w:r>
          </w:p>
          <w:p>
            <w:pPr>
              <w:adjustRightInd w:val="0"/>
              <w:snapToGrid w:val="0"/>
              <w:spacing w:line="520" w:lineRule="exact"/>
              <w:ind w:firstLine="480" w:firstLineChars="200"/>
              <w:rPr>
                <w:sz w:val="24"/>
              </w:rPr>
            </w:pPr>
            <w:r>
              <w:rPr>
                <w:sz w:val="24"/>
                <w:lang w:val="zh-CN"/>
              </w:rPr>
              <w:t>矿用装载机在采石场装运矿石的过程中会产生一定的扬尘。对装卸、运输等过程产生的排放粉尘，评价建议采取设专人对运输道路进行定期清扫、洒水；对运输车辆提出要求，严禁</w:t>
            </w:r>
            <w:r>
              <w:rPr>
                <w:rFonts w:hint="eastAsia"/>
                <w:sz w:val="24"/>
                <w:lang w:val="zh-CN"/>
              </w:rPr>
              <w:t>石英砂堆放</w:t>
            </w:r>
            <w:r>
              <w:rPr>
                <w:sz w:val="24"/>
                <w:lang w:val="zh-CN"/>
              </w:rPr>
              <w:t>超出箱板，</w:t>
            </w:r>
            <w:r>
              <w:rPr>
                <w:rFonts w:hint="eastAsia"/>
                <w:sz w:val="24"/>
                <w:lang w:val="zh-CN"/>
              </w:rPr>
              <w:t>运输车辆运输过程用篷布遮盖，</w:t>
            </w:r>
            <w:r>
              <w:rPr>
                <w:sz w:val="24"/>
                <w:lang w:val="zh-CN"/>
              </w:rPr>
              <w:t>通过这些措施，可以有效的减少运输扬尘的产生量。</w:t>
            </w:r>
          </w:p>
          <w:p>
            <w:pPr>
              <w:adjustRightInd w:val="0"/>
              <w:snapToGrid w:val="0"/>
              <w:spacing w:line="520" w:lineRule="exact"/>
              <w:ind w:firstLine="480" w:firstLineChars="200"/>
              <w:rPr>
                <w:sz w:val="24"/>
              </w:rPr>
            </w:pPr>
            <w:r>
              <w:rPr>
                <w:sz w:val="24"/>
              </w:rPr>
              <w:t>环评采用《无组织排放源常用分析与估算方法》推荐的经验公式估算运输车辆道路扬尘量：</w:t>
            </w:r>
          </w:p>
          <w:p>
            <w:pPr>
              <w:widowControl/>
              <w:adjustRightInd w:val="0"/>
              <w:snapToGrid w:val="0"/>
              <w:spacing w:line="520" w:lineRule="exact"/>
              <w:ind w:firstLine="1680" w:firstLineChars="700"/>
              <w:jc w:val="left"/>
              <w:rPr>
                <w:sz w:val="24"/>
              </w:rPr>
            </w:pPr>
            <w:r>
              <w:rPr>
                <w:sz w:val="24"/>
              </w:rPr>
              <w:t>Q</w:t>
            </w:r>
            <w:r>
              <w:rPr>
                <w:sz w:val="24"/>
                <w:vertAlign w:val="subscript"/>
              </w:rPr>
              <w:t>p</w:t>
            </w:r>
            <w:r>
              <w:rPr>
                <w:sz w:val="24"/>
              </w:rPr>
              <w:t>=0.123(V/5)·(M/6.8)</w:t>
            </w:r>
            <w:r>
              <w:rPr>
                <w:sz w:val="24"/>
                <w:vertAlign w:val="superscript"/>
              </w:rPr>
              <w:t>0.85</w:t>
            </w:r>
            <w:r>
              <w:rPr>
                <w:sz w:val="24"/>
              </w:rPr>
              <w:t>·(P/0.5)</w:t>
            </w:r>
            <w:r>
              <w:rPr>
                <w:sz w:val="24"/>
                <w:vertAlign w:val="superscript"/>
              </w:rPr>
              <w:t>0.72</w:t>
            </w:r>
          </w:p>
          <w:p>
            <w:pPr>
              <w:widowControl/>
              <w:adjustRightInd w:val="0"/>
              <w:snapToGrid w:val="0"/>
              <w:spacing w:line="520" w:lineRule="exact"/>
              <w:ind w:firstLine="1680" w:firstLineChars="700"/>
              <w:jc w:val="left"/>
              <w:rPr>
                <w:sz w:val="24"/>
                <w:lang w:val="es-VE"/>
              </w:rPr>
            </w:pPr>
            <w:r>
              <w:rPr>
                <w:sz w:val="24"/>
                <w:lang w:val="es-VE"/>
              </w:rPr>
              <w:t>Q</w:t>
            </w:r>
            <w:r>
              <w:rPr>
                <w:sz w:val="24"/>
              </w:rPr>
              <w:t>′</w:t>
            </w:r>
            <w:r>
              <w:rPr>
                <w:sz w:val="24"/>
                <w:vertAlign w:val="subscript"/>
                <w:lang w:val="es-VE"/>
              </w:rPr>
              <w:t>p</w:t>
            </w:r>
            <w:r>
              <w:rPr>
                <w:sz w:val="24"/>
                <w:lang w:val="es-VE"/>
              </w:rPr>
              <w:t>=Q</w:t>
            </w:r>
            <w:r>
              <w:rPr>
                <w:sz w:val="24"/>
                <w:vertAlign w:val="subscript"/>
                <w:lang w:val="es-VE"/>
              </w:rPr>
              <w:t>p</w:t>
            </w:r>
            <w:r>
              <w:rPr>
                <w:sz w:val="24"/>
              </w:rPr>
              <w:t>·</w:t>
            </w:r>
            <w:r>
              <w:rPr>
                <w:sz w:val="24"/>
                <w:lang w:val="es-VE"/>
              </w:rPr>
              <w:t>L</w:t>
            </w:r>
            <w:r>
              <w:rPr>
                <w:sz w:val="24"/>
              </w:rPr>
              <w:t>·</w:t>
            </w:r>
            <w:r>
              <w:rPr>
                <w:sz w:val="24"/>
                <w:lang w:val="es-VE"/>
              </w:rPr>
              <w:t>Q/M</w:t>
            </w:r>
          </w:p>
          <w:p>
            <w:pPr>
              <w:widowControl/>
              <w:adjustRightInd w:val="0"/>
              <w:snapToGrid w:val="0"/>
              <w:spacing w:line="520" w:lineRule="exact"/>
              <w:ind w:firstLine="480" w:firstLineChars="200"/>
              <w:jc w:val="left"/>
              <w:rPr>
                <w:sz w:val="24"/>
                <w:lang w:val="es-VE"/>
              </w:rPr>
            </w:pPr>
            <w:r>
              <w:rPr>
                <w:sz w:val="24"/>
              </w:rPr>
              <w:t>计算参数</w:t>
            </w:r>
            <w:r>
              <w:rPr>
                <w:sz w:val="24"/>
                <w:lang w:val="es-VE"/>
              </w:rPr>
              <w:t>：Q</w:t>
            </w:r>
            <w:r>
              <w:rPr>
                <w:sz w:val="24"/>
                <w:vertAlign w:val="subscript"/>
                <w:lang w:val="es-VE"/>
              </w:rPr>
              <w:t>p</w:t>
            </w:r>
            <w:r>
              <w:rPr>
                <w:bCs/>
                <w:sz w:val="24"/>
                <w:szCs w:val="32"/>
              </w:rPr>
              <w:t>——</w:t>
            </w:r>
            <w:r>
              <w:rPr>
                <w:sz w:val="24"/>
              </w:rPr>
              <w:t>道路扬尘量</w:t>
            </w:r>
            <w:r>
              <w:rPr>
                <w:sz w:val="24"/>
                <w:lang w:val="es-VE"/>
              </w:rPr>
              <w:t>，(kg/km·</w:t>
            </w:r>
            <w:r>
              <w:rPr>
                <w:sz w:val="24"/>
              </w:rPr>
              <w:t>辆</w:t>
            </w:r>
            <w:r>
              <w:rPr>
                <w:sz w:val="24"/>
                <w:lang w:val="es-VE"/>
              </w:rPr>
              <w:t>)；</w:t>
            </w:r>
          </w:p>
          <w:p>
            <w:pPr>
              <w:widowControl/>
              <w:adjustRightInd w:val="0"/>
              <w:snapToGrid w:val="0"/>
              <w:spacing w:line="520" w:lineRule="exact"/>
              <w:ind w:firstLine="480" w:firstLineChars="200"/>
              <w:jc w:val="left"/>
              <w:rPr>
                <w:sz w:val="24"/>
                <w:lang w:val="es-VE"/>
              </w:rPr>
            </w:pPr>
            <w:r>
              <w:rPr>
                <w:sz w:val="24"/>
                <w:lang w:val="es-VE"/>
              </w:rPr>
              <w:t xml:space="preserve">          Q′</w:t>
            </w:r>
            <w:r>
              <w:rPr>
                <w:sz w:val="24"/>
                <w:vertAlign w:val="subscript"/>
                <w:lang w:val="es-VE"/>
              </w:rPr>
              <w:t>p</w:t>
            </w:r>
            <w:r>
              <w:rPr>
                <w:bCs/>
                <w:sz w:val="24"/>
                <w:szCs w:val="32"/>
                <w:lang w:val="es-VE"/>
              </w:rPr>
              <w:t>——</w:t>
            </w:r>
            <w:r>
              <w:rPr>
                <w:sz w:val="24"/>
                <w:lang w:val="es-VE"/>
              </w:rPr>
              <w:t>总扬尘量，(kg/a)；</w:t>
            </w:r>
          </w:p>
          <w:p>
            <w:pPr>
              <w:widowControl/>
              <w:adjustRightInd w:val="0"/>
              <w:snapToGrid w:val="0"/>
              <w:spacing w:line="520" w:lineRule="exact"/>
              <w:ind w:firstLine="480" w:firstLineChars="200"/>
              <w:jc w:val="left"/>
              <w:rPr>
                <w:sz w:val="24"/>
                <w:lang w:val="es-VE"/>
              </w:rPr>
            </w:pPr>
            <w:r>
              <w:rPr>
                <w:sz w:val="24"/>
                <w:lang w:val="es-VE"/>
              </w:rPr>
              <w:t xml:space="preserve">          V</w:t>
            </w:r>
            <w:r>
              <w:rPr>
                <w:bCs/>
                <w:sz w:val="24"/>
                <w:szCs w:val="32"/>
                <w:lang w:val="es-VE"/>
              </w:rPr>
              <w:t>——</w:t>
            </w:r>
            <w:r>
              <w:rPr>
                <w:sz w:val="24"/>
              </w:rPr>
              <w:t>车辆速度</w:t>
            </w:r>
            <w:r>
              <w:rPr>
                <w:sz w:val="24"/>
                <w:lang w:val="es-VE"/>
              </w:rPr>
              <w:t xml:space="preserve">，(20km/h)； </w:t>
            </w:r>
          </w:p>
          <w:p>
            <w:pPr>
              <w:widowControl/>
              <w:adjustRightInd w:val="0"/>
              <w:snapToGrid w:val="0"/>
              <w:spacing w:line="520" w:lineRule="exact"/>
              <w:ind w:firstLine="480" w:firstLineChars="200"/>
              <w:jc w:val="left"/>
              <w:rPr>
                <w:sz w:val="24"/>
              </w:rPr>
            </w:pPr>
            <w:r>
              <w:rPr>
                <w:sz w:val="24"/>
                <w:lang w:val="es-VE"/>
              </w:rPr>
              <w:t xml:space="preserve">          </w:t>
            </w:r>
            <w:r>
              <w:rPr>
                <w:sz w:val="24"/>
              </w:rPr>
              <w:t>M</w:t>
            </w:r>
            <w:r>
              <w:rPr>
                <w:bCs/>
                <w:sz w:val="24"/>
                <w:szCs w:val="32"/>
              </w:rPr>
              <w:t>——</w:t>
            </w:r>
            <w:r>
              <w:rPr>
                <w:sz w:val="24"/>
              </w:rPr>
              <w:t>车辆载重，16.7</w:t>
            </w:r>
            <w:r>
              <w:rPr>
                <w:rFonts w:hint="eastAsia"/>
                <w:sz w:val="24"/>
              </w:rPr>
              <w:t>m</w:t>
            </w:r>
            <w:r>
              <w:rPr>
                <w:rFonts w:hint="eastAsia"/>
                <w:sz w:val="24"/>
                <w:vertAlign w:val="superscript"/>
              </w:rPr>
              <w:t>3</w:t>
            </w:r>
            <w:r>
              <w:rPr>
                <w:sz w:val="24"/>
              </w:rPr>
              <w:t>/辆；</w:t>
            </w:r>
          </w:p>
          <w:p>
            <w:pPr>
              <w:widowControl/>
              <w:adjustRightInd w:val="0"/>
              <w:snapToGrid w:val="0"/>
              <w:spacing w:line="520" w:lineRule="exact"/>
              <w:ind w:firstLine="480" w:firstLineChars="200"/>
              <w:jc w:val="left"/>
              <w:rPr>
                <w:sz w:val="24"/>
              </w:rPr>
            </w:pPr>
            <w:r>
              <w:rPr>
                <w:rFonts w:eastAsia="仿宋"/>
                <w:sz w:val="24"/>
              </w:rPr>
              <w:t xml:space="preserve"> </w:t>
            </w:r>
            <w:r>
              <w:rPr>
                <w:sz w:val="24"/>
              </w:rPr>
              <w:t xml:space="preserve">         P</w:t>
            </w:r>
            <w:r>
              <w:rPr>
                <w:bCs/>
                <w:sz w:val="24"/>
                <w:szCs w:val="32"/>
              </w:rPr>
              <w:t>——</w:t>
            </w:r>
            <w:r>
              <w:rPr>
                <w:sz w:val="24"/>
              </w:rPr>
              <w:t>路面灰尘覆盖率，0.5kg/m</w:t>
            </w:r>
            <w:r>
              <w:rPr>
                <w:sz w:val="24"/>
                <w:vertAlign w:val="superscript"/>
              </w:rPr>
              <w:t>2</w:t>
            </w:r>
            <w:r>
              <w:rPr>
                <w:sz w:val="24"/>
              </w:rPr>
              <w:t>；</w:t>
            </w:r>
          </w:p>
          <w:p>
            <w:pPr>
              <w:widowControl/>
              <w:adjustRightInd w:val="0"/>
              <w:snapToGrid w:val="0"/>
              <w:spacing w:line="520" w:lineRule="exact"/>
              <w:ind w:firstLine="480" w:firstLineChars="200"/>
              <w:jc w:val="left"/>
              <w:rPr>
                <w:sz w:val="24"/>
              </w:rPr>
            </w:pPr>
            <w:r>
              <w:rPr>
                <w:sz w:val="24"/>
              </w:rPr>
              <w:t xml:space="preserve">          L</w:t>
            </w:r>
            <w:r>
              <w:rPr>
                <w:bCs/>
                <w:sz w:val="24"/>
                <w:szCs w:val="32"/>
              </w:rPr>
              <w:t>——</w:t>
            </w:r>
            <w:r>
              <w:rPr>
                <w:sz w:val="24"/>
              </w:rPr>
              <w:t>运距，(km，考虑矿区道路的运输距离，约6</w:t>
            </w:r>
            <w:r>
              <w:rPr>
                <w:rFonts w:hint="eastAsia"/>
                <w:sz w:val="24"/>
              </w:rPr>
              <w:t>k</w:t>
            </w:r>
            <w:r>
              <w:rPr>
                <w:sz w:val="24"/>
              </w:rPr>
              <w:t>m)；</w:t>
            </w:r>
          </w:p>
          <w:p>
            <w:pPr>
              <w:widowControl/>
              <w:adjustRightInd w:val="0"/>
              <w:snapToGrid w:val="0"/>
              <w:spacing w:line="520" w:lineRule="exact"/>
              <w:ind w:firstLine="480" w:firstLineChars="200"/>
              <w:jc w:val="left"/>
              <w:rPr>
                <w:sz w:val="24"/>
              </w:rPr>
            </w:pPr>
            <w:r>
              <w:rPr>
                <w:sz w:val="24"/>
              </w:rPr>
              <w:t xml:space="preserve">          Q</w:t>
            </w:r>
            <w:r>
              <w:rPr>
                <w:bCs/>
                <w:sz w:val="24"/>
                <w:szCs w:val="32"/>
              </w:rPr>
              <w:t>——</w:t>
            </w:r>
            <w:r>
              <w:rPr>
                <w:sz w:val="24"/>
              </w:rPr>
              <w:t>运输量，(</w:t>
            </w:r>
            <w:r>
              <w:rPr>
                <w:rFonts w:hint="eastAsia"/>
                <w:sz w:val="24"/>
              </w:rPr>
              <w:t>1</w:t>
            </w:r>
            <w:r>
              <w:rPr>
                <w:sz w:val="24"/>
              </w:rPr>
              <w:t>00</w:t>
            </w:r>
            <w:r>
              <w:rPr>
                <w:rFonts w:hint="eastAsia"/>
                <w:sz w:val="24"/>
              </w:rPr>
              <w:t>0000</w:t>
            </w:r>
            <w:r>
              <w:rPr>
                <w:sz w:val="24"/>
              </w:rPr>
              <w:t>m</w:t>
            </w:r>
            <w:r>
              <w:rPr>
                <w:sz w:val="24"/>
                <w:vertAlign w:val="superscript"/>
              </w:rPr>
              <w:t>3</w:t>
            </w:r>
            <w:r>
              <w:rPr>
                <w:sz w:val="24"/>
              </w:rPr>
              <w:t>/a)。</w:t>
            </w:r>
          </w:p>
          <w:p>
            <w:pPr>
              <w:widowControl/>
              <w:adjustRightInd w:val="0"/>
              <w:snapToGrid w:val="0"/>
              <w:spacing w:line="520" w:lineRule="exact"/>
              <w:ind w:firstLine="480" w:firstLineChars="200"/>
              <w:rPr>
                <w:sz w:val="24"/>
              </w:rPr>
            </w:pPr>
            <w:r>
              <w:rPr>
                <w:sz w:val="24"/>
              </w:rPr>
              <w:t>经计算，道路运输扬尘约为380.14t/a</w:t>
            </w:r>
            <w:r>
              <w:rPr>
                <w:rFonts w:hint="eastAsia"/>
                <w:sz w:val="24"/>
              </w:rPr>
              <w:t>，</w:t>
            </w:r>
            <w:r>
              <w:rPr>
                <w:sz w:val="24"/>
              </w:rPr>
              <w:t>通过对进厂道路进行砾石复压</w:t>
            </w:r>
            <w:r>
              <w:rPr>
                <w:rFonts w:hint="eastAsia"/>
                <w:sz w:val="24"/>
              </w:rPr>
              <w:t>硬化</w:t>
            </w:r>
            <w:r>
              <w:rPr>
                <w:sz w:val="24"/>
              </w:rPr>
              <w:t>，</w:t>
            </w:r>
            <w:r>
              <w:rPr>
                <w:rFonts w:hint="eastAsia"/>
                <w:sz w:val="24"/>
              </w:rPr>
              <w:t>矿区配备洒水车，采用洒水对道路进行充分预湿（控制效率7</w:t>
            </w:r>
            <w:r>
              <w:rPr>
                <w:sz w:val="24"/>
              </w:rPr>
              <w:t>4</w:t>
            </w:r>
            <w:r>
              <w:rPr>
                <w:rFonts w:hint="eastAsia"/>
                <w:sz w:val="24"/>
              </w:rPr>
              <w:t>%），</w:t>
            </w:r>
            <w:r>
              <w:rPr>
                <w:sz w:val="24"/>
              </w:rPr>
              <w:t>运输车辆出厂时，采取苫盖篷布的措施</w:t>
            </w:r>
            <w:r>
              <w:rPr>
                <w:rFonts w:hint="eastAsia"/>
                <w:sz w:val="24"/>
              </w:rPr>
              <w:t>（控制效率8</w:t>
            </w:r>
            <w:r>
              <w:rPr>
                <w:sz w:val="24"/>
              </w:rPr>
              <w:t>6</w:t>
            </w:r>
            <w:r>
              <w:rPr>
                <w:rFonts w:hint="eastAsia"/>
                <w:sz w:val="24"/>
              </w:rPr>
              <w:t>%）</w:t>
            </w:r>
            <w:r>
              <w:rPr>
                <w:sz w:val="24"/>
              </w:rPr>
              <w:t>，</w:t>
            </w:r>
            <w:r>
              <w:rPr>
                <w:rFonts w:hint="eastAsia"/>
                <w:sz w:val="24"/>
              </w:rPr>
              <w:t>并对车辆进行冲洗（控制效率</w:t>
            </w:r>
            <w:r>
              <w:rPr>
                <w:sz w:val="24"/>
              </w:rPr>
              <w:t>78</w:t>
            </w:r>
            <w:r>
              <w:rPr>
                <w:rFonts w:hint="eastAsia"/>
                <w:sz w:val="24"/>
              </w:rPr>
              <w:t>%），通过采取以上措施粉尘控制</w:t>
            </w:r>
            <w:r>
              <w:rPr>
                <w:sz w:val="24"/>
              </w:rPr>
              <w:t>效率可达99.2%，则道路运输扬尘约为3.04t/a。</w:t>
            </w:r>
          </w:p>
          <w:p>
            <w:pPr>
              <w:widowControl/>
              <w:adjustRightInd w:val="0"/>
              <w:snapToGrid w:val="0"/>
              <w:spacing w:line="520" w:lineRule="exact"/>
              <w:ind w:firstLine="482" w:firstLineChars="200"/>
              <w:rPr>
                <w:b/>
                <w:bCs/>
                <w:sz w:val="24"/>
              </w:rPr>
            </w:pPr>
            <w:r>
              <w:rPr>
                <w:rFonts w:hint="eastAsia"/>
                <w:b/>
                <w:bCs/>
                <w:sz w:val="24"/>
              </w:rPr>
              <w:t>2.5</w:t>
            </w:r>
            <w:r>
              <w:rPr>
                <w:b/>
                <w:bCs/>
                <w:sz w:val="24"/>
              </w:rPr>
              <w:t>机械</w:t>
            </w:r>
            <w:r>
              <w:rPr>
                <w:rFonts w:hint="eastAsia"/>
                <w:b/>
                <w:bCs/>
                <w:sz w:val="24"/>
              </w:rPr>
              <w:t>燃油</w:t>
            </w:r>
            <w:r>
              <w:rPr>
                <w:b/>
                <w:bCs/>
                <w:sz w:val="24"/>
              </w:rPr>
              <w:t>废气</w:t>
            </w:r>
          </w:p>
          <w:p>
            <w:pPr>
              <w:widowControl/>
              <w:adjustRightInd w:val="0"/>
              <w:snapToGrid w:val="0"/>
              <w:spacing w:line="520" w:lineRule="exact"/>
              <w:ind w:firstLine="480" w:firstLineChars="200"/>
              <w:rPr>
                <w:sz w:val="24"/>
              </w:rPr>
            </w:pPr>
            <w:r>
              <w:rPr>
                <w:sz w:val="24"/>
              </w:rPr>
              <w:t>机械废气包括：各种燃油机械的废气排放，运输车辆产生的尾气等。燃油机械和汽车尾气中的污染物主要有CO、NO</w:t>
            </w:r>
            <w:r>
              <w:rPr>
                <w:sz w:val="24"/>
                <w:vertAlign w:val="subscript"/>
              </w:rPr>
              <w:t>x</w:t>
            </w:r>
            <w:r>
              <w:rPr>
                <w:sz w:val="24"/>
              </w:rPr>
              <w:t>及碳氢化合物（HC）等。这些施工机械所排放的废气以无组织面源的形式排放，会对施工区域的大气环境造成不利影响。</w:t>
            </w:r>
            <w:r>
              <w:rPr>
                <w:rFonts w:hint="eastAsia"/>
                <w:sz w:val="24"/>
              </w:rPr>
              <w:t>应采用优质、污染小的燃油；定期检查、维修，确保车辆各项环保指标均符合尾气排放要求。</w:t>
            </w:r>
          </w:p>
          <w:p>
            <w:pPr>
              <w:keepNext/>
              <w:spacing w:line="300" w:lineRule="exact"/>
              <w:ind w:firstLine="720" w:firstLineChars="300"/>
              <w:jc w:val="center"/>
              <w:rPr>
                <w:rFonts w:ascii="黑体" w:hAnsi="黑体" w:eastAsia="黑体" w:cs="黑体"/>
                <w:bCs/>
                <w:sz w:val="24"/>
              </w:rPr>
            </w:pPr>
            <w:r>
              <w:rPr>
                <w:rFonts w:hint="eastAsia" w:ascii="黑体" w:hAnsi="黑体" w:eastAsia="黑体" w:cs="黑体"/>
                <w:bCs/>
                <w:sz w:val="24"/>
              </w:rPr>
              <w:t>表4-2   项目大气污染物产生及排放情况一览表</w:t>
            </w:r>
          </w:p>
          <w:tbl>
            <w:tblPr>
              <w:tblStyle w:val="31"/>
              <w:tblW w:w="815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983"/>
              <w:gridCol w:w="5114"/>
              <w:gridCol w:w="877"/>
              <w:gridCol w:w="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1158" w:type="dxa"/>
                  <w:vMerge w:val="restart"/>
                  <w:vAlign w:val="center"/>
                </w:tcPr>
                <w:p>
                  <w:pPr>
                    <w:jc w:val="center"/>
                  </w:pPr>
                  <w:r>
                    <w:t>污染物</w:t>
                  </w:r>
                </w:p>
              </w:tc>
              <w:tc>
                <w:tcPr>
                  <w:tcW w:w="6995" w:type="dxa"/>
                  <w:gridSpan w:val="4"/>
                  <w:vAlign w:val="center"/>
                </w:tcPr>
                <w:p>
                  <w:pPr>
                    <w:widowControl/>
                    <w:jc w:val="center"/>
                  </w:pPr>
                  <w:r>
                    <w:t>产生量</w:t>
                  </w:r>
                  <w:r>
                    <w:rPr>
                      <w:rFonts w:hint="eastAsia"/>
                    </w:rPr>
                    <w:t>及</w:t>
                  </w:r>
                  <w:r>
                    <w:t>排放情况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Merge w:val="continue"/>
                  <w:vAlign w:val="center"/>
                </w:tcPr>
                <w:p>
                  <w:pPr>
                    <w:widowControl/>
                    <w:jc w:val="center"/>
                  </w:pPr>
                </w:p>
              </w:tc>
              <w:tc>
                <w:tcPr>
                  <w:tcW w:w="983" w:type="dxa"/>
                  <w:vAlign w:val="center"/>
                </w:tcPr>
                <w:p>
                  <w:pPr>
                    <w:pStyle w:val="58"/>
                    <w:jc w:val="center"/>
                    <w:rPr>
                      <w:rFonts w:eastAsia="宋体"/>
                      <w:szCs w:val="21"/>
                    </w:rPr>
                  </w:pPr>
                  <w:r>
                    <w:rPr>
                      <w:rFonts w:hint="eastAsia" w:eastAsia="宋体"/>
                      <w:szCs w:val="21"/>
                    </w:rPr>
                    <w:t>产生量（</w:t>
                  </w:r>
                  <w:r>
                    <w:rPr>
                      <w:rFonts w:eastAsia="宋体"/>
                      <w:szCs w:val="21"/>
                    </w:rPr>
                    <w:t>t/a</w:t>
                  </w:r>
                  <w:r>
                    <w:rPr>
                      <w:rFonts w:hint="eastAsia" w:eastAsia="宋体"/>
                      <w:szCs w:val="21"/>
                    </w:rPr>
                    <w:t>）</w:t>
                  </w:r>
                </w:p>
              </w:tc>
              <w:tc>
                <w:tcPr>
                  <w:tcW w:w="5114" w:type="dxa"/>
                  <w:vAlign w:val="center"/>
                </w:tcPr>
                <w:p>
                  <w:pPr>
                    <w:pStyle w:val="58"/>
                    <w:jc w:val="center"/>
                    <w:rPr>
                      <w:rFonts w:eastAsia="宋体"/>
                      <w:szCs w:val="21"/>
                    </w:rPr>
                  </w:pPr>
                  <w:r>
                    <w:rPr>
                      <w:rFonts w:hint="eastAsia" w:eastAsia="宋体"/>
                      <w:szCs w:val="21"/>
                    </w:rPr>
                    <w:t>处理措施</w:t>
                  </w:r>
                </w:p>
              </w:tc>
              <w:tc>
                <w:tcPr>
                  <w:tcW w:w="877" w:type="dxa"/>
                  <w:vAlign w:val="center"/>
                </w:tcPr>
                <w:p>
                  <w:pPr>
                    <w:pStyle w:val="58"/>
                    <w:jc w:val="center"/>
                    <w:rPr>
                      <w:rFonts w:eastAsia="宋体"/>
                      <w:szCs w:val="21"/>
                    </w:rPr>
                  </w:pPr>
                  <w:r>
                    <w:rPr>
                      <w:rFonts w:hint="eastAsia" w:eastAsia="宋体"/>
                      <w:szCs w:val="21"/>
                    </w:rPr>
                    <w:t>排放量（</w:t>
                  </w:r>
                  <w:r>
                    <w:rPr>
                      <w:rFonts w:eastAsia="宋体"/>
                      <w:szCs w:val="21"/>
                    </w:rPr>
                    <w:t>t/a</w:t>
                  </w:r>
                  <w:r>
                    <w:rPr>
                      <w:rFonts w:hint="eastAsia" w:eastAsia="宋体"/>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开采粉尘</w:t>
                  </w:r>
                </w:p>
              </w:tc>
              <w:tc>
                <w:tcPr>
                  <w:tcW w:w="983" w:type="dxa"/>
                  <w:vAlign w:val="center"/>
                </w:tcPr>
                <w:p>
                  <w:pPr>
                    <w:widowControl/>
                    <w:jc w:val="center"/>
                  </w:pPr>
                  <w:r>
                    <w:t>147.6</w:t>
                  </w:r>
                </w:p>
              </w:tc>
              <w:tc>
                <w:tcPr>
                  <w:tcW w:w="5114" w:type="dxa"/>
                  <w:vAlign w:val="center"/>
                </w:tcPr>
                <w:p>
                  <w:pPr>
                    <w:widowControl/>
                    <w:jc w:val="center"/>
                  </w:pPr>
                  <w:r>
                    <w:rPr>
                      <w:rFonts w:hint="eastAsia"/>
                    </w:rPr>
                    <w:t>采掘过程对采掘场地采用移动式雾炮机降尘（控制效率74%）、规定开采方式、大风天气不得生产、分区分片开采（控制效率80%）等减缓措施，通过采取以上措施粉尘控制效率可达94.8%。</w:t>
                  </w:r>
                </w:p>
              </w:tc>
              <w:tc>
                <w:tcPr>
                  <w:tcW w:w="877" w:type="dxa"/>
                  <w:vAlign w:val="center"/>
                </w:tcPr>
                <w:p>
                  <w:pPr>
                    <w:pStyle w:val="59"/>
                    <w:ind w:firstLine="0" w:firstLineChars="0"/>
                    <w:jc w:val="center"/>
                    <w:textAlignment w:val="center"/>
                    <w:rPr>
                      <w:szCs w:val="24"/>
                    </w:rPr>
                  </w:pPr>
                  <w:r>
                    <w:rPr>
                      <w:szCs w:val="24"/>
                    </w:rPr>
                    <w:t>15.35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装卸粉尘</w:t>
                  </w:r>
                </w:p>
              </w:tc>
              <w:tc>
                <w:tcPr>
                  <w:tcW w:w="983" w:type="dxa"/>
                  <w:vAlign w:val="center"/>
                </w:tcPr>
                <w:p>
                  <w:pPr>
                    <w:widowControl/>
                    <w:jc w:val="center"/>
                  </w:pPr>
                  <w:r>
                    <w:t>131.13</w:t>
                  </w:r>
                </w:p>
              </w:tc>
              <w:tc>
                <w:tcPr>
                  <w:tcW w:w="5114" w:type="dxa"/>
                  <w:vAlign w:val="center"/>
                </w:tcPr>
                <w:p>
                  <w:pPr>
                    <w:widowControl/>
                    <w:jc w:val="center"/>
                  </w:pPr>
                  <w:r>
                    <w:rPr>
                      <w:rFonts w:hint="eastAsia"/>
                    </w:rPr>
                    <w:t>采取控制落差并在开采区配套移动式雾炮机（控制效率74%）并设防风抑尘网（控制效率60%），通过采取以上措施粉尘控制效率可达89.6％。</w:t>
                  </w:r>
                </w:p>
              </w:tc>
              <w:tc>
                <w:tcPr>
                  <w:tcW w:w="877" w:type="dxa"/>
                  <w:vAlign w:val="center"/>
                </w:tcPr>
                <w:p>
                  <w:pPr>
                    <w:pStyle w:val="59"/>
                    <w:ind w:firstLine="0" w:firstLineChars="0"/>
                    <w:jc w:val="center"/>
                    <w:textAlignment w:val="center"/>
                    <w:rPr>
                      <w:szCs w:val="24"/>
                    </w:rPr>
                  </w:pPr>
                  <w:r>
                    <w:rPr>
                      <w:szCs w:val="24"/>
                    </w:rPr>
                    <w:t>13.64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表土堆场装卸、风蚀扬尘</w:t>
                  </w:r>
                </w:p>
              </w:tc>
              <w:tc>
                <w:tcPr>
                  <w:tcW w:w="983" w:type="dxa"/>
                  <w:vAlign w:val="center"/>
                </w:tcPr>
                <w:p>
                  <w:pPr>
                    <w:widowControl/>
                    <w:jc w:val="center"/>
                  </w:pPr>
                  <w:r>
                    <w:t>837.56</w:t>
                  </w:r>
                </w:p>
              </w:tc>
              <w:tc>
                <w:tcPr>
                  <w:tcW w:w="5114" w:type="dxa"/>
                  <w:vAlign w:val="center"/>
                </w:tcPr>
                <w:p>
                  <w:pPr>
                    <w:widowControl/>
                    <w:jc w:val="center"/>
                  </w:pPr>
                  <w:r>
                    <w:rPr>
                      <w:rFonts w:hint="eastAsia"/>
                    </w:rPr>
                    <w:t>对地表覆盖砂集中堆放场采取设置防风抑尘网（控制效率60%），用苫盖遮挡（控制效率86%），通过采取以上措施粉尘控制效率可达94.4％。</w:t>
                  </w:r>
                </w:p>
              </w:tc>
              <w:tc>
                <w:tcPr>
                  <w:tcW w:w="877" w:type="dxa"/>
                  <w:vAlign w:val="center"/>
                </w:tcPr>
                <w:p>
                  <w:pPr>
                    <w:widowControl/>
                    <w:jc w:val="center"/>
                  </w:pPr>
                  <w:r>
                    <w:t>46.90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运输道路扬尘</w:t>
                  </w:r>
                </w:p>
              </w:tc>
              <w:tc>
                <w:tcPr>
                  <w:tcW w:w="983" w:type="dxa"/>
                  <w:vAlign w:val="center"/>
                </w:tcPr>
                <w:p>
                  <w:pPr>
                    <w:widowControl/>
                    <w:jc w:val="center"/>
                  </w:pPr>
                  <w:r>
                    <w:t>380.14</w:t>
                  </w:r>
                </w:p>
              </w:tc>
              <w:tc>
                <w:tcPr>
                  <w:tcW w:w="5114" w:type="dxa"/>
                  <w:vAlign w:val="center"/>
                </w:tcPr>
                <w:p>
                  <w:pPr>
                    <w:widowControl/>
                    <w:jc w:val="center"/>
                  </w:pPr>
                  <w:r>
                    <w:t>对进厂道路进行砾石复压</w:t>
                  </w:r>
                  <w:r>
                    <w:rPr>
                      <w:rFonts w:hint="eastAsia"/>
                    </w:rPr>
                    <w:t>硬化</w:t>
                  </w:r>
                  <w:r>
                    <w:t>，</w:t>
                  </w:r>
                  <w:r>
                    <w:rPr>
                      <w:rFonts w:hint="eastAsia"/>
                    </w:rPr>
                    <w:t>矿区配备洒水车，采用洒水对道路进行充分预湿（控制效率7</w:t>
                  </w:r>
                  <w:r>
                    <w:t>4</w:t>
                  </w:r>
                  <w:r>
                    <w:rPr>
                      <w:rFonts w:hint="eastAsia"/>
                    </w:rPr>
                    <w:t>%），</w:t>
                  </w:r>
                  <w:r>
                    <w:t>运输车辆出厂时，采取苫盖篷布的措施</w:t>
                  </w:r>
                  <w:r>
                    <w:rPr>
                      <w:rFonts w:hint="eastAsia"/>
                    </w:rPr>
                    <w:t>（控制效率8</w:t>
                  </w:r>
                  <w:r>
                    <w:t>6</w:t>
                  </w:r>
                  <w:r>
                    <w:rPr>
                      <w:rFonts w:hint="eastAsia"/>
                    </w:rPr>
                    <w:t>%）</w:t>
                  </w:r>
                  <w:r>
                    <w:t>，</w:t>
                  </w:r>
                  <w:r>
                    <w:rPr>
                      <w:rFonts w:hint="eastAsia"/>
                    </w:rPr>
                    <w:t>并对车辆进行冲洗（控制效率</w:t>
                  </w:r>
                  <w:r>
                    <w:t>78</w:t>
                  </w:r>
                  <w:r>
                    <w:rPr>
                      <w:rFonts w:hint="eastAsia"/>
                    </w:rPr>
                    <w:t>%），通过采取以上措施粉尘控制</w:t>
                  </w:r>
                  <w:r>
                    <w:t>效率可达99.2%</w:t>
                  </w:r>
                  <w:r>
                    <w:rPr>
                      <w:rFonts w:hint="eastAsia"/>
                    </w:rPr>
                    <w:t>。</w:t>
                  </w:r>
                </w:p>
              </w:tc>
              <w:tc>
                <w:tcPr>
                  <w:tcW w:w="877" w:type="dxa"/>
                  <w:vAlign w:val="center"/>
                </w:tcPr>
                <w:p>
                  <w:pPr>
                    <w:widowControl/>
                    <w:jc w:val="center"/>
                  </w:pPr>
                  <w:r>
                    <w:t>3.04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合计</w:t>
                  </w:r>
                </w:p>
              </w:tc>
              <w:tc>
                <w:tcPr>
                  <w:tcW w:w="983" w:type="dxa"/>
                  <w:vAlign w:val="center"/>
                </w:tcPr>
                <w:p>
                  <w:pPr>
                    <w:widowControl/>
                    <w:jc w:val="center"/>
                  </w:pPr>
                  <w:r>
                    <w:rPr>
                      <w:rFonts w:hint="eastAsia"/>
                    </w:rPr>
                    <w:t>1496.43</w:t>
                  </w:r>
                </w:p>
              </w:tc>
              <w:tc>
                <w:tcPr>
                  <w:tcW w:w="5114" w:type="dxa"/>
                  <w:vAlign w:val="center"/>
                </w:tcPr>
                <w:p>
                  <w:pPr>
                    <w:widowControl/>
                    <w:jc w:val="center"/>
                  </w:pPr>
                  <w:r>
                    <w:rPr>
                      <w:rFonts w:hint="eastAsia"/>
                    </w:rPr>
                    <w:t>/</w:t>
                  </w:r>
                </w:p>
              </w:tc>
              <w:tc>
                <w:tcPr>
                  <w:tcW w:w="877" w:type="dxa"/>
                  <w:vAlign w:val="center"/>
                </w:tcPr>
                <w:p>
                  <w:pPr>
                    <w:widowControl/>
                    <w:jc w:val="center"/>
                  </w:pPr>
                  <w:r>
                    <w:rPr>
                      <w:rFonts w:hint="eastAsia"/>
                    </w:rPr>
                    <w:t>78.93</w:t>
                  </w:r>
                </w:p>
              </w:tc>
            </w:tr>
          </w:tbl>
          <w:p>
            <w:pPr>
              <w:widowControl/>
              <w:adjustRightInd w:val="0"/>
              <w:snapToGrid w:val="0"/>
              <w:spacing w:line="520" w:lineRule="exact"/>
              <w:ind w:firstLine="480" w:firstLineChars="200"/>
              <w:rPr>
                <w:sz w:val="24"/>
              </w:rPr>
            </w:pPr>
            <w:r>
              <w:rPr>
                <w:rFonts w:hint="eastAsia"/>
                <w:sz w:val="24"/>
              </w:rPr>
              <w:t>综上所述，本项目对各个扬尘产生工艺均采取控制措施，平均粉尘控制效率在</w:t>
            </w:r>
            <w:r>
              <w:rPr>
                <w:sz w:val="24"/>
              </w:rPr>
              <w:t>90%</w:t>
            </w:r>
            <w:r>
              <w:rPr>
                <w:rFonts w:hint="eastAsia"/>
                <w:sz w:val="24"/>
              </w:rPr>
              <w:t>以上，同时本次评价要求，矿区周边及进场道路两侧设置宽度不低于5m草方格固沙，并播撒草籽。整个矿区设置草方格面积约4.75hm</w:t>
            </w:r>
            <w:r>
              <w:rPr>
                <w:sz w:val="24"/>
                <w:vertAlign w:val="superscript"/>
              </w:rPr>
              <w:t>2</w:t>
            </w:r>
            <w:r>
              <w:rPr>
                <w:rFonts w:hint="eastAsia"/>
                <w:sz w:val="24"/>
              </w:rPr>
              <w:t>。在采取以上措施后厂界可满足《大气污染物综合排放标准》（</w:t>
            </w:r>
            <w:r>
              <w:rPr>
                <w:sz w:val="24"/>
              </w:rPr>
              <w:t>GB16297-1996</w:t>
            </w:r>
            <w:r>
              <w:rPr>
                <w:rFonts w:hint="eastAsia"/>
                <w:sz w:val="24"/>
              </w:rPr>
              <w:t>）中的无组织排放标准限值要求。</w:t>
            </w:r>
          </w:p>
          <w:p>
            <w:pPr>
              <w:numPr>
                <w:ilvl w:val="0"/>
                <w:numId w:val="9"/>
              </w:numPr>
              <w:adjustRightInd w:val="0"/>
              <w:snapToGrid w:val="0"/>
              <w:spacing w:line="520" w:lineRule="exact"/>
              <w:ind w:firstLine="482" w:firstLineChars="200"/>
              <w:rPr>
                <w:b/>
                <w:bCs/>
                <w:sz w:val="24"/>
              </w:rPr>
            </w:pPr>
            <w:r>
              <w:rPr>
                <w:b/>
                <w:bCs/>
                <w:sz w:val="24"/>
              </w:rPr>
              <w:t>废水环境影响分析</w:t>
            </w:r>
          </w:p>
          <w:p>
            <w:pPr>
              <w:widowControl/>
              <w:adjustRightInd w:val="0"/>
              <w:snapToGrid w:val="0"/>
              <w:spacing w:line="520" w:lineRule="exact"/>
              <w:ind w:firstLine="480" w:firstLineChars="200"/>
              <w:rPr>
                <w:sz w:val="24"/>
              </w:rPr>
            </w:pPr>
            <w:r>
              <w:rPr>
                <w:rFonts w:hint="eastAsia"/>
                <w:sz w:val="24"/>
              </w:rPr>
              <w:t>矿区不设置办公生活区，矿区设置1座防渗环保厕所，配套10m³防渗储粪池，定期委托环卫部门进行清运。车辆清洗废水经过沉淀后循环利用不外排。</w:t>
            </w:r>
          </w:p>
          <w:p>
            <w:pPr>
              <w:widowControl/>
              <w:adjustRightInd w:val="0"/>
              <w:snapToGrid w:val="0"/>
              <w:spacing w:line="520" w:lineRule="exact"/>
              <w:ind w:firstLine="480" w:firstLineChars="200"/>
              <w:rPr>
                <w:sz w:val="24"/>
              </w:rPr>
            </w:pPr>
            <w:bookmarkStart w:id="31" w:name="_Hlk87529613"/>
            <w:bookmarkStart w:id="32" w:name="_Hlk87527844"/>
            <w:r>
              <w:rPr>
                <w:rFonts w:hint="eastAsia"/>
                <w:sz w:val="24"/>
              </w:rPr>
              <w:t>本项目车辆养护依托新疆世纪能源化工有限公司世纪能源装备新材料产业园项目现有洗车设施，根据《关于新疆世纪能源化工有限公司世纪能源装备新材料园项目环境影响报告表的批复》（昌州环评〔202</w:t>
            </w:r>
            <w:r>
              <w:rPr>
                <w:sz w:val="24"/>
              </w:rPr>
              <w:t>0</w:t>
            </w:r>
            <w:r>
              <w:rPr>
                <w:rFonts w:hint="eastAsia"/>
                <w:sz w:val="24"/>
              </w:rPr>
              <w:t>〕4</w:t>
            </w:r>
            <w:r>
              <w:rPr>
                <w:sz w:val="24"/>
              </w:rPr>
              <w:t>5</w:t>
            </w:r>
            <w:r>
              <w:rPr>
                <w:rFonts w:hint="eastAsia"/>
                <w:sz w:val="24"/>
              </w:rPr>
              <w:t>号）可知，企业设置有危废暂存间，废油定期委托有资质单位回收处置，本项目在做好车辆养护的情况下，车辆清洗废水含油量可忽略不计，循环利用不会造成环境污染问题。</w:t>
            </w:r>
          </w:p>
          <w:bookmarkEnd w:id="31"/>
          <w:p>
            <w:pPr>
              <w:widowControl/>
              <w:adjustRightInd w:val="0"/>
              <w:snapToGrid w:val="0"/>
              <w:spacing w:line="520" w:lineRule="exact"/>
              <w:ind w:firstLine="480" w:firstLineChars="200"/>
              <w:rPr>
                <w:sz w:val="24"/>
              </w:rPr>
            </w:pPr>
            <w:r>
              <w:rPr>
                <w:rFonts w:hint="eastAsia"/>
                <w:sz w:val="24"/>
              </w:rPr>
              <w:t>本项目职工食宿依托阜康产业园阜西区新疆世纪能源化工有限公司现有生活设施，根据《关于新疆世纪能源化工有限公司世纪能源装备新材料园项目环境影响报告表的批复》（昌州环评〔202</w:t>
            </w:r>
            <w:r>
              <w:rPr>
                <w:sz w:val="24"/>
              </w:rPr>
              <w:t>0</w:t>
            </w:r>
            <w:r>
              <w:rPr>
                <w:rFonts w:hint="eastAsia"/>
                <w:sz w:val="24"/>
              </w:rPr>
              <w:t>〕4</w:t>
            </w:r>
            <w:r>
              <w:rPr>
                <w:sz w:val="24"/>
              </w:rPr>
              <w:t>5</w:t>
            </w:r>
            <w:r>
              <w:rPr>
                <w:rFonts w:hint="eastAsia"/>
                <w:sz w:val="24"/>
              </w:rPr>
              <w:t>号）可知，企业生活污水全部经园区下水管网排入阜西污水处理厂处理。本项目职工生活废水排放依托可行。</w:t>
            </w:r>
          </w:p>
          <w:bookmarkEnd w:id="32"/>
          <w:p>
            <w:pPr>
              <w:numPr>
                <w:ilvl w:val="0"/>
                <w:numId w:val="9"/>
              </w:numPr>
              <w:adjustRightInd w:val="0"/>
              <w:snapToGrid w:val="0"/>
              <w:spacing w:line="520" w:lineRule="exact"/>
              <w:ind w:firstLine="482" w:firstLineChars="200"/>
              <w:rPr>
                <w:b/>
                <w:bCs/>
                <w:sz w:val="24"/>
              </w:rPr>
            </w:pPr>
            <w:r>
              <w:rPr>
                <w:b/>
                <w:bCs/>
                <w:sz w:val="24"/>
              </w:rPr>
              <w:t>噪声环境影响分析</w:t>
            </w:r>
          </w:p>
          <w:p>
            <w:pPr>
              <w:pStyle w:val="14"/>
              <w:spacing w:before="0" w:after="0" w:line="520" w:lineRule="exact"/>
              <w:ind w:right="0" w:firstLine="482" w:firstLineChars="200"/>
              <w:rPr>
                <w:b/>
                <w:bCs/>
                <w:kern w:val="2"/>
                <w:sz w:val="24"/>
                <w:szCs w:val="24"/>
              </w:rPr>
            </w:pPr>
            <w:r>
              <w:rPr>
                <w:rFonts w:hint="eastAsia"/>
                <w:b/>
                <w:bCs/>
                <w:kern w:val="2"/>
                <w:sz w:val="24"/>
                <w:szCs w:val="24"/>
              </w:rPr>
              <w:t>4.1</w:t>
            </w:r>
            <w:r>
              <w:rPr>
                <w:b/>
                <w:bCs/>
                <w:kern w:val="2"/>
                <w:sz w:val="24"/>
                <w:szCs w:val="24"/>
              </w:rPr>
              <w:t>预测方法</w:t>
            </w:r>
          </w:p>
          <w:p>
            <w:pPr>
              <w:pStyle w:val="14"/>
              <w:spacing w:before="0" w:after="0" w:line="520" w:lineRule="exact"/>
              <w:ind w:right="0" w:firstLine="480" w:firstLineChars="200"/>
              <w:rPr>
                <w:kern w:val="2"/>
                <w:sz w:val="24"/>
                <w:szCs w:val="24"/>
              </w:rPr>
            </w:pPr>
            <w:r>
              <w:rPr>
                <w:kern w:val="2"/>
                <w:sz w:val="24"/>
                <w:szCs w:val="24"/>
              </w:rPr>
              <w:t>为了准确预测本项目营运期场界噪声强度和对周边环境造成的影响，需要考虑从声源到关心点的传播途径特性，评价中把影响传播特性的主要因素归结为：距离、指向性、屏蔽物、大气吸收等。</w:t>
            </w:r>
          </w:p>
          <w:p>
            <w:pPr>
              <w:pStyle w:val="14"/>
              <w:spacing w:before="0" w:after="0" w:line="520" w:lineRule="exact"/>
              <w:ind w:right="0" w:firstLine="482" w:firstLineChars="200"/>
              <w:rPr>
                <w:b/>
                <w:bCs/>
                <w:kern w:val="2"/>
                <w:sz w:val="24"/>
                <w:szCs w:val="24"/>
              </w:rPr>
            </w:pPr>
            <w:r>
              <w:rPr>
                <w:rFonts w:hint="eastAsia"/>
                <w:b/>
                <w:bCs/>
                <w:kern w:val="2"/>
                <w:sz w:val="24"/>
                <w:szCs w:val="24"/>
              </w:rPr>
              <w:t>4.2</w:t>
            </w:r>
            <w:r>
              <w:rPr>
                <w:b/>
                <w:bCs/>
                <w:kern w:val="2"/>
                <w:sz w:val="24"/>
                <w:szCs w:val="24"/>
              </w:rPr>
              <w:t>预测模式</w:t>
            </w:r>
          </w:p>
          <w:p>
            <w:pPr>
              <w:adjustRightInd w:val="0"/>
              <w:snapToGrid w:val="0"/>
              <w:spacing w:line="520" w:lineRule="exact"/>
              <w:ind w:firstLine="480" w:firstLineChars="200"/>
              <w:rPr>
                <w:sz w:val="24"/>
              </w:rPr>
            </w:pPr>
            <w:r>
              <w:rPr>
                <w:bCs/>
                <w:sz w:val="24"/>
                <w:szCs w:val="32"/>
              </w:rPr>
              <w:t>本项目运营期噪声主要来源于</w:t>
            </w:r>
            <w:r>
              <w:rPr>
                <w:rFonts w:hint="eastAsia"/>
                <w:bCs/>
                <w:sz w:val="24"/>
                <w:szCs w:val="32"/>
              </w:rPr>
              <w:t>挖掘机、装载机、运输车</w:t>
            </w:r>
            <w:r>
              <w:rPr>
                <w:bCs/>
                <w:sz w:val="24"/>
                <w:szCs w:val="32"/>
              </w:rPr>
              <w:t>产生的噪声，</w:t>
            </w:r>
            <w:r>
              <w:rPr>
                <w:rFonts w:hint="eastAsia"/>
                <w:bCs/>
                <w:sz w:val="24"/>
                <w:szCs w:val="32"/>
              </w:rPr>
              <w:t>由《建筑声学设计手册》（中国建筑工业出版社）并经类比得到主要噪声源声级值见下表</w:t>
            </w:r>
            <w:r>
              <w:rPr>
                <w:rFonts w:hint="eastAsia"/>
                <w:sz w:val="24"/>
              </w:rPr>
              <w:t>。</w:t>
            </w:r>
          </w:p>
          <w:p>
            <w:pPr>
              <w:widowControl/>
              <w:ind w:firstLine="480" w:firstLineChars="200"/>
              <w:jc w:val="center"/>
              <w:rPr>
                <w:rFonts w:eastAsia="黑体"/>
                <w:sz w:val="24"/>
              </w:rPr>
            </w:pPr>
            <w:r>
              <w:rPr>
                <w:rFonts w:eastAsia="黑体"/>
                <w:sz w:val="24"/>
              </w:rPr>
              <w:t>表</w:t>
            </w:r>
            <w:r>
              <w:rPr>
                <w:rFonts w:hint="eastAsia" w:eastAsia="黑体"/>
                <w:sz w:val="24"/>
              </w:rPr>
              <w:t>4-3</w:t>
            </w:r>
            <w:r>
              <w:rPr>
                <w:rFonts w:eastAsia="黑体"/>
                <w:sz w:val="24"/>
              </w:rPr>
              <w:t xml:space="preserve">    </w:t>
            </w:r>
            <w:r>
              <w:rPr>
                <w:rFonts w:hint="eastAsia" w:eastAsia="黑体"/>
                <w:sz w:val="24"/>
              </w:rPr>
              <w:t>主要噪声源一览表</w:t>
            </w:r>
          </w:p>
          <w:tbl>
            <w:tblPr>
              <w:tblStyle w:val="31"/>
              <w:tblW w:w="8004"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843"/>
              <w:gridCol w:w="1791"/>
              <w:gridCol w:w="1111"/>
              <w:gridCol w:w="1230"/>
              <w:gridCol w:w="131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13" w:type="dxa"/>
                  <w:vAlign w:val="center"/>
                </w:tcPr>
                <w:p>
                  <w:pPr>
                    <w:snapToGrid w:val="0"/>
                    <w:jc w:val="center"/>
                    <w:rPr>
                      <w:szCs w:val="21"/>
                    </w:rPr>
                  </w:pPr>
                  <w:r>
                    <w:rPr>
                      <w:szCs w:val="21"/>
                    </w:rPr>
                    <w:t>序号</w:t>
                  </w:r>
                </w:p>
              </w:tc>
              <w:tc>
                <w:tcPr>
                  <w:tcW w:w="1843" w:type="dxa"/>
                  <w:vAlign w:val="center"/>
                </w:tcPr>
                <w:p>
                  <w:pPr>
                    <w:snapToGrid w:val="0"/>
                    <w:jc w:val="center"/>
                    <w:rPr>
                      <w:szCs w:val="21"/>
                    </w:rPr>
                  </w:pPr>
                  <w:r>
                    <w:rPr>
                      <w:szCs w:val="21"/>
                    </w:rPr>
                    <w:t>设备名称</w:t>
                  </w:r>
                </w:p>
              </w:tc>
              <w:tc>
                <w:tcPr>
                  <w:tcW w:w="1791" w:type="dxa"/>
                  <w:vAlign w:val="center"/>
                </w:tcPr>
                <w:p>
                  <w:pPr>
                    <w:snapToGrid w:val="0"/>
                    <w:jc w:val="center"/>
                    <w:rPr>
                      <w:szCs w:val="21"/>
                    </w:rPr>
                  </w:pPr>
                  <w:r>
                    <w:rPr>
                      <w:szCs w:val="21"/>
                    </w:rPr>
                    <w:t>声源强度dB（A）</w:t>
                  </w:r>
                </w:p>
              </w:tc>
              <w:tc>
                <w:tcPr>
                  <w:tcW w:w="1111" w:type="dxa"/>
                  <w:vAlign w:val="center"/>
                </w:tcPr>
                <w:p>
                  <w:pPr>
                    <w:pStyle w:val="56"/>
                    <w:snapToGrid w:val="0"/>
                    <w:spacing w:line="240" w:lineRule="auto"/>
                    <w:rPr>
                      <w:rFonts w:ascii="Times New Roman"/>
                    </w:rPr>
                  </w:pPr>
                  <w:r>
                    <w:rPr>
                      <w:rFonts w:ascii="Times New Roman"/>
                    </w:rPr>
                    <w:t>数量（台）</w:t>
                  </w:r>
                </w:p>
              </w:tc>
              <w:tc>
                <w:tcPr>
                  <w:tcW w:w="1230" w:type="dxa"/>
                  <w:vAlign w:val="center"/>
                </w:tcPr>
                <w:p>
                  <w:pPr>
                    <w:snapToGrid w:val="0"/>
                    <w:jc w:val="center"/>
                    <w:rPr>
                      <w:szCs w:val="21"/>
                    </w:rPr>
                  </w:pPr>
                  <w:r>
                    <w:rPr>
                      <w:szCs w:val="21"/>
                    </w:rPr>
                    <w:t>检测距离</w:t>
                  </w:r>
                </w:p>
              </w:tc>
              <w:tc>
                <w:tcPr>
                  <w:tcW w:w="1316" w:type="dxa"/>
                  <w:vAlign w:val="center"/>
                </w:tcPr>
                <w:p>
                  <w:pPr>
                    <w:snapToGrid w:val="0"/>
                    <w:jc w:val="center"/>
                    <w:rPr>
                      <w:szCs w:val="21"/>
                    </w:rPr>
                  </w:pPr>
                  <w:r>
                    <w:rPr>
                      <w:szCs w:val="21"/>
                    </w:rPr>
                    <w:t>噪声</w:t>
                  </w:r>
                  <w:r>
                    <w:rPr>
                      <w:rFonts w:hint="eastAsia"/>
                      <w:szCs w:val="21"/>
                    </w:rPr>
                    <w:t>源</w:t>
                  </w:r>
                  <w:r>
                    <w:rPr>
                      <w:szCs w:val="21"/>
                    </w:rPr>
                    <w:t>位置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13" w:type="dxa"/>
                  <w:vAlign w:val="center"/>
                </w:tcPr>
                <w:p>
                  <w:pPr>
                    <w:pStyle w:val="56"/>
                    <w:snapToGrid w:val="0"/>
                    <w:spacing w:line="240" w:lineRule="auto"/>
                    <w:rPr>
                      <w:rFonts w:ascii="Times New Roman" w:hAnsi="Times New Roman"/>
                      <w:snapToGrid/>
                    </w:rPr>
                  </w:pPr>
                  <w:r>
                    <w:rPr>
                      <w:rFonts w:ascii="Times New Roman" w:hAnsi="Times New Roman"/>
                      <w:snapToGrid/>
                    </w:rPr>
                    <w:t>1</w:t>
                  </w:r>
                </w:p>
              </w:tc>
              <w:tc>
                <w:tcPr>
                  <w:tcW w:w="1843" w:type="dxa"/>
                  <w:vAlign w:val="center"/>
                </w:tcPr>
                <w:p>
                  <w:pPr>
                    <w:pStyle w:val="56"/>
                    <w:snapToGrid w:val="0"/>
                    <w:spacing w:line="240" w:lineRule="auto"/>
                    <w:rPr>
                      <w:rFonts w:ascii="Times New Roman" w:hAnsi="Times New Roman"/>
                      <w:snapToGrid/>
                    </w:rPr>
                  </w:pPr>
                  <w:r>
                    <w:rPr>
                      <w:rFonts w:hint="eastAsia" w:ascii="Times New Roman" w:hAnsi="Times New Roman"/>
                      <w:snapToGrid/>
                    </w:rPr>
                    <w:t>挖掘机</w:t>
                  </w:r>
                </w:p>
              </w:tc>
              <w:tc>
                <w:tcPr>
                  <w:tcW w:w="1791" w:type="dxa"/>
                </w:tcPr>
                <w:p>
                  <w:pPr>
                    <w:pStyle w:val="56"/>
                    <w:snapToGrid w:val="0"/>
                    <w:spacing w:line="240" w:lineRule="auto"/>
                    <w:rPr>
                      <w:rFonts w:ascii="Times New Roman" w:hAnsi="Times New Roman"/>
                    </w:rPr>
                  </w:pPr>
                  <w:r>
                    <w:rPr>
                      <w:rFonts w:hint="eastAsia" w:ascii="Times New Roman" w:hAnsi="Times New Roman"/>
                    </w:rPr>
                    <w:t>100</w:t>
                  </w:r>
                </w:p>
              </w:tc>
              <w:tc>
                <w:tcPr>
                  <w:tcW w:w="1111" w:type="dxa"/>
                </w:tcPr>
                <w:p>
                  <w:pPr>
                    <w:pStyle w:val="56"/>
                    <w:snapToGrid w:val="0"/>
                    <w:spacing w:line="240" w:lineRule="auto"/>
                    <w:rPr>
                      <w:rFonts w:ascii="Times New Roman" w:hAnsi="Times New Roman"/>
                    </w:rPr>
                  </w:pPr>
                  <w:r>
                    <w:rPr>
                      <w:rFonts w:ascii="Times New Roman" w:hAnsi="Times New Roman"/>
                    </w:rPr>
                    <w:t>5</w:t>
                  </w:r>
                </w:p>
              </w:tc>
              <w:tc>
                <w:tcPr>
                  <w:tcW w:w="1230" w:type="dxa"/>
                  <w:vMerge w:val="restart"/>
                  <w:vAlign w:val="center"/>
                </w:tcPr>
                <w:p>
                  <w:pPr>
                    <w:snapToGrid w:val="0"/>
                    <w:jc w:val="center"/>
                    <w:rPr>
                      <w:szCs w:val="21"/>
                    </w:rPr>
                  </w:pPr>
                  <w:r>
                    <w:rPr>
                      <w:rFonts w:hint="eastAsia"/>
                      <w:szCs w:val="21"/>
                    </w:rPr>
                    <w:t>1m</w:t>
                  </w:r>
                </w:p>
              </w:tc>
              <w:tc>
                <w:tcPr>
                  <w:tcW w:w="1316" w:type="dxa"/>
                  <w:vMerge w:val="restart"/>
                  <w:vAlign w:val="center"/>
                </w:tcPr>
                <w:p>
                  <w:pPr>
                    <w:snapToGrid w:val="0"/>
                    <w:jc w:val="center"/>
                    <w:rPr>
                      <w:szCs w:val="21"/>
                    </w:rPr>
                  </w:pPr>
                  <w:r>
                    <w:rPr>
                      <w:rFonts w:hint="eastAsia"/>
                      <w:szCs w:val="21"/>
                    </w:rPr>
                    <w:t>项目区内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13" w:type="dxa"/>
                  <w:vAlign w:val="center"/>
                </w:tcPr>
                <w:p>
                  <w:pPr>
                    <w:pStyle w:val="56"/>
                    <w:snapToGrid w:val="0"/>
                    <w:spacing w:line="240" w:lineRule="auto"/>
                    <w:rPr>
                      <w:rFonts w:ascii="Times New Roman" w:hAnsi="Times New Roman"/>
                      <w:snapToGrid/>
                    </w:rPr>
                  </w:pPr>
                  <w:r>
                    <w:rPr>
                      <w:rFonts w:ascii="Times New Roman" w:hAnsi="Times New Roman"/>
                      <w:snapToGrid/>
                    </w:rPr>
                    <w:t>2</w:t>
                  </w:r>
                </w:p>
              </w:tc>
              <w:tc>
                <w:tcPr>
                  <w:tcW w:w="1843" w:type="dxa"/>
                  <w:vAlign w:val="center"/>
                </w:tcPr>
                <w:p>
                  <w:pPr>
                    <w:pStyle w:val="56"/>
                    <w:snapToGrid w:val="0"/>
                    <w:spacing w:line="240" w:lineRule="auto"/>
                    <w:rPr>
                      <w:rFonts w:ascii="Times New Roman" w:hAnsi="Times New Roman"/>
                      <w:snapToGrid/>
                    </w:rPr>
                  </w:pPr>
                  <w:r>
                    <w:rPr>
                      <w:rFonts w:hint="eastAsia" w:ascii="Times New Roman" w:hAnsi="Times New Roman"/>
                      <w:snapToGrid/>
                    </w:rPr>
                    <w:t>装载机</w:t>
                  </w:r>
                </w:p>
              </w:tc>
              <w:tc>
                <w:tcPr>
                  <w:tcW w:w="1791" w:type="dxa"/>
                </w:tcPr>
                <w:p>
                  <w:pPr>
                    <w:pStyle w:val="56"/>
                    <w:snapToGrid w:val="0"/>
                    <w:spacing w:line="240" w:lineRule="auto"/>
                    <w:rPr>
                      <w:rFonts w:ascii="Times New Roman" w:hAnsi="Times New Roman"/>
                    </w:rPr>
                  </w:pPr>
                  <w:r>
                    <w:rPr>
                      <w:rFonts w:hint="eastAsia" w:ascii="Times New Roman" w:hAnsi="Times New Roman"/>
                    </w:rPr>
                    <w:t>90</w:t>
                  </w:r>
                </w:p>
              </w:tc>
              <w:tc>
                <w:tcPr>
                  <w:tcW w:w="1111" w:type="dxa"/>
                </w:tcPr>
                <w:p>
                  <w:pPr>
                    <w:pStyle w:val="56"/>
                    <w:snapToGrid w:val="0"/>
                    <w:spacing w:line="240" w:lineRule="auto"/>
                    <w:rPr>
                      <w:rFonts w:ascii="Times New Roman" w:hAnsi="Times New Roman"/>
                    </w:rPr>
                  </w:pPr>
                  <w:r>
                    <w:rPr>
                      <w:rFonts w:ascii="Times New Roman" w:hAnsi="Times New Roman"/>
                    </w:rPr>
                    <w:t>5</w:t>
                  </w:r>
                </w:p>
              </w:tc>
              <w:tc>
                <w:tcPr>
                  <w:tcW w:w="1230" w:type="dxa"/>
                  <w:vMerge w:val="continue"/>
                  <w:vAlign w:val="center"/>
                </w:tcPr>
                <w:p>
                  <w:pPr>
                    <w:snapToGrid w:val="0"/>
                    <w:jc w:val="center"/>
                    <w:rPr>
                      <w:szCs w:val="21"/>
                    </w:rPr>
                  </w:pPr>
                </w:p>
              </w:tc>
              <w:tc>
                <w:tcPr>
                  <w:tcW w:w="1316" w:type="dxa"/>
                  <w:vMerge w:val="continue"/>
                  <w:vAlign w:val="center"/>
                </w:tcPr>
                <w:p>
                  <w:pPr>
                    <w:snapToGrid w:val="0"/>
                    <w:jc w:val="center"/>
                    <w:rPr>
                      <w:szCs w:val="21"/>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13" w:type="dxa"/>
                  <w:vAlign w:val="center"/>
                </w:tcPr>
                <w:p>
                  <w:pPr>
                    <w:pStyle w:val="56"/>
                    <w:snapToGrid w:val="0"/>
                    <w:spacing w:line="240" w:lineRule="auto"/>
                    <w:rPr>
                      <w:rFonts w:ascii="Times New Roman" w:hAnsi="Times New Roman"/>
                    </w:rPr>
                  </w:pPr>
                  <w:r>
                    <w:rPr>
                      <w:rFonts w:ascii="Times New Roman" w:hAnsi="Times New Roman"/>
                    </w:rPr>
                    <w:t>3</w:t>
                  </w:r>
                </w:p>
              </w:tc>
              <w:tc>
                <w:tcPr>
                  <w:tcW w:w="1843" w:type="dxa"/>
                  <w:vAlign w:val="center"/>
                </w:tcPr>
                <w:p>
                  <w:pPr>
                    <w:pStyle w:val="56"/>
                    <w:snapToGrid w:val="0"/>
                    <w:spacing w:line="240" w:lineRule="auto"/>
                  </w:pPr>
                  <w:r>
                    <w:rPr>
                      <w:rFonts w:hint="eastAsia"/>
                    </w:rPr>
                    <w:t>运输车</w:t>
                  </w:r>
                </w:p>
              </w:tc>
              <w:tc>
                <w:tcPr>
                  <w:tcW w:w="1791" w:type="dxa"/>
                </w:tcPr>
                <w:p>
                  <w:pPr>
                    <w:pStyle w:val="56"/>
                    <w:snapToGrid w:val="0"/>
                    <w:spacing w:line="240" w:lineRule="auto"/>
                    <w:rPr>
                      <w:rFonts w:ascii="Times New Roman" w:hAnsi="Times New Roman"/>
                    </w:rPr>
                  </w:pPr>
                  <w:r>
                    <w:rPr>
                      <w:rFonts w:hint="eastAsia" w:ascii="Times New Roman" w:hAnsi="Times New Roman"/>
                    </w:rPr>
                    <w:t>80</w:t>
                  </w:r>
                </w:p>
              </w:tc>
              <w:tc>
                <w:tcPr>
                  <w:tcW w:w="1111" w:type="dxa"/>
                </w:tcPr>
                <w:p>
                  <w:pPr>
                    <w:pStyle w:val="56"/>
                    <w:snapToGrid w:val="0"/>
                    <w:spacing w:line="240" w:lineRule="auto"/>
                    <w:rPr>
                      <w:rFonts w:ascii="Times New Roman" w:hAnsi="Times New Roman"/>
                    </w:rPr>
                  </w:pPr>
                  <w:r>
                    <w:rPr>
                      <w:rFonts w:ascii="Times New Roman" w:hAnsi="Times New Roman"/>
                    </w:rPr>
                    <w:t>50</w:t>
                  </w:r>
                </w:p>
              </w:tc>
              <w:tc>
                <w:tcPr>
                  <w:tcW w:w="1230" w:type="dxa"/>
                  <w:vMerge w:val="continue"/>
                  <w:vAlign w:val="center"/>
                </w:tcPr>
                <w:p>
                  <w:pPr>
                    <w:snapToGrid w:val="0"/>
                    <w:jc w:val="center"/>
                    <w:rPr>
                      <w:szCs w:val="21"/>
                    </w:rPr>
                  </w:pPr>
                </w:p>
              </w:tc>
              <w:tc>
                <w:tcPr>
                  <w:tcW w:w="1316" w:type="dxa"/>
                  <w:vMerge w:val="continue"/>
                  <w:vAlign w:val="center"/>
                </w:tcPr>
                <w:p>
                  <w:pPr>
                    <w:snapToGrid w:val="0"/>
                    <w:jc w:val="center"/>
                    <w:rPr>
                      <w:szCs w:val="21"/>
                    </w:rPr>
                  </w:pPr>
                </w:p>
              </w:tc>
            </w:tr>
          </w:tbl>
          <w:p>
            <w:pPr>
              <w:pStyle w:val="82"/>
              <w:rPr>
                <w:rFonts w:ascii="Times New Roman" w:hAnsi="Times New Roman" w:cs="Times New Roman"/>
              </w:rPr>
            </w:pPr>
            <w:r>
              <w:rPr>
                <w:rFonts w:ascii="Times New Roman" w:hAnsi="Times New Roman" w:cs="Times New Roman"/>
              </w:rPr>
              <w:t>施工作业噪声源属半自由空间性质的点源，其衰减模式为：</w:t>
            </w:r>
          </w:p>
          <w:p>
            <w:pPr>
              <w:pStyle w:val="82"/>
              <w:rPr>
                <w:rFonts w:ascii="Times New Roman" w:hAnsi="Times New Roman" w:cs="Times New Roman"/>
              </w:rPr>
            </w:pPr>
            <w:r>
              <w:rPr>
                <w:rFonts w:ascii="Times New Roman" w:hAnsi="Times New Roman" w:cs="Times New Roman"/>
              </w:rPr>
              <w:t>L(r) = L(r</w:t>
            </w:r>
            <w:r>
              <w:rPr>
                <w:rFonts w:ascii="Times New Roman" w:hAnsi="Times New Roman" w:cs="Times New Roman"/>
                <w:vertAlign w:val="subscript"/>
              </w:rPr>
              <w:t>0</w:t>
            </w:r>
            <w:r>
              <w:rPr>
                <w:rFonts w:ascii="Times New Roman" w:hAnsi="Times New Roman" w:cs="Times New Roman"/>
              </w:rPr>
              <w:t>) - 20lg(r/r</w:t>
            </w:r>
            <w:r>
              <w:rPr>
                <w:rFonts w:ascii="Times New Roman" w:hAnsi="Times New Roman" w:cs="Times New Roman"/>
                <w:vertAlign w:val="subscript"/>
              </w:rPr>
              <w:t>0</w:t>
            </w:r>
            <w:r>
              <w:rPr>
                <w:rFonts w:ascii="Times New Roman" w:hAnsi="Times New Roman" w:cs="Times New Roman"/>
              </w:rPr>
              <w:t>) - ΔL</w:t>
            </w:r>
          </w:p>
          <w:p>
            <w:pPr>
              <w:pStyle w:val="82"/>
              <w:rPr>
                <w:rFonts w:ascii="Times New Roman" w:hAnsi="Times New Roman" w:cs="Times New Roman"/>
              </w:rPr>
            </w:pPr>
            <w:r>
              <w:rPr>
                <w:rFonts w:ascii="Times New Roman" w:hAnsi="Times New Roman" w:cs="Times New Roman"/>
              </w:rPr>
              <w:t>其中：L(r) ——为预测点的噪声值[dB(A)]；</w:t>
            </w:r>
          </w:p>
          <w:p>
            <w:pPr>
              <w:pStyle w:val="82"/>
              <w:rPr>
                <w:rFonts w:ascii="Times New Roman" w:hAnsi="Times New Roman" w:cs="Times New Roman"/>
              </w:rPr>
            </w:pPr>
            <w:r>
              <w:rPr>
                <w:rFonts w:ascii="Times New Roman" w:hAnsi="Times New Roman" w:cs="Times New Roman"/>
              </w:rPr>
              <w:t>L(r</w:t>
            </w:r>
            <w:r>
              <w:rPr>
                <w:rFonts w:ascii="Times New Roman" w:hAnsi="Times New Roman" w:cs="Times New Roman"/>
                <w:vertAlign w:val="subscript"/>
              </w:rPr>
              <w:t>0</w:t>
            </w:r>
            <w:r>
              <w:rPr>
                <w:rFonts w:ascii="Times New Roman" w:hAnsi="Times New Roman" w:cs="Times New Roman"/>
              </w:rPr>
              <w:t>) ——为声源的噪声值[dB(A)]；</w:t>
            </w:r>
          </w:p>
          <w:p>
            <w:pPr>
              <w:pStyle w:val="82"/>
              <w:rPr>
                <w:rFonts w:ascii="Times New Roman" w:hAnsi="Times New Roman" w:cs="Times New Roman"/>
              </w:rPr>
            </w:pPr>
            <w:r>
              <w:rPr>
                <w:rFonts w:ascii="Times New Roman" w:hAnsi="Times New Roman" w:cs="Times New Roman"/>
              </w:rPr>
              <w:t>r ——为预测点距噪声源的距离（m）；</w:t>
            </w:r>
          </w:p>
          <w:p>
            <w:pPr>
              <w:pStyle w:val="82"/>
              <w:rPr>
                <w:rFonts w:ascii="Times New Roman" w:hAnsi="Times New Roman" w:cs="Times New Roman"/>
              </w:rPr>
            </w:pPr>
            <w:r>
              <w:rPr>
                <w:rFonts w:ascii="Times New Roman" w:hAnsi="Times New Roman" w:cs="Times New Roman"/>
              </w:rPr>
              <w:t>r</w:t>
            </w:r>
            <w:r>
              <w:rPr>
                <w:rFonts w:ascii="Times New Roman" w:hAnsi="Times New Roman" w:cs="Times New Roman"/>
                <w:vertAlign w:val="subscript"/>
              </w:rPr>
              <w:t>0</w:t>
            </w:r>
            <w:r>
              <w:rPr>
                <w:rFonts w:ascii="Times New Roman" w:hAnsi="Times New Roman" w:cs="Times New Roman"/>
              </w:rPr>
              <w:t>——为测量点距噪声源的距离，在此取1m；</w:t>
            </w:r>
          </w:p>
          <w:p>
            <w:pPr>
              <w:pStyle w:val="36"/>
              <w:spacing w:line="520" w:lineRule="exact"/>
              <w:ind w:firstLine="480" w:firstLineChars="200"/>
              <w:rPr>
                <w:rFonts w:ascii="Times New Roman"/>
                <w:color w:val="auto"/>
              </w:rPr>
            </w:pPr>
            <w:r>
              <w:rPr>
                <w:rFonts w:ascii="Times New Roman"/>
                <w:color w:val="auto"/>
              </w:rPr>
              <w:t>ΔL ——噪声传播过程中由屏障、空气吸收等引起的衰减量。</w:t>
            </w:r>
          </w:p>
          <w:p>
            <w:pPr>
              <w:widowControl/>
              <w:autoSpaceDE w:val="0"/>
              <w:autoSpaceDN w:val="0"/>
              <w:spacing w:line="520" w:lineRule="exact"/>
              <w:ind w:firstLine="482" w:firstLineChars="200"/>
              <w:rPr>
                <w:b/>
                <w:bCs/>
                <w:sz w:val="24"/>
              </w:rPr>
            </w:pPr>
            <w:r>
              <w:rPr>
                <w:rFonts w:hint="eastAsia"/>
                <w:b/>
                <w:bCs/>
                <w:sz w:val="24"/>
              </w:rPr>
              <w:t>4</w:t>
            </w:r>
            <w:r>
              <w:rPr>
                <w:b/>
                <w:bCs/>
                <w:sz w:val="24"/>
              </w:rPr>
              <w:t>.3预测结果</w:t>
            </w:r>
          </w:p>
          <w:p>
            <w:pPr>
              <w:widowControl/>
              <w:autoSpaceDE w:val="0"/>
              <w:autoSpaceDN w:val="0"/>
              <w:spacing w:line="520" w:lineRule="exact"/>
              <w:ind w:firstLine="480" w:firstLineChars="200"/>
              <w:rPr>
                <w:sz w:val="24"/>
              </w:rPr>
            </w:pPr>
            <w:r>
              <w:rPr>
                <w:sz w:val="24"/>
              </w:rPr>
              <w:t>根据预测模式及噪声源强参数及各产噪设备噪声源强及不同距离的预测值详见表4-4。</w:t>
            </w:r>
          </w:p>
          <w:p>
            <w:pPr>
              <w:widowControl/>
              <w:autoSpaceDE w:val="0"/>
              <w:autoSpaceDN w:val="0"/>
              <w:spacing w:line="520" w:lineRule="exact"/>
              <w:ind w:firstLine="480" w:firstLineChars="200"/>
              <w:rPr>
                <w:rFonts w:hint="eastAsia"/>
                <w:sz w:val="24"/>
              </w:rPr>
            </w:pPr>
          </w:p>
          <w:p>
            <w:pPr>
              <w:pStyle w:val="78"/>
            </w:pPr>
            <w:r>
              <w:t xml:space="preserve">表4-4 </w:t>
            </w:r>
            <w:r>
              <w:rPr>
                <w:rFonts w:hint="eastAsia"/>
              </w:rPr>
              <w:t xml:space="preserve">   </w:t>
            </w:r>
            <w:r>
              <w:t>施工设备噪声类比及预测结果表     单位：Leq[dB(A)]</w:t>
            </w:r>
          </w:p>
          <w:tbl>
            <w:tblPr>
              <w:tblStyle w:val="31"/>
              <w:tblW w:w="8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734"/>
              <w:gridCol w:w="782"/>
              <w:gridCol w:w="796"/>
              <w:gridCol w:w="795"/>
              <w:gridCol w:w="808"/>
              <w:gridCol w:w="808"/>
              <w:gridCol w:w="808"/>
              <w:gridCol w:w="808"/>
              <w:gridCol w:w="808"/>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12" w:hRule="atLeast"/>
                <w:jc w:val="center"/>
              </w:trPr>
              <w:tc>
                <w:tcPr>
                  <w:tcW w:w="1734" w:type="dxa"/>
                  <w:vMerge w:val="restart"/>
                  <w:tcBorders>
                    <w:top w:val="single" w:color="auto" w:sz="12" w:space="0"/>
                    <w:left w:val="nil"/>
                    <w:tl2br w:val="single" w:color="auto" w:sz="4" w:space="0"/>
                  </w:tcBorders>
                </w:tcPr>
                <w:p>
                  <w:pPr>
                    <w:pStyle w:val="79"/>
                    <w:adjustRightInd w:val="0"/>
                    <w:snapToGrid w:val="0"/>
                  </w:pPr>
                  <w:r>
                    <w:t>噪声值dB（A）</w:t>
                  </w:r>
                </w:p>
                <w:p>
                  <w:pPr>
                    <w:pStyle w:val="79"/>
                    <w:adjustRightInd w:val="0"/>
                    <w:snapToGrid w:val="0"/>
                  </w:pPr>
                  <w:r>
                    <w:t>噪声类型</w:t>
                  </w:r>
                </w:p>
              </w:tc>
              <w:tc>
                <w:tcPr>
                  <w:tcW w:w="6419" w:type="dxa"/>
                  <w:gridSpan w:val="9"/>
                  <w:tcBorders>
                    <w:top w:val="single" w:color="auto" w:sz="12" w:space="0"/>
                    <w:right w:val="nil"/>
                  </w:tcBorders>
                  <w:vAlign w:val="center"/>
                </w:tcPr>
                <w:p>
                  <w:pPr>
                    <w:pStyle w:val="79"/>
                    <w:adjustRightInd w:val="0"/>
                    <w:snapToGrid w:val="0"/>
                  </w:pPr>
                  <w:r>
                    <w:t>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vMerge w:val="continue"/>
                  <w:tcBorders>
                    <w:left w:val="nil"/>
                    <w:tl2br w:val="single" w:color="auto" w:sz="4" w:space="0"/>
                  </w:tcBorders>
                </w:tcPr>
                <w:p>
                  <w:pPr>
                    <w:pStyle w:val="79"/>
                    <w:adjustRightInd w:val="0"/>
                    <w:snapToGrid w:val="0"/>
                  </w:pPr>
                </w:p>
              </w:tc>
              <w:tc>
                <w:tcPr>
                  <w:tcW w:w="782" w:type="dxa"/>
                  <w:vAlign w:val="center"/>
                </w:tcPr>
                <w:p>
                  <w:pPr>
                    <w:pStyle w:val="79"/>
                    <w:adjustRightInd w:val="0"/>
                    <w:snapToGrid w:val="0"/>
                  </w:pPr>
                  <w:r>
                    <w:t>5m</w:t>
                  </w:r>
                </w:p>
              </w:tc>
              <w:tc>
                <w:tcPr>
                  <w:tcW w:w="796" w:type="dxa"/>
                  <w:vAlign w:val="center"/>
                </w:tcPr>
                <w:p>
                  <w:pPr>
                    <w:pStyle w:val="79"/>
                    <w:adjustRightInd w:val="0"/>
                    <w:snapToGrid w:val="0"/>
                  </w:pPr>
                  <w:r>
                    <w:t>15m</w:t>
                  </w:r>
                </w:p>
              </w:tc>
              <w:tc>
                <w:tcPr>
                  <w:tcW w:w="795" w:type="dxa"/>
                  <w:vAlign w:val="center"/>
                </w:tcPr>
                <w:p>
                  <w:pPr>
                    <w:pStyle w:val="79"/>
                    <w:adjustRightInd w:val="0"/>
                    <w:snapToGrid w:val="0"/>
                  </w:pPr>
                  <w:r>
                    <w:t>50m</w:t>
                  </w:r>
                </w:p>
              </w:tc>
              <w:tc>
                <w:tcPr>
                  <w:tcW w:w="808" w:type="dxa"/>
                  <w:vAlign w:val="center"/>
                </w:tcPr>
                <w:p>
                  <w:pPr>
                    <w:pStyle w:val="79"/>
                    <w:adjustRightInd w:val="0"/>
                    <w:snapToGrid w:val="0"/>
                  </w:pPr>
                  <w:r>
                    <w:t>100m</w:t>
                  </w:r>
                </w:p>
              </w:tc>
              <w:tc>
                <w:tcPr>
                  <w:tcW w:w="808" w:type="dxa"/>
                  <w:vAlign w:val="center"/>
                </w:tcPr>
                <w:p>
                  <w:pPr>
                    <w:pStyle w:val="79"/>
                    <w:adjustRightInd w:val="0"/>
                    <w:snapToGrid w:val="0"/>
                  </w:pPr>
                  <w:r>
                    <w:t>200m</w:t>
                  </w:r>
                </w:p>
              </w:tc>
              <w:tc>
                <w:tcPr>
                  <w:tcW w:w="808" w:type="dxa"/>
                  <w:vAlign w:val="center"/>
                </w:tcPr>
                <w:p>
                  <w:pPr>
                    <w:pStyle w:val="79"/>
                    <w:adjustRightInd w:val="0"/>
                    <w:snapToGrid w:val="0"/>
                  </w:pPr>
                  <w:r>
                    <w:t>300m</w:t>
                  </w:r>
                </w:p>
              </w:tc>
              <w:tc>
                <w:tcPr>
                  <w:tcW w:w="808" w:type="dxa"/>
                  <w:vAlign w:val="center"/>
                </w:tcPr>
                <w:p>
                  <w:pPr>
                    <w:pStyle w:val="79"/>
                    <w:adjustRightInd w:val="0"/>
                    <w:snapToGrid w:val="0"/>
                  </w:pPr>
                  <w:r>
                    <w:t>500m</w:t>
                  </w:r>
                </w:p>
              </w:tc>
              <w:tc>
                <w:tcPr>
                  <w:tcW w:w="808" w:type="dxa"/>
                  <w:tcBorders>
                    <w:right w:val="nil"/>
                  </w:tcBorders>
                  <w:vAlign w:val="center"/>
                </w:tcPr>
                <w:p>
                  <w:pPr>
                    <w:pStyle w:val="79"/>
                    <w:adjustRightInd w:val="0"/>
                    <w:snapToGrid w:val="0"/>
                  </w:pPr>
                  <w:r>
                    <w:t>600m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tcBorders>
                    <w:left w:val="nil"/>
                  </w:tcBorders>
                </w:tcPr>
                <w:p>
                  <w:pPr>
                    <w:pStyle w:val="79"/>
                    <w:adjustRightInd w:val="0"/>
                    <w:snapToGrid w:val="0"/>
                  </w:pPr>
                  <w:r>
                    <w:rPr>
                      <w:rFonts w:hint="eastAsia"/>
                    </w:rPr>
                    <w:t>挖掘机</w:t>
                  </w:r>
                </w:p>
              </w:tc>
              <w:tc>
                <w:tcPr>
                  <w:tcW w:w="782" w:type="dxa"/>
                </w:tcPr>
                <w:p>
                  <w:pPr>
                    <w:pStyle w:val="79"/>
                    <w:adjustRightInd w:val="0"/>
                    <w:snapToGrid w:val="0"/>
                  </w:pPr>
                  <w:r>
                    <w:t>84</w:t>
                  </w:r>
                </w:p>
              </w:tc>
              <w:tc>
                <w:tcPr>
                  <w:tcW w:w="796" w:type="dxa"/>
                </w:tcPr>
                <w:p>
                  <w:pPr>
                    <w:pStyle w:val="79"/>
                    <w:adjustRightInd w:val="0"/>
                    <w:snapToGrid w:val="0"/>
                  </w:pPr>
                  <w:r>
                    <w:t>74.5</w:t>
                  </w:r>
                </w:p>
              </w:tc>
              <w:tc>
                <w:tcPr>
                  <w:tcW w:w="795" w:type="dxa"/>
                </w:tcPr>
                <w:p>
                  <w:pPr>
                    <w:pStyle w:val="79"/>
                    <w:adjustRightInd w:val="0"/>
                    <w:snapToGrid w:val="0"/>
                  </w:pPr>
                  <w:r>
                    <w:t>64</w:t>
                  </w:r>
                </w:p>
              </w:tc>
              <w:tc>
                <w:tcPr>
                  <w:tcW w:w="808" w:type="dxa"/>
                </w:tcPr>
                <w:p>
                  <w:pPr>
                    <w:pStyle w:val="79"/>
                    <w:adjustRightInd w:val="0"/>
                    <w:snapToGrid w:val="0"/>
                  </w:pPr>
                  <w:r>
                    <w:t>58</w:t>
                  </w:r>
                </w:p>
              </w:tc>
              <w:tc>
                <w:tcPr>
                  <w:tcW w:w="808" w:type="dxa"/>
                </w:tcPr>
                <w:p>
                  <w:pPr>
                    <w:pStyle w:val="79"/>
                    <w:adjustRightInd w:val="0"/>
                    <w:snapToGrid w:val="0"/>
                  </w:pPr>
                  <w:r>
                    <w:t>52</w:t>
                  </w:r>
                </w:p>
              </w:tc>
              <w:tc>
                <w:tcPr>
                  <w:tcW w:w="808" w:type="dxa"/>
                </w:tcPr>
                <w:p>
                  <w:pPr>
                    <w:pStyle w:val="79"/>
                    <w:adjustRightInd w:val="0"/>
                    <w:snapToGrid w:val="0"/>
                  </w:pPr>
                  <w:r>
                    <w:t>48.5</w:t>
                  </w:r>
                </w:p>
              </w:tc>
              <w:tc>
                <w:tcPr>
                  <w:tcW w:w="808" w:type="dxa"/>
                </w:tcPr>
                <w:p>
                  <w:pPr>
                    <w:pStyle w:val="79"/>
                    <w:adjustRightInd w:val="0"/>
                    <w:snapToGrid w:val="0"/>
                  </w:pPr>
                  <w:r>
                    <w:t>44</w:t>
                  </w:r>
                </w:p>
              </w:tc>
              <w:tc>
                <w:tcPr>
                  <w:tcW w:w="808" w:type="dxa"/>
                  <w:tcBorders>
                    <w:right w:val="nil"/>
                  </w:tcBorders>
                </w:tcPr>
                <w:p>
                  <w:pPr>
                    <w:pStyle w:val="79"/>
                    <w:adjustRightInd w:val="0"/>
                    <w:snapToGrid w:val="0"/>
                  </w:pPr>
                  <w: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tcBorders>
                    <w:left w:val="nil"/>
                  </w:tcBorders>
                </w:tcPr>
                <w:p>
                  <w:pPr>
                    <w:pStyle w:val="79"/>
                    <w:adjustRightInd w:val="0"/>
                    <w:snapToGrid w:val="0"/>
                  </w:pPr>
                  <w:r>
                    <w:rPr>
                      <w:rFonts w:hint="eastAsia"/>
                    </w:rPr>
                    <w:t>装载机</w:t>
                  </w:r>
                </w:p>
              </w:tc>
              <w:tc>
                <w:tcPr>
                  <w:tcW w:w="782" w:type="dxa"/>
                </w:tcPr>
                <w:p>
                  <w:pPr>
                    <w:pStyle w:val="79"/>
                    <w:adjustRightInd w:val="0"/>
                    <w:snapToGrid w:val="0"/>
                  </w:pPr>
                  <w:r>
                    <w:t>86</w:t>
                  </w:r>
                </w:p>
              </w:tc>
              <w:tc>
                <w:tcPr>
                  <w:tcW w:w="796" w:type="dxa"/>
                </w:tcPr>
                <w:p>
                  <w:pPr>
                    <w:pStyle w:val="79"/>
                    <w:adjustRightInd w:val="0"/>
                    <w:snapToGrid w:val="0"/>
                  </w:pPr>
                  <w:r>
                    <w:t>76.5</w:t>
                  </w:r>
                </w:p>
              </w:tc>
              <w:tc>
                <w:tcPr>
                  <w:tcW w:w="795" w:type="dxa"/>
                </w:tcPr>
                <w:p>
                  <w:pPr>
                    <w:pStyle w:val="79"/>
                    <w:adjustRightInd w:val="0"/>
                    <w:snapToGrid w:val="0"/>
                  </w:pPr>
                  <w:r>
                    <w:t>66</w:t>
                  </w:r>
                </w:p>
              </w:tc>
              <w:tc>
                <w:tcPr>
                  <w:tcW w:w="808" w:type="dxa"/>
                </w:tcPr>
                <w:p>
                  <w:pPr>
                    <w:pStyle w:val="79"/>
                    <w:adjustRightInd w:val="0"/>
                    <w:snapToGrid w:val="0"/>
                  </w:pPr>
                  <w:r>
                    <w:t>60</w:t>
                  </w:r>
                </w:p>
              </w:tc>
              <w:tc>
                <w:tcPr>
                  <w:tcW w:w="808" w:type="dxa"/>
                </w:tcPr>
                <w:p>
                  <w:pPr>
                    <w:pStyle w:val="79"/>
                    <w:adjustRightInd w:val="0"/>
                    <w:snapToGrid w:val="0"/>
                  </w:pPr>
                  <w:r>
                    <w:t>54</w:t>
                  </w:r>
                </w:p>
              </w:tc>
              <w:tc>
                <w:tcPr>
                  <w:tcW w:w="808" w:type="dxa"/>
                </w:tcPr>
                <w:p>
                  <w:pPr>
                    <w:pStyle w:val="79"/>
                    <w:adjustRightInd w:val="0"/>
                    <w:snapToGrid w:val="0"/>
                  </w:pPr>
                  <w:r>
                    <w:t>50.5</w:t>
                  </w:r>
                </w:p>
              </w:tc>
              <w:tc>
                <w:tcPr>
                  <w:tcW w:w="808" w:type="dxa"/>
                </w:tcPr>
                <w:p>
                  <w:pPr>
                    <w:pStyle w:val="79"/>
                    <w:adjustRightInd w:val="0"/>
                    <w:snapToGrid w:val="0"/>
                  </w:pPr>
                  <w:r>
                    <w:t>46</w:t>
                  </w:r>
                </w:p>
              </w:tc>
              <w:tc>
                <w:tcPr>
                  <w:tcW w:w="808" w:type="dxa"/>
                  <w:tcBorders>
                    <w:right w:val="nil"/>
                  </w:tcBorders>
                </w:tcPr>
                <w:p>
                  <w:pPr>
                    <w:pStyle w:val="79"/>
                    <w:adjustRightInd w:val="0"/>
                    <w:snapToGrid w:val="0"/>
                  </w:pPr>
                  <w: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tcBorders>
                    <w:left w:val="nil"/>
                  </w:tcBorders>
                </w:tcPr>
                <w:p>
                  <w:pPr>
                    <w:pStyle w:val="79"/>
                    <w:adjustRightInd w:val="0"/>
                    <w:snapToGrid w:val="0"/>
                  </w:pPr>
                  <w:r>
                    <w:t>自卸卡车</w:t>
                  </w:r>
                </w:p>
              </w:tc>
              <w:tc>
                <w:tcPr>
                  <w:tcW w:w="782" w:type="dxa"/>
                </w:tcPr>
                <w:p>
                  <w:pPr>
                    <w:pStyle w:val="79"/>
                    <w:adjustRightInd w:val="0"/>
                    <w:snapToGrid w:val="0"/>
                  </w:pPr>
                  <w:r>
                    <w:t>89</w:t>
                  </w:r>
                </w:p>
              </w:tc>
              <w:tc>
                <w:tcPr>
                  <w:tcW w:w="796" w:type="dxa"/>
                </w:tcPr>
                <w:p>
                  <w:pPr>
                    <w:pStyle w:val="79"/>
                    <w:adjustRightInd w:val="0"/>
                    <w:snapToGrid w:val="0"/>
                  </w:pPr>
                  <w:r>
                    <w:t>79.5</w:t>
                  </w:r>
                </w:p>
              </w:tc>
              <w:tc>
                <w:tcPr>
                  <w:tcW w:w="795" w:type="dxa"/>
                </w:tcPr>
                <w:p>
                  <w:pPr>
                    <w:pStyle w:val="79"/>
                    <w:adjustRightInd w:val="0"/>
                    <w:snapToGrid w:val="0"/>
                  </w:pPr>
                  <w:r>
                    <w:t>69</w:t>
                  </w:r>
                </w:p>
              </w:tc>
              <w:tc>
                <w:tcPr>
                  <w:tcW w:w="808" w:type="dxa"/>
                </w:tcPr>
                <w:p>
                  <w:pPr>
                    <w:pStyle w:val="79"/>
                    <w:adjustRightInd w:val="0"/>
                    <w:snapToGrid w:val="0"/>
                  </w:pPr>
                  <w:r>
                    <w:t>63</w:t>
                  </w:r>
                </w:p>
              </w:tc>
              <w:tc>
                <w:tcPr>
                  <w:tcW w:w="808" w:type="dxa"/>
                </w:tcPr>
                <w:p>
                  <w:pPr>
                    <w:pStyle w:val="79"/>
                    <w:adjustRightInd w:val="0"/>
                    <w:snapToGrid w:val="0"/>
                  </w:pPr>
                  <w:r>
                    <w:t>57</w:t>
                  </w:r>
                </w:p>
              </w:tc>
              <w:tc>
                <w:tcPr>
                  <w:tcW w:w="808" w:type="dxa"/>
                </w:tcPr>
                <w:p>
                  <w:pPr>
                    <w:pStyle w:val="79"/>
                    <w:adjustRightInd w:val="0"/>
                    <w:snapToGrid w:val="0"/>
                  </w:pPr>
                  <w:r>
                    <w:t>53.5</w:t>
                  </w:r>
                </w:p>
              </w:tc>
              <w:tc>
                <w:tcPr>
                  <w:tcW w:w="808" w:type="dxa"/>
                </w:tcPr>
                <w:p>
                  <w:pPr>
                    <w:pStyle w:val="79"/>
                    <w:adjustRightInd w:val="0"/>
                    <w:snapToGrid w:val="0"/>
                  </w:pPr>
                  <w:r>
                    <w:t>49</w:t>
                  </w:r>
                </w:p>
              </w:tc>
              <w:tc>
                <w:tcPr>
                  <w:tcW w:w="808" w:type="dxa"/>
                  <w:tcBorders>
                    <w:right w:val="nil"/>
                  </w:tcBorders>
                </w:tcPr>
                <w:p>
                  <w:pPr>
                    <w:pStyle w:val="79"/>
                    <w:adjustRightInd w:val="0"/>
                    <w:snapToGrid w:val="0"/>
                  </w:pPr>
                  <w:r>
                    <w:t>47.5</w:t>
                  </w:r>
                </w:p>
              </w:tc>
            </w:tr>
          </w:tbl>
          <w:p>
            <w:pPr>
              <w:numPr>
                <w:ilvl w:val="0"/>
                <w:numId w:val="9"/>
              </w:numPr>
              <w:adjustRightInd w:val="0"/>
              <w:snapToGrid w:val="0"/>
              <w:spacing w:line="520" w:lineRule="exact"/>
              <w:ind w:firstLine="482" w:firstLineChars="200"/>
              <w:rPr>
                <w:b/>
                <w:bCs/>
                <w:sz w:val="24"/>
              </w:rPr>
            </w:pPr>
            <w:r>
              <w:rPr>
                <w:b/>
                <w:bCs/>
                <w:sz w:val="24"/>
              </w:rPr>
              <w:t>固体废物环境影响分析</w:t>
            </w:r>
          </w:p>
          <w:p>
            <w:pPr>
              <w:widowControl/>
              <w:adjustRightInd w:val="0"/>
              <w:snapToGrid w:val="0"/>
              <w:spacing w:line="520" w:lineRule="exact"/>
              <w:ind w:firstLine="480" w:firstLineChars="200"/>
              <w:rPr>
                <w:sz w:val="24"/>
              </w:rPr>
            </w:pPr>
            <w:r>
              <w:rPr>
                <w:rFonts w:hint="eastAsia"/>
                <w:sz w:val="24"/>
              </w:rPr>
              <w:t>本项目生产过程产生的固废主要为生活垃圾和剥离的表土，本项目开采出所有粒径的石英砂均拉运至阜康产业园阜西区新疆世纪能源化工有限公司世纪能源装备新材料产业园项目生产使用，本项目不产生废石废料。</w:t>
            </w:r>
          </w:p>
          <w:p>
            <w:pPr>
              <w:widowControl/>
              <w:numPr>
                <w:ilvl w:val="0"/>
                <w:numId w:val="10"/>
              </w:numPr>
              <w:adjustRightInd w:val="0"/>
              <w:snapToGrid w:val="0"/>
              <w:spacing w:line="520" w:lineRule="exact"/>
              <w:ind w:firstLine="480" w:firstLineChars="200"/>
              <w:rPr>
                <w:sz w:val="24"/>
              </w:rPr>
            </w:pPr>
            <w:r>
              <w:rPr>
                <w:sz w:val="24"/>
              </w:rPr>
              <w:t>生活垃圾</w:t>
            </w:r>
            <w:r>
              <w:rPr>
                <w:rFonts w:hint="eastAsia"/>
                <w:sz w:val="24"/>
              </w:rPr>
              <w:t>：本项目劳动定员8</w:t>
            </w:r>
            <w:r>
              <w:rPr>
                <w:sz w:val="24"/>
              </w:rPr>
              <w:t>0</w:t>
            </w:r>
            <w:r>
              <w:rPr>
                <w:rFonts w:hint="eastAsia"/>
                <w:sz w:val="24"/>
              </w:rPr>
              <w:t>人，不设置办公生活区，职工生活垃圾产生量很小，本次评价</w:t>
            </w:r>
            <w:r>
              <w:rPr>
                <w:sz w:val="24"/>
              </w:rPr>
              <w:t>按每天0.1kg/人计算，则生活垃圾产生量为8kg/d</w:t>
            </w:r>
            <w:r>
              <w:rPr>
                <w:rFonts w:hint="eastAsia"/>
                <w:sz w:val="24"/>
              </w:rPr>
              <w:t>（</w:t>
            </w:r>
            <w:r>
              <w:rPr>
                <w:sz w:val="24"/>
              </w:rPr>
              <w:t>1</w:t>
            </w:r>
            <w:r>
              <w:rPr>
                <w:rFonts w:hint="eastAsia"/>
                <w:sz w:val="24"/>
              </w:rPr>
              <w:t>.6</w:t>
            </w:r>
            <w:r>
              <w:rPr>
                <w:sz w:val="24"/>
              </w:rPr>
              <w:t>t/a</w:t>
            </w:r>
            <w:r>
              <w:rPr>
                <w:rFonts w:hint="eastAsia"/>
                <w:sz w:val="24"/>
              </w:rPr>
              <w:t>）。</w:t>
            </w:r>
          </w:p>
          <w:p>
            <w:pPr>
              <w:pStyle w:val="36"/>
              <w:numPr>
                <w:ilvl w:val="0"/>
                <w:numId w:val="10"/>
              </w:numPr>
              <w:spacing w:line="520" w:lineRule="exact"/>
              <w:ind w:firstLine="480" w:firstLineChars="200"/>
              <w:rPr>
                <w:color w:val="auto"/>
              </w:rPr>
            </w:pPr>
            <w:r>
              <w:rPr>
                <w:rFonts w:ascii="Times New Roman"/>
                <w:color w:val="auto"/>
              </w:rPr>
              <w:t>剥离的表土：</w:t>
            </w:r>
            <w:r>
              <w:rPr>
                <w:rFonts w:hint="eastAsia" w:ascii="Times New Roman"/>
                <w:color w:val="auto"/>
              </w:rPr>
              <w:t>根据开发利用方案，整个矿区地表覆盖砂量163.42万t（体积量90.78万m³），全矿区服务年限2</w:t>
            </w:r>
            <w:r>
              <w:rPr>
                <w:rFonts w:ascii="Times New Roman"/>
                <w:color w:val="auto"/>
              </w:rPr>
              <w:t>0.03</w:t>
            </w:r>
            <w:r>
              <w:rPr>
                <w:rFonts w:hint="eastAsia" w:ascii="Times New Roman"/>
                <w:color w:val="auto"/>
              </w:rPr>
              <w:t>年。平均每年剥离地表覆盖砂8</w:t>
            </w:r>
            <w:r>
              <w:rPr>
                <w:rFonts w:ascii="Times New Roman"/>
                <w:color w:val="auto"/>
              </w:rPr>
              <w:t>.16</w:t>
            </w:r>
            <w:r>
              <w:rPr>
                <w:rFonts w:hint="eastAsia" w:ascii="Times New Roman"/>
                <w:color w:val="auto"/>
              </w:rPr>
              <w:t>万t（体积量4</w:t>
            </w:r>
            <w:r>
              <w:rPr>
                <w:rFonts w:ascii="Times New Roman"/>
                <w:color w:val="auto"/>
              </w:rPr>
              <w:t>.53</w:t>
            </w:r>
            <w:r>
              <w:rPr>
                <w:rFonts w:hint="eastAsia" w:ascii="Times New Roman"/>
                <w:color w:val="auto"/>
              </w:rPr>
              <w:t>万m³），矿区设置1</w:t>
            </w:r>
            <w:r>
              <w:rPr>
                <w:rFonts w:ascii="Times New Roman"/>
                <w:color w:val="auto"/>
              </w:rPr>
              <w:t>.0</w:t>
            </w:r>
            <w:r>
              <w:rPr>
                <w:rFonts w:hint="eastAsia" w:ascii="Times New Roman"/>
                <w:color w:val="auto"/>
              </w:rPr>
              <w:t>hm</w:t>
            </w:r>
            <w:r>
              <w:rPr>
                <w:rFonts w:ascii="Times New Roman"/>
                <w:color w:val="auto"/>
                <w:vertAlign w:val="superscript"/>
              </w:rPr>
              <w:t>2</w:t>
            </w:r>
            <w:r>
              <w:rPr>
                <w:rFonts w:hint="eastAsia" w:ascii="Times New Roman"/>
                <w:color w:val="auto"/>
              </w:rPr>
              <w:t>，地表覆盖砂集中堆放场，最大堆放高度5m。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 w:type="dxa"/>
            <w:vAlign w:val="center"/>
          </w:tcPr>
          <w:p>
            <w:pPr>
              <w:pStyle w:val="28"/>
              <w:adjustRightInd w:val="0"/>
              <w:snapToGrid w:val="0"/>
              <w:spacing w:before="0" w:beforeAutospacing="0" w:after="0" w:afterAutospacing="0"/>
              <w:jc w:val="center"/>
              <w:rPr>
                <w:rFonts w:cs="宋体"/>
                <w:bCs/>
                <w:kern w:val="2"/>
              </w:rPr>
            </w:pPr>
            <w:r>
              <w:rPr>
                <w:rFonts w:hint="eastAsia" w:cs="宋体"/>
                <w:bCs/>
                <w:kern w:val="2"/>
              </w:rPr>
              <w:t>选址选线环境合理性分析</w:t>
            </w:r>
          </w:p>
        </w:tc>
        <w:tc>
          <w:tcPr>
            <w:tcW w:w="8369" w:type="dxa"/>
          </w:tcPr>
          <w:p>
            <w:pPr>
              <w:autoSpaceDE w:val="0"/>
              <w:autoSpaceDN w:val="0"/>
              <w:adjustRightInd w:val="0"/>
              <w:snapToGrid w:val="0"/>
              <w:spacing w:line="520" w:lineRule="exact"/>
              <w:ind w:firstLine="482" w:firstLineChars="200"/>
              <w:rPr>
                <w:b/>
                <w:bCs/>
                <w:sz w:val="24"/>
              </w:rPr>
            </w:pPr>
            <w:r>
              <w:rPr>
                <w:rFonts w:hint="eastAsia"/>
                <w:b/>
                <w:bCs/>
                <w:sz w:val="24"/>
              </w:rPr>
              <w:t>1、地质环境相符性</w:t>
            </w:r>
          </w:p>
          <w:p>
            <w:pPr>
              <w:autoSpaceDE w:val="0"/>
              <w:autoSpaceDN w:val="0"/>
              <w:adjustRightInd w:val="0"/>
              <w:snapToGrid w:val="0"/>
              <w:spacing w:line="520" w:lineRule="exact"/>
              <w:ind w:firstLine="480" w:firstLineChars="200"/>
              <w:rPr>
                <w:sz w:val="24"/>
              </w:rPr>
            </w:pPr>
            <w:r>
              <w:rPr>
                <w:sz w:val="24"/>
              </w:rPr>
              <w:t>本项目</w:t>
            </w:r>
            <w:r>
              <w:rPr>
                <w:rFonts w:hint="eastAsia"/>
                <w:sz w:val="24"/>
              </w:rPr>
              <w:t>位于阜康市北部准格尔盆地古尔班通古特沙漠东部，阜康市城区1</w:t>
            </w:r>
            <w:r>
              <w:rPr>
                <w:sz w:val="24"/>
              </w:rPr>
              <w:t>7</w:t>
            </w:r>
            <w:r>
              <w:rPr>
                <w:rFonts w:hint="eastAsia"/>
                <w:sz w:val="24"/>
              </w:rPr>
              <w:t>°方位，距离阜康市直线距离78km处。四周均为空地。所在区域环境的生态条件较差，地域特征决定了该区域内植物组成简单、种类贫乏，矿区所在区域地处准格尔盆地古尔班通古特沙漠东部复地，整个沙漠面积的95%以上为固定、半固定风沙土，固定沙丘上植被覆盖度为40%~50%，半固定沙丘达15%~25%。矿体总体呈单斜产出，矿层产状较缓，近水平整层状分布，稳定性较好，不易造成滑坡、泥石流、崩塌等地质灾害。采矿活动不产生有毒、有害物质，石英砂在采掘及运输过程中会产生少量粉尘，但因矿山为露天开采，粉尘易扩散，区内及附近无人员，故对矿区地质环境影响不大。</w:t>
            </w:r>
          </w:p>
          <w:p>
            <w:pPr>
              <w:autoSpaceDE w:val="0"/>
              <w:autoSpaceDN w:val="0"/>
              <w:adjustRightInd w:val="0"/>
              <w:snapToGrid w:val="0"/>
              <w:spacing w:line="520" w:lineRule="exact"/>
              <w:ind w:firstLine="480" w:firstLineChars="200"/>
              <w:rPr>
                <w:rFonts w:hint="eastAsia"/>
                <w:sz w:val="24"/>
              </w:rPr>
            </w:pPr>
          </w:p>
          <w:p>
            <w:pPr>
              <w:autoSpaceDE w:val="0"/>
              <w:autoSpaceDN w:val="0"/>
              <w:adjustRightInd w:val="0"/>
              <w:snapToGrid w:val="0"/>
              <w:spacing w:line="520" w:lineRule="exact"/>
              <w:ind w:firstLine="482" w:firstLineChars="200"/>
              <w:rPr>
                <w:b/>
                <w:bCs/>
                <w:sz w:val="24"/>
              </w:rPr>
            </w:pPr>
            <w:r>
              <w:rPr>
                <w:rFonts w:hint="eastAsia"/>
                <w:b/>
                <w:bCs/>
                <w:sz w:val="24"/>
              </w:rPr>
              <w:t>2、行业准入条件符合性</w:t>
            </w:r>
          </w:p>
          <w:p>
            <w:pPr>
              <w:autoSpaceDE w:val="0"/>
              <w:autoSpaceDN w:val="0"/>
              <w:adjustRightInd w:val="0"/>
              <w:snapToGrid w:val="0"/>
              <w:spacing w:line="520" w:lineRule="exact"/>
              <w:ind w:firstLine="480" w:firstLineChars="200"/>
              <w:rPr>
                <w:sz w:val="24"/>
              </w:rPr>
            </w:pPr>
            <w:r>
              <w:rPr>
                <w:rFonts w:hint="eastAsia"/>
                <w:sz w:val="24"/>
              </w:rPr>
              <w:t>根据《新疆维吾尔自治区重点行业环境准入条件（修订）》（</w:t>
            </w:r>
            <w:r>
              <w:rPr>
                <w:sz w:val="24"/>
              </w:rPr>
              <w:t>2017</w:t>
            </w:r>
            <w:r>
              <w:rPr>
                <w:rFonts w:hint="eastAsia"/>
                <w:sz w:val="24"/>
              </w:rPr>
              <w:t>年</w:t>
            </w:r>
            <w:r>
              <w:rPr>
                <w:sz w:val="24"/>
              </w:rPr>
              <w:t>1</w:t>
            </w:r>
            <w:r>
              <w:rPr>
                <w:rFonts w:hint="eastAsia"/>
                <w:sz w:val="24"/>
              </w:rPr>
              <w:t>月）规定：</w:t>
            </w:r>
          </w:p>
          <w:p>
            <w:pPr>
              <w:autoSpaceDE w:val="0"/>
              <w:autoSpaceDN w:val="0"/>
              <w:adjustRightInd w:val="0"/>
              <w:snapToGrid w:val="0"/>
              <w:spacing w:line="520" w:lineRule="exact"/>
              <w:ind w:firstLine="480" w:firstLineChars="200"/>
              <w:rPr>
                <w:sz w:val="24"/>
              </w:rPr>
            </w:pPr>
            <w:r>
              <w:rPr>
                <w:rFonts w:hint="eastAsia"/>
                <w:sz w:val="24"/>
              </w:rPr>
              <w:t>（1）铁路、高速公路、国道、省道等重要交通干线两侧200m范围以内，重要工业区、大型水利工程设施、城镇市政工程设施所在区域，军事管理区、机场、国防工程设施圈定的区域，居民聚集区1千米以内禁止建设非金属矿采选项目。</w:t>
            </w:r>
          </w:p>
          <w:p>
            <w:pPr>
              <w:autoSpaceDE w:val="0"/>
              <w:autoSpaceDN w:val="0"/>
              <w:adjustRightInd w:val="0"/>
              <w:snapToGrid w:val="0"/>
              <w:spacing w:line="520" w:lineRule="exact"/>
              <w:ind w:firstLine="480" w:firstLineChars="200"/>
              <w:rPr>
                <w:sz w:val="24"/>
              </w:rPr>
            </w:pPr>
            <w:r>
              <w:rPr>
                <w:rFonts w:hint="eastAsia"/>
                <w:sz w:val="24"/>
              </w:rPr>
              <w:t>（2）伊犁河、额尔齐斯河等重要河流源头区、水环境功能区划为Ⅰ、Ⅱ类和具有饮用功能的Ⅲ类水体岸边1000m以内，其它Ⅲ类水体岸边200m以内，禁止新建或改扩建非金属矿选矿工程，存在山体等阻隔地形或建设人工地下水阻隔设施的，可根据实际情况，在确保不会对水体产生污染影响的前提下适当放宽距离要求。</w:t>
            </w:r>
          </w:p>
          <w:p>
            <w:pPr>
              <w:autoSpaceDE w:val="0"/>
              <w:autoSpaceDN w:val="0"/>
              <w:adjustRightInd w:val="0"/>
              <w:snapToGrid w:val="0"/>
              <w:spacing w:line="520" w:lineRule="exact"/>
              <w:ind w:firstLine="480" w:firstLineChars="200"/>
              <w:rPr>
                <w:sz w:val="24"/>
              </w:rPr>
            </w:pPr>
            <w:r>
              <w:rPr>
                <w:rFonts w:hint="eastAsia"/>
                <w:sz w:val="24"/>
              </w:rPr>
              <w:t>本项目周边无重要铁路、高速公路等重要的交通干线及重要工业区等，且远离居民住宅区；项目区无重要河流源头区及河流。因此选址符合《新疆维吾尔自治区重点行业环境准入条件（修订）》（</w:t>
            </w:r>
            <w:r>
              <w:rPr>
                <w:sz w:val="24"/>
              </w:rPr>
              <w:t>2017</w:t>
            </w:r>
            <w:r>
              <w:rPr>
                <w:rFonts w:hint="eastAsia"/>
                <w:sz w:val="24"/>
              </w:rPr>
              <w:t>年</w:t>
            </w:r>
            <w:r>
              <w:rPr>
                <w:sz w:val="24"/>
              </w:rPr>
              <w:t>1</w:t>
            </w:r>
            <w:r>
              <w:rPr>
                <w:rFonts w:hint="eastAsia"/>
                <w:sz w:val="24"/>
              </w:rPr>
              <w:t>月）的相关规定。</w:t>
            </w:r>
          </w:p>
          <w:p>
            <w:pPr>
              <w:autoSpaceDE w:val="0"/>
              <w:autoSpaceDN w:val="0"/>
              <w:adjustRightInd w:val="0"/>
              <w:snapToGrid w:val="0"/>
              <w:spacing w:line="520" w:lineRule="exact"/>
              <w:ind w:firstLine="480" w:firstLineChars="200"/>
              <w:rPr>
                <w:sz w:val="24"/>
              </w:rPr>
            </w:pPr>
            <w:r>
              <w:rPr>
                <w:rFonts w:hint="eastAsia"/>
                <w:sz w:val="24"/>
              </w:rPr>
              <w:t>综上，项目选址是合理可行的。</w:t>
            </w:r>
          </w:p>
          <w:p>
            <w:pPr>
              <w:autoSpaceDE w:val="0"/>
              <w:autoSpaceDN w:val="0"/>
              <w:adjustRightInd w:val="0"/>
              <w:snapToGrid w:val="0"/>
              <w:spacing w:line="520" w:lineRule="exact"/>
              <w:ind w:firstLine="480" w:firstLineChars="200"/>
              <w:rPr>
                <w:sz w:val="24"/>
              </w:rPr>
            </w:pPr>
          </w:p>
          <w:p>
            <w:pPr>
              <w:autoSpaceDE w:val="0"/>
              <w:autoSpaceDN w:val="0"/>
              <w:adjustRightInd w:val="0"/>
              <w:snapToGrid w:val="0"/>
              <w:spacing w:line="520" w:lineRule="exact"/>
              <w:ind w:firstLine="480" w:firstLineChars="200"/>
              <w:rPr>
                <w:sz w:val="24"/>
              </w:rPr>
            </w:pPr>
          </w:p>
          <w:p>
            <w:pPr>
              <w:autoSpaceDE w:val="0"/>
              <w:autoSpaceDN w:val="0"/>
              <w:adjustRightInd w:val="0"/>
              <w:snapToGrid w:val="0"/>
              <w:spacing w:line="520" w:lineRule="exact"/>
              <w:ind w:firstLine="480" w:firstLineChars="200"/>
              <w:rPr>
                <w:sz w:val="24"/>
              </w:rPr>
            </w:pPr>
          </w:p>
          <w:p>
            <w:pPr>
              <w:autoSpaceDE w:val="0"/>
              <w:autoSpaceDN w:val="0"/>
              <w:adjustRightInd w:val="0"/>
              <w:snapToGrid w:val="0"/>
              <w:spacing w:line="520" w:lineRule="exact"/>
              <w:ind w:firstLine="480" w:firstLineChars="200"/>
              <w:rPr>
                <w:sz w:val="24"/>
              </w:rPr>
            </w:pPr>
          </w:p>
          <w:p>
            <w:pPr>
              <w:autoSpaceDE w:val="0"/>
              <w:autoSpaceDN w:val="0"/>
              <w:adjustRightInd w:val="0"/>
              <w:snapToGrid w:val="0"/>
              <w:spacing w:line="520" w:lineRule="exact"/>
              <w:ind w:firstLine="480" w:firstLineChars="200"/>
              <w:rPr>
                <w:sz w:val="24"/>
              </w:rPr>
            </w:pPr>
          </w:p>
          <w:p>
            <w:pPr>
              <w:autoSpaceDE w:val="0"/>
              <w:autoSpaceDN w:val="0"/>
              <w:adjustRightInd w:val="0"/>
              <w:snapToGrid w:val="0"/>
              <w:spacing w:line="520" w:lineRule="exact"/>
              <w:ind w:firstLine="480" w:firstLineChars="200"/>
              <w:rPr>
                <w:sz w:val="24"/>
              </w:rPr>
            </w:pPr>
          </w:p>
          <w:p>
            <w:pPr>
              <w:autoSpaceDE w:val="0"/>
              <w:autoSpaceDN w:val="0"/>
              <w:adjustRightInd w:val="0"/>
              <w:snapToGrid w:val="0"/>
              <w:spacing w:line="520" w:lineRule="exact"/>
              <w:ind w:firstLine="480" w:firstLineChars="200"/>
              <w:rPr>
                <w:rFonts w:hint="eastAsia"/>
                <w:sz w:val="24"/>
              </w:rPr>
            </w:pPr>
          </w:p>
          <w:p>
            <w:pPr>
              <w:pStyle w:val="36"/>
              <w:rPr>
                <w:color w:val="auto"/>
              </w:rPr>
            </w:pPr>
          </w:p>
          <w:p>
            <w:pPr>
              <w:adjustRightInd w:val="0"/>
              <w:snapToGrid w:val="0"/>
              <w:rPr>
                <w:rFonts w:ascii="宋体" w:hAnsi="宋体" w:cs="宋体"/>
                <w:bCs/>
                <w:sz w:val="24"/>
              </w:rPr>
            </w:pPr>
          </w:p>
        </w:tc>
      </w:tr>
    </w:tbl>
    <w:p>
      <w:pPr>
        <w:pStyle w:val="28"/>
        <w:jc w:val="center"/>
        <w:rPr>
          <w:rFonts w:ascii="黑体" w:hAnsi="黑体" w:eastAsia="黑体"/>
          <w:snapToGrid w:val="0"/>
          <w:sz w:val="36"/>
          <w:szCs w:val="36"/>
        </w:rPr>
        <w:sectPr>
          <w:pgSz w:w="11906" w:h="16838"/>
          <w:pgMar w:top="1440" w:right="1800" w:bottom="1440" w:left="1800" w:header="851" w:footer="1077" w:gutter="0"/>
          <w:cols w:space="720" w:num="1"/>
          <w:docGrid w:linePitch="312" w:charSpace="0"/>
        </w:sectPr>
      </w:pPr>
    </w:p>
    <w:p>
      <w:pPr>
        <w:pStyle w:val="28"/>
        <w:adjustRightInd w:val="0"/>
        <w:snapToGrid w:val="0"/>
        <w:spacing w:before="0" w:beforeAutospacing="0" w:after="0" w:afterAutospacing="0" w:line="14" w:lineRule="auto"/>
        <w:jc w:val="center"/>
        <w:outlineLvl w:val="0"/>
        <w:rPr>
          <w:rFonts w:ascii="黑体" w:hAnsi="黑体" w:eastAsia="黑体"/>
          <w:snapToGrid w:val="0"/>
          <w:sz w:val="30"/>
          <w:szCs w:val="30"/>
        </w:rPr>
      </w:pPr>
    </w:p>
    <w:p>
      <w:pPr>
        <w:pStyle w:val="28"/>
        <w:jc w:val="center"/>
        <w:outlineLvl w:val="0"/>
        <w:rPr>
          <w:rFonts w:ascii="黑体" w:hAnsi="黑体" w:eastAsia="黑体"/>
          <w:snapToGrid w:val="0"/>
          <w:sz w:val="30"/>
          <w:szCs w:val="30"/>
        </w:rPr>
      </w:pPr>
      <w:r>
        <w:rPr>
          <w:rFonts w:hint="eastAsia" w:ascii="黑体" w:hAnsi="黑体" w:eastAsia="黑体"/>
          <w:snapToGrid w:val="0"/>
          <w:sz w:val="30"/>
          <w:szCs w:val="30"/>
        </w:rPr>
        <w:t>五、主要生态环境保护措施</w:t>
      </w:r>
    </w:p>
    <w:tbl>
      <w:tblPr>
        <w:tblStyle w:val="31"/>
        <w:tblW w:w="921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4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jc w:val="center"/>
        </w:trPr>
        <w:tc>
          <w:tcPr>
            <w:tcW w:w="753" w:type="dxa"/>
            <w:tcMar>
              <w:left w:w="28" w:type="dxa"/>
              <w:right w:w="28" w:type="dxa"/>
            </w:tcMar>
            <w:vAlign w:val="center"/>
          </w:tcPr>
          <w:p>
            <w:pPr>
              <w:adjustRightInd w:val="0"/>
              <w:snapToGrid w:val="0"/>
              <w:jc w:val="center"/>
              <w:rPr>
                <w:rFonts w:ascii="宋体" w:hAnsi="宋体"/>
                <w:bCs/>
                <w:sz w:val="24"/>
              </w:rPr>
            </w:pPr>
            <w:r>
              <w:rPr>
                <w:rFonts w:hint="eastAsia" w:ascii="宋体" w:hAnsi="宋体" w:cs="宋体"/>
                <w:bCs/>
                <w:spacing w:val="10"/>
                <w:sz w:val="24"/>
              </w:rPr>
              <w:t>施工期生态环境保护措施</w:t>
            </w:r>
          </w:p>
        </w:tc>
        <w:tc>
          <w:tcPr>
            <w:tcW w:w="8457" w:type="dxa"/>
            <w:vAlign w:val="center"/>
          </w:tcPr>
          <w:p>
            <w:pPr>
              <w:widowControl/>
              <w:spacing w:line="520" w:lineRule="exact"/>
              <w:ind w:firstLine="482" w:firstLineChars="200"/>
              <w:rPr>
                <w:b/>
                <w:bCs/>
                <w:sz w:val="24"/>
              </w:rPr>
            </w:pPr>
            <w:r>
              <w:rPr>
                <w:rFonts w:hint="eastAsia"/>
                <w:b/>
                <w:bCs/>
                <w:sz w:val="24"/>
              </w:rPr>
              <w:t>1、生态影响减缓措施</w:t>
            </w:r>
          </w:p>
          <w:p>
            <w:pPr>
              <w:widowControl/>
              <w:spacing w:line="520" w:lineRule="exact"/>
              <w:ind w:firstLine="480" w:firstLineChars="200"/>
              <w:rPr>
                <w:sz w:val="24"/>
              </w:rPr>
            </w:pPr>
            <w:r>
              <w:rPr>
                <w:sz w:val="24"/>
              </w:rPr>
              <w:t>根据施工期</w:t>
            </w:r>
            <w:r>
              <w:rPr>
                <w:rFonts w:hint="eastAsia"/>
                <w:sz w:val="24"/>
              </w:rPr>
              <w:t>生态</w:t>
            </w:r>
            <w:r>
              <w:rPr>
                <w:sz w:val="24"/>
              </w:rPr>
              <w:t>影响分析，</w:t>
            </w:r>
            <w:r>
              <w:rPr>
                <w:rFonts w:hint="eastAsia"/>
                <w:sz w:val="24"/>
              </w:rPr>
              <w:t>施工占地、土方开挖、土方堆放等过程有可能造成植被破坏、水土流失，影响生态，需采取必要的管理措施，减缓影响。具体措施如下：</w:t>
            </w:r>
          </w:p>
          <w:p>
            <w:pPr>
              <w:widowControl/>
              <w:spacing w:line="520" w:lineRule="exact"/>
              <w:ind w:firstLine="480" w:firstLineChars="200"/>
              <w:rPr>
                <w:sz w:val="24"/>
              </w:rPr>
            </w:pPr>
            <w:r>
              <w:rPr>
                <w:rFonts w:hint="eastAsia"/>
                <w:sz w:val="24"/>
              </w:rPr>
              <w:t>（1）除永久占地外，应在保障不影响施工操作和工程质量的前提下，尽量减少临时占地面积，以此减少对植被的破坏面积；对施工生产生活区设置围挡，严格限制临时占地范围。</w:t>
            </w:r>
          </w:p>
          <w:p>
            <w:pPr>
              <w:widowControl/>
              <w:spacing w:line="520" w:lineRule="exact"/>
              <w:ind w:firstLine="480" w:firstLineChars="200"/>
              <w:rPr>
                <w:sz w:val="24"/>
              </w:rPr>
            </w:pPr>
            <w:r>
              <w:rPr>
                <w:rFonts w:hint="eastAsia"/>
                <w:sz w:val="24"/>
              </w:rPr>
              <w:t>（2）</w:t>
            </w:r>
            <w:r>
              <w:rPr>
                <w:sz w:val="24"/>
              </w:rPr>
              <w:t>施工开挖地表产生的土石方弃渣，需妥善处理和有效利用，严禁乱堆乱置</w:t>
            </w:r>
            <w:r>
              <w:rPr>
                <w:rFonts w:hint="eastAsia"/>
                <w:sz w:val="24"/>
              </w:rPr>
              <w:t>。</w:t>
            </w:r>
          </w:p>
          <w:p>
            <w:pPr>
              <w:widowControl/>
              <w:spacing w:line="520" w:lineRule="exact"/>
              <w:ind w:firstLine="480" w:firstLineChars="200"/>
              <w:rPr>
                <w:sz w:val="24"/>
              </w:rPr>
            </w:pPr>
            <w:r>
              <w:rPr>
                <w:rFonts w:hint="eastAsia"/>
                <w:sz w:val="24"/>
              </w:rPr>
              <w:t>（3）土方堆放过程中，应采取洒水措施，必要时进行苫盖，尽量减少风蚀、侵蚀等造成的水土流失；土方运输转移过程尽量减少撒漏，必要时应采取遮盖措施，防治撒漏和扬尘。</w:t>
            </w:r>
          </w:p>
          <w:p>
            <w:pPr>
              <w:pStyle w:val="47"/>
              <w:spacing w:beforeLines="0" w:line="520" w:lineRule="exact"/>
              <w:ind w:firstLine="480"/>
              <w:rPr>
                <w:b/>
                <w:bCs/>
              </w:rPr>
            </w:pPr>
            <w:r>
              <w:rPr>
                <w:rFonts w:hint="eastAsia" w:ascii="Times New Roman" w:hAnsi="Times New Roman" w:eastAsia="宋体"/>
                <w:sz w:val="24"/>
                <w:szCs w:val="24"/>
              </w:rPr>
              <w:t>通过以上措施，减少本项目对生态环境的影响。</w:t>
            </w:r>
          </w:p>
          <w:p>
            <w:pPr>
              <w:widowControl/>
              <w:spacing w:line="520" w:lineRule="exact"/>
              <w:ind w:firstLine="482" w:firstLineChars="200"/>
              <w:rPr>
                <w:b/>
                <w:bCs/>
                <w:sz w:val="24"/>
              </w:rPr>
            </w:pPr>
            <w:r>
              <w:rPr>
                <w:rFonts w:hint="eastAsia"/>
                <w:b/>
                <w:bCs/>
                <w:sz w:val="24"/>
              </w:rPr>
              <w:t>2、大气环境影响减缓措施</w:t>
            </w:r>
          </w:p>
          <w:p>
            <w:pPr>
              <w:widowControl/>
              <w:spacing w:line="520" w:lineRule="exact"/>
              <w:ind w:firstLine="480" w:firstLineChars="200"/>
              <w:rPr>
                <w:sz w:val="24"/>
              </w:rPr>
            </w:pPr>
            <w:r>
              <w:rPr>
                <w:sz w:val="24"/>
              </w:rPr>
              <w:t>根据施工期大气环境影响分析，本项目工程施工期总体大气环境影响较小。但在项目施工过程中应做好规范化工作，采取必要的劳动保护和污染防治措施，具体如下：</w:t>
            </w:r>
          </w:p>
          <w:p>
            <w:pPr>
              <w:widowControl/>
              <w:spacing w:line="520" w:lineRule="exact"/>
              <w:ind w:firstLine="480" w:firstLineChars="200"/>
              <w:rPr>
                <w:sz w:val="24"/>
              </w:rPr>
            </w:pPr>
            <w:r>
              <w:rPr>
                <w:rFonts w:hint="eastAsia"/>
                <w:sz w:val="24"/>
              </w:rPr>
              <w:t>（1）</w:t>
            </w:r>
            <w:r>
              <w:rPr>
                <w:sz w:val="24"/>
              </w:rPr>
              <w:t>施工人员在使用相关机械设备时，应规范操作，严格按照操作规程进行；施工管理人员应做好监督</w:t>
            </w:r>
            <w:r>
              <w:rPr>
                <w:rFonts w:hint="eastAsia"/>
                <w:sz w:val="24"/>
              </w:rPr>
              <w:t>。</w:t>
            </w:r>
          </w:p>
          <w:p>
            <w:pPr>
              <w:widowControl/>
              <w:spacing w:line="520" w:lineRule="exact"/>
              <w:ind w:firstLine="480" w:firstLineChars="200"/>
              <w:rPr>
                <w:sz w:val="24"/>
              </w:rPr>
            </w:pPr>
            <w:r>
              <w:rPr>
                <w:rFonts w:hint="eastAsia"/>
                <w:sz w:val="24"/>
              </w:rPr>
              <w:t>（2）</w:t>
            </w:r>
            <w:r>
              <w:rPr>
                <w:sz w:val="24"/>
              </w:rPr>
              <w:t>施工人员应做好劳动保护，施工方应发放防尘口罩、防尘眼镜、防尘帽等劳动保护用品并督促使用</w:t>
            </w:r>
            <w:r>
              <w:rPr>
                <w:rFonts w:hint="eastAsia"/>
                <w:sz w:val="24"/>
              </w:rPr>
              <w:t>。</w:t>
            </w:r>
          </w:p>
          <w:p>
            <w:pPr>
              <w:widowControl/>
              <w:spacing w:line="520" w:lineRule="exact"/>
              <w:ind w:firstLine="480" w:firstLineChars="200"/>
              <w:rPr>
                <w:sz w:val="24"/>
              </w:rPr>
            </w:pPr>
            <w:r>
              <w:rPr>
                <w:rFonts w:hint="eastAsia"/>
                <w:sz w:val="24"/>
              </w:rPr>
              <w:t>（3）施工生产生活区、</w:t>
            </w:r>
            <w:r>
              <w:rPr>
                <w:sz w:val="24"/>
              </w:rPr>
              <w:t>施工道路、临时土方等应定时洒水保湿，对土方</w:t>
            </w:r>
            <w:r>
              <w:rPr>
                <w:rFonts w:hint="eastAsia"/>
                <w:sz w:val="24"/>
              </w:rPr>
              <w:t>、细物料</w:t>
            </w:r>
            <w:r>
              <w:rPr>
                <w:sz w:val="24"/>
              </w:rPr>
              <w:t>采用密目防尘网苫盖减少起尘量</w:t>
            </w:r>
            <w:r>
              <w:rPr>
                <w:rFonts w:hint="eastAsia"/>
                <w:sz w:val="24"/>
              </w:rPr>
              <w:t>。</w:t>
            </w:r>
          </w:p>
          <w:p>
            <w:pPr>
              <w:widowControl/>
              <w:spacing w:line="520" w:lineRule="exact"/>
              <w:ind w:firstLine="480" w:firstLineChars="200"/>
              <w:rPr>
                <w:sz w:val="24"/>
              </w:rPr>
            </w:pPr>
            <w:r>
              <w:rPr>
                <w:rFonts w:hint="eastAsia"/>
                <w:sz w:val="24"/>
              </w:rPr>
              <w:t>（4）</w:t>
            </w:r>
            <w:r>
              <w:rPr>
                <w:sz w:val="24"/>
              </w:rPr>
              <w:t>加强施工机械维修保养，保障正常运行，减少施工期大气环境影响时间</w:t>
            </w:r>
            <w:r>
              <w:rPr>
                <w:rFonts w:hint="eastAsia"/>
                <w:sz w:val="24"/>
              </w:rPr>
              <w:t>。</w:t>
            </w:r>
          </w:p>
          <w:p>
            <w:pPr>
              <w:widowControl/>
              <w:spacing w:line="520" w:lineRule="exact"/>
              <w:ind w:firstLine="480" w:firstLineChars="200"/>
              <w:rPr>
                <w:sz w:val="24"/>
              </w:rPr>
            </w:pPr>
            <w:r>
              <w:rPr>
                <w:rFonts w:hint="eastAsia"/>
                <w:sz w:val="24"/>
              </w:rPr>
              <w:t>以上措施符合实际，实际中容易操作，费用投入较少，具有技术可行性、经济合理性，能够达到生态环境保护要求。</w:t>
            </w:r>
          </w:p>
          <w:p>
            <w:pPr>
              <w:widowControl/>
              <w:spacing w:line="520" w:lineRule="exact"/>
              <w:ind w:firstLine="482" w:firstLineChars="200"/>
              <w:rPr>
                <w:b/>
                <w:bCs/>
                <w:sz w:val="24"/>
              </w:rPr>
            </w:pPr>
            <w:r>
              <w:rPr>
                <w:rFonts w:hint="eastAsia"/>
                <w:b/>
                <w:bCs/>
                <w:sz w:val="24"/>
              </w:rPr>
              <w:t>3、</w:t>
            </w:r>
            <w:r>
              <w:rPr>
                <w:b/>
                <w:bCs/>
                <w:sz w:val="24"/>
              </w:rPr>
              <w:t>地表水环境影响减缓措施</w:t>
            </w:r>
          </w:p>
          <w:p>
            <w:pPr>
              <w:widowControl/>
              <w:spacing w:line="520" w:lineRule="exact"/>
              <w:ind w:firstLine="480" w:firstLineChars="200"/>
              <w:rPr>
                <w:sz w:val="24"/>
              </w:rPr>
            </w:pPr>
            <w:r>
              <w:rPr>
                <w:rFonts w:hint="eastAsia"/>
                <w:sz w:val="24"/>
              </w:rPr>
              <w:t>施工期废污水来自基建施工人员排放的生活污水。全部排入环保厕所，待施工完毕后委托环卫部门清运，对环境影响较小。</w:t>
            </w:r>
          </w:p>
          <w:p>
            <w:pPr>
              <w:widowControl/>
              <w:spacing w:line="520" w:lineRule="exact"/>
              <w:ind w:firstLine="482" w:firstLineChars="200"/>
              <w:rPr>
                <w:b/>
                <w:bCs/>
                <w:sz w:val="24"/>
              </w:rPr>
            </w:pPr>
            <w:r>
              <w:rPr>
                <w:rFonts w:hint="eastAsia"/>
                <w:b/>
                <w:bCs/>
                <w:sz w:val="24"/>
              </w:rPr>
              <w:t>4、声</w:t>
            </w:r>
            <w:r>
              <w:rPr>
                <w:b/>
                <w:bCs/>
                <w:sz w:val="24"/>
              </w:rPr>
              <w:t>环境影响减缓措施</w:t>
            </w:r>
          </w:p>
          <w:p>
            <w:pPr>
              <w:widowControl/>
              <w:spacing w:line="520" w:lineRule="exact"/>
              <w:ind w:firstLine="480" w:firstLineChars="200"/>
              <w:rPr>
                <w:sz w:val="24"/>
              </w:rPr>
            </w:pPr>
            <w:r>
              <w:rPr>
                <w:sz w:val="24"/>
              </w:rPr>
              <w:t>根据施工期</w:t>
            </w:r>
            <w:r>
              <w:rPr>
                <w:rFonts w:hint="eastAsia"/>
                <w:sz w:val="24"/>
              </w:rPr>
              <w:t>声</w:t>
            </w:r>
            <w:r>
              <w:rPr>
                <w:sz w:val="24"/>
              </w:rPr>
              <w:t>环境影响分析，</w:t>
            </w:r>
            <w:r>
              <w:rPr>
                <w:rFonts w:hint="eastAsia"/>
                <w:sz w:val="24"/>
              </w:rPr>
              <w:t>施工机械、车辆等噪声可能对项目区施工人员等产生不良影响，应采取必要的管理措施，具体如下：</w:t>
            </w:r>
          </w:p>
          <w:p>
            <w:pPr>
              <w:widowControl/>
              <w:numPr>
                <w:ilvl w:val="0"/>
                <w:numId w:val="11"/>
              </w:numPr>
              <w:spacing w:line="520" w:lineRule="exact"/>
              <w:ind w:firstLine="480" w:firstLineChars="200"/>
              <w:rPr>
                <w:sz w:val="24"/>
              </w:rPr>
            </w:pPr>
            <w:r>
              <w:rPr>
                <w:rFonts w:hint="eastAsia"/>
                <w:sz w:val="24"/>
              </w:rPr>
              <w:t>施工单位应选用低噪声的施工机械和先进的工艺，加强设备的维护和保养，保持机械润滑，降低运行噪声。</w:t>
            </w:r>
          </w:p>
          <w:p>
            <w:pPr>
              <w:widowControl/>
              <w:spacing w:line="520" w:lineRule="exact"/>
              <w:ind w:firstLine="480" w:firstLineChars="200"/>
              <w:rPr>
                <w:sz w:val="24"/>
              </w:rPr>
            </w:pPr>
            <w:r>
              <w:rPr>
                <w:rFonts w:hint="eastAsia"/>
                <w:sz w:val="24"/>
              </w:rPr>
              <w:t>（2）合理安排运输时间，选择最佳进场道路，运输车辆尽量保持良好车况，合理调度，尽可能匀速慢行，车辆经过村镇及居民区时应低速、禁鸣。</w:t>
            </w:r>
          </w:p>
          <w:p>
            <w:pPr>
              <w:widowControl/>
              <w:spacing w:line="520" w:lineRule="exact"/>
              <w:ind w:firstLine="480" w:firstLineChars="200"/>
              <w:rPr>
                <w:sz w:val="24"/>
              </w:rPr>
            </w:pPr>
            <w:r>
              <w:rPr>
                <w:sz w:val="24"/>
              </w:rPr>
              <w:t>（</w:t>
            </w:r>
            <w:r>
              <w:rPr>
                <w:rFonts w:hint="eastAsia"/>
                <w:sz w:val="24"/>
              </w:rPr>
              <w:t>3</w:t>
            </w:r>
            <w:r>
              <w:rPr>
                <w:sz w:val="24"/>
              </w:rPr>
              <w:t>）</w:t>
            </w:r>
            <w:r>
              <w:rPr>
                <w:rFonts w:hint="eastAsia"/>
                <w:sz w:val="24"/>
              </w:rPr>
              <w:t>施工单位应严格执行《建筑施工场界环境噪声排放标准》（GB12523-2011）的要求对施工场界进行噪声控制。</w:t>
            </w:r>
          </w:p>
          <w:p>
            <w:pPr>
              <w:widowControl/>
              <w:spacing w:line="520" w:lineRule="exact"/>
              <w:ind w:firstLine="480" w:firstLineChars="200"/>
              <w:rPr>
                <w:sz w:val="24"/>
              </w:rPr>
            </w:pPr>
            <w:r>
              <w:rPr>
                <w:sz w:val="24"/>
              </w:rPr>
              <w:t>（4）</w:t>
            </w:r>
            <w:r>
              <w:rPr>
                <w:rFonts w:hint="eastAsia"/>
                <w:sz w:val="24"/>
              </w:rPr>
              <w:t>加强施工人员个人防护，给高噪声设备操作人员配备耳塞、耳罩等防护用具，严格落实劳动保护。</w:t>
            </w:r>
          </w:p>
          <w:p>
            <w:pPr>
              <w:widowControl/>
              <w:spacing w:line="520" w:lineRule="exact"/>
              <w:ind w:firstLine="482" w:firstLineChars="200"/>
              <w:rPr>
                <w:b/>
                <w:bCs/>
                <w:sz w:val="24"/>
              </w:rPr>
            </w:pPr>
            <w:r>
              <w:rPr>
                <w:rFonts w:hint="eastAsia"/>
                <w:b/>
                <w:bCs/>
                <w:sz w:val="24"/>
              </w:rPr>
              <w:t>5、固体废弃物环境影响减缓措施</w:t>
            </w:r>
          </w:p>
          <w:p>
            <w:pPr>
              <w:widowControl/>
              <w:spacing w:line="520" w:lineRule="exact"/>
              <w:ind w:firstLine="480" w:firstLineChars="200"/>
              <w:rPr>
                <w:sz w:val="24"/>
              </w:rPr>
            </w:pPr>
            <w:r>
              <w:rPr>
                <w:sz w:val="24"/>
              </w:rPr>
              <w:t>根据施工期</w:t>
            </w:r>
            <w:r>
              <w:rPr>
                <w:rFonts w:hint="eastAsia"/>
                <w:sz w:val="24"/>
              </w:rPr>
              <w:t>固体废物</w:t>
            </w:r>
            <w:r>
              <w:rPr>
                <w:sz w:val="24"/>
              </w:rPr>
              <w:t>环境影响分析，</w:t>
            </w:r>
            <w:r>
              <w:rPr>
                <w:rFonts w:hint="eastAsia"/>
                <w:sz w:val="24"/>
              </w:rPr>
              <w:t>项目施工期生活垃圾、建筑垃圾、临时堆土等随意丢弃、弃置、倾倒等，将对环境造成不利影响，需采取必要的减缓措施，具体如下：</w:t>
            </w:r>
          </w:p>
          <w:p>
            <w:pPr>
              <w:widowControl/>
              <w:spacing w:line="520" w:lineRule="exact"/>
              <w:ind w:firstLine="480" w:firstLineChars="200"/>
              <w:rPr>
                <w:sz w:val="24"/>
              </w:rPr>
            </w:pPr>
            <w:r>
              <w:rPr>
                <w:rFonts w:hint="eastAsia"/>
                <w:sz w:val="24"/>
              </w:rPr>
              <w:t>（1）施工期生活垃圾采取垃圾桶收集，集中收集定期清运至阜康市垃圾填埋场处置；</w:t>
            </w:r>
          </w:p>
          <w:p>
            <w:pPr>
              <w:widowControl/>
              <w:spacing w:line="520" w:lineRule="exact"/>
              <w:ind w:firstLine="480" w:firstLineChars="200"/>
              <w:rPr>
                <w:sz w:val="24"/>
              </w:rPr>
            </w:pPr>
            <w:r>
              <w:rPr>
                <w:rFonts w:hint="eastAsia"/>
                <w:sz w:val="24"/>
              </w:rPr>
              <w:t>（2）建筑垃圾尽量回收利用，实现资源化；不可利用建筑垃圾应定点堆放和苫盖，定期采用篷布遮盖拉运至指定地点处置；</w:t>
            </w:r>
          </w:p>
          <w:p>
            <w:pPr>
              <w:widowControl/>
              <w:spacing w:line="520" w:lineRule="exact"/>
              <w:ind w:firstLine="480" w:firstLineChars="200"/>
              <w:rPr>
                <w:sz w:val="24"/>
              </w:rPr>
            </w:pPr>
            <w:r>
              <w:rPr>
                <w:rFonts w:hint="eastAsia"/>
                <w:sz w:val="24"/>
              </w:rPr>
              <w:t>（3）对临时堆放的建筑垃圾、土方等采取洒水降尘、苫盖等措施，减少起尘；土方经回填、调用、筑堤后，应压实，减缓水土流失。</w:t>
            </w:r>
          </w:p>
          <w:p>
            <w:pPr>
              <w:widowControl/>
              <w:spacing w:line="520" w:lineRule="exact"/>
              <w:ind w:firstLine="480" w:firstLineChars="200"/>
              <w:rPr>
                <w:sz w:val="24"/>
              </w:rPr>
            </w:pPr>
            <w:r>
              <w:rPr>
                <w:rFonts w:hint="eastAsia"/>
                <w:sz w:val="24"/>
              </w:rPr>
              <w:t>以上措施主要为管理措施，无太多技术要求，处置措施具有可行性，满足环保要求；环保投资等相对较少，经济上合理。</w:t>
            </w:r>
          </w:p>
          <w:p>
            <w:pPr>
              <w:widowControl/>
              <w:spacing w:line="520" w:lineRule="exact"/>
              <w:ind w:firstLine="482" w:firstLineChars="200"/>
              <w:rPr>
                <w:b/>
                <w:bCs/>
                <w:sz w:val="24"/>
              </w:rPr>
            </w:pPr>
            <w:r>
              <w:rPr>
                <w:rFonts w:hint="eastAsia"/>
                <w:b/>
                <w:bCs/>
                <w:sz w:val="24"/>
              </w:rPr>
              <w:t>6、防沙治沙</w:t>
            </w:r>
          </w:p>
          <w:p>
            <w:pPr>
              <w:adjustRightInd w:val="0"/>
              <w:snapToGrid w:val="0"/>
              <w:spacing w:line="520" w:lineRule="exact"/>
              <w:ind w:firstLine="480" w:firstLineChars="200"/>
              <w:textAlignment w:val="baseline"/>
            </w:pPr>
            <w:r>
              <w:rPr>
                <w:rFonts w:hint="eastAsia"/>
                <w:snapToGrid w:val="0"/>
                <w:sz w:val="24"/>
              </w:rPr>
              <w:t>（1）采取的技术规范、标准</w:t>
            </w:r>
          </w:p>
          <w:p>
            <w:pPr>
              <w:adjustRightInd w:val="0"/>
              <w:snapToGrid w:val="0"/>
              <w:spacing w:line="520" w:lineRule="exact"/>
              <w:ind w:firstLine="480" w:firstLineChars="200"/>
              <w:textAlignment w:val="baseline"/>
              <w:rPr>
                <w:snapToGrid w:val="0"/>
                <w:sz w:val="24"/>
              </w:rPr>
            </w:pPr>
            <w:r>
              <w:rPr>
                <w:rFonts w:hint="eastAsia"/>
                <w:snapToGrid w:val="0"/>
                <w:sz w:val="24"/>
              </w:rPr>
              <w:t>①《中华人民共和国防沙治沙法》（2</w:t>
            </w:r>
            <w:r>
              <w:rPr>
                <w:snapToGrid w:val="0"/>
                <w:sz w:val="24"/>
              </w:rPr>
              <w:t>018</w:t>
            </w:r>
            <w:r>
              <w:rPr>
                <w:rFonts w:hint="eastAsia"/>
                <w:snapToGrid w:val="0"/>
                <w:sz w:val="24"/>
              </w:rPr>
              <w:t>年</w:t>
            </w:r>
            <w:r>
              <w:rPr>
                <w:snapToGrid w:val="0"/>
                <w:sz w:val="24"/>
              </w:rPr>
              <w:t>10</w:t>
            </w:r>
            <w:r>
              <w:rPr>
                <w:rFonts w:hint="eastAsia"/>
                <w:snapToGrid w:val="0"/>
                <w:sz w:val="24"/>
              </w:rPr>
              <w:t>月</w:t>
            </w:r>
            <w:r>
              <w:rPr>
                <w:snapToGrid w:val="0"/>
                <w:sz w:val="24"/>
              </w:rPr>
              <w:t>26</w:t>
            </w:r>
            <w:r>
              <w:rPr>
                <w:rFonts w:hint="eastAsia"/>
                <w:snapToGrid w:val="0"/>
                <w:sz w:val="24"/>
              </w:rPr>
              <w:t>日修订）；</w:t>
            </w:r>
          </w:p>
          <w:p>
            <w:pPr>
              <w:adjustRightInd w:val="0"/>
              <w:snapToGrid w:val="0"/>
              <w:spacing w:line="520" w:lineRule="exact"/>
              <w:ind w:firstLine="480" w:firstLineChars="200"/>
              <w:textAlignment w:val="baseline"/>
              <w:rPr>
                <w:snapToGrid w:val="0"/>
                <w:sz w:val="24"/>
              </w:rPr>
            </w:pPr>
            <w:r>
              <w:rPr>
                <w:rFonts w:hint="eastAsia"/>
                <w:snapToGrid w:val="0"/>
                <w:sz w:val="24"/>
              </w:rPr>
              <w:t>②《关于做好沙区开发建设项目环评中防沙治沙内容评价工作的意见》（林沙发〔</w:t>
            </w:r>
            <w:r>
              <w:rPr>
                <w:snapToGrid w:val="0"/>
                <w:sz w:val="24"/>
              </w:rPr>
              <w:t>2013</w:t>
            </w:r>
            <w:r>
              <w:rPr>
                <w:rFonts w:hint="eastAsia"/>
                <w:snapToGrid w:val="0"/>
                <w:sz w:val="24"/>
              </w:rPr>
              <w:t>〕</w:t>
            </w:r>
            <w:r>
              <w:rPr>
                <w:snapToGrid w:val="0"/>
                <w:sz w:val="24"/>
              </w:rPr>
              <w:t>136</w:t>
            </w:r>
            <w:r>
              <w:rPr>
                <w:rFonts w:hint="eastAsia"/>
                <w:snapToGrid w:val="0"/>
                <w:sz w:val="24"/>
              </w:rPr>
              <w:t>号）；</w:t>
            </w:r>
          </w:p>
          <w:p>
            <w:pPr>
              <w:adjustRightInd w:val="0"/>
              <w:snapToGrid w:val="0"/>
              <w:spacing w:line="520" w:lineRule="exact"/>
              <w:ind w:firstLine="480" w:firstLineChars="200"/>
              <w:textAlignment w:val="baseline"/>
              <w:rPr>
                <w:snapToGrid w:val="0"/>
                <w:sz w:val="24"/>
              </w:rPr>
            </w:pPr>
            <w:r>
              <w:rPr>
                <w:rFonts w:hint="eastAsia" w:ascii="仿宋" w:hAnsi="仿宋" w:eastAsia="仿宋"/>
                <w:snapToGrid w:val="0"/>
                <w:sz w:val="24"/>
              </w:rPr>
              <w:t>③</w:t>
            </w:r>
            <w:r>
              <w:rPr>
                <w:rFonts w:hint="eastAsia"/>
                <w:snapToGrid w:val="0"/>
                <w:sz w:val="24"/>
              </w:rPr>
              <w:t>《关于加强沙区建设项目环境影响评价工作的通知》（新环环评发〔</w:t>
            </w:r>
            <w:r>
              <w:rPr>
                <w:snapToGrid w:val="0"/>
                <w:sz w:val="24"/>
              </w:rPr>
              <w:t>2020</w:t>
            </w:r>
            <w:r>
              <w:rPr>
                <w:rFonts w:hint="eastAsia"/>
                <w:snapToGrid w:val="0"/>
                <w:sz w:val="24"/>
              </w:rPr>
              <w:t>〕</w:t>
            </w:r>
            <w:r>
              <w:rPr>
                <w:snapToGrid w:val="0"/>
                <w:sz w:val="24"/>
              </w:rPr>
              <w:t>138</w:t>
            </w:r>
            <w:r>
              <w:rPr>
                <w:rFonts w:hint="eastAsia"/>
                <w:snapToGrid w:val="0"/>
                <w:sz w:val="24"/>
              </w:rPr>
              <w:t>号）；</w:t>
            </w:r>
          </w:p>
          <w:p>
            <w:pPr>
              <w:adjustRightInd w:val="0"/>
              <w:snapToGrid w:val="0"/>
              <w:spacing w:line="520" w:lineRule="exact"/>
              <w:ind w:firstLine="480" w:firstLineChars="200"/>
              <w:textAlignment w:val="baseline"/>
              <w:rPr>
                <w:snapToGrid w:val="0"/>
                <w:sz w:val="24"/>
              </w:rPr>
            </w:pPr>
            <w:r>
              <w:rPr>
                <w:rFonts w:hint="eastAsia"/>
                <w:snapToGrid w:val="0"/>
                <w:sz w:val="24"/>
              </w:rPr>
              <w:t>④《防沙治沙技术规范》（G</w:t>
            </w:r>
            <w:r>
              <w:rPr>
                <w:snapToGrid w:val="0"/>
                <w:sz w:val="24"/>
              </w:rPr>
              <w:t>B/T21141-2007</w:t>
            </w:r>
            <w:r>
              <w:rPr>
                <w:rFonts w:hint="eastAsia"/>
                <w:snapToGrid w:val="0"/>
                <w:sz w:val="24"/>
              </w:rPr>
              <w:t>）。</w:t>
            </w:r>
          </w:p>
          <w:p>
            <w:pPr>
              <w:adjustRightInd w:val="0"/>
              <w:snapToGrid w:val="0"/>
              <w:spacing w:line="520" w:lineRule="exact"/>
              <w:ind w:firstLine="480" w:firstLineChars="200"/>
              <w:textAlignment w:val="baseline"/>
              <w:rPr>
                <w:snapToGrid w:val="0"/>
                <w:sz w:val="24"/>
              </w:rPr>
            </w:pPr>
            <w:r>
              <w:rPr>
                <w:rFonts w:hint="eastAsia"/>
                <w:snapToGrid w:val="0"/>
                <w:sz w:val="24"/>
              </w:rPr>
              <w:t>（2）制订方案的原则</w:t>
            </w:r>
          </w:p>
          <w:p>
            <w:pPr>
              <w:adjustRightInd w:val="0"/>
              <w:snapToGrid w:val="0"/>
              <w:spacing w:line="520" w:lineRule="exact"/>
              <w:ind w:firstLine="480" w:firstLineChars="200"/>
              <w:textAlignment w:val="baseline"/>
              <w:rPr>
                <w:snapToGrid w:val="0"/>
                <w:sz w:val="24"/>
              </w:rPr>
            </w:pPr>
            <w:r>
              <w:rPr>
                <w:rFonts w:hint="eastAsia"/>
                <w:snapToGrid w:val="0"/>
                <w:sz w:val="24"/>
              </w:rPr>
              <w:t>①科学性、前瞻性与可行性结合；</w:t>
            </w:r>
          </w:p>
          <w:p>
            <w:pPr>
              <w:adjustRightInd w:val="0"/>
              <w:snapToGrid w:val="0"/>
              <w:spacing w:line="520" w:lineRule="exact"/>
              <w:ind w:firstLine="480" w:firstLineChars="200"/>
              <w:textAlignment w:val="baseline"/>
              <w:rPr>
                <w:snapToGrid w:val="0"/>
                <w:sz w:val="24"/>
              </w:rPr>
            </w:pPr>
            <w:r>
              <w:rPr>
                <w:rFonts w:hint="eastAsia"/>
                <w:snapToGrid w:val="0"/>
                <w:sz w:val="24"/>
              </w:rPr>
              <w:t>②定性目标与定量指标结合；</w:t>
            </w:r>
          </w:p>
          <w:p>
            <w:pPr>
              <w:adjustRightInd w:val="0"/>
              <w:snapToGrid w:val="0"/>
              <w:spacing w:line="520" w:lineRule="exact"/>
              <w:ind w:firstLine="480" w:firstLineChars="200"/>
              <w:textAlignment w:val="baseline"/>
              <w:rPr>
                <w:snapToGrid w:val="0"/>
                <w:sz w:val="24"/>
              </w:rPr>
            </w:pPr>
            <w:r>
              <w:rPr>
                <w:rFonts w:hint="eastAsia"/>
                <w:snapToGrid w:val="0"/>
                <w:sz w:val="24"/>
              </w:rPr>
              <w:t>③注重生态效益与关注民生、发展产业相结合；</w:t>
            </w:r>
          </w:p>
          <w:p>
            <w:pPr>
              <w:adjustRightInd w:val="0"/>
              <w:snapToGrid w:val="0"/>
              <w:spacing w:line="520" w:lineRule="exact"/>
              <w:ind w:firstLine="480" w:firstLineChars="200"/>
              <w:textAlignment w:val="baseline"/>
              <w:rPr>
                <w:snapToGrid w:val="0"/>
                <w:sz w:val="24"/>
              </w:rPr>
            </w:pPr>
            <w:r>
              <w:rPr>
                <w:rFonts w:hint="eastAsia"/>
                <w:snapToGrid w:val="0"/>
                <w:sz w:val="24"/>
              </w:rPr>
              <w:t>④节约用水和合理用水相结合</w:t>
            </w:r>
          </w:p>
          <w:p>
            <w:pPr>
              <w:adjustRightInd w:val="0"/>
              <w:snapToGrid w:val="0"/>
              <w:spacing w:line="520" w:lineRule="exact"/>
              <w:ind w:firstLine="480" w:firstLineChars="200"/>
              <w:textAlignment w:val="baseline"/>
              <w:rPr>
                <w:snapToGrid w:val="0"/>
                <w:sz w:val="24"/>
              </w:rPr>
            </w:pPr>
            <w:r>
              <w:rPr>
                <w:rFonts w:hint="eastAsia"/>
                <w:snapToGrid w:val="0"/>
                <w:sz w:val="24"/>
              </w:rPr>
              <w:t>⑤坚持因地制宜的原则。</w:t>
            </w:r>
          </w:p>
          <w:p>
            <w:pPr>
              <w:adjustRightInd w:val="0"/>
              <w:snapToGrid w:val="0"/>
              <w:spacing w:line="520" w:lineRule="exact"/>
              <w:ind w:firstLine="480" w:firstLineChars="200"/>
              <w:textAlignment w:val="baseline"/>
              <w:rPr>
                <w:snapToGrid w:val="0"/>
                <w:sz w:val="24"/>
              </w:rPr>
            </w:pPr>
            <w:r>
              <w:rPr>
                <w:rFonts w:hint="eastAsia"/>
                <w:snapToGrid w:val="0"/>
                <w:sz w:val="24"/>
              </w:rPr>
              <w:t>（3）制订方案的目标</w:t>
            </w:r>
          </w:p>
          <w:p>
            <w:pPr>
              <w:adjustRightInd w:val="0"/>
              <w:snapToGrid w:val="0"/>
              <w:spacing w:line="520" w:lineRule="exact"/>
              <w:ind w:firstLine="480" w:firstLineChars="200"/>
              <w:textAlignment w:val="baseline"/>
              <w:rPr>
                <w:snapToGrid w:val="0"/>
                <w:sz w:val="24"/>
              </w:rPr>
            </w:pPr>
            <w:r>
              <w:rPr>
                <w:rFonts w:hint="eastAsia"/>
                <w:snapToGrid w:val="0"/>
                <w:sz w:val="24"/>
              </w:rPr>
              <w:t>通过工程建设，维持现有区域植被覆盖度，沙化土地扩展趋势得到遏制，区域生态环境显著改善。</w:t>
            </w:r>
          </w:p>
          <w:p>
            <w:pPr>
              <w:adjustRightInd w:val="0"/>
              <w:snapToGrid w:val="0"/>
              <w:spacing w:line="520" w:lineRule="exact"/>
              <w:ind w:firstLine="480" w:firstLineChars="200"/>
              <w:textAlignment w:val="baseline"/>
              <w:rPr>
                <w:snapToGrid w:val="0"/>
                <w:sz w:val="24"/>
              </w:rPr>
            </w:pPr>
            <w:r>
              <w:rPr>
                <w:rFonts w:hint="eastAsia"/>
                <w:snapToGrid w:val="0"/>
                <w:sz w:val="24"/>
              </w:rPr>
              <w:t>（4）工程措施（物理、化学固沙及其他机械固沙措施）</w:t>
            </w:r>
          </w:p>
          <w:p>
            <w:pPr>
              <w:adjustRightInd w:val="0"/>
              <w:snapToGrid w:val="0"/>
              <w:spacing w:line="520" w:lineRule="exact"/>
              <w:ind w:firstLine="480" w:firstLineChars="200"/>
              <w:textAlignment w:val="baseline"/>
              <w:rPr>
                <w:snapToGrid w:val="0"/>
                <w:sz w:val="24"/>
              </w:rPr>
            </w:pPr>
            <w:r>
              <w:rPr>
                <w:rFonts w:hint="eastAsia"/>
                <w:snapToGrid w:val="0"/>
                <w:sz w:val="24"/>
              </w:rPr>
              <w:t>本工程位本项目位于阜康市北部准格尔盆地古尔班通古特沙漠东部，阜康市城区17°方位，距离阜康市直线距离78km处，矿区周边及进场道路两侧设置宽度不低于5m草方格固沙，并播撒草籽。根据矿区面积及进场道路长度测算，预计整个矿区设置草方格面积约4</w:t>
            </w:r>
            <w:r>
              <w:rPr>
                <w:snapToGrid w:val="0"/>
                <w:sz w:val="24"/>
              </w:rPr>
              <w:t>.75</w:t>
            </w:r>
            <w:r>
              <w:rPr>
                <w:rFonts w:hint="eastAsia"/>
                <w:snapToGrid w:val="0"/>
                <w:sz w:val="24"/>
              </w:rPr>
              <w:t>hm</w:t>
            </w:r>
            <w:r>
              <w:rPr>
                <w:snapToGrid w:val="0"/>
                <w:sz w:val="24"/>
                <w:vertAlign w:val="superscript"/>
              </w:rPr>
              <w:t>2</w:t>
            </w:r>
            <w:r>
              <w:rPr>
                <w:rFonts w:hint="eastAsia"/>
                <w:snapToGrid w:val="0"/>
                <w:sz w:val="24"/>
              </w:rPr>
              <w:t>。</w:t>
            </w:r>
          </w:p>
          <w:p>
            <w:pPr>
              <w:adjustRightInd w:val="0"/>
              <w:snapToGrid w:val="0"/>
              <w:spacing w:line="520" w:lineRule="exact"/>
              <w:ind w:firstLine="480" w:firstLineChars="200"/>
              <w:textAlignment w:val="baseline"/>
              <w:rPr>
                <w:snapToGrid w:val="0"/>
                <w:sz w:val="24"/>
              </w:rPr>
            </w:pPr>
            <w:r>
              <w:rPr>
                <w:rFonts w:hint="eastAsia"/>
                <w:snapToGrid w:val="0"/>
                <w:sz w:val="24"/>
              </w:rPr>
              <w:t>（5）植物措施（在流动沙地、风蚀严重的风口、施工区域采取的恢复林草植被的林网、林带和林片等防风固沙植被恢复措施）</w:t>
            </w:r>
          </w:p>
          <w:p>
            <w:pPr>
              <w:adjustRightInd w:val="0"/>
              <w:snapToGrid w:val="0"/>
              <w:spacing w:line="520" w:lineRule="exact"/>
              <w:ind w:firstLine="480" w:firstLineChars="200"/>
              <w:textAlignment w:val="baseline"/>
              <w:rPr>
                <w:snapToGrid w:val="0"/>
                <w:sz w:val="24"/>
              </w:rPr>
            </w:pPr>
            <w:r>
              <w:rPr>
                <w:rFonts w:hint="eastAsia"/>
                <w:snapToGrid w:val="0"/>
                <w:sz w:val="24"/>
              </w:rPr>
              <w:t>工程施工过程如遇到植被覆盖度高的区域，施工结束后，及时采取泼洒草籽，种植树木等措施，恢复原地貌。</w:t>
            </w:r>
          </w:p>
          <w:p>
            <w:pPr>
              <w:adjustRightInd w:val="0"/>
              <w:snapToGrid w:val="0"/>
              <w:spacing w:line="520" w:lineRule="exact"/>
              <w:ind w:firstLine="480" w:firstLineChars="200"/>
              <w:textAlignment w:val="baseline"/>
              <w:rPr>
                <w:snapToGrid w:val="0"/>
                <w:sz w:val="24"/>
              </w:rPr>
            </w:pPr>
            <w:r>
              <w:rPr>
                <w:rFonts w:hint="eastAsia"/>
                <w:snapToGrid w:val="0"/>
                <w:sz w:val="24"/>
              </w:rPr>
              <w:t>（6）其他措施（废弃土、石、渣及其他地面覆盖处理措施）</w:t>
            </w:r>
          </w:p>
          <w:p>
            <w:pPr>
              <w:adjustRightInd w:val="0"/>
              <w:snapToGrid w:val="0"/>
              <w:spacing w:line="520" w:lineRule="exact"/>
              <w:ind w:firstLine="480" w:firstLineChars="200"/>
              <w:textAlignment w:val="baseline"/>
              <w:rPr>
                <w:snapToGrid w:val="0"/>
                <w:sz w:val="24"/>
              </w:rPr>
            </w:pPr>
            <w:r>
              <w:rPr>
                <w:rFonts w:hint="eastAsia"/>
                <w:snapToGrid w:val="0"/>
                <w:sz w:val="24"/>
              </w:rPr>
              <w:t>针对施工机械及运输车辆，提出如下措施：施工期间应划定施工活动范围，严格控制和管理运输车辆及重型机械的运输路线和范围，不得离开运输道路随意行驶，由专人负责，以防破坏土壤和植被，加剧土地荒漠化。</w:t>
            </w:r>
          </w:p>
          <w:p>
            <w:pPr>
              <w:adjustRightInd w:val="0"/>
              <w:snapToGrid w:val="0"/>
              <w:spacing w:line="520" w:lineRule="exact"/>
              <w:ind w:firstLine="480" w:firstLineChars="200"/>
              <w:textAlignment w:val="baseline"/>
              <w:rPr>
                <w:snapToGrid w:val="0"/>
                <w:sz w:val="24"/>
              </w:rPr>
            </w:pPr>
            <w:r>
              <w:rPr>
                <w:rFonts w:hint="eastAsia"/>
                <w:snapToGrid w:val="0"/>
                <w:sz w:val="24"/>
              </w:rPr>
              <w:t>（7）各种措施总量和年度实施计划，完成期限等。</w:t>
            </w:r>
          </w:p>
          <w:p>
            <w:pPr>
              <w:adjustRightInd w:val="0"/>
              <w:snapToGrid w:val="0"/>
              <w:spacing w:line="520" w:lineRule="exact"/>
              <w:ind w:firstLine="480" w:firstLineChars="200"/>
              <w:textAlignment w:val="baseline"/>
            </w:pPr>
            <w:r>
              <w:rPr>
                <w:rFonts w:hint="eastAsia"/>
                <w:snapToGrid w:val="0"/>
                <w:sz w:val="24"/>
              </w:rPr>
              <w:t>工程措施、植被措施及其他措施，在本次改扩建项目投入运营前完成，严禁防沙治沙措施未完成即投入运行。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28" w:hRule="atLeast"/>
          <w:jc w:val="center"/>
        </w:trPr>
        <w:tc>
          <w:tcPr>
            <w:tcW w:w="753" w:type="dxa"/>
            <w:tcMar>
              <w:left w:w="28" w:type="dxa"/>
              <w:right w:w="28" w:type="dxa"/>
            </w:tcMar>
            <w:vAlign w:val="center"/>
          </w:tcPr>
          <w:p>
            <w:pPr>
              <w:adjustRightInd w:val="0"/>
              <w:snapToGrid w:val="0"/>
              <w:jc w:val="center"/>
              <w:rPr>
                <w:rFonts w:ascii="宋体" w:hAnsi="宋体" w:cs="宋体"/>
                <w:bCs/>
                <w:spacing w:val="10"/>
                <w:sz w:val="24"/>
              </w:rPr>
            </w:pPr>
            <w:r>
              <w:rPr>
                <w:rFonts w:hint="eastAsia" w:ascii="宋体" w:hAnsi="宋体" w:cs="宋体"/>
                <w:bCs/>
                <w:spacing w:val="10"/>
                <w:sz w:val="24"/>
              </w:rPr>
              <w:t>运营期生态环境保护措施</w:t>
            </w:r>
          </w:p>
        </w:tc>
        <w:tc>
          <w:tcPr>
            <w:tcW w:w="8457" w:type="dxa"/>
          </w:tcPr>
          <w:p>
            <w:pPr>
              <w:widowControl/>
              <w:spacing w:line="520" w:lineRule="exact"/>
              <w:ind w:firstLine="482" w:firstLineChars="200"/>
              <w:rPr>
                <w:b/>
                <w:bCs/>
                <w:sz w:val="24"/>
              </w:rPr>
            </w:pPr>
            <w:r>
              <w:rPr>
                <w:rFonts w:hint="eastAsia"/>
                <w:b/>
                <w:bCs/>
                <w:sz w:val="24"/>
              </w:rPr>
              <w:t>1、</w:t>
            </w:r>
            <w:r>
              <w:rPr>
                <w:b/>
                <w:bCs/>
                <w:sz w:val="24"/>
              </w:rPr>
              <w:t>生态</w:t>
            </w:r>
            <w:r>
              <w:rPr>
                <w:rFonts w:hint="eastAsia"/>
                <w:b/>
                <w:bCs/>
                <w:sz w:val="24"/>
              </w:rPr>
              <w:t>影响减缓措施</w:t>
            </w:r>
          </w:p>
          <w:p>
            <w:pPr>
              <w:widowControl/>
              <w:spacing w:line="520" w:lineRule="exact"/>
              <w:ind w:firstLine="482" w:firstLineChars="200"/>
              <w:rPr>
                <w:b/>
                <w:bCs/>
                <w:sz w:val="24"/>
              </w:rPr>
            </w:pPr>
            <w:r>
              <w:rPr>
                <w:rFonts w:hint="eastAsia"/>
                <w:b/>
                <w:bCs/>
                <w:sz w:val="24"/>
              </w:rPr>
              <w:t>1.1生态保护措施</w:t>
            </w:r>
          </w:p>
          <w:p>
            <w:pPr>
              <w:widowControl/>
              <w:spacing w:line="520" w:lineRule="exact"/>
              <w:ind w:firstLine="480" w:firstLineChars="200"/>
              <w:rPr>
                <w:sz w:val="24"/>
              </w:rPr>
            </w:pPr>
            <w:r>
              <w:rPr>
                <w:sz w:val="24"/>
              </w:rPr>
              <w:t>矿区的开采区对该地区的生态影响主要是地表扰动和对地形地貌的破坏，交通运输也会对地表进行践踏、碾压。结合本项目矿区的周边状况及矿区开采规模</w:t>
            </w:r>
            <w:r>
              <w:rPr>
                <w:rFonts w:hint="eastAsia"/>
                <w:sz w:val="24"/>
              </w:rPr>
              <w:t>本次评价要求企业严格按照</w:t>
            </w:r>
            <w:bookmarkStart w:id="33" w:name="_Hlk87522515"/>
            <w:r>
              <w:rPr>
                <w:rFonts w:hint="eastAsia"/>
                <w:sz w:val="24"/>
              </w:rPr>
              <w:t>《砂石行业绿色矿山建设规范》（DZ/T0316-2018）、《新疆维吾尔自治区绿色矿山建设管理办法（试行）》（新国土资发〔2018〕94号）、《矿山生态环境保护与恢复治理技术规范(试行)》(HJ651—2013)和《裸露坡面植被恢复技术规范》（GB/T38360-2019）</w:t>
            </w:r>
            <w:bookmarkEnd w:id="33"/>
            <w:r>
              <w:rPr>
                <w:rFonts w:hint="eastAsia"/>
                <w:sz w:val="24"/>
              </w:rPr>
              <w:t>要求严格落实环境保护措施，</w:t>
            </w:r>
            <w:r>
              <w:rPr>
                <w:sz w:val="24"/>
              </w:rPr>
              <w:t>自上而下、分水平开采的要求进行，具体措施如下：</w:t>
            </w:r>
          </w:p>
          <w:p>
            <w:pPr>
              <w:widowControl/>
              <w:spacing w:line="520" w:lineRule="exact"/>
              <w:ind w:firstLine="480" w:firstLineChars="200"/>
              <w:rPr>
                <w:sz w:val="24"/>
              </w:rPr>
            </w:pPr>
            <w:r>
              <w:rPr>
                <w:sz w:val="24"/>
              </w:rPr>
              <w:t>（1）选择合理的边坡参数，严禁超挖采场坡底。设计境界内开采到</w:t>
            </w:r>
            <w:r>
              <w:rPr>
                <w:rFonts w:hint="eastAsia"/>
                <w:sz w:val="24"/>
              </w:rPr>
              <w:t>临近</w:t>
            </w:r>
            <w:r>
              <w:rPr>
                <w:sz w:val="24"/>
              </w:rPr>
              <w:t>最终边</w:t>
            </w:r>
            <w:r>
              <w:rPr>
                <w:rFonts w:hint="eastAsia"/>
                <w:sz w:val="24"/>
              </w:rPr>
              <w:t>坡</w:t>
            </w:r>
            <w:r>
              <w:rPr>
                <w:sz w:val="24"/>
              </w:rPr>
              <w:t>时，应根据工程地质条件，采取必要的调整边坡角等措施</w:t>
            </w:r>
            <w:r>
              <w:rPr>
                <w:rFonts w:hint="eastAsia"/>
                <w:sz w:val="24"/>
              </w:rPr>
              <w:t>，按设计确定的宽度预留安全、运输平台</w:t>
            </w:r>
            <w:r>
              <w:rPr>
                <w:sz w:val="24"/>
              </w:rPr>
              <w:t>。</w:t>
            </w:r>
          </w:p>
          <w:p>
            <w:pPr>
              <w:widowControl/>
              <w:spacing w:line="520" w:lineRule="exact"/>
              <w:ind w:firstLine="480" w:firstLineChars="200"/>
              <w:rPr>
                <w:sz w:val="24"/>
              </w:rPr>
            </w:pPr>
            <w:r>
              <w:rPr>
                <w:sz w:val="24"/>
              </w:rPr>
              <w:t>（2）严格按照操作规程和规划设计进行开采，严禁超挖采场坡底，保证台阶段面坡角、最终边坡角及水平标高达到设计要求。</w:t>
            </w:r>
            <w:r>
              <w:rPr>
                <w:rFonts w:hint="eastAsia"/>
                <w:sz w:val="24"/>
              </w:rPr>
              <w:t>发现边坡变陡、边坡岩体岩性和稳定性发生变化，出现构造结构面时，应及时采取措施，采用削坡减载的办法调整坡面角，安全生产。</w:t>
            </w:r>
          </w:p>
          <w:p>
            <w:pPr>
              <w:widowControl/>
              <w:spacing w:line="520" w:lineRule="exact"/>
              <w:ind w:firstLine="480" w:firstLineChars="200"/>
              <w:rPr>
                <w:sz w:val="24"/>
              </w:rPr>
            </w:pPr>
            <w:r>
              <w:rPr>
                <w:sz w:val="24"/>
              </w:rPr>
              <w:t>（3）在开采境界外设置截水沟，将</w:t>
            </w:r>
            <w:r>
              <w:rPr>
                <w:rFonts w:hint="eastAsia"/>
                <w:sz w:val="24"/>
              </w:rPr>
              <w:t>突发洪水及暴雨汇流</w:t>
            </w:r>
            <w:r>
              <w:rPr>
                <w:sz w:val="24"/>
              </w:rPr>
              <w:t>拦截至境界之外。在各开采水平安全平台上设置排水沟，采场汇水经排水沟自流排至采场外。在</w:t>
            </w:r>
            <w:r>
              <w:rPr>
                <w:rFonts w:hint="eastAsia"/>
                <w:sz w:val="24"/>
              </w:rPr>
              <w:t>表覆盖砂集中堆放场</w:t>
            </w:r>
            <w:r>
              <w:rPr>
                <w:sz w:val="24"/>
              </w:rPr>
              <w:t>外设置截水沟，防止</w:t>
            </w:r>
            <w:r>
              <w:rPr>
                <w:rFonts w:hint="eastAsia"/>
                <w:sz w:val="24"/>
              </w:rPr>
              <w:t>暴雨</w:t>
            </w:r>
            <w:r>
              <w:rPr>
                <w:sz w:val="24"/>
              </w:rPr>
              <w:t>流入场内浸泡、冲刷边坡。矿区在道路和地面修建时，预设排水沟、截洪沟，减少水土流失。防治水土流失的工程必须在矿区投产前建设完成。</w:t>
            </w:r>
          </w:p>
          <w:p>
            <w:pPr>
              <w:widowControl/>
              <w:spacing w:line="520" w:lineRule="exact"/>
              <w:ind w:firstLine="480" w:firstLineChars="200"/>
              <w:rPr>
                <w:sz w:val="24"/>
              </w:rPr>
            </w:pPr>
            <w:r>
              <w:rPr>
                <w:sz w:val="24"/>
              </w:rPr>
              <w:t>（4）运输车辆严格按照规定道路行驶防止碾压土壤植被。</w:t>
            </w:r>
          </w:p>
          <w:p>
            <w:pPr>
              <w:widowControl/>
              <w:spacing w:line="520" w:lineRule="exact"/>
              <w:ind w:firstLine="480" w:firstLineChars="200"/>
              <w:rPr>
                <w:sz w:val="24"/>
              </w:rPr>
            </w:pPr>
            <w:r>
              <w:rPr>
                <w:sz w:val="24"/>
              </w:rPr>
              <w:t>（5）加强对采矿边坡及坡顶的日常监测，尤其在雨季，必须加强对采矿区域的监测。</w:t>
            </w:r>
          </w:p>
          <w:p>
            <w:pPr>
              <w:adjustRightInd w:val="0"/>
              <w:snapToGrid w:val="0"/>
              <w:spacing w:line="520" w:lineRule="exact"/>
              <w:ind w:firstLine="482" w:firstLineChars="200"/>
              <w:rPr>
                <w:b/>
                <w:bCs/>
                <w:sz w:val="24"/>
              </w:rPr>
            </w:pPr>
            <w:r>
              <w:rPr>
                <w:b/>
                <w:bCs/>
                <w:sz w:val="24"/>
              </w:rPr>
              <w:t>1.3生态恢复措施</w:t>
            </w:r>
          </w:p>
          <w:p>
            <w:pPr>
              <w:adjustRightInd w:val="0"/>
              <w:snapToGrid w:val="0"/>
              <w:spacing w:line="520" w:lineRule="exact"/>
              <w:ind w:firstLine="480" w:firstLineChars="200"/>
              <w:rPr>
                <w:sz w:val="24"/>
              </w:rPr>
            </w:pPr>
            <w:r>
              <w:rPr>
                <w:bCs/>
                <w:sz w:val="24"/>
              </w:rPr>
              <w:t>该矿山损毁土地地类为</w:t>
            </w:r>
            <w:r>
              <w:rPr>
                <w:rFonts w:hint="eastAsia"/>
                <w:bCs/>
                <w:sz w:val="24"/>
              </w:rPr>
              <w:t>荒地</w:t>
            </w:r>
            <w:r>
              <w:rPr>
                <w:bCs/>
                <w:sz w:val="24"/>
              </w:rPr>
              <w:t>，经现场实地调查，矿区无水源、表土资源，依据原有土地利用方向，该区土地复垦方向为</w:t>
            </w:r>
            <w:r>
              <w:rPr>
                <w:rFonts w:hint="eastAsia"/>
                <w:bCs/>
                <w:sz w:val="24"/>
              </w:rPr>
              <w:t>草</w:t>
            </w:r>
            <w:r>
              <w:rPr>
                <w:bCs/>
                <w:sz w:val="24"/>
              </w:rPr>
              <w:t>地，使其与周围环境相协调。</w:t>
            </w:r>
          </w:p>
          <w:p>
            <w:pPr>
              <w:adjustRightInd w:val="0"/>
              <w:snapToGrid w:val="0"/>
              <w:spacing w:line="520" w:lineRule="exact"/>
              <w:ind w:firstLine="480" w:firstLineChars="200"/>
              <w:rPr>
                <w:sz w:val="24"/>
              </w:rPr>
            </w:pPr>
            <w:r>
              <w:rPr>
                <w:sz w:val="24"/>
              </w:rPr>
              <w:t>（1）</w:t>
            </w:r>
            <w:r>
              <w:rPr>
                <w:rFonts w:hint="eastAsia"/>
                <w:sz w:val="24"/>
              </w:rPr>
              <w:t>堆</w:t>
            </w:r>
            <w:r>
              <w:rPr>
                <w:sz w:val="24"/>
              </w:rPr>
              <w:t>场生态恢复</w:t>
            </w:r>
          </w:p>
          <w:p>
            <w:pPr>
              <w:adjustRightInd w:val="0"/>
              <w:snapToGrid w:val="0"/>
              <w:spacing w:line="520" w:lineRule="exact"/>
              <w:ind w:firstLine="480" w:firstLineChars="200"/>
              <w:rPr>
                <w:sz w:val="24"/>
              </w:rPr>
            </w:pPr>
            <w:r>
              <w:rPr>
                <w:sz w:val="24"/>
              </w:rPr>
              <w:t>根据《矿山生态保护与恢复治理技术规范（试行）》（HJ651-2013），排土场总高度大于10m时应进行削坡开级，每一台阶高度不超过5-8m，台阶宽度应在2m以上，台阶边坡坡度小于35º，形成有利于植被恢复的地表条件。充分利用工程前收集的表土覆盖于</w:t>
            </w:r>
            <w:r>
              <w:rPr>
                <w:rFonts w:hint="eastAsia"/>
                <w:sz w:val="24"/>
              </w:rPr>
              <w:t>堆</w:t>
            </w:r>
            <w:r>
              <w:rPr>
                <w:sz w:val="24"/>
              </w:rPr>
              <w:t>场表层，覆盖土层厚度根据植被恢复类型和场地用途确定。恢复为农业植被的，覆土厚度应在50cm以上；恢复为林灌草等生态或景观用地的，根据土源情况进行适当覆土。</w:t>
            </w:r>
            <w:r>
              <w:rPr>
                <w:rFonts w:hint="eastAsia"/>
                <w:sz w:val="24"/>
              </w:rPr>
              <w:t>堆</w:t>
            </w:r>
            <w:r>
              <w:rPr>
                <w:sz w:val="24"/>
              </w:rPr>
              <w:t>场植被恢复宜林则林、宜草则草、草灌优先，恢复后的植被覆盖率不应低于当地同类土地植被覆盖率，植被类型要与原有类型相似、与周边自然景观协调。不得使用外来有害植物种进行排土场植被恢复。已采用外来物种进行植被恢复造成危害的，应采取人工铲除、生物防治、化学防治等措施及时清理。</w:t>
            </w:r>
          </w:p>
          <w:p>
            <w:pPr>
              <w:adjustRightInd w:val="0"/>
              <w:snapToGrid w:val="0"/>
              <w:spacing w:line="520" w:lineRule="exact"/>
              <w:ind w:firstLine="480" w:firstLineChars="200"/>
              <w:rPr>
                <w:sz w:val="24"/>
              </w:rPr>
            </w:pPr>
            <w:r>
              <w:rPr>
                <w:sz w:val="24"/>
              </w:rPr>
              <w:t>（2）采场生态恢复</w:t>
            </w:r>
          </w:p>
          <w:p>
            <w:pPr>
              <w:adjustRightInd w:val="0"/>
              <w:snapToGrid w:val="0"/>
              <w:spacing w:line="520" w:lineRule="exact"/>
              <w:ind w:firstLine="480" w:firstLineChars="200"/>
              <w:rPr>
                <w:sz w:val="24"/>
              </w:rPr>
            </w:pPr>
            <w:r>
              <w:rPr>
                <w:sz w:val="24"/>
              </w:rPr>
              <w:t>根据《矿山生态保护与恢复治理技术规范（试行）》（HJ651-2013），露天采场的场地整治和覆土方法可采用物料充填、底板耕松、挖高垫低等方法边坡治理后应保持稳定。非干旱地区露天采场边坡应恢复植被。边坡恢复措施及设计要求应符合《生产建设项目水土保持技术标准》（GB50433-2018）的相关要求。露天采场应平整、回填后进行生态恢复，并与周边地表景观相协调。露天采场回填应做到地面平整，充分利用工程前收集的表土和露天采场风化物覆盖于表层，并做好水土保持与防风固沙措施。恢复后的露天采场进行土地资源再利用时，在坡度、土层厚度、稳定性、土壤环境安全性等方面应满足相关用地要求。</w:t>
            </w:r>
          </w:p>
          <w:p>
            <w:pPr>
              <w:adjustRightInd w:val="0"/>
              <w:snapToGrid w:val="0"/>
              <w:spacing w:line="520" w:lineRule="exact"/>
              <w:ind w:firstLine="480" w:firstLineChars="200"/>
              <w:rPr>
                <w:sz w:val="24"/>
              </w:rPr>
            </w:pPr>
            <w:r>
              <w:rPr>
                <w:sz w:val="24"/>
              </w:rPr>
              <w:t>（3）矿区专用道路生态恢复</w:t>
            </w:r>
          </w:p>
          <w:p>
            <w:pPr>
              <w:adjustRightInd w:val="0"/>
              <w:snapToGrid w:val="0"/>
              <w:spacing w:line="520" w:lineRule="exact"/>
              <w:ind w:firstLine="480" w:firstLineChars="200"/>
              <w:rPr>
                <w:sz w:val="24"/>
              </w:rPr>
            </w:pPr>
            <w:r>
              <w:rPr>
                <w:sz w:val="24"/>
              </w:rPr>
              <w:t>根据《矿山生态保护与恢复治理技术规范（试行）》（HJ651-2013），矿区专用道路用地应严格控制占地面积和范围。开挖路基及取弃土工程，均应根据道路施工进度有计划地进行表土剥离并保存，必要时应设置截排水沟、挡土墙等相应保护措施。矿区专用道路取弃土工程结束后，取弃土场应及时回填、整平、压实，并利用堆存的表土进行植被和景观恢复。矿区专用道路使用期间，有条件的地区应对道路两侧进行绿化。道路绿化应以乡土树（草）种为主，选择适应性强、防尘效果好、护坡功能强的植物种。道路建设施工结束后，临时占地应及时恢复，与原有地貌和景观协调。</w:t>
            </w:r>
          </w:p>
          <w:p>
            <w:pPr>
              <w:adjustRightInd w:val="0"/>
              <w:snapToGrid w:val="0"/>
              <w:spacing w:line="520" w:lineRule="exact"/>
              <w:ind w:firstLine="480" w:firstLineChars="200"/>
              <w:rPr>
                <w:sz w:val="24"/>
              </w:rPr>
            </w:pPr>
            <w:r>
              <w:rPr>
                <w:sz w:val="24"/>
              </w:rPr>
              <w:t>（</w:t>
            </w:r>
            <w:r>
              <w:rPr>
                <w:rFonts w:hint="eastAsia"/>
                <w:sz w:val="24"/>
              </w:rPr>
              <w:t>4</w:t>
            </w:r>
            <w:r>
              <w:rPr>
                <w:sz w:val="24"/>
              </w:rPr>
              <w:t>）服务期满后恢复措施</w:t>
            </w:r>
          </w:p>
          <w:p>
            <w:pPr>
              <w:adjustRightInd w:val="0"/>
              <w:snapToGrid w:val="0"/>
              <w:spacing w:line="520" w:lineRule="exact"/>
              <w:ind w:firstLine="480" w:firstLineChars="200"/>
              <w:rPr>
                <w:sz w:val="24"/>
              </w:rPr>
            </w:pPr>
            <w:r>
              <w:rPr>
                <w:rFonts w:hint="eastAsia" w:ascii="宋体" w:hAnsi="宋体" w:cs="宋体"/>
                <w:sz w:val="24"/>
              </w:rPr>
              <w:t>①</w:t>
            </w:r>
            <w:r>
              <w:rPr>
                <w:sz w:val="24"/>
              </w:rPr>
              <w:t>废弃</w:t>
            </w:r>
            <w:r>
              <w:rPr>
                <w:rFonts w:hint="eastAsia"/>
                <w:sz w:val="24"/>
              </w:rPr>
              <w:t>生活</w:t>
            </w:r>
            <w:r>
              <w:rPr>
                <w:sz w:val="24"/>
              </w:rPr>
              <w:t>区生态恢复措施</w:t>
            </w:r>
          </w:p>
          <w:p>
            <w:pPr>
              <w:adjustRightInd w:val="0"/>
              <w:snapToGrid w:val="0"/>
              <w:spacing w:line="520" w:lineRule="exact"/>
              <w:ind w:firstLine="480" w:firstLineChars="200"/>
              <w:rPr>
                <w:sz w:val="24"/>
              </w:rPr>
            </w:pPr>
            <w:r>
              <w:rPr>
                <w:sz w:val="24"/>
              </w:rPr>
              <w:t>对废弃加工区采用废旧设施清运、土地平整、人工种植植被的方式进行生态恢复。</w:t>
            </w:r>
          </w:p>
          <w:p>
            <w:pPr>
              <w:adjustRightInd w:val="0"/>
              <w:snapToGrid w:val="0"/>
              <w:spacing w:line="520" w:lineRule="exact"/>
              <w:ind w:firstLine="480" w:firstLineChars="200"/>
              <w:rPr>
                <w:sz w:val="24"/>
              </w:rPr>
            </w:pPr>
            <w:r>
              <w:rPr>
                <w:rFonts w:hint="eastAsia" w:ascii="宋体" w:hAnsi="宋体" w:cs="宋体"/>
                <w:sz w:val="24"/>
              </w:rPr>
              <w:t>②</w:t>
            </w:r>
            <w:r>
              <w:rPr>
                <w:sz w:val="24"/>
              </w:rPr>
              <w:t>废弃运输道路复垦</w:t>
            </w:r>
          </w:p>
          <w:p>
            <w:pPr>
              <w:adjustRightInd w:val="0"/>
              <w:snapToGrid w:val="0"/>
              <w:spacing w:line="520" w:lineRule="exact"/>
              <w:ind w:firstLine="480" w:firstLineChars="200"/>
              <w:rPr>
                <w:sz w:val="24"/>
              </w:rPr>
            </w:pPr>
            <w:r>
              <w:rPr>
                <w:sz w:val="24"/>
              </w:rPr>
              <w:t>对废弃运输道路采用土地平整、人工种植植被的方式进行生态恢复。</w:t>
            </w:r>
          </w:p>
          <w:p>
            <w:pPr>
              <w:adjustRightInd w:val="0"/>
              <w:snapToGrid w:val="0"/>
              <w:spacing w:line="520" w:lineRule="exact"/>
              <w:ind w:firstLine="482" w:firstLineChars="200"/>
              <w:rPr>
                <w:b/>
                <w:bCs/>
                <w:sz w:val="24"/>
              </w:rPr>
            </w:pPr>
            <w:r>
              <w:rPr>
                <w:b/>
                <w:bCs/>
                <w:sz w:val="24"/>
              </w:rPr>
              <w:t>1.4矿山开采结束后的生态修复</w:t>
            </w:r>
          </w:p>
          <w:p>
            <w:pPr>
              <w:adjustRightInd w:val="0"/>
              <w:snapToGrid w:val="0"/>
              <w:spacing w:line="520" w:lineRule="exact"/>
              <w:ind w:firstLine="480" w:firstLineChars="200"/>
              <w:rPr>
                <w:sz w:val="24"/>
              </w:rPr>
            </w:pPr>
            <w:r>
              <w:rPr>
                <w:sz w:val="24"/>
              </w:rPr>
              <w:t>闭矿复垦期主要包括场地平整、边坡修整。闭矿恢复期对环境的影响表现为有利影响。通过场地平整、边坡修整及碾压压实，洒水使其表层结皮，以防风蚀，控制水土流失，保护生态环境。主要环保措施应包含以下内容：</w:t>
            </w:r>
          </w:p>
          <w:p>
            <w:pPr>
              <w:adjustRightInd w:val="0"/>
              <w:snapToGrid w:val="0"/>
              <w:spacing w:line="520" w:lineRule="exact"/>
              <w:ind w:firstLine="482" w:firstLineChars="200"/>
              <w:rPr>
                <w:b/>
                <w:sz w:val="24"/>
              </w:rPr>
            </w:pPr>
            <w:r>
              <w:rPr>
                <w:b/>
                <w:sz w:val="24"/>
              </w:rPr>
              <w:t>1.4.1矿山地质环境保护与恢复治理分区</w:t>
            </w:r>
          </w:p>
          <w:p>
            <w:pPr>
              <w:adjustRightInd w:val="0"/>
              <w:snapToGrid w:val="0"/>
              <w:spacing w:line="520" w:lineRule="exact"/>
              <w:ind w:firstLine="480" w:firstLineChars="200"/>
              <w:rPr>
                <w:sz w:val="24"/>
              </w:rPr>
            </w:pPr>
            <w:r>
              <w:rPr>
                <w:sz w:val="24"/>
              </w:rPr>
              <w:t>（1）矿山地质环境保护与治理恢复次重点区（II）</w:t>
            </w:r>
          </w:p>
          <w:p>
            <w:pPr>
              <w:pStyle w:val="14"/>
              <w:widowControl w:val="0"/>
              <w:adjustRightInd w:val="0"/>
              <w:spacing w:before="0" w:after="0" w:line="520" w:lineRule="exact"/>
              <w:ind w:right="0" w:firstLine="480" w:firstLineChars="200"/>
              <w:rPr>
                <w:sz w:val="24"/>
                <w:szCs w:val="24"/>
              </w:rPr>
            </w:pPr>
            <w:r>
              <w:rPr>
                <w:sz w:val="24"/>
                <w:szCs w:val="24"/>
              </w:rPr>
              <w:t>根据矿山地质环境影响的现状和预测评估结论，矿山地质环境保护与治理恢复次重点区</w:t>
            </w:r>
            <w:r>
              <w:rPr>
                <w:rFonts w:hint="eastAsia"/>
                <w:sz w:val="24"/>
                <w:szCs w:val="24"/>
              </w:rPr>
              <w:t>为</w:t>
            </w:r>
            <w:r>
              <w:rPr>
                <w:sz w:val="24"/>
                <w:szCs w:val="24"/>
              </w:rPr>
              <w:t>规划露天采矿场</w:t>
            </w:r>
            <w:r>
              <w:rPr>
                <w:sz w:val="24"/>
              </w:rPr>
              <w:t>133.76</w:t>
            </w:r>
            <w:r>
              <w:rPr>
                <w:rFonts w:hint="eastAsia"/>
                <w:sz w:val="24"/>
              </w:rPr>
              <w:t>hm</w:t>
            </w:r>
            <w:r>
              <w:rPr>
                <w:sz w:val="24"/>
                <w:vertAlign w:val="superscript"/>
              </w:rPr>
              <w:t>2</w:t>
            </w:r>
            <w:r>
              <w:rPr>
                <w:rFonts w:hint="eastAsia"/>
                <w:sz w:val="24"/>
              </w:rPr>
              <w:t>。规划环保厕所5</w:t>
            </w:r>
            <w:r>
              <w:rPr>
                <w:sz w:val="24"/>
              </w:rPr>
              <w:t>0</w:t>
            </w:r>
            <w:r>
              <w:rPr>
                <w:rFonts w:hint="eastAsia"/>
                <w:sz w:val="24"/>
              </w:rPr>
              <w:t>㎡</w:t>
            </w:r>
            <w:r>
              <w:rPr>
                <w:sz w:val="24"/>
                <w:szCs w:val="24"/>
              </w:rPr>
              <w:t>。</w:t>
            </w:r>
          </w:p>
          <w:p>
            <w:pPr>
              <w:pStyle w:val="14"/>
              <w:widowControl w:val="0"/>
              <w:adjustRightInd w:val="0"/>
              <w:spacing w:before="0" w:after="0" w:line="520" w:lineRule="exact"/>
              <w:ind w:right="0" w:firstLine="480" w:firstLineChars="200"/>
              <w:rPr>
                <w:sz w:val="24"/>
                <w:szCs w:val="24"/>
              </w:rPr>
            </w:pPr>
            <w:r>
              <w:rPr>
                <w:rFonts w:hint="eastAsia"/>
                <w:sz w:val="24"/>
                <w:szCs w:val="24"/>
              </w:rPr>
              <w:t>1）</w:t>
            </w:r>
            <w:r>
              <w:rPr>
                <w:sz w:val="24"/>
                <w:szCs w:val="24"/>
              </w:rPr>
              <w:t>规划露天采矿场：</w:t>
            </w:r>
            <w:r>
              <w:rPr>
                <w:rFonts w:hint="eastAsia" w:ascii="宋体" w:hAnsi="宋体" w:cs="宋体"/>
                <w:sz w:val="24"/>
                <w:szCs w:val="24"/>
              </w:rPr>
              <w:t>①</w:t>
            </w:r>
            <w:r>
              <w:rPr>
                <w:sz w:val="24"/>
                <w:szCs w:val="24"/>
              </w:rPr>
              <w:t>预测引发地质灾害可能性小，危害程度小；</w:t>
            </w:r>
            <w:r>
              <w:rPr>
                <w:rFonts w:hint="eastAsia" w:ascii="宋体" w:hAnsi="宋体" w:cs="宋体"/>
                <w:sz w:val="24"/>
                <w:szCs w:val="24"/>
              </w:rPr>
              <w:t>②</w:t>
            </w:r>
            <w:r>
              <w:rPr>
                <w:sz w:val="24"/>
                <w:szCs w:val="24"/>
              </w:rPr>
              <w:t>破坏含水层结构，其影响程度预测评估为较轻；</w:t>
            </w:r>
            <w:r>
              <w:rPr>
                <w:rFonts w:hint="eastAsia" w:ascii="宋体" w:hAnsi="宋体" w:cs="宋体"/>
                <w:sz w:val="24"/>
                <w:szCs w:val="24"/>
              </w:rPr>
              <w:t>③</w:t>
            </w:r>
            <w:r>
              <w:rPr>
                <w:sz w:val="24"/>
                <w:szCs w:val="24"/>
              </w:rPr>
              <w:t>影响地形地貌景观，预测评估影响程度为较严重；</w:t>
            </w:r>
            <w:r>
              <w:rPr>
                <w:rFonts w:hint="eastAsia" w:ascii="宋体" w:hAnsi="宋体" w:cs="宋体"/>
                <w:sz w:val="24"/>
                <w:szCs w:val="24"/>
              </w:rPr>
              <w:t>④</w:t>
            </w:r>
            <w:r>
              <w:rPr>
                <w:sz w:val="24"/>
                <w:szCs w:val="24"/>
              </w:rPr>
              <w:t>损毁土地资源，预测评价影响程度为较严重。</w:t>
            </w:r>
          </w:p>
          <w:p>
            <w:pPr>
              <w:pStyle w:val="14"/>
              <w:widowControl w:val="0"/>
              <w:adjustRightInd w:val="0"/>
              <w:spacing w:before="0" w:after="0" w:line="520" w:lineRule="exact"/>
              <w:ind w:right="0" w:firstLine="480" w:firstLineChars="200"/>
              <w:rPr>
                <w:sz w:val="24"/>
                <w:szCs w:val="24"/>
              </w:rPr>
            </w:pPr>
            <w:r>
              <w:rPr>
                <w:sz w:val="24"/>
                <w:szCs w:val="24"/>
              </w:rPr>
              <w:t>防治措施：</w:t>
            </w:r>
            <w:r>
              <w:rPr>
                <w:rFonts w:hint="eastAsia" w:ascii="宋体" w:hAnsi="宋体" w:cs="宋体"/>
                <w:sz w:val="24"/>
                <w:szCs w:val="24"/>
              </w:rPr>
              <w:t>①</w:t>
            </w:r>
            <w:r>
              <w:rPr>
                <w:sz w:val="24"/>
                <w:szCs w:val="24"/>
              </w:rPr>
              <w:t>地质灾害监测工程；</w:t>
            </w:r>
            <w:r>
              <w:rPr>
                <w:rFonts w:hint="eastAsia" w:ascii="宋体" w:hAnsi="宋体" w:cs="宋体"/>
                <w:sz w:val="24"/>
                <w:szCs w:val="24"/>
              </w:rPr>
              <w:t>②</w:t>
            </w:r>
            <w:r>
              <w:rPr>
                <w:sz w:val="24"/>
                <w:szCs w:val="24"/>
              </w:rPr>
              <w:t>设立铁丝围栏，设立警示牌。</w:t>
            </w:r>
          </w:p>
          <w:p>
            <w:pPr>
              <w:pStyle w:val="14"/>
              <w:widowControl w:val="0"/>
              <w:adjustRightInd w:val="0"/>
              <w:spacing w:before="0" w:after="0" w:line="520" w:lineRule="exact"/>
              <w:ind w:right="0" w:firstLine="480" w:firstLineChars="200"/>
              <w:rPr>
                <w:sz w:val="24"/>
                <w:szCs w:val="24"/>
              </w:rPr>
            </w:pPr>
            <w:r>
              <w:rPr>
                <w:sz w:val="24"/>
                <w:szCs w:val="24"/>
              </w:rPr>
              <w:t>2）规划</w:t>
            </w:r>
            <w:r>
              <w:rPr>
                <w:rFonts w:hint="eastAsia"/>
                <w:sz w:val="24"/>
                <w:szCs w:val="24"/>
              </w:rPr>
              <w:t>环保厕所</w:t>
            </w:r>
            <w:r>
              <w:rPr>
                <w:sz w:val="24"/>
                <w:szCs w:val="24"/>
              </w:rPr>
              <w:t>：矿部</w:t>
            </w:r>
            <w:r>
              <w:rPr>
                <w:rFonts w:hint="eastAsia"/>
                <w:sz w:val="24"/>
                <w:szCs w:val="24"/>
              </w:rPr>
              <w:t>环保厕所</w:t>
            </w:r>
            <w:r>
              <w:rPr>
                <w:sz w:val="24"/>
                <w:szCs w:val="24"/>
              </w:rPr>
              <w:t>压占土地面积5</w:t>
            </w:r>
            <w:r>
              <w:rPr>
                <w:rFonts w:hint="eastAsia"/>
                <w:sz w:val="24"/>
                <w:szCs w:val="24"/>
              </w:rPr>
              <w:t>0㎡</w:t>
            </w:r>
            <w:r>
              <w:rPr>
                <w:sz w:val="24"/>
                <w:szCs w:val="24"/>
              </w:rPr>
              <w:t>，闭坑后对地面建筑物拆除推至采坑回填，拉运量约为</w:t>
            </w:r>
            <w:r>
              <w:rPr>
                <w:rFonts w:hint="eastAsia"/>
                <w:sz w:val="24"/>
                <w:szCs w:val="24"/>
              </w:rPr>
              <w:t>5m³</w:t>
            </w:r>
            <w:r>
              <w:rPr>
                <w:sz w:val="24"/>
                <w:szCs w:val="24"/>
              </w:rPr>
              <w:t>。恢复原有地形地貌及土地使用功能。</w:t>
            </w:r>
          </w:p>
          <w:p>
            <w:pPr>
              <w:adjustRightInd w:val="0"/>
              <w:snapToGrid w:val="0"/>
              <w:spacing w:line="520" w:lineRule="exact"/>
              <w:ind w:firstLine="480" w:firstLineChars="200"/>
              <w:rPr>
                <w:sz w:val="24"/>
              </w:rPr>
            </w:pPr>
            <w:r>
              <w:rPr>
                <w:sz w:val="24"/>
              </w:rPr>
              <w:t>（2）矿山地质环境保护与治理恢复一般区（Ⅲ）</w:t>
            </w:r>
          </w:p>
          <w:p>
            <w:pPr>
              <w:adjustRightInd w:val="0"/>
              <w:snapToGrid w:val="0"/>
              <w:spacing w:line="520" w:lineRule="exact"/>
              <w:ind w:firstLine="480" w:firstLineChars="200"/>
              <w:rPr>
                <w:sz w:val="24"/>
              </w:rPr>
            </w:pPr>
            <w:r>
              <w:rPr>
                <w:sz w:val="24"/>
              </w:rPr>
              <w:t>根据矿山地质环境影响的现状和预测评估结论，矿山地质环境保护与治理恢复一般区其他区域。对地形地貌景观破坏程度小，对含水层破坏程度较轻，对土地资源破坏程度较轻，地质灾害危害程度小。</w:t>
            </w:r>
          </w:p>
          <w:p>
            <w:pPr>
              <w:adjustRightInd w:val="0"/>
              <w:snapToGrid w:val="0"/>
              <w:spacing w:line="520" w:lineRule="exact"/>
              <w:ind w:firstLine="480" w:firstLineChars="200"/>
              <w:rPr>
                <w:sz w:val="24"/>
              </w:rPr>
            </w:pPr>
            <w:r>
              <w:rPr>
                <w:sz w:val="24"/>
              </w:rPr>
              <w:t>主要防治措施：</w:t>
            </w:r>
          </w:p>
          <w:p>
            <w:pPr>
              <w:adjustRightInd w:val="0"/>
              <w:snapToGrid w:val="0"/>
              <w:spacing w:line="520" w:lineRule="exact"/>
              <w:ind w:firstLine="480" w:firstLineChars="200"/>
              <w:rPr>
                <w:sz w:val="24"/>
              </w:rPr>
            </w:pPr>
            <w:r>
              <w:rPr>
                <w:sz w:val="24"/>
              </w:rPr>
              <w:fldChar w:fldCharType="begin"/>
            </w:r>
            <w:r>
              <w:rPr>
                <w:sz w:val="24"/>
              </w:rPr>
              <w:instrText xml:space="preserve"> = 1 \* GB3 \* MERGEFORMAT </w:instrText>
            </w:r>
            <w:r>
              <w:rPr>
                <w:sz w:val="24"/>
              </w:rPr>
              <w:fldChar w:fldCharType="separate"/>
            </w:r>
            <w:r>
              <w:rPr>
                <w:rFonts w:hint="eastAsia" w:ascii="宋体" w:hAnsi="宋体" w:cs="宋体"/>
                <w:sz w:val="24"/>
              </w:rPr>
              <w:t>①</w:t>
            </w:r>
            <w:r>
              <w:rPr>
                <w:sz w:val="24"/>
              </w:rPr>
              <w:fldChar w:fldCharType="end"/>
            </w:r>
            <w:r>
              <w:rPr>
                <w:rFonts w:hint="eastAsia"/>
                <w:sz w:val="24"/>
              </w:rPr>
              <w:t>地表覆盖砂集中堆放场</w:t>
            </w:r>
            <w:r>
              <w:rPr>
                <w:sz w:val="24"/>
              </w:rPr>
              <w:t>：占地面积10</w:t>
            </w:r>
            <w:r>
              <w:rPr>
                <w:rFonts w:hint="eastAsia"/>
                <w:sz w:val="24"/>
              </w:rPr>
              <w:t>000㎡</w:t>
            </w:r>
            <w:r>
              <w:rPr>
                <w:sz w:val="24"/>
              </w:rPr>
              <w:t>，场地为</w:t>
            </w:r>
            <w:r>
              <w:rPr>
                <w:rFonts w:hint="eastAsia"/>
                <w:sz w:val="24"/>
              </w:rPr>
              <w:t>荒地</w:t>
            </w:r>
            <w:r>
              <w:rPr>
                <w:sz w:val="24"/>
              </w:rPr>
              <w:t>，恢复原有地形地貌及土地使用功能。</w:t>
            </w:r>
          </w:p>
          <w:p>
            <w:pPr>
              <w:adjustRightInd w:val="0"/>
              <w:snapToGrid w:val="0"/>
              <w:spacing w:line="520" w:lineRule="exact"/>
              <w:ind w:firstLine="480" w:firstLineChars="200"/>
              <w:rPr>
                <w:sz w:val="24"/>
              </w:rPr>
            </w:pPr>
            <w:r>
              <w:rPr>
                <w:sz w:val="24"/>
              </w:rPr>
              <w:fldChar w:fldCharType="begin"/>
            </w:r>
            <w:r>
              <w:rPr>
                <w:sz w:val="24"/>
              </w:rPr>
              <w:instrText xml:space="preserve"> = 2 \* GB3 \* MERGEFORMAT </w:instrText>
            </w:r>
            <w:r>
              <w:rPr>
                <w:sz w:val="24"/>
              </w:rPr>
              <w:fldChar w:fldCharType="separate"/>
            </w:r>
            <w:r>
              <w:rPr>
                <w:rFonts w:hint="eastAsia" w:ascii="宋体" w:hAnsi="宋体" w:cs="宋体"/>
                <w:sz w:val="24"/>
              </w:rPr>
              <w:t>②</w:t>
            </w:r>
            <w:r>
              <w:rPr>
                <w:sz w:val="24"/>
              </w:rPr>
              <w:fldChar w:fldCharType="end"/>
            </w:r>
            <w:r>
              <w:rPr>
                <w:sz w:val="24"/>
              </w:rPr>
              <w:t>矿山道路：生产期间保持道路畅通，清理路面废石，洒水防尘，保持路面清洁；闭坑后矿山道路拟留作该区域交通便道使用，可不恢复原有地形地貌景观。</w:t>
            </w:r>
          </w:p>
          <w:p>
            <w:pPr>
              <w:adjustRightInd w:val="0"/>
              <w:snapToGrid w:val="0"/>
              <w:spacing w:line="520" w:lineRule="exact"/>
              <w:ind w:firstLine="480" w:firstLineChars="200"/>
              <w:rPr>
                <w:sz w:val="24"/>
              </w:rPr>
            </w:pPr>
            <w:r>
              <w:rPr>
                <w:sz w:val="24"/>
              </w:rPr>
              <w:fldChar w:fldCharType="begin"/>
            </w:r>
            <w:r>
              <w:rPr>
                <w:sz w:val="24"/>
              </w:rPr>
              <w:instrText xml:space="preserve"> = 3 \* GB3 \* MERGEFORMAT </w:instrText>
            </w:r>
            <w:r>
              <w:rPr>
                <w:sz w:val="24"/>
              </w:rPr>
              <w:fldChar w:fldCharType="separate"/>
            </w:r>
            <w:r>
              <w:rPr>
                <w:rFonts w:hint="eastAsia" w:ascii="宋体" w:hAnsi="宋体" w:cs="宋体"/>
                <w:sz w:val="24"/>
              </w:rPr>
              <w:t>③</w:t>
            </w:r>
            <w:r>
              <w:rPr>
                <w:sz w:val="24"/>
              </w:rPr>
              <w:fldChar w:fldCharType="end"/>
            </w:r>
            <w:r>
              <w:rPr>
                <w:sz w:val="24"/>
              </w:rPr>
              <w:t>其他区域：禁止随意破坏该区域的地质环境，确保区内地质环境保持原有状态。</w:t>
            </w:r>
          </w:p>
          <w:p>
            <w:pPr>
              <w:spacing w:line="300" w:lineRule="exact"/>
              <w:ind w:firstLine="720" w:firstLineChars="300"/>
              <w:jc w:val="center"/>
              <w:rPr>
                <w:rFonts w:ascii="黑体" w:hAnsi="黑体" w:eastAsia="黑体" w:cs="黑体"/>
                <w:bCs/>
                <w:sz w:val="24"/>
              </w:rPr>
            </w:pPr>
            <w:r>
              <w:rPr>
                <w:rFonts w:ascii="黑体" w:hAnsi="黑体" w:eastAsia="黑体" w:cs="黑体"/>
                <w:bCs/>
                <w:sz w:val="24"/>
              </w:rPr>
              <w:t>表</w:t>
            </w:r>
            <w:r>
              <w:rPr>
                <w:rFonts w:hint="eastAsia" w:ascii="黑体" w:hAnsi="黑体" w:eastAsia="黑体" w:cs="黑体"/>
                <w:bCs/>
                <w:sz w:val="24"/>
              </w:rPr>
              <w:t>5-</w:t>
            </w:r>
            <w:r>
              <w:rPr>
                <w:rFonts w:ascii="黑体" w:hAnsi="黑体" w:eastAsia="黑体" w:cs="黑体"/>
                <w:bCs/>
                <w:sz w:val="24"/>
              </w:rPr>
              <w:t>1    矿山地质环境保护与治理恢复工程措施表</w:t>
            </w:r>
          </w:p>
          <w:tbl>
            <w:tblPr>
              <w:tblStyle w:val="31"/>
              <w:tblW w:w="8193"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06"/>
              <w:gridCol w:w="1280"/>
              <w:gridCol w:w="1355"/>
              <w:gridCol w:w="465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906" w:type="dxa"/>
                  <w:noWrap/>
                  <w:tcMar>
                    <w:left w:w="0" w:type="dxa"/>
                    <w:right w:w="0" w:type="dxa"/>
                  </w:tcMar>
                  <w:vAlign w:val="center"/>
                </w:tcPr>
                <w:p>
                  <w:pPr>
                    <w:keepNext/>
                    <w:widowControl/>
                    <w:adjustRightInd w:val="0"/>
                    <w:snapToGrid w:val="0"/>
                    <w:spacing w:line="320" w:lineRule="exact"/>
                    <w:jc w:val="center"/>
                    <w:rPr>
                      <w:kern w:val="0"/>
                      <w:szCs w:val="21"/>
                    </w:rPr>
                  </w:pPr>
                  <w:r>
                    <w:rPr>
                      <w:kern w:val="0"/>
                      <w:szCs w:val="21"/>
                    </w:rPr>
                    <w:t>分区</w:t>
                  </w:r>
                </w:p>
              </w:tc>
              <w:tc>
                <w:tcPr>
                  <w:tcW w:w="1280" w:type="dxa"/>
                  <w:noWrap/>
                  <w:tcMar>
                    <w:left w:w="0" w:type="dxa"/>
                    <w:right w:w="0" w:type="dxa"/>
                  </w:tcMar>
                  <w:vAlign w:val="center"/>
                </w:tcPr>
                <w:p>
                  <w:pPr>
                    <w:keepNext/>
                    <w:widowControl/>
                    <w:adjustRightInd w:val="0"/>
                    <w:snapToGrid w:val="0"/>
                    <w:spacing w:line="320" w:lineRule="exact"/>
                    <w:jc w:val="center"/>
                    <w:rPr>
                      <w:kern w:val="0"/>
                      <w:szCs w:val="21"/>
                    </w:rPr>
                  </w:pPr>
                  <w:r>
                    <w:rPr>
                      <w:kern w:val="0"/>
                      <w:szCs w:val="21"/>
                    </w:rPr>
                    <w:t>分布位置</w:t>
                  </w:r>
                </w:p>
              </w:tc>
              <w:tc>
                <w:tcPr>
                  <w:tcW w:w="1355" w:type="dxa"/>
                  <w:noWrap/>
                  <w:tcMar>
                    <w:left w:w="0" w:type="dxa"/>
                    <w:right w:w="0" w:type="dxa"/>
                  </w:tcMar>
                  <w:vAlign w:val="center"/>
                </w:tcPr>
                <w:p>
                  <w:pPr>
                    <w:keepNext/>
                    <w:widowControl/>
                    <w:adjustRightInd w:val="0"/>
                    <w:snapToGrid w:val="0"/>
                    <w:spacing w:line="320" w:lineRule="exact"/>
                    <w:jc w:val="center"/>
                    <w:rPr>
                      <w:kern w:val="0"/>
                      <w:szCs w:val="21"/>
                    </w:rPr>
                  </w:pPr>
                  <w:r>
                    <w:rPr>
                      <w:kern w:val="0"/>
                      <w:szCs w:val="21"/>
                    </w:rPr>
                    <w:t>面积（</w:t>
                  </w:r>
                  <w:r>
                    <w:rPr>
                      <w:rFonts w:hint="eastAsia"/>
                      <w:kern w:val="0"/>
                      <w:szCs w:val="21"/>
                    </w:rPr>
                    <w:t>m</w:t>
                  </w:r>
                  <w:r>
                    <w:rPr>
                      <w:kern w:val="0"/>
                      <w:szCs w:val="21"/>
                      <w:vertAlign w:val="superscript"/>
                    </w:rPr>
                    <w:t>2</w:t>
                  </w:r>
                  <w:r>
                    <w:rPr>
                      <w:kern w:val="0"/>
                      <w:szCs w:val="21"/>
                    </w:rPr>
                    <w:t>）</w:t>
                  </w:r>
                </w:p>
              </w:tc>
              <w:tc>
                <w:tcPr>
                  <w:tcW w:w="4652" w:type="dxa"/>
                  <w:tcMar>
                    <w:left w:w="0" w:type="dxa"/>
                    <w:right w:w="0" w:type="dxa"/>
                  </w:tcMar>
                  <w:vAlign w:val="center"/>
                </w:tcPr>
                <w:p>
                  <w:pPr>
                    <w:widowControl/>
                    <w:adjustRightInd w:val="0"/>
                    <w:snapToGrid w:val="0"/>
                    <w:spacing w:line="320" w:lineRule="exact"/>
                    <w:jc w:val="center"/>
                    <w:rPr>
                      <w:kern w:val="0"/>
                      <w:szCs w:val="21"/>
                    </w:rPr>
                  </w:pPr>
                  <w:r>
                    <w:rPr>
                      <w:kern w:val="0"/>
                      <w:szCs w:val="21"/>
                    </w:rPr>
                    <w:t>主要防治措施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06" w:type="dxa"/>
                  <w:vMerge w:val="restart"/>
                  <w:tcMar>
                    <w:left w:w="0" w:type="dxa"/>
                    <w:right w:w="0" w:type="dxa"/>
                  </w:tcMar>
                  <w:vAlign w:val="center"/>
                </w:tcPr>
                <w:p>
                  <w:pPr>
                    <w:adjustRightInd w:val="0"/>
                    <w:snapToGrid w:val="0"/>
                    <w:spacing w:line="320" w:lineRule="exact"/>
                    <w:jc w:val="center"/>
                    <w:rPr>
                      <w:kern w:val="0"/>
                      <w:szCs w:val="21"/>
                    </w:rPr>
                  </w:pPr>
                  <w:r>
                    <w:rPr>
                      <w:kern w:val="0"/>
                      <w:szCs w:val="21"/>
                    </w:rPr>
                    <w:t>次重点区</w:t>
                  </w:r>
                </w:p>
              </w:tc>
              <w:tc>
                <w:tcPr>
                  <w:tcW w:w="1280" w:type="dxa"/>
                  <w:tcMar>
                    <w:left w:w="0" w:type="dxa"/>
                    <w:right w:w="0" w:type="dxa"/>
                  </w:tcMar>
                  <w:vAlign w:val="center"/>
                </w:tcPr>
                <w:p>
                  <w:pPr>
                    <w:widowControl/>
                    <w:adjustRightInd w:val="0"/>
                    <w:snapToGrid w:val="0"/>
                    <w:spacing w:line="320" w:lineRule="exact"/>
                    <w:jc w:val="center"/>
                    <w:rPr>
                      <w:kern w:val="0"/>
                      <w:szCs w:val="21"/>
                    </w:rPr>
                  </w:pPr>
                  <w:r>
                    <w:rPr>
                      <w:kern w:val="0"/>
                      <w:szCs w:val="21"/>
                    </w:rPr>
                    <w:t>露天采矿场</w:t>
                  </w:r>
                </w:p>
              </w:tc>
              <w:tc>
                <w:tcPr>
                  <w:tcW w:w="1355" w:type="dxa"/>
                  <w:noWrap/>
                  <w:tcMar>
                    <w:left w:w="0" w:type="dxa"/>
                    <w:right w:w="0" w:type="dxa"/>
                  </w:tcMar>
                  <w:vAlign w:val="center"/>
                </w:tcPr>
                <w:p>
                  <w:pPr>
                    <w:widowControl/>
                    <w:adjustRightInd w:val="0"/>
                    <w:snapToGrid w:val="0"/>
                    <w:spacing w:line="320" w:lineRule="exact"/>
                    <w:jc w:val="center"/>
                    <w:rPr>
                      <w:kern w:val="0"/>
                      <w:szCs w:val="21"/>
                    </w:rPr>
                  </w:pPr>
                  <w:r>
                    <w:rPr>
                      <w:kern w:val="0"/>
                      <w:szCs w:val="21"/>
                    </w:rPr>
                    <w:t>1337600</w:t>
                  </w:r>
                </w:p>
              </w:tc>
              <w:tc>
                <w:tcPr>
                  <w:tcW w:w="4652" w:type="dxa"/>
                  <w:tcMar>
                    <w:left w:w="0" w:type="dxa"/>
                    <w:right w:w="0" w:type="dxa"/>
                  </w:tcMar>
                  <w:vAlign w:val="center"/>
                </w:tcPr>
                <w:p>
                  <w:pPr>
                    <w:widowControl/>
                    <w:adjustRightInd w:val="0"/>
                    <w:snapToGrid w:val="0"/>
                    <w:spacing w:line="320" w:lineRule="exact"/>
                    <w:jc w:val="center"/>
                    <w:rPr>
                      <w:kern w:val="0"/>
                      <w:szCs w:val="21"/>
                    </w:rPr>
                  </w:pPr>
                  <w:r>
                    <w:rPr>
                      <w:kern w:val="0"/>
                      <w:szCs w:val="21"/>
                    </w:rPr>
                    <w:t>1.监测工程；</w:t>
                  </w:r>
                </w:p>
                <w:p>
                  <w:pPr>
                    <w:widowControl/>
                    <w:adjustRightInd w:val="0"/>
                    <w:snapToGrid w:val="0"/>
                    <w:spacing w:line="320" w:lineRule="exact"/>
                    <w:jc w:val="center"/>
                    <w:rPr>
                      <w:kern w:val="0"/>
                      <w:szCs w:val="21"/>
                    </w:rPr>
                  </w:pPr>
                  <w:r>
                    <w:rPr>
                      <w:kern w:val="0"/>
                      <w:szCs w:val="21"/>
                    </w:rPr>
                    <w:t>2.修筑铁丝网，设立警示牌。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06" w:type="dxa"/>
                  <w:vMerge w:val="continue"/>
                  <w:tcMar>
                    <w:left w:w="0" w:type="dxa"/>
                    <w:right w:w="0" w:type="dxa"/>
                  </w:tcMar>
                  <w:vAlign w:val="center"/>
                </w:tcPr>
                <w:p>
                  <w:pPr>
                    <w:widowControl/>
                    <w:adjustRightInd w:val="0"/>
                    <w:snapToGrid w:val="0"/>
                    <w:spacing w:line="320" w:lineRule="exact"/>
                    <w:jc w:val="center"/>
                    <w:rPr>
                      <w:kern w:val="0"/>
                      <w:szCs w:val="21"/>
                    </w:rPr>
                  </w:pPr>
                </w:p>
              </w:tc>
              <w:tc>
                <w:tcPr>
                  <w:tcW w:w="1280" w:type="dxa"/>
                  <w:tcMar>
                    <w:left w:w="0" w:type="dxa"/>
                    <w:right w:w="0" w:type="dxa"/>
                  </w:tcMar>
                  <w:vAlign w:val="center"/>
                </w:tcPr>
                <w:p>
                  <w:pPr>
                    <w:widowControl/>
                    <w:adjustRightInd w:val="0"/>
                    <w:snapToGrid w:val="0"/>
                    <w:spacing w:line="320" w:lineRule="exact"/>
                    <w:jc w:val="center"/>
                    <w:rPr>
                      <w:kern w:val="0"/>
                      <w:szCs w:val="21"/>
                    </w:rPr>
                  </w:pPr>
                  <w:r>
                    <w:rPr>
                      <w:rFonts w:hint="eastAsia"/>
                      <w:kern w:val="0"/>
                      <w:szCs w:val="21"/>
                    </w:rPr>
                    <w:t>环保厕所</w:t>
                  </w:r>
                </w:p>
              </w:tc>
              <w:tc>
                <w:tcPr>
                  <w:tcW w:w="1355" w:type="dxa"/>
                  <w:noWrap/>
                  <w:tcMar>
                    <w:left w:w="0" w:type="dxa"/>
                    <w:right w:w="0" w:type="dxa"/>
                  </w:tcMar>
                  <w:vAlign w:val="center"/>
                </w:tcPr>
                <w:p>
                  <w:pPr>
                    <w:widowControl/>
                    <w:adjustRightInd w:val="0"/>
                    <w:snapToGrid w:val="0"/>
                    <w:spacing w:line="320" w:lineRule="exact"/>
                    <w:jc w:val="center"/>
                    <w:rPr>
                      <w:kern w:val="0"/>
                      <w:szCs w:val="21"/>
                    </w:rPr>
                  </w:pPr>
                  <w:r>
                    <w:rPr>
                      <w:rFonts w:hint="eastAsia"/>
                      <w:kern w:val="0"/>
                      <w:szCs w:val="21"/>
                    </w:rPr>
                    <w:t>5</w:t>
                  </w:r>
                  <w:r>
                    <w:rPr>
                      <w:kern w:val="0"/>
                      <w:szCs w:val="21"/>
                    </w:rPr>
                    <w:t>0</w:t>
                  </w:r>
                </w:p>
              </w:tc>
              <w:tc>
                <w:tcPr>
                  <w:tcW w:w="4652" w:type="dxa"/>
                  <w:tcMar>
                    <w:left w:w="0" w:type="dxa"/>
                    <w:right w:w="0" w:type="dxa"/>
                  </w:tcMar>
                  <w:vAlign w:val="center"/>
                </w:tcPr>
                <w:p>
                  <w:pPr>
                    <w:widowControl/>
                    <w:adjustRightInd w:val="0"/>
                    <w:snapToGrid w:val="0"/>
                    <w:spacing w:line="320" w:lineRule="exact"/>
                    <w:jc w:val="center"/>
                    <w:rPr>
                      <w:kern w:val="0"/>
                      <w:szCs w:val="21"/>
                    </w:rPr>
                  </w:pPr>
                  <w:r>
                    <w:rPr>
                      <w:kern w:val="0"/>
                      <w:szCs w:val="21"/>
                    </w:rPr>
                    <w:t>闭坑后对地面建筑物拆除推至采坑回填，拉运量</w:t>
                  </w:r>
                  <w:r>
                    <w:rPr>
                      <w:rFonts w:hint="eastAsia"/>
                      <w:kern w:val="0"/>
                      <w:szCs w:val="21"/>
                    </w:rPr>
                    <w:t>5</w:t>
                  </w:r>
                  <w:r>
                    <w:rPr>
                      <w:kern w:val="0"/>
                      <w:szCs w:val="21"/>
                    </w:rPr>
                    <w:t>立方米。</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06" w:type="dxa"/>
                  <w:vMerge w:val="restart"/>
                  <w:tcMar>
                    <w:left w:w="0" w:type="dxa"/>
                    <w:right w:w="0" w:type="dxa"/>
                  </w:tcMar>
                  <w:vAlign w:val="center"/>
                </w:tcPr>
                <w:p>
                  <w:pPr>
                    <w:widowControl/>
                    <w:adjustRightInd w:val="0"/>
                    <w:snapToGrid w:val="0"/>
                    <w:spacing w:line="320" w:lineRule="exact"/>
                    <w:jc w:val="center"/>
                    <w:rPr>
                      <w:kern w:val="0"/>
                      <w:szCs w:val="21"/>
                    </w:rPr>
                  </w:pPr>
                  <w:r>
                    <w:rPr>
                      <w:kern w:val="0"/>
                      <w:szCs w:val="21"/>
                    </w:rPr>
                    <w:t>一般区</w:t>
                  </w:r>
                </w:p>
              </w:tc>
              <w:tc>
                <w:tcPr>
                  <w:tcW w:w="1280" w:type="dxa"/>
                  <w:tcMar>
                    <w:left w:w="0" w:type="dxa"/>
                    <w:right w:w="0" w:type="dxa"/>
                  </w:tcMar>
                  <w:vAlign w:val="center"/>
                </w:tcPr>
                <w:p>
                  <w:pPr>
                    <w:adjustRightInd w:val="0"/>
                    <w:snapToGrid w:val="0"/>
                    <w:spacing w:line="320" w:lineRule="exact"/>
                    <w:jc w:val="center"/>
                    <w:rPr>
                      <w:kern w:val="0"/>
                      <w:szCs w:val="21"/>
                    </w:rPr>
                  </w:pPr>
                  <w:r>
                    <w:rPr>
                      <w:rFonts w:hint="eastAsia"/>
                    </w:rPr>
                    <w:t>地表覆盖砂集中堆放场</w:t>
                  </w:r>
                </w:p>
              </w:tc>
              <w:tc>
                <w:tcPr>
                  <w:tcW w:w="1355" w:type="dxa"/>
                  <w:noWrap/>
                  <w:tcMar>
                    <w:left w:w="0" w:type="dxa"/>
                    <w:right w:w="0" w:type="dxa"/>
                  </w:tcMar>
                  <w:vAlign w:val="center"/>
                </w:tcPr>
                <w:p>
                  <w:pPr>
                    <w:widowControl/>
                    <w:adjustRightInd w:val="0"/>
                    <w:snapToGrid w:val="0"/>
                    <w:spacing w:line="320" w:lineRule="exact"/>
                    <w:jc w:val="center"/>
                    <w:rPr>
                      <w:kern w:val="0"/>
                      <w:szCs w:val="21"/>
                    </w:rPr>
                  </w:pPr>
                  <w:r>
                    <w:rPr>
                      <w:rFonts w:hint="eastAsia"/>
                      <w:kern w:val="0"/>
                      <w:szCs w:val="21"/>
                    </w:rPr>
                    <w:t>1</w:t>
                  </w:r>
                  <w:r>
                    <w:rPr>
                      <w:kern w:val="0"/>
                      <w:szCs w:val="21"/>
                    </w:rPr>
                    <w:t>0000</w:t>
                  </w:r>
                </w:p>
              </w:tc>
              <w:tc>
                <w:tcPr>
                  <w:tcW w:w="4652" w:type="dxa"/>
                  <w:tcMar>
                    <w:left w:w="0" w:type="dxa"/>
                    <w:right w:w="0" w:type="dxa"/>
                  </w:tcMar>
                  <w:vAlign w:val="center"/>
                </w:tcPr>
                <w:p>
                  <w:pPr>
                    <w:widowControl/>
                    <w:adjustRightInd w:val="0"/>
                    <w:snapToGrid w:val="0"/>
                    <w:spacing w:line="320" w:lineRule="exact"/>
                    <w:jc w:val="center"/>
                    <w:rPr>
                      <w:kern w:val="0"/>
                      <w:szCs w:val="21"/>
                    </w:rPr>
                  </w:pPr>
                  <w:r>
                    <w:rPr>
                      <w:kern w:val="0"/>
                      <w:szCs w:val="21"/>
                    </w:rPr>
                    <w:t>恢复原有地形地貌及土地使用功能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06" w:type="dxa"/>
                  <w:vMerge w:val="continue"/>
                  <w:tcMar>
                    <w:left w:w="0" w:type="dxa"/>
                    <w:right w:w="0" w:type="dxa"/>
                  </w:tcMar>
                  <w:vAlign w:val="center"/>
                </w:tcPr>
                <w:p>
                  <w:pPr>
                    <w:widowControl/>
                    <w:adjustRightInd w:val="0"/>
                    <w:snapToGrid w:val="0"/>
                    <w:spacing w:line="320" w:lineRule="exact"/>
                    <w:jc w:val="center"/>
                    <w:rPr>
                      <w:kern w:val="0"/>
                      <w:szCs w:val="21"/>
                    </w:rPr>
                  </w:pPr>
                </w:p>
              </w:tc>
              <w:tc>
                <w:tcPr>
                  <w:tcW w:w="1280" w:type="dxa"/>
                  <w:tcMar>
                    <w:left w:w="0" w:type="dxa"/>
                    <w:right w:w="0" w:type="dxa"/>
                  </w:tcMar>
                  <w:vAlign w:val="center"/>
                </w:tcPr>
                <w:p>
                  <w:pPr>
                    <w:widowControl/>
                    <w:adjustRightInd w:val="0"/>
                    <w:snapToGrid w:val="0"/>
                    <w:spacing w:line="320" w:lineRule="exact"/>
                    <w:jc w:val="center"/>
                    <w:rPr>
                      <w:kern w:val="0"/>
                      <w:szCs w:val="21"/>
                    </w:rPr>
                  </w:pPr>
                  <w:r>
                    <w:rPr>
                      <w:kern w:val="0"/>
                      <w:szCs w:val="21"/>
                    </w:rPr>
                    <w:t>矿山道路</w:t>
                  </w:r>
                </w:p>
              </w:tc>
              <w:tc>
                <w:tcPr>
                  <w:tcW w:w="1355" w:type="dxa"/>
                  <w:noWrap/>
                  <w:tcMar>
                    <w:left w:w="0" w:type="dxa"/>
                    <w:right w:w="0" w:type="dxa"/>
                  </w:tcMar>
                  <w:vAlign w:val="center"/>
                </w:tcPr>
                <w:p>
                  <w:pPr>
                    <w:widowControl/>
                    <w:adjustRightInd w:val="0"/>
                    <w:snapToGrid w:val="0"/>
                    <w:spacing w:line="320" w:lineRule="exact"/>
                    <w:jc w:val="center"/>
                    <w:rPr>
                      <w:kern w:val="0"/>
                      <w:szCs w:val="21"/>
                    </w:rPr>
                  </w:pPr>
                  <w:r>
                    <w:rPr>
                      <w:kern w:val="0"/>
                      <w:szCs w:val="21"/>
                    </w:rPr>
                    <w:t>48000</w:t>
                  </w:r>
                </w:p>
              </w:tc>
              <w:tc>
                <w:tcPr>
                  <w:tcW w:w="4652" w:type="dxa"/>
                  <w:tcMar>
                    <w:left w:w="0" w:type="dxa"/>
                    <w:right w:w="0" w:type="dxa"/>
                  </w:tcMar>
                  <w:vAlign w:val="center"/>
                </w:tcPr>
                <w:p>
                  <w:pPr>
                    <w:widowControl/>
                    <w:adjustRightInd w:val="0"/>
                    <w:snapToGrid w:val="0"/>
                    <w:spacing w:line="320" w:lineRule="exact"/>
                    <w:jc w:val="center"/>
                    <w:rPr>
                      <w:kern w:val="0"/>
                      <w:szCs w:val="21"/>
                    </w:rPr>
                  </w:pPr>
                  <w:r>
                    <w:rPr>
                      <w:kern w:val="0"/>
                      <w:szCs w:val="21"/>
                    </w:rPr>
                    <w:t>生产期间保持道路畅通，清理路面废石，洒水防尘，保持路面清洁；闭坑后矿山道路拟留作该区域交通便道使用，可不恢复原有地形地貌景观。</w:t>
                  </w:r>
                </w:p>
              </w:tc>
            </w:tr>
          </w:tbl>
          <w:p>
            <w:pPr>
              <w:widowControl/>
              <w:spacing w:line="520" w:lineRule="exact"/>
              <w:ind w:firstLine="482" w:firstLineChars="200"/>
              <w:rPr>
                <w:b/>
                <w:bCs/>
                <w:sz w:val="24"/>
              </w:rPr>
            </w:pPr>
            <w:r>
              <w:rPr>
                <w:rFonts w:hint="eastAsia"/>
                <w:b/>
                <w:bCs/>
                <w:sz w:val="24"/>
              </w:rPr>
              <w:t>1.</w:t>
            </w:r>
            <w:r>
              <w:rPr>
                <w:b/>
                <w:bCs/>
                <w:sz w:val="24"/>
              </w:rPr>
              <w:t>5</w:t>
            </w:r>
            <w:r>
              <w:rPr>
                <w:rFonts w:hint="eastAsia"/>
                <w:b/>
                <w:bCs/>
                <w:sz w:val="24"/>
              </w:rPr>
              <w:t>防沙治沙</w:t>
            </w:r>
          </w:p>
          <w:p>
            <w:pPr>
              <w:pStyle w:val="47"/>
              <w:spacing w:beforeLines="0" w:line="520" w:lineRule="exact"/>
              <w:ind w:firstLine="480"/>
              <w:rPr>
                <w:rFonts w:ascii="Times New Roman" w:hAnsi="Times New Roman" w:eastAsia="宋体"/>
                <w:sz w:val="24"/>
                <w:szCs w:val="24"/>
              </w:rPr>
            </w:pPr>
            <w:r>
              <w:rPr>
                <w:rFonts w:hint="eastAsia" w:ascii="Times New Roman" w:hAnsi="Times New Roman" w:eastAsia="宋体"/>
                <w:sz w:val="24"/>
                <w:szCs w:val="24"/>
              </w:rPr>
              <w:t>本项目位于阜康本项目位于阜康市北部准格尔盆地古尔班通古特沙漠东部，阜康市城区17°方位，距离阜康市直线距离78km处。经现场踏勘，项目区周边植被覆盖度低，地表裸露，需要进行防沙治沙工作，应以预防为主，防治结合，综合治理的原则，遵循生态规律。</w:t>
            </w:r>
          </w:p>
          <w:p>
            <w:pPr>
              <w:pStyle w:val="47"/>
              <w:spacing w:beforeLines="0" w:line="520" w:lineRule="exact"/>
              <w:ind w:firstLine="480"/>
              <w:rPr>
                <w:rFonts w:ascii="Times New Roman" w:hAnsi="Times New Roman" w:eastAsia="宋体"/>
                <w:sz w:val="24"/>
                <w:szCs w:val="24"/>
              </w:rPr>
            </w:pPr>
            <w:r>
              <w:rPr>
                <w:rFonts w:hint="eastAsia" w:ascii="Times New Roman" w:hAnsi="Times New Roman" w:eastAsia="宋体"/>
                <w:sz w:val="24"/>
                <w:szCs w:val="24"/>
              </w:rPr>
              <w:t>根据相关要求，本环评提出了以下防沙治沙措施：</w:t>
            </w:r>
          </w:p>
          <w:p>
            <w:pPr>
              <w:pStyle w:val="47"/>
              <w:numPr>
                <w:ilvl w:val="0"/>
                <w:numId w:val="12"/>
              </w:numPr>
              <w:spacing w:beforeLines="0" w:line="520" w:lineRule="exact"/>
              <w:ind w:firstLine="480"/>
              <w:rPr>
                <w:rFonts w:ascii="Times New Roman" w:hAnsi="Times New Roman" w:eastAsia="宋体"/>
                <w:sz w:val="24"/>
                <w:szCs w:val="24"/>
              </w:rPr>
            </w:pPr>
            <w:bookmarkStart w:id="34" w:name="_Hlk87522736"/>
            <w:r>
              <w:rPr>
                <w:rFonts w:hint="eastAsia" w:ascii="Times New Roman" w:hAnsi="Times New Roman" w:eastAsia="宋体"/>
                <w:sz w:val="24"/>
                <w:szCs w:val="24"/>
              </w:rPr>
              <w:t>矿区周边及进场道路两侧设置宽度不低于5m草方格固沙，并播撒草籽。整个矿区设置草方格面积约</w:t>
            </w:r>
            <w:r>
              <w:rPr>
                <w:rFonts w:ascii="Times New Roman" w:hAnsi="Times New Roman" w:eastAsia="宋体"/>
                <w:sz w:val="24"/>
                <w:szCs w:val="24"/>
              </w:rPr>
              <w:t>4.75</w:t>
            </w:r>
            <w:r>
              <w:rPr>
                <w:rFonts w:hint="eastAsia" w:ascii="Times New Roman" w:hAnsi="Times New Roman" w:eastAsia="宋体"/>
                <w:sz w:val="24"/>
                <w:szCs w:val="24"/>
              </w:rPr>
              <w:t>hm</w:t>
            </w:r>
            <w:r>
              <w:rPr>
                <w:rFonts w:ascii="Times New Roman" w:hAnsi="Times New Roman" w:eastAsia="宋体"/>
                <w:sz w:val="24"/>
                <w:szCs w:val="24"/>
                <w:vertAlign w:val="superscript"/>
              </w:rPr>
              <w:t>2</w:t>
            </w:r>
            <w:r>
              <w:rPr>
                <w:rFonts w:hint="eastAsia" w:ascii="Times New Roman" w:hAnsi="Times New Roman" w:eastAsia="宋体"/>
                <w:sz w:val="24"/>
                <w:szCs w:val="24"/>
              </w:rPr>
              <w:t>，</w:t>
            </w:r>
            <w:bookmarkEnd w:id="34"/>
            <w:r>
              <w:rPr>
                <w:rFonts w:hint="eastAsia" w:ascii="Times New Roman" w:hAnsi="Times New Roman" w:eastAsia="宋体"/>
                <w:sz w:val="24"/>
                <w:szCs w:val="24"/>
              </w:rPr>
              <w:t>减少起尘，减弱并阻挡风沙，切实做好防风固沙工作；</w:t>
            </w:r>
          </w:p>
          <w:p>
            <w:pPr>
              <w:pStyle w:val="47"/>
              <w:numPr>
                <w:ilvl w:val="0"/>
                <w:numId w:val="12"/>
              </w:numPr>
              <w:spacing w:beforeLines="0" w:line="520" w:lineRule="exact"/>
              <w:ind w:firstLine="480"/>
              <w:rPr>
                <w:rFonts w:ascii="Times New Roman" w:hAnsi="Times New Roman" w:eastAsia="宋体"/>
                <w:sz w:val="24"/>
                <w:szCs w:val="24"/>
              </w:rPr>
            </w:pPr>
            <w:r>
              <w:rPr>
                <w:rFonts w:hint="eastAsia" w:ascii="Times New Roman" w:hAnsi="Times New Roman" w:eastAsia="宋体"/>
                <w:sz w:val="24"/>
                <w:szCs w:val="24"/>
              </w:rPr>
              <w:t>应与当地防风固沙、环保绿化的政策结合，结合项目区所在的实际环境，主动配合风沙治理工作；</w:t>
            </w:r>
          </w:p>
          <w:p>
            <w:pPr>
              <w:pStyle w:val="47"/>
              <w:numPr>
                <w:ilvl w:val="0"/>
                <w:numId w:val="12"/>
              </w:numPr>
              <w:spacing w:beforeLines="0" w:line="520" w:lineRule="exact"/>
              <w:ind w:firstLine="480"/>
              <w:rPr>
                <w:rFonts w:ascii="Times New Roman" w:hAnsi="Times New Roman" w:eastAsia="宋体"/>
                <w:sz w:val="24"/>
                <w:szCs w:val="24"/>
              </w:rPr>
            </w:pPr>
            <w:r>
              <w:rPr>
                <w:rFonts w:hint="eastAsia" w:ascii="Times New Roman" w:hAnsi="Times New Roman" w:eastAsia="宋体"/>
                <w:sz w:val="24"/>
                <w:szCs w:val="24"/>
              </w:rPr>
              <w:t>向职工灌输防风固沙，保护环境的理念，贴出防沙治沙措施标识牌，增强人员防沙治沙意识，提高防沙治沙能力。</w:t>
            </w:r>
          </w:p>
          <w:p>
            <w:pPr>
              <w:pStyle w:val="21"/>
              <w:spacing w:line="520" w:lineRule="exact"/>
              <w:ind w:firstLine="482" w:firstLineChars="200"/>
              <w:rPr>
                <w:rFonts w:ascii="Times New Roman" w:hAnsi="Times New Roman"/>
                <w:b/>
                <w:bCs/>
                <w:sz w:val="24"/>
              </w:rPr>
            </w:pPr>
            <w:r>
              <w:rPr>
                <w:rFonts w:hint="eastAsia" w:ascii="Times New Roman" w:hAnsi="Times New Roman"/>
                <w:b/>
                <w:bCs/>
                <w:sz w:val="24"/>
              </w:rPr>
              <w:t>2、</w:t>
            </w:r>
            <w:r>
              <w:rPr>
                <w:rFonts w:ascii="Times New Roman" w:hAnsi="Times New Roman"/>
                <w:b/>
                <w:bCs/>
                <w:sz w:val="24"/>
              </w:rPr>
              <w:t>大气</w:t>
            </w:r>
            <w:r>
              <w:rPr>
                <w:rFonts w:hint="eastAsia" w:ascii="Times New Roman" w:hAnsi="Times New Roman"/>
                <w:b/>
                <w:bCs/>
                <w:sz w:val="24"/>
              </w:rPr>
              <w:t>环境影响减缓措施</w:t>
            </w:r>
          </w:p>
          <w:p>
            <w:pPr>
              <w:adjustRightInd w:val="0"/>
              <w:snapToGrid w:val="0"/>
              <w:spacing w:line="520" w:lineRule="exact"/>
              <w:ind w:firstLine="482" w:firstLineChars="200"/>
              <w:rPr>
                <w:b/>
                <w:bCs/>
                <w:sz w:val="24"/>
              </w:rPr>
            </w:pPr>
            <w:r>
              <w:rPr>
                <w:rFonts w:hint="eastAsia"/>
                <w:b/>
                <w:bCs/>
                <w:sz w:val="24"/>
              </w:rPr>
              <w:t>2</w:t>
            </w:r>
            <w:r>
              <w:rPr>
                <w:b/>
                <w:bCs/>
                <w:sz w:val="24"/>
              </w:rPr>
              <w:t>.1</w:t>
            </w:r>
            <w:r>
              <w:rPr>
                <w:rFonts w:hint="eastAsia"/>
                <w:b/>
                <w:bCs/>
                <w:sz w:val="24"/>
              </w:rPr>
              <w:t>无组织粉尘</w:t>
            </w:r>
          </w:p>
          <w:p>
            <w:pPr>
              <w:adjustRightInd w:val="0"/>
              <w:snapToGrid w:val="0"/>
              <w:spacing w:line="520" w:lineRule="exact"/>
              <w:ind w:firstLine="480" w:firstLineChars="200"/>
              <w:rPr>
                <w:sz w:val="24"/>
              </w:rPr>
            </w:pPr>
            <w:r>
              <w:rPr>
                <w:rFonts w:hint="eastAsia"/>
                <w:sz w:val="24"/>
              </w:rPr>
              <w:t>2.2.1开采粉尘</w:t>
            </w:r>
          </w:p>
          <w:p>
            <w:pPr>
              <w:adjustRightInd w:val="0"/>
              <w:snapToGrid w:val="0"/>
              <w:spacing w:line="520" w:lineRule="exact"/>
              <w:ind w:firstLine="480" w:firstLineChars="200"/>
              <w:rPr>
                <w:sz w:val="24"/>
                <w:highlight w:val="yellow"/>
              </w:rPr>
            </w:pPr>
            <w:r>
              <w:rPr>
                <w:rFonts w:hint="eastAsia"/>
                <w:sz w:val="24"/>
              </w:rPr>
              <w:t>根据工程分析，</w:t>
            </w:r>
            <w:r>
              <w:rPr>
                <w:sz w:val="24"/>
              </w:rPr>
              <w:t>项目年开采规模为180万t/a，则无组织粉尘产生量约为147.6t/a</w:t>
            </w:r>
            <w:r>
              <w:rPr>
                <w:rFonts w:hint="eastAsia"/>
                <w:sz w:val="24"/>
              </w:rPr>
              <w:t>。本环评要求</w:t>
            </w:r>
            <w:r>
              <w:rPr>
                <w:rFonts w:hint="eastAsia"/>
                <w:sz w:val="24"/>
                <w:szCs w:val="32"/>
                <w:lang w:val="en-GB"/>
              </w:rPr>
              <w:t>采掘过程对采掘场地采用移动式雾炮机降尘（控制效率74%）、规定开采方式、大风天气不得生产、分区分片开采（控制效率80%）等减缓措施，通过采取以上措施粉尘控制效率可达89.6%</w:t>
            </w:r>
            <w:r>
              <w:rPr>
                <w:sz w:val="24"/>
              </w:rPr>
              <w:t>，则排放量为15.35t/a粉尘</w:t>
            </w:r>
            <w:r>
              <w:rPr>
                <w:rFonts w:hint="eastAsia"/>
                <w:sz w:val="24"/>
              </w:rPr>
              <w:t>。</w:t>
            </w:r>
          </w:p>
          <w:p>
            <w:pPr>
              <w:adjustRightInd w:val="0"/>
              <w:snapToGrid w:val="0"/>
              <w:spacing w:line="520" w:lineRule="exact"/>
              <w:ind w:firstLine="480" w:firstLineChars="200"/>
              <w:rPr>
                <w:sz w:val="24"/>
              </w:rPr>
            </w:pPr>
            <w:r>
              <w:rPr>
                <w:rFonts w:hint="eastAsia"/>
                <w:sz w:val="24"/>
              </w:rPr>
              <w:t>2.1.2</w:t>
            </w:r>
            <w:r>
              <w:rPr>
                <w:sz w:val="24"/>
              </w:rPr>
              <w:t>装卸粉尘</w:t>
            </w:r>
          </w:p>
          <w:p>
            <w:pPr>
              <w:adjustRightInd w:val="0"/>
              <w:snapToGrid w:val="0"/>
              <w:spacing w:line="520" w:lineRule="exact"/>
              <w:ind w:firstLine="480" w:firstLineChars="200"/>
              <w:rPr>
                <w:sz w:val="24"/>
              </w:rPr>
            </w:pPr>
            <w:r>
              <w:rPr>
                <w:rFonts w:hint="eastAsia"/>
                <w:sz w:val="24"/>
              </w:rPr>
              <w:t>根据工程分析，在不采取抑尘措施的情况下装卸过程中产尘量为</w:t>
            </w:r>
            <w:r>
              <w:rPr>
                <w:sz w:val="24"/>
              </w:rPr>
              <w:t>131.13t/a</w:t>
            </w:r>
            <w:r>
              <w:rPr>
                <w:rFonts w:hint="eastAsia"/>
                <w:sz w:val="24"/>
              </w:rPr>
              <w:t>，本次评价要求采取控制落差并在开采区配套移动式雾炮机（控制效率7</w:t>
            </w:r>
            <w:r>
              <w:rPr>
                <w:sz w:val="24"/>
              </w:rPr>
              <w:t>4</w:t>
            </w:r>
            <w:r>
              <w:rPr>
                <w:rFonts w:hint="eastAsia"/>
                <w:sz w:val="24"/>
              </w:rPr>
              <w:t>%）并设防风抑尘网（控制效率6</w:t>
            </w:r>
            <w:r>
              <w:rPr>
                <w:sz w:val="24"/>
              </w:rPr>
              <w:t>0</w:t>
            </w:r>
            <w:r>
              <w:rPr>
                <w:rFonts w:hint="eastAsia"/>
                <w:sz w:val="24"/>
              </w:rPr>
              <w:t>%）</w:t>
            </w:r>
            <w:r>
              <w:rPr>
                <w:sz w:val="24"/>
              </w:rPr>
              <w:t>，</w:t>
            </w:r>
            <w:r>
              <w:rPr>
                <w:rFonts w:hint="eastAsia"/>
                <w:sz w:val="24"/>
              </w:rPr>
              <w:t>通过采取以上措施粉尘控制效率可达</w:t>
            </w:r>
            <w:r>
              <w:rPr>
                <w:sz w:val="24"/>
              </w:rPr>
              <w:t>89.6</w:t>
            </w:r>
            <w:r>
              <w:rPr>
                <w:rFonts w:hint="eastAsia"/>
                <w:sz w:val="24"/>
              </w:rPr>
              <w:t>％，采取措施后扬尘量为</w:t>
            </w:r>
            <w:r>
              <w:rPr>
                <w:sz w:val="24"/>
              </w:rPr>
              <w:t>13.64t/a</w:t>
            </w:r>
            <w:r>
              <w:rPr>
                <w:rFonts w:hint="eastAsia"/>
                <w:sz w:val="24"/>
              </w:rPr>
              <w:t>。</w:t>
            </w:r>
          </w:p>
          <w:p>
            <w:pPr>
              <w:adjustRightInd w:val="0"/>
              <w:snapToGrid w:val="0"/>
              <w:spacing w:line="520" w:lineRule="exact"/>
              <w:ind w:firstLine="480" w:firstLineChars="200"/>
              <w:rPr>
                <w:sz w:val="24"/>
              </w:rPr>
            </w:pPr>
            <w:r>
              <w:rPr>
                <w:rFonts w:hint="eastAsia"/>
                <w:sz w:val="24"/>
              </w:rPr>
              <w:t>2.1.3堆场装卸粉尘、风蚀扬尘</w:t>
            </w:r>
          </w:p>
          <w:p>
            <w:pPr>
              <w:adjustRightInd w:val="0"/>
              <w:snapToGrid w:val="0"/>
              <w:spacing w:line="520" w:lineRule="exact"/>
              <w:ind w:firstLine="480" w:firstLineChars="200"/>
              <w:rPr>
                <w:rFonts w:eastAsia="仿宋"/>
                <w:sz w:val="24"/>
              </w:rPr>
            </w:pPr>
            <w:r>
              <w:rPr>
                <w:rFonts w:hint="eastAsia"/>
                <w:bCs/>
                <w:kern w:val="0"/>
                <w:sz w:val="24"/>
              </w:rPr>
              <w:t>根据工程分析，</w:t>
            </w:r>
            <w:r>
              <w:rPr>
                <w:bCs/>
                <w:kern w:val="0"/>
                <w:sz w:val="24"/>
              </w:rPr>
              <w:t>本项目</w:t>
            </w:r>
            <w:r>
              <w:rPr>
                <w:rFonts w:hint="eastAsia"/>
                <w:sz w:val="24"/>
              </w:rPr>
              <w:t>地表覆盖砂集中堆放场</w:t>
            </w:r>
            <w:r>
              <w:rPr>
                <w:bCs/>
                <w:kern w:val="0"/>
                <w:sz w:val="24"/>
              </w:rPr>
              <w:t>起尘量约为837.56t/a。</w:t>
            </w:r>
            <w:r>
              <w:rPr>
                <w:rFonts w:hint="eastAsia"/>
                <w:bCs/>
                <w:kern w:val="0"/>
                <w:sz w:val="24"/>
              </w:rPr>
              <w:t>本次评价要求对</w:t>
            </w:r>
            <w:r>
              <w:rPr>
                <w:rFonts w:hint="eastAsia"/>
                <w:sz w:val="24"/>
              </w:rPr>
              <w:t>地表覆盖砂集中堆放场采取设置防风抑尘网（控制效率6</w:t>
            </w:r>
            <w:r>
              <w:rPr>
                <w:sz w:val="24"/>
              </w:rPr>
              <w:t>0</w:t>
            </w:r>
            <w:r>
              <w:rPr>
                <w:rFonts w:hint="eastAsia"/>
                <w:sz w:val="24"/>
              </w:rPr>
              <w:t>%），用苫盖遮挡（控制效率</w:t>
            </w:r>
            <w:r>
              <w:rPr>
                <w:sz w:val="24"/>
              </w:rPr>
              <w:t>86</w:t>
            </w:r>
            <w:r>
              <w:rPr>
                <w:rFonts w:hint="eastAsia"/>
                <w:sz w:val="24"/>
              </w:rPr>
              <w:t>%），采取上述措施后可以减少扬尘约</w:t>
            </w:r>
            <w:r>
              <w:rPr>
                <w:sz w:val="24"/>
              </w:rPr>
              <w:t>94.4</w:t>
            </w:r>
            <w:r>
              <w:rPr>
                <w:rFonts w:hint="eastAsia"/>
                <w:sz w:val="24"/>
              </w:rPr>
              <w:t>％，采取措施后扬尘量为</w:t>
            </w:r>
            <w:r>
              <w:rPr>
                <w:sz w:val="24"/>
              </w:rPr>
              <w:t>46.90t/a</w:t>
            </w:r>
            <w:r>
              <w:rPr>
                <w:rFonts w:hint="eastAsia"/>
                <w:sz w:val="24"/>
              </w:rPr>
              <w:t>。</w:t>
            </w:r>
          </w:p>
          <w:p>
            <w:pPr>
              <w:adjustRightInd w:val="0"/>
              <w:snapToGrid w:val="0"/>
              <w:spacing w:line="520" w:lineRule="exact"/>
              <w:ind w:firstLine="480" w:firstLineChars="200"/>
              <w:rPr>
                <w:sz w:val="24"/>
              </w:rPr>
            </w:pPr>
            <w:r>
              <w:rPr>
                <w:rFonts w:hint="eastAsia"/>
                <w:sz w:val="24"/>
              </w:rPr>
              <w:t>2.1.4</w:t>
            </w:r>
            <w:r>
              <w:rPr>
                <w:sz w:val="24"/>
              </w:rPr>
              <w:t>运输道路扬尘</w:t>
            </w:r>
          </w:p>
          <w:p>
            <w:pPr>
              <w:widowControl/>
              <w:adjustRightInd w:val="0"/>
              <w:snapToGrid w:val="0"/>
              <w:spacing w:line="520" w:lineRule="exact"/>
              <w:ind w:firstLine="480" w:firstLineChars="200"/>
              <w:rPr>
                <w:sz w:val="24"/>
              </w:rPr>
            </w:pPr>
            <w:r>
              <w:rPr>
                <w:rFonts w:hint="eastAsia"/>
                <w:sz w:val="24"/>
              </w:rPr>
              <w:t>根据工程分析</w:t>
            </w:r>
            <w:r>
              <w:rPr>
                <w:sz w:val="24"/>
              </w:rPr>
              <w:t>，道路运输扬尘约为380.14t/a</w:t>
            </w:r>
            <w:r>
              <w:rPr>
                <w:rFonts w:hint="eastAsia"/>
                <w:sz w:val="24"/>
              </w:rPr>
              <w:t>，</w:t>
            </w:r>
            <w:r>
              <w:rPr>
                <w:sz w:val="24"/>
              </w:rPr>
              <w:t>通过对进厂道路进行砾石复压</w:t>
            </w:r>
            <w:r>
              <w:rPr>
                <w:rFonts w:hint="eastAsia"/>
                <w:sz w:val="24"/>
              </w:rPr>
              <w:t>硬化</w:t>
            </w:r>
            <w:r>
              <w:rPr>
                <w:sz w:val="24"/>
              </w:rPr>
              <w:t>，</w:t>
            </w:r>
            <w:r>
              <w:rPr>
                <w:rFonts w:hint="eastAsia"/>
                <w:sz w:val="24"/>
              </w:rPr>
              <w:t>矿区配备洒水车，采用洒水对道路进行充分预湿（控制效率7</w:t>
            </w:r>
            <w:r>
              <w:rPr>
                <w:sz w:val="24"/>
              </w:rPr>
              <w:t>4</w:t>
            </w:r>
            <w:r>
              <w:rPr>
                <w:rFonts w:hint="eastAsia"/>
                <w:sz w:val="24"/>
              </w:rPr>
              <w:t>%），</w:t>
            </w:r>
            <w:r>
              <w:rPr>
                <w:sz w:val="24"/>
              </w:rPr>
              <w:t>运输车辆出厂时，采取苫盖篷布的措施</w:t>
            </w:r>
            <w:r>
              <w:rPr>
                <w:rFonts w:hint="eastAsia"/>
                <w:sz w:val="24"/>
              </w:rPr>
              <w:t>（控制效率8</w:t>
            </w:r>
            <w:r>
              <w:rPr>
                <w:sz w:val="24"/>
              </w:rPr>
              <w:t>6</w:t>
            </w:r>
            <w:r>
              <w:rPr>
                <w:rFonts w:hint="eastAsia"/>
                <w:sz w:val="24"/>
              </w:rPr>
              <w:t>%）</w:t>
            </w:r>
            <w:r>
              <w:rPr>
                <w:sz w:val="24"/>
              </w:rPr>
              <w:t>，</w:t>
            </w:r>
            <w:r>
              <w:rPr>
                <w:rFonts w:hint="eastAsia"/>
                <w:sz w:val="24"/>
              </w:rPr>
              <w:t>并对车辆进行冲洗（控制效率</w:t>
            </w:r>
            <w:r>
              <w:rPr>
                <w:sz w:val="24"/>
              </w:rPr>
              <w:t>78</w:t>
            </w:r>
            <w:r>
              <w:rPr>
                <w:rFonts w:hint="eastAsia"/>
                <w:sz w:val="24"/>
              </w:rPr>
              <w:t>%），通过采取以上措施粉尘控制</w:t>
            </w:r>
            <w:r>
              <w:rPr>
                <w:sz w:val="24"/>
              </w:rPr>
              <w:t>效率可达99.2%，则道路运输扬尘约为3.04t/a。</w:t>
            </w:r>
          </w:p>
          <w:p>
            <w:pPr>
              <w:spacing w:line="300" w:lineRule="exact"/>
              <w:ind w:firstLine="720" w:firstLineChars="300"/>
              <w:jc w:val="center"/>
              <w:rPr>
                <w:rFonts w:ascii="黑体" w:hAnsi="黑体" w:eastAsia="黑体" w:cs="黑体"/>
                <w:bCs/>
                <w:sz w:val="24"/>
              </w:rPr>
            </w:pPr>
            <w:r>
              <w:rPr>
                <w:rFonts w:hint="eastAsia" w:ascii="黑体" w:hAnsi="黑体" w:eastAsia="黑体" w:cs="黑体"/>
                <w:bCs/>
                <w:sz w:val="24"/>
              </w:rPr>
              <w:t>表</w:t>
            </w:r>
            <w:r>
              <w:rPr>
                <w:rFonts w:ascii="黑体" w:hAnsi="黑体" w:eastAsia="黑体" w:cs="黑体"/>
                <w:bCs/>
                <w:sz w:val="24"/>
              </w:rPr>
              <w:t>5</w:t>
            </w:r>
            <w:r>
              <w:rPr>
                <w:rFonts w:hint="eastAsia" w:ascii="黑体" w:hAnsi="黑体" w:eastAsia="黑体" w:cs="黑体"/>
                <w:bCs/>
                <w:sz w:val="24"/>
              </w:rPr>
              <w:t>-</w:t>
            </w:r>
            <w:r>
              <w:rPr>
                <w:rFonts w:ascii="黑体" w:hAnsi="黑体" w:eastAsia="黑体" w:cs="黑体"/>
                <w:bCs/>
                <w:sz w:val="24"/>
              </w:rPr>
              <w:t>2</w:t>
            </w:r>
            <w:r>
              <w:rPr>
                <w:rFonts w:hint="eastAsia" w:ascii="黑体" w:hAnsi="黑体" w:eastAsia="黑体" w:cs="黑体"/>
                <w:bCs/>
                <w:sz w:val="24"/>
              </w:rPr>
              <w:t xml:space="preserve">   项目大气污染物产生及排放情况一览表</w:t>
            </w:r>
          </w:p>
          <w:tbl>
            <w:tblPr>
              <w:tblStyle w:val="31"/>
              <w:tblW w:w="815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983"/>
              <w:gridCol w:w="5114"/>
              <w:gridCol w:w="877"/>
              <w:gridCol w:w="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1158" w:type="dxa"/>
                  <w:vMerge w:val="restart"/>
                  <w:vAlign w:val="center"/>
                </w:tcPr>
                <w:p>
                  <w:pPr>
                    <w:jc w:val="center"/>
                  </w:pPr>
                  <w:r>
                    <w:t>污染物</w:t>
                  </w:r>
                </w:p>
              </w:tc>
              <w:tc>
                <w:tcPr>
                  <w:tcW w:w="6995" w:type="dxa"/>
                  <w:gridSpan w:val="4"/>
                  <w:vAlign w:val="center"/>
                </w:tcPr>
                <w:p>
                  <w:pPr>
                    <w:widowControl/>
                    <w:jc w:val="center"/>
                  </w:pPr>
                  <w:r>
                    <w:t>产生量</w:t>
                  </w:r>
                  <w:r>
                    <w:rPr>
                      <w:rFonts w:hint="eastAsia"/>
                    </w:rPr>
                    <w:t>及</w:t>
                  </w:r>
                  <w:r>
                    <w:t>排放情况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Merge w:val="continue"/>
                  <w:vAlign w:val="center"/>
                </w:tcPr>
                <w:p>
                  <w:pPr>
                    <w:widowControl/>
                    <w:jc w:val="center"/>
                  </w:pPr>
                </w:p>
              </w:tc>
              <w:tc>
                <w:tcPr>
                  <w:tcW w:w="983" w:type="dxa"/>
                  <w:vAlign w:val="center"/>
                </w:tcPr>
                <w:p>
                  <w:pPr>
                    <w:pStyle w:val="58"/>
                    <w:jc w:val="center"/>
                    <w:rPr>
                      <w:rFonts w:eastAsia="宋体"/>
                      <w:szCs w:val="21"/>
                    </w:rPr>
                  </w:pPr>
                  <w:r>
                    <w:rPr>
                      <w:rFonts w:hint="eastAsia" w:eastAsia="宋体"/>
                      <w:szCs w:val="21"/>
                    </w:rPr>
                    <w:t>产生量（</w:t>
                  </w:r>
                  <w:r>
                    <w:rPr>
                      <w:rFonts w:eastAsia="宋体"/>
                      <w:szCs w:val="21"/>
                    </w:rPr>
                    <w:t>t/a</w:t>
                  </w:r>
                  <w:r>
                    <w:rPr>
                      <w:rFonts w:hint="eastAsia" w:eastAsia="宋体"/>
                      <w:szCs w:val="21"/>
                    </w:rPr>
                    <w:t>）</w:t>
                  </w:r>
                </w:p>
              </w:tc>
              <w:tc>
                <w:tcPr>
                  <w:tcW w:w="5114" w:type="dxa"/>
                  <w:vAlign w:val="center"/>
                </w:tcPr>
                <w:p>
                  <w:pPr>
                    <w:pStyle w:val="58"/>
                    <w:jc w:val="center"/>
                    <w:rPr>
                      <w:rFonts w:eastAsia="宋体"/>
                      <w:szCs w:val="21"/>
                    </w:rPr>
                  </w:pPr>
                  <w:r>
                    <w:rPr>
                      <w:rFonts w:hint="eastAsia" w:eastAsia="宋体"/>
                      <w:szCs w:val="21"/>
                    </w:rPr>
                    <w:t>处理措施</w:t>
                  </w:r>
                </w:p>
              </w:tc>
              <w:tc>
                <w:tcPr>
                  <w:tcW w:w="877" w:type="dxa"/>
                  <w:vAlign w:val="center"/>
                </w:tcPr>
                <w:p>
                  <w:pPr>
                    <w:pStyle w:val="58"/>
                    <w:jc w:val="center"/>
                    <w:rPr>
                      <w:rFonts w:eastAsia="宋体"/>
                      <w:szCs w:val="21"/>
                    </w:rPr>
                  </w:pPr>
                  <w:r>
                    <w:rPr>
                      <w:rFonts w:hint="eastAsia" w:eastAsia="宋体"/>
                      <w:szCs w:val="21"/>
                    </w:rPr>
                    <w:t>排放量（</w:t>
                  </w:r>
                  <w:r>
                    <w:rPr>
                      <w:rFonts w:eastAsia="宋体"/>
                      <w:szCs w:val="21"/>
                    </w:rPr>
                    <w:t>t/a</w:t>
                  </w:r>
                  <w:r>
                    <w:rPr>
                      <w:rFonts w:hint="eastAsia" w:eastAsia="宋体"/>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开采粉尘</w:t>
                  </w:r>
                </w:p>
              </w:tc>
              <w:tc>
                <w:tcPr>
                  <w:tcW w:w="983" w:type="dxa"/>
                  <w:vAlign w:val="center"/>
                </w:tcPr>
                <w:p>
                  <w:pPr>
                    <w:widowControl/>
                    <w:jc w:val="center"/>
                  </w:pPr>
                  <w:r>
                    <w:t>147.6</w:t>
                  </w:r>
                </w:p>
              </w:tc>
              <w:tc>
                <w:tcPr>
                  <w:tcW w:w="5114" w:type="dxa"/>
                  <w:vAlign w:val="center"/>
                </w:tcPr>
                <w:p>
                  <w:pPr>
                    <w:widowControl/>
                    <w:jc w:val="center"/>
                  </w:pPr>
                  <w:r>
                    <w:rPr>
                      <w:rFonts w:hint="eastAsia"/>
                    </w:rPr>
                    <w:t>采掘过程对采掘场地采用移动式雾炮机降尘（控制效率74%）、规定开采方式、大风天气不得生产、分区分片开采（控制效率80%）等减缓措施，通过采取以上措施粉尘控制效率可达94.8%。</w:t>
                  </w:r>
                </w:p>
              </w:tc>
              <w:tc>
                <w:tcPr>
                  <w:tcW w:w="877" w:type="dxa"/>
                  <w:vAlign w:val="center"/>
                </w:tcPr>
                <w:p>
                  <w:pPr>
                    <w:pStyle w:val="59"/>
                    <w:ind w:firstLine="0" w:firstLineChars="0"/>
                    <w:jc w:val="center"/>
                    <w:textAlignment w:val="center"/>
                    <w:rPr>
                      <w:szCs w:val="24"/>
                    </w:rPr>
                  </w:pPr>
                  <w:r>
                    <w:rPr>
                      <w:szCs w:val="24"/>
                    </w:rPr>
                    <w:t>15.35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装卸粉尘</w:t>
                  </w:r>
                </w:p>
              </w:tc>
              <w:tc>
                <w:tcPr>
                  <w:tcW w:w="983" w:type="dxa"/>
                  <w:vAlign w:val="center"/>
                </w:tcPr>
                <w:p>
                  <w:pPr>
                    <w:widowControl/>
                    <w:jc w:val="center"/>
                  </w:pPr>
                  <w:r>
                    <w:t>131.13</w:t>
                  </w:r>
                </w:p>
              </w:tc>
              <w:tc>
                <w:tcPr>
                  <w:tcW w:w="5114" w:type="dxa"/>
                  <w:vAlign w:val="center"/>
                </w:tcPr>
                <w:p>
                  <w:pPr>
                    <w:widowControl/>
                    <w:jc w:val="center"/>
                  </w:pPr>
                  <w:r>
                    <w:rPr>
                      <w:rFonts w:hint="eastAsia"/>
                    </w:rPr>
                    <w:t>采取控制落差并在开采区配套移动式雾炮机（控制效率74%）并设防风抑尘网（控制效率60%），通过采取以上措施粉尘控制效率可达89.6％。</w:t>
                  </w:r>
                </w:p>
              </w:tc>
              <w:tc>
                <w:tcPr>
                  <w:tcW w:w="877" w:type="dxa"/>
                  <w:vAlign w:val="center"/>
                </w:tcPr>
                <w:p>
                  <w:pPr>
                    <w:pStyle w:val="59"/>
                    <w:ind w:firstLine="0" w:firstLineChars="0"/>
                    <w:jc w:val="center"/>
                    <w:textAlignment w:val="center"/>
                    <w:rPr>
                      <w:szCs w:val="24"/>
                    </w:rPr>
                  </w:pPr>
                  <w:r>
                    <w:rPr>
                      <w:szCs w:val="24"/>
                    </w:rPr>
                    <w:t>13.64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堆场装卸、风蚀扬尘</w:t>
                  </w:r>
                </w:p>
              </w:tc>
              <w:tc>
                <w:tcPr>
                  <w:tcW w:w="983" w:type="dxa"/>
                  <w:vAlign w:val="center"/>
                </w:tcPr>
                <w:p>
                  <w:pPr>
                    <w:widowControl/>
                    <w:jc w:val="center"/>
                  </w:pPr>
                  <w:r>
                    <w:t>837.56</w:t>
                  </w:r>
                </w:p>
              </w:tc>
              <w:tc>
                <w:tcPr>
                  <w:tcW w:w="5114" w:type="dxa"/>
                  <w:vAlign w:val="center"/>
                </w:tcPr>
                <w:p>
                  <w:pPr>
                    <w:widowControl/>
                    <w:jc w:val="center"/>
                  </w:pPr>
                  <w:r>
                    <w:rPr>
                      <w:rFonts w:hint="eastAsia"/>
                    </w:rPr>
                    <w:t>对地表覆盖砂集中堆放场采取设置防风抑尘网（控制效率60%），用苫盖遮挡（控制效率86%），通过采取以上措施粉尘控制效率可达94.4％。</w:t>
                  </w:r>
                </w:p>
              </w:tc>
              <w:tc>
                <w:tcPr>
                  <w:tcW w:w="877" w:type="dxa"/>
                  <w:vAlign w:val="center"/>
                </w:tcPr>
                <w:p>
                  <w:pPr>
                    <w:widowControl/>
                    <w:jc w:val="center"/>
                  </w:pPr>
                  <w:r>
                    <w:t>46.90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运输道路扬尘</w:t>
                  </w:r>
                </w:p>
              </w:tc>
              <w:tc>
                <w:tcPr>
                  <w:tcW w:w="983" w:type="dxa"/>
                  <w:vAlign w:val="center"/>
                </w:tcPr>
                <w:p>
                  <w:pPr>
                    <w:widowControl/>
                    <w:jc w:val="center"/>
                  </w:pPr>
                  <w:r>
                    <w:t>380.14</w:t>
                  </w:r>
                </w:p>
              </w:tc>
              <w:tc>
                <w:tcPr>
                  <w:tcW w:w="5114" w:type="dxa"/>
                  <w:vAlign w:val="center"/>
                </w:tcPr>
                <w:p>
                  <w:pPr>
                    <w:widowControl/>
                    <w:jc w:val="center"/>
                  </w:pPr>
                  <w:r>
                    <w:t>对进厂道路进行砾石复压</w:t>
                  </w:r>
                  <w:r>
                    <w:rPr>
                      <w:rFonts w:hint="eastAsia"/>
                    </w:rPr>
                    <w:t>硬化</w:t>
                  </w:r>
                  <w:r>
                    <w:t>，</w:t>
                  </w:r>
                  <w:r>
                    <w:rPr>
                      <w:rFonts w:hint="eastAsia"/>
                    </w:rPr>
                    <w:t>矿区配备洒水车，采用洒水对道路进行充分预湿（控制效率7</w:t>
                  </w:r>
                  <w:r>
                    <w:t>4</w:t>
                  </w:r>
                  <w:r>
                    <w:rPr>
                      <w:rFonts w:hint="eastAsia"/>
                    </w:rPr>
                    <w:t>%），</w:t>
                  </w:r>
                  <w:r>
                    <w:t>运输车辆出厂时，采取苫盖篷布的措施</w:t>
                  </w:r>
                  <w:r>
                    <w:rPr>
                      <w:rFonts w:hint="eastAsia"/>
                    </w:rPr>
                    <w:t>（控制效率8</w:t>
                  </w:r>
                  <w:r>
                    <w:t>6</w:t>
                  </w:r>
                  <w:r>
                    <w:rPr>
                      <w:rFonts w:hint="eastAsia"/>
                    </w:rPr>
                    <w:t>%）</w:t>
                  </w:r>
                  <w:r>
                    <w:t>，</w:t>
                  </w:r>
                  <w:r>
                    <w:rPr>
                      <w:rFonts w:hint="eastAsia"/>
                    </w:rPr>
                    <w:t>并对车辆进行冲洗（控制效率</w:t>
                  </w:r>
                  <w:r>
                    <w:t>78</w:t>
                  </w:r>
                  <w:r>
                    <w:rPr>
                      <w:rFonts w:hint="eastAsia"/>
                    </w:rPr>
                    <w:t>%），通过采取以上措施粉尘控制</w:t>
                  </w:r>
                  <w:r>
                    <w:t>效率可达99.2%</w:t>
                  </w:r>
                  <w:r>
                    <w:rPr>
                      <w:rFonts w:hint="eastAsia"/>
                    </w:rPr>
                    <w:t>。</w:t>
                  </w:r>
                </w:p>
              </w:tc>
              <w:tc>
                <w:tcPr>
                  <w:tcW w:w="877" w:type="dxa"/>
                  <w:vAlign w:val="center"/>
                </w:tcPr>
                <w:p>
                  <w:pPr>
                    <w:widowControl/>
                    <w:jc w:val="center"/>
                  </w:pPr>
                  <w:r>
                    <w:t>3.04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cantSplit/>
                <w:tblHeader/>
                <w:jc w:val="center"/>
              </w:trPr>
              <w:tc>
                <w:tcPr>
                  <w:tcW w:w="1158" w:type="dxa"/>
                  <w:vAlign w:val="center"/>
                </w:tcPr>
                <w:p>
                  <w:pPr>
                    <w:widowControl/>
                    <w:jc w:val="center"/>
                  </w:pPr>
                  <w:r>
                    <w:rPr>
                      <w:rFonts w:hint="eastAsia"/>
                    </w:rPr>
                    <w:t>合计</w:t>
                  </w:r>
                </w:p>
              </w:tc>
              <w:tc>
                <w:tcPr>
                  <w:tcW w:w="983" w:type="dxa"/>
                  <w:vAlign w:val="center"/>
                </w:tcPr>
                <w:p>
                  <w:pPr>
                    <w:widowControl/>
                    <w:jc w:val="center"/>
                  </w:pPr>
                  <w:r>
                    <w:rPr>
                      <w:rFonts w:hint="eastAsia"/>
                    </w:rPr>
                    <w:t>1496.43</w:t>
                  </w:r>
                </w:p>
              </w:tc>
              <w:tc>
                <w:tcPr>
                  <w:tcW w:w="5114" w:type="dxa"/>
                  <w:vAlign w:val="center"/>
                </w:tcPr>
                <w:p>
                  <w:pPr>
                    <w:widowControl/>
                    <w:jc w:val="center"/>
                  </w:pPr>
                  <w:r>
                    <w:rPr>
                      <w:rFonts w:hint="eastAsia"/>
                    </w:rPr>
                    <w:t>/</w:t>
                  </w:r>
                </w:p>
              </w:tc>
              <w:tc>
                <w:tcPr>
                  <w:tcW w:w="877" w:type="dxa"/>
                  <w:vAlign w:val="center"/>
                </w:tcPr>
                <w:p>
                  <w:pPr>
                    <w:widowControl/>
                    <w:jc w:val="center"/>
                  </w:pPr>
                  <w:r>
                    <w:rPr>
                      <w:rFonts w:hint="eastAsia"/>
                    </w:rPr>
                    <w:t>78.93</w:t>
                  </w:r>
                </w:p>
              </w:tc>
            </w:tr>
          </w:tbl>
          <w:p>
            <w:pPr>
              <w:pStyle w:val="21"/>
              <w:spacing w:line="520" w:lineRule="exact"/>
              <w:ind w:firstLine="482" w:firstLineChars="200"/>
              <w:rPr>
                <w:rFonts w:ascii="Times New Roman" w:hAnsi="Times New Roman"/>
                <w:b/>
                <w:bCs/>
                <w:sz w:val="24"/>
              </w:rPr>
            </w:pPr>
            <w:r>
              <w:rPr>
                <w:rFonts w:hint="eastAsia" w:ascii="Times New Roman" w:hAnsi="Times New Roman"/>
                <w:b/>
                <w:bCs/>
                <w:sz w:val="24"/>
              </w:rPr>
              <w:t>2.3大气环境影响监测计划</w:t>
            </w:r>
          </w:p>
          <w:p>
            <w:pPr>
              <w:adjustRightInd w:val="0"/>
              <w:snapToGrid w:val="0"/>
              <w:spacing w:line="520" w:lineRule="exact"/>
              <w:ind w:firstLine="480" w:firstLineChars="200"/>
              <w:rPr>
                <w:sz w:val="24"/>
              </w:rPr>
            </w:pPr>
            <w:r>
              <w:rPr>
                <w:rFonts w:hint="eastAsia"/>
                <w:sz w:val="24"/>
              </w:rPr>
              <w:t>根据《排污单位自行监测技术指南 总则》（H</w:t>
            </w:r>
            <w:r>
              <w:rPr>
                <w:sz w:val="24"/>
              </w:rPr>
              <w:t>J820-2017</w:t>
            </w:r>
            <w:r>
              <w:rPr>
                <w:rFonts w:hint="eastAsia"/>
                <w:sz w:val="24"/>
              </w:rPr>
              <w:t>）相关规定，本次评价确定本项目大气环境自行监测方案见表5</w:t>
            </w:r>
            <w:r>
              <w:rPr>
                <w:sz w:val="24"/>
              </w:rPr>
              <w:t>-3</w:t>
            </w:r>
            <w:r>
              <w:rPr>
                <w:rFonts w:hint="eastAsia"/>
                <w:sz w:val="24"/>
              </w:rPr>
              <w:t>。</w:t>
            </w:r>
          </w:p>
          <w:p>
            <w:pPr>
              <w:widowControl/>
              <w:ind w:firstLine="480" w:firstLineChars="200"/>
              <w:jc w:val="center"/>
              <w:rPr>
                <w:rFonts w:eastAsia="黑体"/>
                <w:sz w:val="24"/>
              </w:rPr>
            </w:pPr>
            <w:r>
              <w:rPr>
                <w:rFonts w:hint="eastAsia" w:eastAsia="黑体"/>
                <w:sz w:val="24"/>
              </w:rPr>
              <w:t>表5-</w:t>
            </w:r>
            <w:r>
              <w:rPr>
                <w:rFonts w:eastAsia="黑体"/>
                <w:sz w:val="24"/>
              </w:rPr>
              <w:t>3</w:t>
            </w:r>
            <w:r>
              <w:rPr>
                <w:rFonts w:hint="eastAsia" w:eastAsia="黑体"/>
                <w:sz w:val="24"/>
              </w:rPr>
              <w:t xml:space="preserve">    废气排放监测方案</w:t>
            </w:r>
          </w:p>
          <w:tbl>
            <w:tblPr>
              <w:tblStyle w:val="31"/>
              <w:tblW w:w="8213"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142"/>
              <w:gridCol w:w="1223"/>
              <w:gridCol w:w="27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2108" w:type="dxa"/>
                  <w:vAlign w:val="center"/>
                </w:tcPr>
                <w:p>
                  <w:pPr>
                    <w:pStyle w:val="60"/>
                    <w:rPr>
                      <w:iCs/>
                    </w:rPr>
                  </w:pPr>
                  <w:r>
                    <w:rPr>
                      <w:rFonts w:hint="eastAsia"/>
                      <w:iCs/>
                    </w:rPr>
                    <w:t>监测位置</w:t>
                  </w:r>
                </w:p>
              </w:tc>
              <w:tc>
                <w:tcPr>
                  <w:tcW w:w="2142" w:type="dxa"/>
                  <w:vAlign w:val="center"/>
                </w:tcPr>
                <w:p>
                  <w:pPr>
                    <w:pStyle w:val="60"/>
                    <w:rPr>
                      <w:iCs/>
                    </w:rPr>
                  </w:pPr>
                  <w:r>
                    <w:rPr>
                      <w:rFonts w:hint="eastAsia"/>
                      <w:iCs/>
                    </w:rPr>
                    <w:t>监测项目</w:t>
                  </w:r>
                </w:p>
              </w:tc>
              <w:tc>
                <w:tcPr>
                  <w:tcW w:w="1223" w:type="dxa"/>
                  <w:vAlign w:val="center"/>
                </w:tcPr>
                <w:p>
                  <w:pPr>
                    <w:pStyle w:val="60"/>
                    <w:rPr>
                      <w:iCs/>
                    </w:rPr>
                  </w:pPr>
                  <w:r>
                    <w:rPr>
                      <w:rFonts w:hint="eastAsia"/>
                      <w:iCs/>
                    </w:rPr>
                    <w:t>监测频率</w:t>
                  </w:r>
                </w:p>
              </w:tc>
              <w:tc>
                <w:tcPr>
                  <w:tcW w:w="2740" w:type="dxa"/>
                  <w:vAlign w:val="center"/>
                </w:tcPr>
                <w:p>
                  <w:pPr>
                    <w:pStyle w:val="60"/>
                    <w:rPr>
                      <w:iCs/>
                    </w:rPr>
                  </w:pPr>
                  <w:r>
                    <w:rPr>
                      <w:rFonts w:hint="eastAsia"/>
                      <w:iCs/>
                    </w:rPr>
                    <w:t>监测方式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2108" w:type="dxa"/>
                  <w:vAlign w:val="center"/>
                </w:tcPr>
                <w:p>
                  <w:pPr>
                    <w:pStyle w:val="60"/>
                    <w:rPr>
                      <w:iCs/>
                    </w:rPr>
                  </w:pPr>
                  <w:r>
                    <w:t>厂界无组织监控点</w:t>
                  </w:r>
                </w:p>
              </w:tc>
              <w:tc>
                <w:tcPr>
                  <w:tcW w:w="2142" w:type="dxa"/>
                  <w:vAlign w:val="center"/>
                </w:tcPr>
                <w:p>
                  <w:pPr>
                    <w:pStyle w:val="60"/>
                  </w:pPr>
                  <w:r>
                    <w:t>颗粒物</w:t>
                  </w:r>
                </w:p>
              </w:tc>
              <w:tc>
                <w:tcPr>
                  <w:tcW w:w="1223" w:type="dxa"/>
                  <w:vAlign w:val="center"/>
                </w:tcPr>
                <w:p>
                  <w:pPr>
                    <w:pStyle w:val="76"/>
                    <w:jc w:val="center"/>
                    <w:rPr>
                      <w:iCs/>
                    </w:rPr>
                  </w:pPr>
                  <w:r>
                    <w:rPr>
                      <w:rFonts w:hint="eastAsia"/>
                    </w:rPr>
                    <w:t>1</w:t>
                  </w:r>
                  <w:r>
                    <w:rPr>
                      <w:rFonts w:hint="eastAsia" w:ascii="宋体" w:hAnsi="宋体"/>
                    </w:rPr>
                    <w:t>次</w:t>
                  </w:r>
                  <w:r>
                    <w:rPr>
                      <w:rFonts w:hint="eastAsia"/>
                    </w:rPr>
                    <w:t>/</w:t>
                  </w:r>
                  <w:r>
                    <w:rPr>
                      <w:rFonts w:hint="eastAsia" w:ascii="宋体" w:hAnsi="宋体"/>
                    </w:rPr>
                    <w:t>季</w:t>
                  </w:r>
                </w:p>
              </w:tc>
              <w:tc>
                <w:tcPr>
                  <w:tcW w:w="2740" w:type="dxa"/>
                  <w:vAlign w:val="center"/>
                </w:tcPr>
                <w:p>
                  <w:pPr>
                    <w:pStyle w:val="60"/>
                    <w:rPr>
                      <w:iCs/>
                    </w:rPr>
                  </w:pPr>
                  <w:r>
                    <w:rPr>
                      <w:rFonts w:hint="eastAsia"/>
                      <w:iCs/>
                    </w:rPr>
                    <w:t>委托第三方监测单位监测</w:t>
                  </w:r>
                </w:p>
              </w:tc>
            </w:tr>
          </w:tbl>
          <w:p>
            <w:pPr>
              <w:pStyle w:val="21"/>
              <w:spacing w:line="520" w:lineRule="exact"/>
              <w:ind w:firstLine="482" w:firstLineChars="200"/>
              <w:rPr>
                <w:rFonts w:ascii="Times New Roman" w:hAnsi="Times New Roman"/>
                <w:b/>
                <w:bCs/>
                <w:sz w:val="24"/>
              </w:rPr>
            </w:pPr>
            <w:r>
              <w:rPr>
                <w:rFonts w:hint="eastAsia" w:ascii="Times New Roman" w:hAnsi="Times New Roman"/>
                <w:b/>
                <w:bCs/>
                <w:sz w:val="24"/>
              </w:rPr>
              <w:t>3、</w:t>
            </w:r>
            <w:r>
              <w:rPr>
                <w:rFonts w:ascii="Times New Roman" w:hAnsi="Times New Roman"/>
                <w:b/>
                <w:bCs/>
                <w:sz w:val="24"/>
              </w:rPr>
              <w:t>水</w:t>
            </w:r>
            <w:r>
              <w:rPr>
                <w:rFonts w:hint="eastAsia" w:ascii="Times New Roman" w:hAnsi="Times New Roman"/>
                <w:b/>
                <w:bCs/>
                <w:sz w:val="24"/>
              </w:rPr>
              <w:t>环境影响减缓措施</w:t>
            </w:r>
          </w:p>
          <w:p>
            <w:pPr>
              <w:pStyle w:val="14"/>
              <w:spacing w:before="0" w:after="0" w:line="520" w:lineRule="exact"/>
              <w:ind w:right="0" w:firstLine="480" w:firstLineChars="200"/>
              <w:rPr>
                <w:kern w:val="2"/>
                <w:sz w:val="24"/>
                <w:szCs w:val="24"/>
              </w:rPr>
            </w:pPr>
            <w:r>
              <w:rPr>
                <w:rFonts w:hint="eastAsia"/>
                <w:sz w:val="24"/>
                <w:szCs w:val="24"/>
              </w:rPr>
              <w:t>矿区不设置办公生活区，矿区设置1座防渗环保厕所，配套10m³防渗储粪池，定期委托环卫部门进行清运。车辆清洗废水经过沉淀后循环利用不外排。。</w:t>
            </w:r>
          </w:p>
          <w:p>
            <w:pPr>
              <w:pStyle w:val="21"/>
              <w:spacing w:line="520" w:lineRule="exact"/>
              <w:ind w:firstLine="482" w:firstLineChars="200"/>
              <w:rPr>
                <w:rFonts w:ascii="Times New Roman" w:hAnsi="Times New Roman"/>
                <w:b/>
                <w:bCs/>
                <w:sz w:val="24"/>
              </w:rPr>
            </w:pPr>
            <w:r>
              <w:rPr>
                <w:rFonts w:hint="eastAsia" w:ascii="Times New Roman" w:hAnsi="Times New Roman"/>
                <w:b/>
                <w:bCs/>
                <w:sz w:val="24"/>
              </w:rPr>
              <w:t>4、声环境影响减缓措施</w:t>
            </w:r>
          </w:p>
          <w:p>
            <w:pPr>
              <w:widowControl/>
              <w:autoSpaceDE w:val="0"/>
              <w:autoSpaceDN w:val="0"/>
              <w:spacing w:line="520" w:lineRule="exact"/>
              <w:ind w:firstLine="482" w:firstLineChars="200"/>
              <w:rPr>
                <w:b/>
                <w:bCs/>
                <w:sz w:val="24"/>
              </w:rPr>
            </w:pPr>
            <w:r>
              <w:rPr>
                <w:rFonts w:hint="eastAsia"/>
                <w:b/>
                <w:bCs/>
                <w:sz w:val="24"/>
              </w:rPr>
              <w:t>4</w:t>
            </w:r>
            <w:r>
              <w:rPr>
                <w:b/>
                <w:bCs/>
                <w:sz w:val="24"/>
              </w:rPr>
              <w:t>.1预测结果及分析</w:t>
            </w:r>
          </w:p>
          <w:p>
            <w:pPr>
              <w:widowControl/>
              <w:autoSpaceDE w:val="0"/>
              <w:autoSpaceDN w:val="0"/>
              <w:spacing w:line="520" w:lineRule="exact"/>
              <w:ind w:firstLine="480" w:firstLineChars="200"/>
              <w:rPr>
                <w:sz w:val="24"/>
              </w:rPr>
            </w:pPr>
            <w:r>
              <w:rPr>
                <w:sz w:val="24"/>
              </w:rPr>
              <w:t>根据预测模式及噪声源强参数及各产噪设备噪声源强及不同距离的预测值详见表4-4。</w:t>
            </w:r>
          </w:p>
          <w:p>
            <w:pPr>
              <w:pStyle w:val="78"/>
            </w:pPr>
            <w:r>
              <w:t xml:space="preserve">表4-4 </w:t>
            </w:r>
            <w:r>
              <w:rPr>
                <w:rFonts w:hint="eastAsia"/>
              </w:rPr>
              <w:t xml:space="preserve">   </w:t>
            </w:r>
            <w:r>
              <w:t>施工设备噪声类比及预测结果表     单位：Leq[dB(A)]</w:t>
            </w:r>
          </w:p>
          <w:tbl>
            <w:tblPr>
              <w:tblStyle w:val="31"/>
              <w:tblW w:w="8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734"/>
              <w:gridCol w:w="782"/>
              <w:gridCol w:w="796"/>
              <w:gridCol w:w="795"/>
              <w:gridCol w:w="808"/>
              <w:gridCol w:w="808"/>
              <w:gridCol w:w="808"/>
              <w:gridCol w:w="808"/>
              <w:gridCol w:w="808"/>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12" w:hRule="atLeast"/>
                <w:jc w:val="center"/>
              </w:trPr>
              <w:tc>
                <w:tcPr>
                  <w:tcW w:w="1734" w:type="dxa"/>
                  <w:vMerge w:val="restart"/>
                  <w:tcBorders>
                    <w:top w:val="single" w:color="auto" w:sz="12" w:space="0"/>
                    <w:left w:val="nil"/>
                    <w:tl2br w:val="single" w:color="auto" w:sz="4" w:space="0"/>
                  </w:tcBorders>
                </w:tcPr>
                <w:p>
                  <w:pPr>
                    <w:pStyle w:val="79"/>
                    <w:adjustRightInd w:val="0"/>
                    <w:snapToGrid w:val="0"/>
                  </w:pPr>
                  <w:r>
                    <w:t>噪声值dB（A）</w:t>
                  </w:r>
                </w:p>
                <w:p>
                  <w:pPr>
                    <w:pStyle w:val="79"/>
                    <w:adjustRightInd w:val="0"/>
                    <w:snapToGrid w:val="0"/>
                  </w:pPr>
                  <w:r>
                    <w:t>噪声类型</w:t>
                  </w:r>
                </w:p>
              </w:tc>
              <w:tc>
                <w:tcPr>
                  <w:tcW w:w="6419" w:type="dxa"/>
                  <w:gridSpan w:val="9"/>
                  <w:tcBorders>
                    <w:top w:val="single" w:color="auto" w:sz="12" w:space="0"/>
                    <w:right w:val="nil"/>
                  </w:tcBorders>
                  <w:vAlign w:val="center"/>
                </w:tcPr>
                <w:p>
                  <w:pPr>
                    <w:pStyle w:val="79"/>
                    <w:adjustRightInd w:val="0"/>
                    <w:snapToGrid w:val="0"/>
                  </w:pPr>
                  <w:r>
                    <w:t>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vMerge w:val="continue"/>
                  <w:tcBorders>
                    <w:left w:val="nil"/>
                    <w:tl2br w:val="single" w:color="auto" w:sz="4" w:space="0"/>
                  </w:tcBorders>
                </w:tcPr>
                <w:p>
                  <w:pPr>
                    <w:pStyle w:val="79"/>
                    <w:adjustRightInd w:val="0"/>
                    <w:snapToGrid w:val="0"/>
                  </w:pPr>
                </w:p>
              </w:tc>
              <w:tc>
                <w:tcPr>
                  <w:tcW w:w="782" w:type="dxa"/>
                  <w:vAlign w:val="center"/>
                </w:tcPr>
                <w:p>
                  <w:pPr>
                    <w:pStyle w:val="79"/>
                    <w:adjustRightInd w:val="0"/>
                    <w:snapToGrid w:val="0"/>
                  </w:pPr>
                  <w:r>
                    <w:t>5m</w:t>
                  </w:r>
                </w:p>
              </w:tc>
              <w:tc>
                <w:tcPr>
                  <w:tcW w:w="796" w:type="dxa"/>
                  <w:vAlign w:val="center"/>
                </w:tcPr>
                <w:p>
                  <w:pPr>
                    <w:pStyle w:val="79"/>
                    <w:adjustRightInd w:val="0"/>
                    <w:snapToGrid w:val="0"/>
                  </w:pPr>
                  <w:r>
                    <w:t>15m</w:t>
                  </w:r>
                </w:p>
              </w:tc>
              <w:tc>
                <w:tcPr>
                  <w:tcW w:w="795" w:type="dxa"/>
                  <w:vAlign w:val="center"/>
                </w:tcPr>
                <w:p>
                  <w:pPr>
                    <w:pStyle w:val="79"/>
                    <w:adjustRightInd w:val="0"/>
                    <w:snapToGrid w:val="0"/>
                  </w:pPr>
                  <w:r>
                    <w:t>50m</w:t>
                  </w:r>
                </w:p>
              </w:tc>
              <w:tc>
                <w:tcPr>
                  <w:tcW w:w="808" w:type="dxa"/>
                  <w:vAlign w:val="center"/>
                </w:tcPr>
                <w:p>
                  <w:pPr>
                    <w:pStyle w:val="79"/>
                    <w:adjustRightInd w:val="0"/>
                    <w:snapToGrid w:val="0"/>
                  </w:pPr>
                  <w:r>
                    <w:t>100m</w:t>
                  </w:r>
                </w:p>
              </w:tc>
              <w:tc>
                <w:tcPr>
                  <w:tcW w:w="808" w:type="dxa"/>
                  <w:vAlign w:val="center"/>
                </w:tcPr>
                <w:p>
                  <w:pPr>
                    <w:pStyle w:val="79"/>
                    <w:adjustRightInd w:val="0"/>
                    <w:snapToGrid w:val="0"/>
                  </w:pPr>
                  <w:r>
                    <w:t>200m</w:t>
                  </w:r>
                </w:p>
              </w:tc>
              <w:tc>
                <w:tcPr>
                  <w:tcW w:w="808" w:type="dxa"/>
                  <w:vAlign w:val="center"/>
                </w:tcPr>
                <w:p>
                  <w:pPr>
                    <w:pStyle w:val="79"/>
                    <w:adjustRightInd w:val="0"/>
                    <w:snapToGrid w:val="0"/>
                  </w:pPr>
                  <w:r>
                    <w:t>300m</w:t>
                  </w:r>
                </w:p>
              </w:tc>
              <w:tc>
                <w:tcPr>
                  <w:tcW w:w="808" w:type="dxa"/>
                  <w:vAlign w:val="center"/>
                </w:tcPr>
                <w:p>
                  <w:pPr>
                    <w:pStyle w:val="79"/>
                    <w:adjustRightInd w:val="0"/>
                    <w:snapToGrid w:val="0"/>
                  </w:pPr>
                  <w:r>
                    <w:t>500m</w:t>
                  </w:r>
                </w:p>
              </w:tc>
              <w:tc>
                <w:tcPr>
                  <w:tcW w:w="808" w:type="dxa"/>
                  <w:tcBorders>
                    <w:right w:val="nil"/>
                  </w:tcBorders>
                  <w:vAlign w:val="center"/>
                </w:tcPr>
                <w:p>
                  <w:pPr>
                    <w:pStyle w:val="79"/>
                    <w:adjustRightInd w:val="0"/>
                    <w:snapToGrid w:val="0"/>
                  </w:pPr>
                  <w:r>
                    <w:t>600m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tcBorders>
                    <w:left w:val="nil"/>
                  </w:tcBorders>
                </w:tcPr>
                <w:p>
                  <w:pPr>
                    <w:pStyle w:val="79"/>
                    <w:adjustRightInd w:val="0"/>
                    <w:snapToGrid w:val="0"/>
                  </w:pPr>
                  <w:r>
                    <w:rPr>
                      <w:rFonts w:hint="eastAsia"/>
                    </w:rPr>
                    <w:t>挖掘机</w:t>
                  </w:r>
                </w:p>
              </w:tc>
              <w:tc>
                <w:tcPr>
                  <w:tcW w:w="782" w:type="dxa"/>
                </w:tcPr>
                <w:p>
                  <w:pPr>
                    <w:pStyle w:val="79"/>
                    <w:adjustRightInd w:val="0"/>
                    <w:snapToGrid w:val="0"/>
                  </w:pPr>
                  <w:r>
                    <w:t>84</w:t>
                  </w:r>
                </w:p>
              </w:tc>
              <w:tc>
                <w:tcPr>
                  <w:tcW w:w="796" w:type="dxa"/>
                </w:tcPr>
                <w:p>
                  <w:pPr>
                    <w:pStyle w:val="79"/>
                    <w:adjustRightInd w:val="0"/>
                    <w:snapToGrid w:val="0"/>
                  </w:pPr>
                  <w:r>
                    <w:t>74.5</w:t>
                  </w:r>
                </w:p>
              </w:tc>
              <w:tc>
                <w:tcPr>
                  <w:tcW w:w="795" w:type="dxa"/>
                </w:tcPr>
                <w:p>
                  <w:pPr>
                    <w:pStyle w:val="79"/>
                    <w:adjustRightInd w:val="0"/>
                    <w:snapToGrid w:val="0"/>
                  </w:pPr>
                  <w:r>
                    <w:t>64</w:t>
                  </w:r>
                </w:p>
              </w:tc>
              <w:tc>
                <w:tcPr>
                  <w:tcW w:w="808" w:type="dxa"/>
                </w:tcPr>
                <w:p>
                  <w:pPr>
                    <w:pStyle w:val="79"/>
                    <w:adjustRightInd w:val="0"/>
                    <w:snapToGrid w:val="0"/>
                  </w:pPr>
                  <w:r>
                    <w:t>58</w:t>
                  </w:r>
                </w:p>
              </w:tc>
              <w:tc>
                <w:tcPr>
                  <w:tcW w:w="808" w:type="dxa"/>
                </w:tcPr>
                <w:p>
                  <w:pPr>
                    <w:pStyle w:val="79"/>
                    <w:adjustRightInd w:val="0"/>
                    <w:snapToGrid w:val="0"/>
                  </w:pPr>
                  <w:r>
                    <w:t>52</w:t>
                  </w:r>
                </w:p>
              </w:tc>
              <w:tc>
                <w:tcPr>
                  <w:tcW w:w="808" w:type="dxa"/>
                </w:tcPr>
                <w:p>
                  <w:pPr>
                    <w:pStyle w:val="79"/>
                    <w:adjustRightInd w:val="0"/>
                    <w:snapToGrid w:val="0"/>
                  </w:pPr>
                  <w:r>
                    <w:t>48.5</w:t>
                  </w:r>
                </w:p>
              </w:tc>
              <w:tc>
                <w:tcPr>
                  <w:tcW w:w="808" w:type="dxa"/>
                </w:tcPr>
                <w:p>
                  <w:pPr>
                    <w:pStyle w:val="79"/>
                    <w:adjustRightInd w:val="0"/>
                    <w:snapToGrid w:val="0"/>
                  </w:pPr>
                  <w:r>
                    <w:t>44</w:t>
                  </w:r>
                </w:p>
              </w:tc>
              <w:tc>
                <w:tcPr>
                  <w:tcW w:w="808" w:type="dxa"/>
                  <w:tcBorders>
                    <w:right w:val="nil"/>
                  </w:tcBorders>
                </w:tcPr>
                <w:p>
                  <w:pPr>
                    <w:pStyle w:val="79"/>
                    <w:adjustRightInd w:val="0"/>
                    <w:snapToGrid w:val="0"/>
                  </w:pPr>
                  <w: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tcBorders>
                    <w:left w:val="nil"/>
                  </w:tcBorders>
                </w:tcPr>
                <w:p>
                  <w:pPr>
                    <w:pStyle w:val="79"/>
                    <w:adjustRightInd w:val="0"/>
                    <w:snapToGrid w:val="0"/>
                  </w:pPr>
                  <w:r>
                    <w:rPr>
                      <w:rFonts w:hint="eastAsia"/>
                    </w:rPr>
                    <w:t>装载机</w:t>
                  </w:r>
                </w:p>
              </w:tc>
              <w:tc>
                <w:tcPr>
                  <w:tcW w:w="782" w:type="dxa"/>
                </w:tcPr>
                <w:p>
                  <w:pPr>
                    <w:pStyle w:val="79"/>
                    <w:adjustRightInd w:val="0"/>
                    <w:snapToGrid w:val="0"/>
                  </w:pPr>
                  <w:r>
                    <w:t>86</w:t>
                  </w:r>
                </w:p>
              </w:tc>
              <w:tc>
                <w:tcPr>
                  <w:tcW w:w="796" w:type="dxa"/>
                </w:tcPr>
                <w:p>
                  <w:pPr>
                    <w:pStyle w:val="79"/>
                    <w:adjustRightInd w:val="0"/>
                    <w:snapToGrid w:val="0"/>
                  </w:pPr>
                  <w:r>
                    <w:t>76.5</w:t>
                  </w:r>
                </w:p>
              </w:tc>
              <w:tc>
                <w:tcPr>
                  <w:tcW w:w="795" w:type="dxa"/>
                </w:tcPr>
                <w:p>
                  <w:pPr>
                    <w:pStyle w:val="79"/>
                    <w:adjustRightInd w:val="0"/>
                    <w:snapToGrid w:val="0"/>
                  </w:pPr>
                  <w:r>
                    <w:t>66</w:t>
                  </w:r>
                </w:p>
              </w:tc>
              <w:tc>
                <w:tcPr>
                  <w:tcW w:w="808" w:type="dxa"/>
                </w:tcPr>
                <w:p>
                  <w:pPr>
                    <w:pStyle w:val="79"/>
                    <w:adjustRightInd w:val="0"/>
                    <w:snapToGrid w:val="0"/>
                  </w:pPr>
                  <w:r>
                    <w:t>60</w:t>
                  </w:r>
                </w:p>
              </w:tc>
              <w:tc>
                <w:tcPr>
                  <w:tcW w:w="808" w:type="dxa"/>
                </w:tcPr>
                <w:p>
                  <w:pPr>
                    <w:pStyle w:val="79"/>
                    <w:adjustRightInd w:val="0"/>
                    <w:snapToGrid w:val="0"/>
                  </w:pPr>
                  <w:r>
                    <w:t>54</w:t>
                  </w:r>
                </w:p>
              </w:tc>
              <w:tc>
                <w:tcPr>
                  <w:tcW w:w="808" w:type="dxa"/>
                </w:tcPr>
                <w:p>
                  <w:pPr>
                    <w:pStyle w:val="79"/>
                    <w:adjustRightInd w:val="0"/>
                    <w:snapToGrid w:val="0"/>
                  </w:pPr>
                  <w:r>
                    <w:t>50.5</w:t>
                  </w:r>
                </w:p>
              </w:tc>
              <w:tc>
                <w:tcPr>
                  <w:tcW w:w="808" w:type="dxa"/>
                </w:tcPr>
                <w:p>
                  <w:pPr>
                    <w:pStyle w:val="79"/>
                    <w:adjustRightInd w:val="0"/>
                    <w:snapToGrid w:val="0"/>
                  </w:pPr>
                  <w:r>
                    <w:t>46</w:t>
                  </w:r>
                </w:p>
              </w:tc>
              <w:tc>
                <w:tcPr>
                  <w:tcW w:w="808" w:type="dxa"/>
                  <w:tcBorders>
                    <w:right w:val="nil"/>
                  </w:tcBorders>
                </w:tcPr>
                <w:p>
                  <w:pPr>
                    <w:pStyle w:val="79"/>
                    <w:adjustRightInd w:val="0"/>
                    <w:snapToGrid w:val="0"/>
                  </w:pPr>
                  <w: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gridAfter w:val="1"/>
                <w:wAfter w:w="6" w:type="dxa"/>
                <w:trHeight w:val="12" w:hRule="atLeast"/>
                <w:jc w:val="center"/>
              </w:trPr>
              <w:tc>
                <w:tcPr>
                  <w:tcW w:w="1734" w:type="dxa"/>
                  <w:tcBorders>
                    <w:left w:val="nil"/>
                  </w:tcBorders>
                </w:tcPr>
                <w:p>
                  <w:pPr>
                    <w:pStyle w:val="79"/>
                    <w:adjustRightInd w:val="0"/>
                    <w:snapToGrid w:val="0"/>
                  </w:pPr>
                  <w:r>
                    <w:t>自卸卡车</w:t>
                  </w:r>
                </w:p>
              </w:tc>
              <w:tc>
                <w:tcPr>
                  <w:tcW w:w="782" w:type="dxa"/>
                </w:tcPr>
                <w:p>
                  <w:pPr>
                    <w:pStyle w:val="79"/>
                    <w:adjustRightInd w:val="0"/>
                    <w:snapToGrid w:val="0"/>
                  </w:pPr>
                  <w:r>
                    <w:t>89</w:t>
                  </w:r>
                </w:p>
              </w:tc>
              <w:tc>
                <w:tcPr>
                  <w:tcW w:w="796" w:type="dxa"/>
                </w:tcPr>
                <w:p>
                  <w:pPr>
                    <w:pStyle w:val="79"/>
                    <w:adjustRightInd w:val="0"/>
                    <w:snapToGrid w:val="0"/>
                  </w:pPr>
                  <w:r>
                    <w:t>79.5</w:t>
                  </w:r>
                </w:p>
              </w:tc>
              <w:tc>
                <w:tcPr>
                  <w:tcW w:w="795" w:type="dxa"/>
                </w:tcPr>
                <w:p>
                  <w:pPr>
                    <w:pStyle w:val="79"/>
                    <w:adjustRightInd w:val="0"/>
                    <w:snapToGrid w:val="0"/>
                  </w:pPr>
                  <w:r>
                    <w:t>69</w:t>
                  </w:r>
                </w:p>
              </w:tc>
              <w:tc>
                <w:tcPr>
                  <w:tcW w:w="808" w:type="dxa"/>
                </w:tcPr>
                <w:p>
                  <w:pPr>
                    <w:pStyle w:val="79"/>
                    <w:adjustRightInd w:val="0"/>
                    <w:snapToGrid w:val="0"/>
                  </w:pPr>
                  <w:r>
                    <w:t>63</w:t>
                  </w:r>
                </w:p>
              </w:tc>
              <w:tc>
                <w:tcPr>
                  <w:tcW w:w="808" w:type="dxa"/>
                </w:tcPr>
                <w:p>
                  <w:pPr>
                    <w:pStyle w:val="79"/>
                    <w:adjustRightInd w:val="0"/>
                    <w:snapToGrid w:val="0"/>
                  </w:pPr>
                  <w:r>
                    <w:t>57</w:t>
                  </w:r>
                </w:p>
              </w:tc>
              <w:tc>
                <w:tcPr>
                  <w:tcW w:w="808" w:type="dxa"/>
                </w:tcPr>
                <w:p>
                  <w:pPr>
                    <w:pStyle w:val="79"/>
                    <w:adjustRightInd w:val="0"/>
                    <w:snapToGrid w:val="0"/>
                  </w:pPr>
                  <w:r>
                    <w:t>53.5</w:t>
                  </w:r>
                </w:p>
              </w:tc>
              <w:tc>
                <w:tcPr>
                  <w:tcW w:w="808" w:type="dxa"/>
                </w:tcPr>
                <w:p>
                  <w:pPr>
                    <w:pStyle w:val="79"/>
                    <w:adjustRightInd w:val="0"/>
                    <w:snapToGrid w:val="0"/>
                  </w:pPr>
                  <w:r>
                    <w:t>49</w:t>
                  </w:r>
                </w:p>
              </w:tc>
              <w:tc>
                <w:tcPr>
                  <w:tcW w:w="808" w:type="dxa"/>
                  <w:tcBorders>
                    <w:right w:val="nil"/>
                  </w:tcBorders>
                </w:tcPr>
                <w:p>
                  <w:pPr>
                    <w:pStyle w:val="79"/>
                    <w:adjustRightInd w:val="0"/>
                    <w:snapToGrid w:val="0"/>
                  </w:pPr>
                  <w:r>
                    <w:t>47.5</w:t>
                  </w:r>
                </w:p>
              </w:tc>
            </w:tr>
          </w:tbl>
          <w:p>
            <w:pPr>
              <w:widowControl/>
              <w:autoSpaceDE w:val="0"/>
              <w:autoSpaceDN w:val="0"/>
              <w:spacing w:line="520" w:lineRule="exact"/>
              <w:ind w:firstLine="480" w:firstLineChars="200"/>
              <w:rPr>
                <w:sz w:val="24"/>
              </w:rPr>
            </w:pPr>
            <w:r>
              <w:rPr>
                <w:sz w:val="24"/>
              </w:rPr>
              <w:t>由上表可见，</w:t>
            </w:r>
            <w:r>
              <w:rPr>
                <w:rFonts w:hint="eastAsia"/>
                <w:sz w:val="24"/>
              </w:rPr>
              <w:t>在施工区域两侧昼间的</w:t>
            </w:r>
            <w:r>
              <w:rPr>
                <w:sz w:val="24"/>
              </w:rPr>
              <w:t>10</w:t>
            </w:r>
            <w:r>
              <w:rPr>
                <w:rFonts w:hint="eastAsia"/>
                <w:sz w:val="24"/>
              </w:rPr>
              <w:t>0m以外，夜间2</w:t>
            </w:r>
            <w:r>
              <w:rPr>
                <w:sz w:val="24"/>
              </w:rPr>
              <w:t>00</w:t>
            </w:r>
            <w:r>
              <w:rPr>
                <w:rFonts w:hint="eastAsia"/>
                <w:sz w:val="24"/>
              </w:rPr>
              <w:t>m以外</w:t>
            </w:r>
            <w:r>
              <w:rPr>
                <w:sz w:val="24"/>
              </w:rPr>
              <w:t>贡献值满足《工业企业厂界环境噪声排放标准》（GB12348-2008）中</w:t>
            </w:r>
            <w:r>
              <w:rPr>
                <w:rFonts w:hint="eastAsia"/>
                <w:sz w:val="24"/>
              </w:rPr>
              <w:t>2</w:t>
            </w:r>
            <w:r>
              <w:rPr>
                <w:sz w:val="24"/>
              </w:rPr>
              <w:t>类标准要求。</w:t>
            </w:r>
            <w:r>
              <w:rPr>
                <w:rFonts w:hint="eastAsia"/>
                <w:sz w:val="24"/>
              </w:rPr>
              <w:t>因此，施工人员受施工噪声的影响很大。</w:t>
            </w:r>
          </w:p>
          <w:p>
            <w:pPr>
              <w:widowControl/>
              <w:autoSpaceDE w:val="0"/>
              <w:autoSpaceDN w:val="0"/>
              <w:spacing w:line="520" w:lineRule="exact"/>
              <w:ind w:firstLine="482" w:firstLineChars="200"/>
              <w:rPr>
                <w:b/>
                <w:bCs/>
                <w:sz w:val="24"/>
              </w:rPr>
            </w:pPr>
            <w:r>
              <w:rPr>
                <w:rFonts w:hint="eastAsia"/>
                <w:b/>
                <w:bCs/>
                <w:sz w:val="24"/>
              </w:rPr>
              <w:t>4.</w:t>
            </w:r>
            <w:r>
              <w:rPr>
                <w:b/>
                <w:bCs/>
                <w:sz w:val="24"/>
              </w:rPr>
              <w:t>2</w:t>
            </w:r>
            <w:r>
              <w:rPr>
                <w:rFonts w:hint="eastAsia"/>
                <w:b/>
                <w:bCs/>
                <w:sz w:val="24"/>
              </w:rPr>
              <w:t>声环境保护措施</w:t>
            </w:r>
          </w:p>
          <w:p>
            <w:pPr>
              <w:adjustRightInd w:val="0"/>
              <w:snapToGrid w:val="0"/>
              <w:spacing w:line="520" w:lineRule="exact"/>
              <w:ind w:firstLine="480" w:firstLineChars="200"/>
              <w:rPr>
                <w:sz w:val="24"/>
              </w:rPr>
            </w:pPr>
            <w:r>
              <w:rPr>
                <w:rFonts w:ascii="宋体" w:hAnsi="宋体"/>
                <w:sz w:val="24"/>
              </w:rPr>
              <w:t>项目在建设过程拟采取如下降噪措施：</w:t>
            </w:r>
          </w:p>
          <w:p>
            <w:pPr>
              <w:adjustRightInd w:val="0"/>
              <w:snapToGrid w:val="0"/>
              <w:spacing w:line="520" w:lineRule="exact"/>
              <w:ind w:firstLine="480" w:firstLineChars="200"/>
              <w:rPr>
                <w:sz w:val="24"/>
              </w:rPr>
            </w:pPr>
            <w:r>
              <w:rPr>
                <w:rFonts w:hint="eastAsia" w:ascii="宋体" w:hAnsi="宋体" w:cs="宋体"/>
                <w:sz w:val="24"/>
              </w:rPr>
              <w:t>①</w:t>
            </w:r>
            <w:r>
              <w:rPr>
                <w:rFonts w:hint="eastAsia" w:ascii="宋体" w:hAnsi="宋体"/>
                <w:sz w:val="24"/>
              </w:rPr>
              <w:t>选用低噪声的施工机械和先进的工艺，加强设备的维护和保养，保持机械润滑，降低运行噪声。</w:t>
            </w:r>
          </w:p>
          <w:p>
            <w:pPr>
              <w:adjustRightInd w:val="0"/>
              <w:snapToGrid w:val="0"/>
              <w:spacing w:line="520" w:lineRule="exact"/>
              <w:ind w:firstLine="480" w:firstLineChars="200"/>
              <w:rPr>
                <w:sz w:val="24"/>
              </w:rPr>
            </w:pPr>
            <w:r>
              <w:rPr>
                <w:rFonts w:hint="eastAsia" w:ascii="宋体" w:hAnsi="宋体" w:cs="宋体"/>
                <w:sz w:val="24"/>
              </w:rPr>
              <w:t>②</w:t>
            </w:r>
            <w:r>
              <w:rPr>
                <w:rFonts w:hint="eastAsia" w:ascii="宋体" w:hAnsi="宋体"/>
                <w:sz w:val="24"/>
              </w:rPr>
              <w:t>合理安排运输时间，选择最佳进场道路，运输车辆尽量保持良好车况，合理调度，尽可能匀速慢行，车辆经过村镇及居民区时应低速、禁鸣。</w:t>
            </w:r>
          </w:p>
          <w:p>
            <w:pPr>
              <w:adjustRightInd w:val="0"/>
              <w:snapToGrid w:val="0"/>
              <w:spacing w:line="520" w:lineRule="exact"/>
              <w:ind w:firstLine="480" w:firstLineChars="200"/>
              <w:rPr>
                <w:sz w:val="24"/>
              </w:rPr>
            </w:pPr>
            <w:r>
              <w:rPr>
                <w:rFonts w:hint="eastAsia" w:ascii="宋体" w:hAnsi="宋体" w:cs="宋体"/>
                <w:sz w:val="24"/>
              </w:rPr>
              <w:t>③</w:t>
            </w:r>
            <w:r>
              <w:rPr>
                <w:rFonts w:hint="eastAsia" w:ascii="宋体" w:hAnsi="宋体"/>
                <w:sz w:val="24"/>
              </w:rPr>
              <w:t>加强施工人员个人防护，给高噪声设备操作人员配备耳塞、耳罩等防护用具，严格落实劳动保护。</w:t>
            </w:r>
          </w:p>
          <w:p>
            <w:pPr>
              <w:pStyle w:val="36"/>
              <w:spacing w:line="520" w:lineRule="exact"/>
              <w:ind w:firstLine="480" w:firstLineChars="200"/>
              <w:rPr>
                <w:color w:val="auto"/>
              </w:rPr>
            </w:pPr>
            <w:r>
              <w:rPr>
                <w:rFonts w:hAnsi="宋体"/>
                <w:color w:val="auto"/>
              </w:rPr>
              <w:t>采取上述措施后可有效减少</w:t>
            </w:r>
            <w:r>
              <w:rPr>
                <w:rFonts w:hint="eastAsia" w:ascii="Times New Roman"/>
                <w:color w:val="auto"/>
              </w:rPr>
              <w:t>20</w:t>
            </w:r>
            <w:r>
              <w:rPr>
                <w:rFonts w:ascii="Times New Roman"/>
                <w:color w:val="auto"/>
              </w:rPr>
              <w:t>dB</w:t>
            </w:r>
            <w:r>
              <w:rPr>
                <w:rFonts w:hint="eastAsia" w:hAnsi="宋体"/>
                <w:color w:val="auto"/>
              </w:rPr>
              <w:t>（</w:t>
            </w:r>
            <w:r>
              <w:rPr>
                <w:rFonts w:hint="eastAsia" w:ascii="Times New Roman"/>
                <w:color w:val="auto"/>
              </w:rPr>
              <w:t>A</w:t>
            </w:r>
            <w:r>
              <w:rPr>
                <w:rFonts w:hint="eastAsia" w:hAnsi="宋体"/>
                <w:color w:val="auto"/>
              </w:rPr>
              <w:t>）</w:t>
            </w:r>
            <w:r>
              <w:rPr>
                <w:rFonts w:hAnsi="宋体"/>
                <w:color w:val="auto"/>
              </w:rPr>
              <w:t>。</w:t>
            </w:r>
          </w:p>
          <w:p>
            <w:pPr>
              <w:pStyle w:val="14"/>
              <w:spacing w:before="0" w:after="0" w:line="520" w:lineRule="exact"/>
              <w:ind w:right="0" w:firstLine="482" w:firstLineChars="200"/>
              <w:rPr>
                <w:b/>
                <w:bCs/>
                <w:kern w:val="2"/>
                <w:sz w:val="24"/>
                <w:szCs w:val="24"/>
              </w:rPr>
            </w:pPr>
            <w:r>
              <w:rPr>
                <w:rFonts w:hint="eastAsia"/>
                <w:b/>
                <w:bCs/>
                <w:kern w:val="2"/>
                <w:sz w:val="24"/>
                <w:szCs w:val="24"/>
              </w:rPr>
              <w:t>4.3声环境监测计划</w:t>
            </w:r>
          </w:p>
          <w:p>
            <w:pPr>
              <w:pStyle w:val="14"/>
              <w:spacing w:before="0" w:after="0" w:line="520" w:lineRule="exact"/>
              <w:ind w:right="0" w:firstLine="480" w:firstLineChars="200"/>
              <w:rPr>
                <w:kern w:val="2"/>
                <w:sz w:val="24"/>
                <w:szCs w:val="24"/>
              </w:rPr>
            </w:pPr>
            <w:r>
              <w:rPr>
                <w:rFonts w:hint="eastAsia"/>
                <w:sz w:val="24"/>
              </w:rPr>
              <w:t>根据《排污单位自行监测技术指南 总则》（H</w:t>
            </w:r>
            <w:r>
              <w:rPr>
                <w:sz w:val="24"/>
              </w:rPr>
              <w:t>J820-2017</w:t>
            </w:r>
            <w:r>
              <w:rPr>
                <w:rFonts w:hint="eastAsia"/>
                <w:sz w:val="24"/>
              </w:rPr>
              <w:t>）相关规定，</w:t>
            </w:r>
            <w:r>
              <w:rPr>
                <w:rFonts w:hint="eastAsia"/>
                <w:kern w:val="2"/>
                <w:sz w:val="24"/>
                <w:szCs w:val="24"/>
              </w:rPr>
              <w:t>声环境监测计划见表5-</w:t>
            </w:r>
            <w:r>
              <w:rPr>
                <w:kern w:val="2"/>
                <w:sz w:val="24"/>
                <w:szCs w:val="24"/>
              </w:rPr>
              <w:t>5</w:t>
            </w:r>
            <w:r>
              <w:rPr>
                <w:rFonts w:hint="eastAsia"/>
                <w:kern w:val="2"/>
                <w:sz w:val="24"/>
                <w:szCs w:val="24"/>
              </w:rPr>
              <w:t>。</w:t>
            </w:r>
          </w:p>
          <w:p>
            <w:pPr>
              <w:widowControl/>
              <w:ind w:firstLine="480" w:firstLineChars="200"/>
              <w:jc w:val="center"/>
              <w:rPr>
                <w:rFonts w:eastAsia="黑体"/>
                <w:sz w:val="24"/>
              </w:rPr>
            </w:pPr>
            <w:r>
              <w:rPr>
                <w:rFonts w:hint="eastAsia" w:eastAsia="黑体"/>
                <w:sz w:val="24"/>
              </w:rPr>
              <w:t>表5-</w:t>
            </w:r>
            <w:r>
              <w:rPr>
                <w:rFonts w:eastAsia="黑体"/>
                <w:sz w:val="24"/>
              </w:rPr>
              <w:t>5</w:t>
            </w:r>
            <w:r>
              <w:rPr>
                <w:rFonts w:hint="eastAsia" w:eastAsia="黑体"/>
                <w:sz w:val="24"/>
              </w:rPr>
              <w:t xml:space="preserve">    声环境监测计划</w:t>
            </w:r>
          </w:p>
          <w:tbl>
            <w:tblPr>
              <w:tblStyle w:val="31"/>
              <w:tblW w:w="823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525"/>
              <w:gridCol w:w="1471"/>
              <w:gridCol w:w="1320"/>
              <w:gridCol w:w="25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83" w:type="dxa"/>
                  <w:vAlign w:val="center"/>
                </w:tcPr>
                <w:p>
                  <w:pPr>
                    <w:pStyle w:val="14"/>
                    <w:spacing w:before="0" w:after="0" w:line="240" w:lineRule="auto"/>
                    <w:ind w:right="0"/>
                    <w:jc w:val="center"/>
                    <w:rPr>
                      <w:kern w:val="2"/>
                      <w:sz w:val="21"/>
                      <w:szCs w:val="21"/>
                    </w:rPr>
                  </w:pPr>
                  <w:r>
                    <w:rPr>
                      <w:kern w:val="2"/>
                      <w:sz w:val="21"/>
                      <w:szCs w:val="21"/>
                    </w:rPr>
                    <w:t>类别</w:t>
                  </w:r>
                </w:p>
              </w:tc>
              <w:tc>
                <w:tcPr>
                  <w:tcW w:w="1525" w:type="dxa"/>
                  <w:vAlign w:val="center"/>
                </w:tcPr>
                <w:p>
                  <w:pPr>
                    <w:pStyle w:val="14"/>
                    <w:spacing w:before="0" w:after="0" w:line="240" w:lineRule="auto"/>
                    <w:ind w:right="0"/>
                    <w:jc w:val="center"/>
                    <w:rPr>
                      <w:kern w:val="2"/>
                      <w:sz w:val="21"/>
                      <w:szCs w:val="21"/>
                    </w:rPr>
                  </w:pPr>
                  <w:r>
                    <w:rPr>
                      <w:kern w:val="2"/>
                      <w:sz w:val="21"/>
                      <w:szCs w:val="21"/>
                    </w:rPr>
                    <w:t>监测位置</w:t>
                  </w:r>
                </w:p>
              </w:tc>
              <w:tc>
                <w:tcPr>
                  <w:tcW w:w="1471" w:type="dxa"/>
                  <w:vAlign w:val="center"/>
                </w:tcPr>
                <w:p>
                  <w:pPr>
                    <w:pStyle w:val="14"/>
                    <w:spacing w:before="0" w:after="0" w:line="240" w:lineRule="auto"/>
                    <w:ind w:right="0"/>
                    <w:jc w:val="center"/>
                    <w:rPr>
                      <w:kern w:val="2"/>
                      <w:sz w:val="21"/>
                      <w:szCs w:val="21"/>
                    </w:rPr>
                  </w:pPr>
                  <w:r>
                    <w:rPr>
                      <w:kern w:val="2"/>
                      <w:sz w:val="21"/>
                      <w:szCs w:val="21"/>
                    </w:rPr>
                    <w:t>监测项目</w:t>
                  </w:r>
                </w:p>
              </w:tc>
              <w:tc>
                <w:tcPr>
                  <w:tcW w:w="1320" w:type="dxa"/>
                  <w:vAlign w:val="center"/>
                </w:tcPr>
                <w:p>
                  <w:pPr>
                    <w:pStyle w:val="14"/>
                    <w:spacing w:before="0" w:after="0" w:line="240" w:lineRule="auto"/>
                    <w:ind w:right="0"/>
                    <w:jc w:val="center"/>
                    <w:rPr>
                      <w:kern w:val="2"/>
                      <w:sz w:val="21"/>
                      <w:szCs w:val="21"/>
                    </w:rPr>
                  </w:pPr>
                  <w:r>
                    <w:rPr>
                      <w:kern w:val="2"/>
                      <w:sz w:val="21"/>
                      <w:szCs w:val="21"/>
                    </w:rPr>
                    <w:t>监测频率</w:t>
                  </w:r>
                </w:p>
              </w:tc>
              <w:tc>
                <w:tcPr>
                  <w:tcW w:w="2539" w:type="dxa"/>
                  <w:vAlign w:val="center"/>
                </w:tcPr>
                <w:p>
                  <w:pPr>
                    <w:pStyle w:val="14"/>
                    <w:spacing w:before="0" w:after="0" w:line="240" w:lineRule="auto"/>
                    <w:ind w:right="0"/>
                    <w:jc w:val="center"/>
                    <w:rPr>
                      <w:kern w:val="2"/>
                      <w:sz w:val="21"/>
                      <w:szCs w:val="21"/>
                    </w:rPr>
                  </w:pPr>
                  <w:r>
                    <w:rPr>
                      <w:kern w:val="2"/>
                      <w:sz w:val="21"/>
                      <w:szCs w:val="21"/>
                    </w:rPr>
                    <w:t>监测方式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383" w:type="dxa"/>
                  <w:vAlign w:val="center"/>
                </w:tcPr>
                <w:p>
                  <w:pPr>
                    <w:pStyle w:val="14"/>
                    <w:spacing w:before="0" w:after="0" w:line="240" w:lineRule="auto"/>
                    <w:ind w:right="0"/>
                    <w:jc w:val="center"/>
                    <w:rPr>
                      <w:kern w:val="2"/>
                      <w:sz w:val="21"/>
                      <w:szCs w:val="21"/>
                    </w:rPr>
                  </w:pPr>
                  <w:r>
                    <w:rPr>
                      <w:rFonts w:hint="eastAsia"/>
                      <w:kern w:val="2"/>
                      <w:sz w:val="21"/>
                      <w:szCs w:val="21"/>
                    </w:rPr>
                    <w:t>污染源监测</w:t>
                  </w:r>
                </w:p>
              </w:tc>
              <w:tc>
                <w:tcPr>
                  <w:tcW w:w="1525" w:type="dxa"/>
                  <w:vAlign w:val="center"/>
                </w:tcPr>
                <w:p>
                  <w:pPr>
                    <w:pStyle w:val="14"/>
                    <w:spacing w:before="0" w:after="0" w:line="240" w:lineRule="auto"/>
                    <w:ind w:right="0"/>
                    <w:jc w:val="center"/>
                    <w:rPr>
                      <w:kern w:val="2"/>
                      <w:sz w:val="21"/>
                      <w:szCs w:val="21"/>
                    </w:rPr>
                  </w:pPr>
                  <w:r>
                    <w:rPr>
                      <w:rFonts w:hint="eastAsia"/>
                      <w:kern w:val="2"/>
                      <w:sz w:val="21"/>
                      <w:szCs w:val="21"/>
                    </w:rPr>
                    <w:t>厂界外1m处</w:t>
                  </w:r>
                </w:p>
              </w:tc>
              <w:tc>
                <w:tcPr>
                  <w:tcW w:w="1471" w:type="dxa"/>
                  <w:vAlign w:val="center"/>
                </w:tcPr>
                <w:p>
                  <w:pPr>
                    <w:pStyle w:val="14"/>
                    <w:spacing w:before="0" w:after="0" w:line="240" w:lineRule="auto"/>
                    <w:ind w:right="0"/>
                    <w:jc w:val="center"/>
                    <w:rPr>
                      <w:kern w:val="2"/>
                      <w:sz w:val="21"/>
                      <w:szCs w:val="21"/>
                    </w:rPr>
                  </w:pPr>
                  <w:r>
                    <w:rPr>
                      <w:rFonts w:hint="eastAsia"/>
                      <w:kern w:val="2"/>
                      <w:sz w:val="21"/>
                      <w:szCs w:val="21"/>
                    </w:rPr>
                    <w:t>Leq(A)</w:t>
                  </w:r>
                </w:p>
              </w:tc>
              <w:tc>
                <w:tcPr>
                  <w:tcW w:w="1320" w:type="dxa"/>
                  <w:vAlign w:val="center"/>
                </w:tcPr>
                <w:p>
                  <w:pPr>
                    <w:pStyle w:val="14"/>
                    <w:spacing w:before="0" w:after="0" w:line="240" w:lineRule="auto"/>
                    <w:ind w:right="0"/>
                    <w:jc w:val="center"/>
                    <w:rPr>
                      <w:kern w:val="2"/>
                      <w:sz w:val="21"/>
                      <w:szCs w:val="21"/>
                    </w:rPr>
                  </w:pPr>
                  <w:r>
                    <w:rPr>
                      <w:rFonts w:hint="eastAsia"/>
                      <w:kern w:val="2"/>
                      <w:sz w:val="21"/>
                      <w:szCs w:val="21"/>
                    </w:rPr>
                    <w:t>1次/季</w:t>
                  </w:r>
                </w:p>
              </w:tc>
              <w:tc>
                <w:tcPr>
                  <w:tcW w:w="2539" w:type="dxa"/>
                  <w:vAlign w:val="center"/>
                </w:tcPr>
                <w:p>
                  <w:pPr>
                    <w:pStyle w:val="14"/>
                    <w:spacing w:before="0" w:after="0" w:line="240" w:lineRule="auto"/>
                    <w:ind w:right="0"/>
                    <w:jc w:val="center"/>
                    <w:rPr>
                      <w:kern w:val="2"/>
                      <w:sz w:val="21"/>
                      <w:szCs w:val="21"/>
                    </w:rPr>
                  </w:pPr>
                  <w:r>
                    <w:rPr>
                      <w:rFonts w:hint="eastAsia"/>
                      <w:kern w:val="2"/>
                      <w:sz w:val="21"/>
                      <w:szCs w:val="21"/>
                    </w:rPr>
                    <w:t>委托第三方监测单位监测</w:t>
                  </w:r>
                </w:p>
              </w:tc>
            </w:tr>
          </w:tbl>
          <w:p>
            <w:pPr>
              <w:pStyle w:val="21"/>
              <w:spacing w:line="520" w:lineRule="exact"/>
              <w:ind w:firstLine="482" w:firstLineChars="200"/>
              <w:rPr>
                <w:rFonts w:ascii="Times New Roman" w:hAnsi="Times New Roman"/>
                <w:b/>
                <w:bCs/>
                <w:sz w:val="24"/>
              </w:rPr>
            </w:pPr>
            <w:r>
              <w:rPr>
                <w:rFonts w:hint="eastAsia" w:ascii="Times New Roman" w:hAnsi="Times New Roman"/>
                <w:b/>
                <w:bCs/>
                <w:sz w:val="24"/>
              </w:rPr>
              <w:t>5、固废环境影响减缓措施</w:t>
            </w:r>
          </w:p>
          <w:p>
            <w:pPr>
              <w:widowControl/>
              <w:adjustRightInd w:val="0"/>
              <w:snapToGrid w:val="0"/>
              <w:spacing w:line="520" w:lineRule="exact"/>
              <w:ind w:firstLine="480" w:firstLineChars="200"/>
              <w:rPr>
                <w:sz w:val="24"/>
              </w:rPr>
            </w:pPr>
            <w:bookmarkStart w:id="35" w:name="_Hlk87534877"/>
            <w:r>
              <w:rPr>
                <w:rFonts w:hint="eastAsia"/>
                <w:sz w:val="24"/>
              </w:rPr>
              <w:t>剥离的表土：表土剥离后暂存堆场，占地面积约1.0hm</w:t>
            </w:r>
            <w:r>
              <w:rPr>
                <w:rFonts w:hint="eastAsia"/>
                <w:sz w:val="24"/>
                <w:vertAlign w:val="superscript"/>
              </w:rPr>
              <w:t>2</w:t>
            </w:r>
            <w:r>
              <w:rPr>
                <w:rFonts w:hint="eastAsia"/>
                <w:sz w:val="24"/>
              </w:rPr>
              <w:t>，最大堆置高度5m。满足矿山生产期1年地表覆盖砂的排放量8.16万t（体积量4.53万m³）堆存需要。在阶段性开采结束后，将地表覆盖砂全部有序清运至露天采坑回填覆盖，以恢复当地生态环境。堆场用苫盖遮挡，堆场周围设立不低于堆放高度的防风抑尘网。</w:t>
            </w:r>
          </w:p>
          <w:bookmarkEnd w:id="35"/>
          <w:p>
            <w:pPr>
              <w:widowControl/>
              <w:adjustRightInd w:val="0"/>
              <w:snapToGrid w:val="0"/>
              <w:spacing w:line="520" w:lineRule="exact"/>
              <w:ind w:firstLine="480" w:firstLineChars="200"/>
              <w:rPr>
                <w:sz w:val="24"/>
              </w:rPr>
            </w:pPr>
            <w:r>
              <w:rPr>
                <w:rFonts w:hint="eastAsia"/>
                <w:sz w:val="24"/>
              </w:rPr>
              <w:t>生活垃圾：本项目不设置办公生活区，</w:t>
            </w:r>
            <w:r>
              <w:rPr>
                <w:sz w:val="24"/>
              </w:rPr>
              <w:t>生活垃圾产生量为8.0kg/d</w:t>
            </w:r>
            <w:r>
              <w:rPr>
                <w:rFonts w:hint="eastAsia"/>
                <w:sz w:val="24"/>
              </w:rPr>
              <w:t>（</w:t>
            </w:r>
            <w:r>
              <w:rPr>
                <w:sz w:val="24"/>
              </w:rPr>
              <w:t>1</w:t>
            </w:r>
            <w:r>
              <w:rPr>
                <w:rFonts w:hint="eastAsia"/>
                <w:sz w:val="24"/>
              </w:rPr>
              <w:t>.</w:t>
            </w:r>
            <w:r>
              <w:rPr>
                <w:sz w:val="24"/>
              </w:rPr>
              <w:t>6t/a</w:t>
            </w:r>
            <w:r>
              <w:rPr>
                <w:rFonts w:hint="eastAsia"/>
                <w:sz w:val="24"/>
              </w:rPr>
              <w:t>）。</w:t>
            </w:r>
            <w:r>
              <w:rPr>
                <w:sz w:val="24"/>
              </w:rPr>
              <w:t>生活垃圾集中收集后，定期</w:t>
            </w:r>
            <w:r>
              <w:rPr>
                <w:rFonts w:hint="eastAsia"/>
                <w:sz w:val="24"/>
              </w:rPr>
              <w:t>拉运至阜康市垃圾填埋场填埋处理。</w:t>
            </w:r>
          </w:p>
          <w:p>
            <w:pPr>
              <w:widowControl/>
              <w:spacing w:line="520" w:lineRule="exact"/>
              <w:ind w:firstLine="480" w:firstLineChars="200"/>
              <w:rPr>
                <w:sz w:val="24"/>
              </w:rPr>
            </w:pPr>
            <w:r>
              <w:rPr>
                <w:rFonts w:hint="eastAsia"/>
                <w:sz w:val="24"/>
              </w:rPr>
              <w:t>本项目固体废物产生情况见表5-</w:t>
            </w:r>
            <w:r>
              <w:rPr>
                <w:sz w:val="24"/>
              </w:rPr>
              <w:t>6</w:t>
            </w:r>
            <w:r>
              <w:rPr>
                <w:rFonts w:hint="eastAsia"/>
                <w:sz w:val="24"/>
              </w:rPr>
              <w:t>。</w:t>
            </w:r>
          </w:p>
          <w:p>
            <w:pPr>
              <w:widowControl/>
              <w:ind w:firstLine="480" w:firstLineChars="200"/>
              <w:jc w:val="center"/>
              <w:rPr>
                <w:rFonts w:eastAsia="黑体"/>
                <w:sz w:val="24"/>
              </w:rPr>
            </w:pPr>
            <w:r>
              <w:rPr>
                <w:rFonts w:hint="eastAsia" w:eastAsia="黑体"/>
                <w:sz w:val="24"/>
              </w:rPr>
              <w:t>表5-</w:t>
            </w:r>
            <w:r>
              <w:rPr>
                <w:rFonts w:eastAsia="黑体"/>
                <w:sz w:val="24"/>
              </w:rPr>
              <w:t>6</w:t>
            </w:r>
            <w:r>
              <w:rPr>
                <w:rFonts w:hint="eastAsia" w:eastAsia="黑体"/>
                <w:sz w:val="24"/>
              </w:rPr>
              <w:t xml:space="preserve">    本项目固体废物源强</w:t>
            </w:r>
          </w:p>
          <w:tbl>
            <w:tblPr>
              <w:tblStyle w:val="31"/>
              <w:tblW w:w="817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42"/>
              <w:gridCol w:w="1372"/>
              <w:gridCol w:w="1571"/>
              <w:gridCol w:w="25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79" w:type="dxa"/>
                  <w:vAlign w:val="center"/>
                </w:tcPr>
                <w:p>
                  <w:pPr>
                    <w:pStyle w:val="21"/>
                    <w:jc w:val="center"/>
                    <w:rPr>
                      <w:rFonts w:ascii="Times New Roman" w:hAnsi="Times New Roman"/>
                      <w:szCs w:val="21"/>
                    </w:rPr>
                  </w:pPr>
                  <w:r>
                    <w:rPr>
                      <w:rFonts w:ascii="Times New Roman" w:hAnsi="Times New Roman"/>
                      <w:szCs w:val="21"/>
                    </w:rPr>
                    <w:t>序号</w:t>
                  </w:r>
                </w:p>
              </w:tc>
              <w:tc>
                <w:tcPr>
                  <w:tcW w:w="1942" w:type="dxa"/>
                  <w:vAlign w:val="center"/>
                </w:tcPr>
                <w:p>
                  <w:pPr>
                    <w:pStyle w:val="21"/>
                    <w:jc w:val="center"/>
                    <w:rPr>
                      <w:rFonts w:ascii="Times New Roman" w:hAnsi="Times New Roman"/>
                      <w:szCs w:val="21"/>
                    </w:rPr>
                  </w:pPr>
                  <w:r>
                    <w:rPr>
                      <w:rFonts w:ascii="Times New Roman" w:hAnsi="Times New Roman"/>
                      <w:szCs w:val="21"/>
                    </w:rPr>
                    <w:t>污染物</w:t>
                  </w:r>
                </w:p>
              </w:tc>
              <w:tc>
                <w:tcPr>
                  <w:tcW w:w="1372" w:type="dxa"/>
                  <w:vAlign w:val="center"/>
                </w:tcPr>
                <w:p>
                  <w:pPr>
                    <w:pStyle w:val="21"/>
                    <w:jc w:val="center"/>
                    <w:rPr>
                      <w:rFonts w:ascii="Times New Roman" w:hAnsi="Times New Roman"/>
                      <w:szCs w:val="21"/>
                    </w:rPr>
                  </w:pPr>
                  <w:r>
                    <w:rPr>
                      <w:rFonts w:ascii="Times New Roman" w:hAnsi="Times New Roman"/>
                      <w:szCs w:val="21"/>
                    </w:rPr>
                    <w:t>数量</w:t>
                  </w:r>
                </w:p>
              </w:tc>
              <w:tc>
                <w:tcPr>
                  <w:tcW w:w="1571" w:type="dxa"/>
                  <w:vAlign w:val="center"/>
                </w:tcPr>
                <w:p>
                  <w:pPr>
                    <w:pStyle w:val="21"/>
                    <w:jc w:val="center"/>
                    <w:rPr>
                      <w:rFonts w:ascii="Times New Roman" w:hAnsi="Times New Roman"/>
                      <w:szCs w:val="21"/>
                    </w:rPr>
                  </w:pPr>
                  <w:r>
                    <w:rPr>
                      <w:rFonts w:ascii="Times New Roman" w:hAnsi="Times New Roman"/>
                      <w:szCs w:val="21"/>
                    </w:rPr>
                    <w:t>类别</w:t>
                  </w:r>
                </w:p>
              </w:tc>
              <w:tc>
                <w:tcPr>
                  <w:tcW w:w="2511" w:type="dxa"/>
                  <w:vAlign w:val="center"/>
                </w:tcPr>
                <w:p>
                  <w:pPr>
                    <w:pStyle w:val="21"/>
                    <w:jc w:val="center"/>
                    <w:rPr>
                      <w:rFonts w:ascii="Times New Roman" w:hAnsi="Times New Roman"/>
                      <w:szCs w:val="21"/>
                    </w:rPr>
                  </w:pPr>
                  <w:r>
                    <w:rPr>
                      <w:rFonts w:ascii="Times New Roman" w:hAnsi="Times New Roman"/>
                      <w:szCs w:val="21"/>
                    </w:rPr>
                    <w:t>拟采用的处置方式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79" w:type="dxa"/>
                  <w:vAlign w:val="center"/>
                </w:tcPr>
                <w:p>
                  <w:pPr>
                    <w:pStyle w:val="21"/>
                    <w:jc w:val="center"/>
                    <w:rPr>
                      <w:rFonts w:ascii="Times New Roman" w:hAnsi="Times New Roman"/>
                      <w:szCs w:val="21"/>
                    </w:rPr>
                  </w:pPr>
                  <w:r>
                    <w:rPr>
                      <w:rFonts w:hint="eastAsia" w:ascii="Times New Roman" w:hAnsi="Times New Roman"/>
                      <w:szCs w:val="21"/>
                    </w:rPr>
                    <w:t>1</w:t>
                  </w:r>
                </w:p>
              </w:tc>
              <w:tc>
                <w:tcPr>
                  <w:tcW w:w="1942" w:type="dxa"/>
                  <w:vAlign w:val="center"/>
                </w:tcPr>
                <w:p>
                  <w:pPr>
                    <w:pStyle w:val="21"/>
                    <w:jc w:val="center"/>
                    <w:rPr>
                      <w:rFonts w:ascii="Times New Roman" w:hAnsi="Times New Roman"/>
                      <w:szCs w:val="21"/>
                    </w:rPr>
                  </w:pPr>
                  <w:r>
                    <w:rPr>
                      <w:rFonts w:ascii="Times New Roman" w:hAnsi="Times New Roman"/>
                      <w:szCs w:val="21"/>
                    </w:rPr>
                    <w:t>生活垃圾</w:t>
                  </w:r>
                </w:p>
              </w:tc>
              <w:tc>
                <w:tcPr>
                  <w:tcW w:w="1372" w:type="dxa"/>
                  <w:vAlign w:val="center"/>
                </w:tcPr>
                <w:p>
                  <w:pPr>
                    <w:pStyle w:val="21"/>
                    <w:jc w:val="center"/>
                    <w:rPr>
                      <w:rFonts w:ascii="Times New Roman" w:hAnsi="Times New Roman"/>
                      <w:szCs w:val="21"/>
                    </w:rPr>
                  </w:pPr>
                  <w:r>
                    <w:rPr>
                      <w:rFonts w:ascii="Times New Roman" w:hAnsi="Times New Roman"/>
                      <w:szCs w:val="21"/>
                    </w:rPr>
                    <w:t>1</w:t>
                  </w:r>
                  <w:r>
                    <w:rPr>
                      <w:rFonts w:hint="eastAsia" w:ascii="Times New Roman" w:hAnsi="Times New Roman"/>
                      <w:szCs w:val="21"/>
                    </w:rPr>
                    <w:t>.6</w:t>
                  </w:r>
                  <w:r>
                    <w:rPr>
                      <w:rFonts w:ascii="Times New Roman" w:hAnsi="Times New Roman"/>
                      <w:szCs w:val="21"/>
                    </w:rPr>
                    <w:t>t/a</w:t>
                  </w:r>
                </w:p>
              </w:tc>
              <w:tc>
                <w:tcPr>
                  <w:tcW w:w="1571" w:type="dxa"/>
                  <w:vAlign w:val="center"/>
                </w:tcPr>
                <w:p>
                  <w:pPr>
                    <w:pStyle w:val="21"/>
                    <w:jc w:val="center"/>
                    <w:rPr>
                      <w:rFonts w:ascii="Times New Roman" w:hAnsi="Times New Roman"/>
                      <w:szCs w:val="21"/>
                    </w:rPr>
                  </w:pPr>
                  <w:r>
                    <w:rPr>
                      <w:rFonts w:ascii="Times New Roman" w:hAnsi="Times New Roman"/>
                      <w:szCs w:val="21"/>
                    </w:rPr>
                    <w:t>/</w:t>
                  </w:r>
                </w:p>
              </w:tc>
              <w:tc>
                <w:tcPr>
                  <w:tcW w:w="2511" w:type="dxa"/>
                  <w:vAlign w:val="center"/>
                </w:tcPr>
                <w:p>
                  <w:pPr>
                    <w:pStyle w:val="21"/>
                    <w:jc w:val="center"/>
                    <w:rPr>
                      <w:rFonts w:ascii="Times New Roman" w:hAnsi="Times New Roman"/>
                      <w:szCs w:val="21"/>
                    </w:rPr>
                  </w:pPr>
                  <w:r>
                    <w:rPr>
                      <w:rFonts w:hint="eastAsia" w:ascii="Times New Roman" w:hAnsi="Times New Roman"/>
                      <w:szCs w:val="21"/>
                    </w:rPr>
                    <w:t>集中收集，拉运至阜康市垃圾填埋场填埋处理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79" w:type="dxa"/>
                  <w:vAlign w:val="center"/>
                </w:tcPr>
                <w:p>
                  <w:pPr>
                    <w:pStyle w:val="21"/>
                    <w:jc w:val="center"/>
                    <w:rPr>
                      <w:rFonts w:ascii="Times New Roman" w:hAnsi="Times New Roman"/>
                      <w:szCs w:val="21"/>
                    </w:rPr>
                  </w:pPr>
                  <w:r>
                    <w:rPr>
                      <w:rFonts w:hint="eastAsia" w:ascii="Times New Roman" w:hAnsi="Times New Roman"/>
                      <w:szCs w:val="21"/>
                    </w:rPr>
                    <w:t>2</w:t>
                  </w:r>
                </w:p>
              </w:tc>
              <w:tc>
                <w:tcPr>
                  <w:tcW w:w="1942" w:type="dxa"/>
                  <w:vAlign w:val="center"/>
                </w:tcPr>
                <w:p>
                  <w:pPr>
                    <w:pStyle w:val="21"/>
                    <w:jc w:val="center"/>
                    <w:rPr>
                      <w:rFonts w:ascii="Times New Roman" w:hAnsi="Times New Roman"/>
                      <w:szCs w:val="21"/>
                    </w:rPr>
                  </w:pPr>
                  <w:r>
                    <w:rPr>
                      <w:rFonts w:hint="eastAsia" w:ascii="Times New Roman" w:hAnsi="Times New Roman"/>
                      <w:szCs w:val="21"/>
                    </w:rPr>
                    <w:t>剥离的表土</w:t>
                  </w:r>
                </w:p>
                <w:p>
                  <w:pPr>
                    <w:pStyle w:val="21"/>
                    <w:jc w:val="center"/>
                    <w:rPr>
                      <w:rFonts w:ascii="Times New Roman" w:hAnsi="Times New Roman"/>
                      <w:szCs w:val="21"/>
                    </w:rPr>
                  </w:pPr>
                  <w:r>
                    <w:rPr>
                      <w:rFonts w:hint="eastAsia" w:ascii="Times New Roman" w:hAnsi="Times New Roman"/>
                      <w:szCs w:val="21"/>
                    </w:rPr>
                    <w:t>（101-004-99）</w:t>
                  </w:r>
                </w:p>
              </w:tc>
              <w:tc>
                <w:tcPr>
                  <w:tcW w:w="1372" w:type="dxa"/>
                  <w:vAlign w:val="center"/>
                </w:tcPr>
                <w:p>
                  <w:pPr>
                    <w:pStyle w:val="21"/>
                    <w:jc w:val="center"/>
                    <w:rPr>
                      <w:rFonts w:ascii="Times New Roman" w:hAnsi="Times New Roman"/>
                      <w:szCs w:val="21"/>
                      <w:vertAlign w:val="superscript"/>
                    </w:rPr>
                  </w:pPr>
                  <w:r>
                    <w:rPr>
                      <w:rFonts w:ascii="Times New Roman" w:hAnsi="Times New Roman"/>
                      <w:szCs w:val="21"/>
                    </w:rPr>
                    <w:t>8.16</w:t>
                  </w:r>
                  <w:r>
                    <w:rPr>
                      <w:rFonts w:hint="eastAsia" w:ascii="Times New Roman" w:hAnsi="Times New Roman"/>
                      <w:szCs w:val="21"/>
                    </w:rPr>
                    <w:t>万t/a</w:t>
                  </w:r>
                </w:p>
              </w:tc>
              <w:tc>
                <w:tcPr>
                  <w:tcW w:w="1571" w:type="dxa"/>
                  <w:vAlign w:val="center"/>
                </w:tcPr>
                <w:p>
                  <w:pPr>
                    <w:pStyle w:val="21"/>
                    <w:jc w:val="center"/>
                    <w:rPr>
                      <w:rFonts w:ascii="Times New Roman" w:hAnsi="Times New Roman"/>
                      <w:szCs w:val="21"/>
                    </w:rPr>
                  </w:pPr>
                  <w:r>
                    <w:rPr>
                      <w:rFonts w:hint="eastAsia" w:ascii="Times New Roman" w:hAnsi="Times New Roman"/>
                      <w:szCs w:val="21"/>
                    </w:rPr>
                    <w:t>一般工业固废</w:t>
                  </w:r>
                </w:p>
              </w:tc>
              <w:tc>
                <w:tcPr>
                  <w:tcW w:w="2511" w:type="dxa"/>
                  <w:vAlign w:val="center"/>
                </w:tcPr>
                <w:p>
                  <w:pPr>
                    <w:pStyle w:val="21"/>
                    <w:jc w:val="center"/>
                    <w:rPr>
                      <w:rFonts w:ascii="Times New Roman" w:hAnsi="Times New Roman"/>
                      <w:szCs w:val="21"/>
                    </w:rPr>
                  </w:pPr>
                  <w:r>
                    <w:rPr>
                      <w:rFonts w:hint="eastAsia" w:ascii="Times New Roman" w:hAnsi="Times New Roman"/>
                      <w:szCs w:val="21"/>
                    </w:rPr>
                    <w:t>基坑回填</w:t>
                  </w:r>
                </w:p>
              </w:tc>
            </w:tr>
          </w:tbl>
          <w:p>
            <w:pPr>
              <w:widowControl/>
              <w:spacing w:line="520" w:lineRule="exact"/>
              <w:ind w:firstLine="480" w:firstLineChars="200"/>
              <w:rPr>
                <w:b/>
                <w:bCs/>
                <w:sz w:val="24"/>
              </w:rPr>
            </w:pPr>
            <w:r>
              <w:rPr>
                <w:sz w:val="24"/>
              </w:rPr>
              <w:t>综上所述，固体废物均得到妥善处置，不会对周围环境产生污染影响。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102" w:hRule="atLeast"/>
          <w:jc w:val="center"/>
        </w:trPr>
        <w:tc>
          <w:tcPr>
            <w:tcW w:w="753" w:type="dxa"/>
            <w:vAlign w:val="center"/>
          </w:tcPr>
          <w:p>
            <w:pPr>
              <w:adjustRightInd w:val="0"/>
              <w:snapToGrid w:val="0"/>
              <w:jc w:val="center"/>
              <w:rPr>
                <w:rFonts w:ascii="宋体" w:hAnsi="宋体" w:cs="宋体"/>
                <w:bCs/>
                <w:spacing w:val="10"/>
                <w:sz w:val="24"/>
              </w:rPr>
            </w:pPr>
            <w:r>
              <w:rPr>
                <w:rFonts w:hint="eastAsia" w:ascii="宋体" w:hAnsi="宋体"/>
                <w:bCs/>
                <w:sz w:val="24"/>
              </w:rPr>
              <w:t>其他</w:t>
            </w:r>
          </w:p>
        </w:tc>
        <w:tc>
          <w:tcPr>
            <w:tcW w:w="8457" w:type="dxa"/>
          </w:tcPr>
          <w:p>
            <w:pPr>
              <w:adjustRightInd w:val="0"/>
              <w:snapToGrid w:val="0"/>
              <w:spacing w:line="480" w:lineRule="exact"/>
              <w:ind w:left="420"/>
              <w:rPr>
                <w:b/>
                <w:bCs/>
                <w:sz w:val="24"/>
              </w:rPr>
            </w:pPr>
            <w:r>
              <w:rPr>
                <w:rFonts w:hint="eastAsia"/>
                <w:b/>
                <w:bCs/>
                <w:sz w:val="24"/>
              </w:rPr>
              <w:t>闭矿期保护措施</w:t>
            </w:r>
          </w:p>
          <w:p>
            <w:pPr>
              <w:adjustRightInd w:val="0"/>
              <w:snapToGrid w:val="0"/>
              <w:spacing w:line="520" w:lineRule="exact"/>
              <w:ind w:firstLine="480" w:firstLineChars="200"/>
              <w:rPr>
                <w:sz w:val="24"/>
              </w:rPr>
            </w:pPr>
            <w:r>
              <w:rPr>
                <w:rFonts w:hint="eastAsia"/>
                <w:sz w:val="24"/>
              </w:rPr>
              <w:t>企业在闭矿前就应根据</w:t>
            </w:r>
            <w:r>
              <w:fldChar w:fldCharType="begin"/>
            </w:r>
            <w:r>
              <w:instrText xml:space="preserve"> HYPERLINK "http://kjs.mee.gov.cn/hjbhbz/bzwb/other/qt/201307/t20130729_256496.htm" </w:instrText>
            </w:r>
            <w:r>
              <w:fldChar w:fldCharType="separate"/>
            </w:r>
            <w:r>
              <w:rPr>
                <w:rFonts w:hint="eastAsia"/>
                <w:sz w:val="24"/>
              </w:rPr>
              <w:t>《矿山生态环境保护与恢复治理技术规范》（HJ651-2013）</w:t>
            </w:r>
            <w:r>
              <w:rPr>
                <w:rFonts w:hint="eastAsia"/>
                <w:sz w:val="24"/>
              </w:rPr>
              <w:fldChar w:fldCharType="end"/>
            </w:r>
            <w:r>
              <w:rPr>
                <w:rFonts w:hint="eastAsia"/>
                <w:sz w:val="24"/>
              </w:rPr>
              <w:t>和《矿山生态环境保护与恢复治理方案编制规范相关规定》制定矿山生态环境保护与恢复治理方案。</w:t>
            </w:r>
          </w:p>
          <w:p>
            <w:pPr>
              <w:numPr>
                <w:ilvl w:val="0"/>
                <w:numId w:val="13"/>
              </w:numPr>
              <w:adjustRightInd w:val="0"/>
              <w:snapToGrid w:val="0"/>
              <w:spacing w:line="520" w:lineRule="exact"/>
              <w:ind w:firstLine="480" w:firstLineChars="200"/>
              <w:rPr>
                <w:sz w:val="24"/>
              </w:rPr>
            </w:pPr>
            <w:r>
              <w:rPr>
                <w:rFonts w:hint="eastAsia"/>
                <w:sz w:val="24"/>
              </w:rPr>
              <w:t>露天采场生态恢复措施</w:t>
            </w:r>
          </w:p>
          <w:p>
            <w:pPr>
              <w:adjustRightInd w:val="0"/>
              <w:snapToGrid w:val="0"/>
              <w:spacing w:line="520" w:lineRule="exact"/>
              <w:ind w:firstLine="480" w:firstLineChars="200"/>
              <w:rPr>
                <w:sz w:val="24"/>
              </w:rPr>
            </w:pPr>
            <w:r>
              <w:rPr>
                <w:rFonts w:hint="eastAsia"/>
                <w:sz w:val="24"/>
              </w:rPr>
              <w:t>本项目服务期满后最终边坡角</w:t>
            </w:r>
            <w:r>
              <w:rPr>
                <w:sz w:val="24"/>
              </w:rPr>
              <w:t>为30°，</w:t>
            </w:r>
            <w:r>
              <w:rPr>
                <w:rFonts w:hint="eastAsia"/>
                <w:sz w:val="24"/>
              </w:rPr>
              <w:t>需消除对周边区域的安全隐患，闭坑时须先完成矿山地质环境的恢复治理方案和安全评估报告；针对露天采场地进行回填，对露天采场回填区域和上部台阶，采取机械平整，进行覆土植被恢复，沿露天采场边界设置围栏，并安装相应的警示牌。</w:t>
            </w:r>
          </w:p>
          <w:p>
            <w:pPr>
              <w:pStyle w:val="21"/>
              <w:numPr>
                <w:ilvl w:val="0"/>
                <w:numId w:val="13"/>
              </w:numPr>
              <w:spacing w:line="520" w:lineRule="exact"/>
              <w:ind w:firstLine="480" w:firstLineChars="200"/>
              <w:rPr>
                <w:rFonts w:ascii="Times New Roman" w:hAnsi="Times New Roman"/>
                <w:sz w:val="24"/>
              </w:rPr>
            </w:pPr>
            <w:r>
              <w:rPr>
                <w:rFonts w:hint="eastAsia" w:ascii="Times New Roman" w:hAnsi="Times New Roman"/>
                <w:sz w:val="24"/>
              </w:rPr>
              <w:t>堆场生态恢复措施</w:t>
            </w:r>
          </w:p>
          <w:p>
            <w:pPr>
              <w:pStyle w:val="21"/>
              <w:spacing w:line="520" w:lineRule="exact"/>
              <w:ind w:firstLine="480" w:firstLineChars="200"/>
            </w:pPr>
            <w:r>
              <w:rPr>
                <w:rFonts w:hint="eastAsia" w:ascii="Times New Roman" w:hAnsi="Times New Roman"/>
                <w:sz w:val="24"/>
              </w:rPr>
              <w:t>堆场场址需按《矿山生态环境保护与恢复治理技术规范》要求进行恢复治理，</w:t>
            </w:r>
            <w:r>
              <w:rPr>
                <w:rFonts w:hAnsi="宋体" w:cs="宋体"/>
                <w:sz w:val="24"/>
              </w:rPr>
              <w:t>将堆场堆存的</w:t>
            </w:r>
            <w:r>
              <w:rPr>
                <w:rFonts w:hint="eastAsia" w:hAnsi="宋体" w:cs="宋体"/>
                <w:sz w:val="24"/>
              </w:rPr>
              <w:t>表土</w:t>
            </w:r>
            <w:r>
              <w:rPr>
                <w:rFonts w:hAnsi="宋体" w:cs="宋体"/>
                <w:sz w:val="24"/>
              </w:rPr>
              <w:t>回填露天采坑</w:t>
            </w:r>
            <w:r>
              <w:rPr>
                <w:rFonts w:hint="eastAsia" w:hAnsi="宋体" w:cs="宋体"/>
                <w:sz w:val="24"/>
              </w:rPr>
              <w:t>，</w:t>
            </w:r>
            <w:r>
              <w:rPr>
                <w:rFonts w:hint="eastAsia" w:ascii="Times New Roman" w:hAnsi="Times New Roman"/>
                <w:sz w:val="24"/>
              </w:rPr>
              <w:t>然后对堆场进行平整、覆土、植被恢复（种植当地乡土物种）、使其基本恢复原土地利用功能，达到与周边环境一致。</w:t>
            </w:r>
          </w:p>
          <w:p>
            <w:pPr>
              <w:adjustRightInd w:val="0"/>
              <w:snapToGrid w:val="0"/>
              <w:spacing w:line="520" w:lineRule="exact"/>
              <w:ind w:firstLine="480" w:firstLineChars="200"/>
              <w:rPr>
                <w:sz w:val="24"/>
              </w:rPr>
            </w:pPr>
            <w:r>
              <w:rPr>
                <w:rFonts w:hint="eastAsia"/>
                <w:sz w:val="24"/>
              </w:rPr>
              <w:t>总之，项目建设应坚持“保护优先，开发中保护，保护中开发”的原则，企业应及早制定封场计划，按照《矿山恢复治理方案》的要求对封场后矿区进行总体生态恢复，恢复地形地貌景观，尽可能地减少对生态环境的破坏范围和程度，将对生态环境的影响降低到可接受的程度。</w:t>
            </w:r>
          </w:p>
          <w:p>
            <w:pPr>
              <w:pStyle w:val="36"/>
              <w:rPr>
                <w:color w:val="auto"/>
              </w:rPr>
            </w:pPr>
          </w:p>
          <w:p>
            <w:pPr>
              <w:pStyle w:val="26"/>
              <w:ind w:left="420" w:hanging="42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121" w:hRule="atLeast"/>
          <w:jc w:val="center"/>
        </w:trPr>
        <w:tc>
          <w:tcPr>
            <w:tcW w:w="753" w:type="dxa"/>
            <w:vAlign w:val="center"/>
          </w:tcPr>
          <w:p>
            <w:pPr>
              <w:adjustRightInd w:val="0"/>
              <w:snapToGrid w:val="0"/>
              <w:jc w:val="center"/>
              <w:rPr>
                <w:rFonts w:ascii="宋体" w:hAnsi="宋体" w:cs="宋体"/>
                <w:bCs/>
                <w:spacing w:val="10"/>
                <w:sz w:val="24"/>
              </w:rPr>
            </w:pPr>
            <w:r>
              <w:rPr>
                <w:rFonts w:hint="eastAsia" w:ascii="宋体" w:hAnsi="宋体"/>
                <w:bCs/>
                <w:sz w:val="24"/>
              </w:rPr>
              <w:t>环保投资</w:t>
            </w:r>
          </w:p>
        </w:tc>
        <w:tc>
          <w:tcPr>
            <w:tcW w:w="8457" w:type="dxa"/>
          </w:tcPr>
          <w:p>
            <w:pPr>
              <w:adjustRightInd w:val="0"/>
              <w:snapToGrid w:val="0"/>
              <w:spacing w:line="520" w:lineRule="exact"/>
              <w:ind w:firstLine="480" w:firstLineChars="200"/>
              <w:rPr>
                <w:sz w:val="24"/>
              </w:rPr>
            </w:pPr>
            <w:r>
              <w:rPr>
                <w:rFonts w:hint="eastAsia"/>
                <w:sz w:val="24"/>
              </w:rPr>
              <w:t>本项目环保投资为</w:t>
            </w:r>
            <w:r>
              <w:rPr>
                <w:sz w:val="24"/>
              </w:rPr>
              <w:t>1517</w:t>
            </w:r>
            <w:r>
              <w:rPr>
                <w:rFonts w:hint="eastAsia"/>
                <w:sz w:val="24"/>
              </w:rPr>
              <w:t>.0万元，占总投资4</w:t>
            </w:r>
            <w:r>
              <w:rPr>
                <w:sz w:val="24"/>
              </w:rPr>
              <w:t>0084.78</w:t>
            </w:r>
            <w:r>
              <w:rPr>
                <w:rFonts w:hint="eastAsia"/>
                <w:sz w:val="24"/>
              </w:rPr>
              <w:t>万元的3.78%，具体见表5-</w:t>
            </w:r>
            <w:r>
              <w:rPr>
                <w:sz w:val="24"/>
              </w:rPr>
              <w:t>8</w:t>
            </w:r>
            <w:r>
              <w:rPr>
                <w:rFonts w:hint="eastAsia"/>
                <w:sz w:val="24"/>
              </w:rPr>
              <w:t>。</w:t>
            </w:r>
          </w:p>
          <w:p>
            <w:pPr>
              <w:widowControl/>
              <w:ind w:firstLine="480" w:firstLineChars="200"/>
              <w:jc w:val="center"/>
              <w:rPr>
                <w:rFonts w:eastAsia="黑体"/>
                <w:sz w:val="24"/>
              </w:rPr>
            </w:pPr>
            <w:r>
              <w:rPr>
                <w:rFonts w:hint="eastAsia" w:eastAsia="黑体"/>
                <w:sz w:val="24"/>
              </w:rPr>
              <w:t>表5-</w:t>
            </w:r>
            <w:r>
              <w:rPr>
                <w:rFonts w:eastAsia="黑体"/>
                <w:sz w:val="24"/>
              </w:rPr>
              <w:t>8</w:t>
            </w:r>
            <w:r>
              <w:rPr>
                <w:rFonts w:hint="eastAsia" w:eastAsia="黑体"/>
                <w:sz w:val="24"/>
              </w:rPr>
              <w:t xml:space="preserve">    环保投资估算</w:t>
            </w:r>
          </w:p>
          <w:tbl>
            <w:tblPr>
              <w:tblStyle w:val="31"/>
              <w:tblW w:w="798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
            <w:tblGrid>
              <w:gridCol w:w="689"/>
              <w:gridCol w:w="948"/>
              <w:gridCol w:w="1161"/>
              <w:gridCol w:w="3924"/>
              <w:gridCol w:w="12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tcPr>
                <w:p>
                  <w:pPr>
                    <w:adjustRightInd w:val="0"/>
                    <w:snapToGrid w:val="0"/>
                    <w:jc w:val="center"/>
                    <w:rPr>
                      <w:szCs w:val="21"/>
                    </w:rPr>
                  </w:pPr>
                  <w:r>
                    <w:rPr>
                      <w:rFonts w:hint="eastAsia"/>
                      <w:szCs w:val="21"/>
                    </w:rPr>
                    <w:t>实施时段</w:t>
                  </w:r>
                </w:p>
              </w:tc>
              <w:tc>
                <w:tcPr>
                  <w:tcW w:w="948" w:type="dxa"/>
                  <w:vAlign w:val="center"/>
                </w:tcPr>
                <w:p>
                  <w:pPr>
                    <w:adjustRightInd w:val="0"/>
                    <w:snapToGrid w:val="0"/>
                    <w:jc w:val="center"/>
                    <w:rPr>
                      <w:szCs w:val="21"/>
                    </w:rPr>
                  </w:pPr>
                  <w:r>
                    <w:rPr>
                      <w:szCs w:val="21"/>
                    </w:rPr>
                    <w:t>污染物</w:t>
                  </w:r>
                </w:p>
              </w:tc>
              <w:tc>
                <w:tcPr>
                  <w:tcW w:w="1161" w:type="dxa"/>
                  <w:vAlign w:val="center"/>
                </w:tcPr>
                <w:p>
                  <w:pPr>
                    <w:adjustRightInd w:val="0"/>
                    <w:snapToGrid w:val="0"/>
                    <w:jc w:val="center"/>
                    <w:rPr>
                      <w:szCs w:val="21"/>
                    </w:rPr>
                  </w:pPr>
                  <w:r>
                    <w:rPr>
                      <w:szCs w:val="21"/>
                    </w:rPr>
                    <w:t>治理对象</w:t>
                  </w:r>
                </w:p>
              </w:tc>
              <w:tc>
                <w:tcPr>
                  <w:tcW w:w="3924" w:type="dxa"/>
                  <w:vAlign w:val="center"/>
                </w:tcPr>
                <w:p>
                  <w:pPr>
                    <w:adjustRightInd w:val="0"/>
                    <w:snapToGrid w:val="0"/>
                    <w:jc w:val="center"/>
                    <w:rPr>
                      <w:szCs w:val="21"/>
                    </w:rPr>
                  </w:pPr>
                  <w:r>
                    <w:rPr>
                      <w:szCs w:val="21"/>
                    </w:rPr>
                    <w:t>主要内容</w:t>
                  </w:r>
                </w:p>
              </w:tc>
              <w:tc>
                <w:tcPr>
                  <w:tcW w:w="1260" w:type="dxa"/>
                  <w:vAlign w:val="center"/>
                </w:tcPr>
                <w:p>
                  <w:pPr>
                    <w:adjustRightInd w:val="0"/>
                    <w:snapToGrid w:val="0"/>
                    <w:jc w:val="center"/>
                    <w:rPr>
                      <w:szCs w:val="21"/>
                    </w:rPr>
                  </w:pPr>
                  <w:r>
                    <w:rPr>
                      <w:szCs w:val="21"/>
                    </w:rPr>
                    <w:t>投资(万元)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restart"/>
                  <w:vAlign w:val="center"/>
                </w:tcPr>
                <w:p>
                  <w:pPr>
                    <w:adjustRightInd w:val="0"/>
                    <w:snapToGrid w:val="0"/>
                    <w:jc w:val="center"/>
                    <w:rPr>
                      <w:szCs w:val="21"/>
                    </w:rPr>
                  </w:pPr>
                  <w:r>
                    <w:rPr>
                      <w:rFonts w:hint="eastAsia"/>
                      <w:szCs w:val="21"/>
                    </w:rPr>
                    <w:t>施工期</w:t>
                  </w:r>
                </w:p>
              </w:tc>
              <w:tc>
                <w:tcPr>
                  <w:tcW w:w="948" w:type="dxa"/>
                  <w:vAlign w:val="center"/>
                </w:tcPr>
                <w:p>
                  <w:pPr>
                    <w:adjustRightInd w:val="0"/>
                    <w:snapToGrid w:val="0"/>
                    <w:jc w:val="center"/>
                    <w:rPr>
                      <w:szCs w:val="21"/>
                    </w:rPr>
                  </w:pPr>
                  <w:r>
                    <w:rPr>
                      <w:rFonts w:hint="eastAsia"/>
                      <w:szCs w:val="21"/>
                    </w:rPr>
                    <w:t>废气</w:t>
                  </w:r>
                </w:p>
              </w:tc>
              <w:tc>
                <w:tcPr>
                  <w:tcW w:w="1161" w:type="dxa"/>
                  <w:vAlign w:val="center"/>
                </w:tcPr>
                <w:p>
                  <w:pPr>
                    <w:adjustRightInd w:val="0"/>
                    <w:snapToGrid w:val="0"/>
                    <w:jc w:val="center"/>
                    <w:rPr>
                      <w:szCs w:val="21"/>
                    </w:rPr>
                  </w:pPr>
                  <w:r>
                    <w:rPr>
                      <w:rFonts w:hint="eastAsia"/>
                      <w:szCs w:val="21"/>
                    </w:rPr>
                    <w:t>施工扬尘</w:t>
                  </w:r>
                </w:p>
              </w:tc>
              <w:tc>
                <w:tcPr>
                  <w:tcW w:w="3924" w:type="dxa"/>
                  <w:vAlign w:val="center"/>
                </w:tcPr>
                <w:p>
                  <w:pPr>
                    <w:adjustRightInd w:val="0"/>
                    <w:snapToGrid w:val="0"/>
                    <w:jc w:val="left"/>
                    <w:rPr>
                      <w:szCs w:val="21"/>
                    </w:rPr>
                  </w:pPr>
                  <w:r>
                    <w:rPr>
                      <w:rFonts w:hint="eastAsia"/>
                      <w:szCs w:val="21"/>
                    </w:rPr>
                    <w:t>施工区定时洒水保湿，加强施工机械维修保养等</w:t>
                  </w:r>
                </w:p>
              </w:tc>
              <w:tc>
                <w:tcPr>
                  <w:tcW w:w="1260" w:type="dxa"/>
                  <w:vAlign w:val="center"/>
                </w:tcPr>
                <w:p>
                  <w:pPr>
                    <w:adjustRightInd w:val="0"/>
                    <w:snapToGrid w:val="0"/>
                    <w:jc w:val="center"/>
                    <w:rPr>
                      <w:szCs w:val="21"/>
                    </w:rPr>
                  </w:pPr>
                  <w:r>
                    <w:rPr>
                      <w:szCs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vAlign w:val="center"/>
                </w:tcPr>
                <w:p>
                  <w:pPr>
                    <w:adjustRightInd w:val="0"/>
                    <w:snapToGrid w:val="0"/>
                    <w:jc w:val="center"/>
                    <w:rPr>
                      <w:szCs w:val="21"/>
                    </w:rPr>
                  </w:pPr>
                </w:p>
              </w:tc>
              <w:tc>
                <w:tcPr>
                  <w:tcW w:w="948" w:type="dxa"/>
                  <w:vAlign w:val="center"/>
                </w:tcPr>
                <w:p>
                  <w:pPr>
                    <w:adjustRightInd w:val="0"/>
                    <w:snapToGrid w:val="0"/>
                    <w:jc w:val="center"/>
                    <w:rPr>
                      <w:szCs w:val="21"/>
                    </w:rPr>
                  </w:pPr>
                  <w:r>
                    <w:rPr>
                      <w:rFonts w:hint="eastAsia"/>
                      <w:szCs w:val="21"/>
                    </w:rPr>
                    <w:t>废水</w:t>
                  </w:r>
                </w:p>
              </w:tc>
              <w:tc>
                <w:tcPr>
                  <w:tcW w:w="1161" w:type="dxa"/>
                  <w:vAlign w:val="center"/>
                </w:tcPr>
                <w:p>
                  <w:pPr>
                    <w:adjustRightInd w:val="0"/>
                    <w:snapToGrid w:val="0"/>
                    <w:jc w:val="center"/>
                    <w:rPr>
                      <w:szCs w:val="21"/>
                    </w:rPr>
                  </w:pPr>
                  <w:r>
                    <w:rPr>
                      <w:rFonts w:hint="eastAsia"/>
                      <w:szCs w:val="21"/>
                    </w:rPr>
                    <w:t>生活污水</w:t>
                  </w:r>
                </w:p>
              </w:tc>
              <w:tc>
                <w:tcPr>
                  <w:tcW w:w="3924" w:type="dxa"/>
                  <w:vAlign w:val="center"/>
                </w:tcPr>
                <w:p>
                  <w:pPr>
                    <w:adjustRightInd w:val="0"/>
                    <w:snapToGrid w:val="0"/>
                    <w:jc w:val="left"/>
                    <w:rPr>
                      <w:szCs w:val="21"/>
                    </w:rPr>
                  </w:pPr>
                  <w:r>
                    <w:rPr>
                      <w:rFonts w:hint="eastAsia"/>
                      <w:szCs w:val="21"/>
                    </w:rPr>
                    <w:t>矿区设置1座防渗环保厕所，配套10m³防渗储粪池，定期委托环卫部门进行清运。车辆清洗废水经过沉淀后循环利用不外排。</w:t>
                  </w:r>
                </w:p>
              </w:tc>
              <w:tc>
                <w:tcPr>
                  <w:tcW w:w="1260" w:type="dxa"/>
                  <w:vAlign w:val="center"/>
                </w:tcPr>
                <w:p>
                  <w:pPr>
                    <w:adjustRightInd w:val="0"/>
                    <w:snapToGrid w:val="0"/>
                    <w:jc w:val="center"/>
                    <w:rPr>
                      <w:szCs w:val="21"/>
                    </w:rPr>
                  </w:pPr>
                  <w:r>
                    <w:rPr>
                      <w:rFonts w:hint="eastAsia"/>
                      <w:szCs w:val="21"/>
                    </w:rPr>
                    <w:t>2</w:t>
                  </w: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vAlign w:val="center"/>
                </w:tcPr>
                <w:p>
                  <w:pPr>
                    <w:adjustRightInd w:val="0"/>
                    <w:snapToGrid w:val="0"/>
                    <w:jc w:val="center"/>
                    <w:rPr>
                      <w:szCs w:val="21"/>
                    </w:rPr>
                  </w:pPr>
                </w:p>
              </w:tc>
              <w:tc>
                <w:tcPr>
                  <w:tcW w:w="948" w:type="dxa"/>
                  <w:vAlign w:val="center"/>
                </w:tcPr>
                <w:p>
                  <w:pPr>
                    <w:adjustRightInd w:val="0"/>
                    <w:snapToGrid w:val="0"/>
                    <w:jc w:val="center"/>
                    <w:rPr>
                      <w:szCs w:val="21"/>
                    </w:rPr>
                  </w:pPr>
                  <w:r>
                    <w:rPr>
                      <w:rFonts w:hint="eastAsia"/>
                      <w:szCs w:val="21"/>
                    </w:rPr>
                    <w:t>噪声</w:t>
                  </w:r>
                </w:p>
              </w:tc>
              <w:tc>
                <w:tcPr>
                  <w:tcW w:w="1161" w:type="dxa"/>
                  <w:vAlign w:val="center"/>
                </w:tcPr>
                <w:p>
                  <w:pPr>
                    <w:adjustRightInd w:val="0"/>
                    <w:snapToGrid w:val="0"/>
                    <w:jc w:val="center"/>
                    <w:rPr>
                      <w:szCs w:val="21"/>
                    </w:rPr>
                  </w:pPr>
                  <w:r>
                    <w:rPr>
                      <w:rFonts w:hint="eastAsia"/>
                      <w:szCs w:val="21"/>
                    </w:rPr>
                    <w:t>施工噪声</w:t>
                  </w:r>
                </w:p>
              </w:tc>
              <w:tc>
                <w:tcPr>
                  <w:tcW w:w="3924" w:type="dxa"/>
                  <w:vAlign w:val="center"/>
                </w:tcPr>
                <w:p>
                  <w:pPr>
                    <w:adjustRightInd w:val="0"/>
                    <w:snapToGrid w:val="0"/>
                    <w:jc w:val="left"/>
                    <w:rPr>
                      <w:szCs w:val="21"/>
                    </w:rPr>
                  </w:pPr>
                  <w:r>
                    <w:rPr>
                      <w:rFonts w:hint="eastAsia"/>
                      <w:szCs w:val="21"/>
                    </w:rPr>
                    <w:t>合理安排施工时间、施工场地、高噪声设备操作人员配备耳塞、耳罩等；</w:t>
                  </w:r>
                </w:p>
              </w:tc>
              <w:tc>
                <w:tcPr>
                  <w:tcW w:w="1260" w:type="dxa"/>
                  <w:vAlign w:val="center"/>
                </w:tcPr>
                <w:p>
                  <w:pPr>
                    <w:adjustRightInd w:val="0"/>
                    <w:snapToGrid w:val="0"/>
                    <w:jc w:val="center"/>
                    <w:rPr>
                      <w:szCs w:val="21"/>
                    </w:rPr>
                  </w:pPr>
                  <w:r>
                    <w:rPr>
                      <w:rFonts w:hint="eastAsia"/>
                      <w:szCs w:val="21"/>
                    </w:rPr>
                    <w:t>2</w:t>
                  </w: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vAlign w:val="center"/>
                </w:tcPr>
                <w:p>
                  <w:pPr>
                    <w:adjustRightInd w:val="0"/>
                    <w:snapToGrid w:val="0"/>
                    <w:jc w:val="center"/>
                    <w:rPr>
                      <w:szCs w:val="21"/>
                    </w:rPr>
                  </w:pPr>
                </w:p>
              </w:tc>
              <w:tc>
                <w:tcPr>
                  <w:tcW w:w="948" w:type="dxa"/>
                  <w:vAlign w:val="center"/>
                </w:tcPr>
                <w:p>
                  <w:pPr>
                    <w:adjustRightInd w:val="0"/>
                    <w:snapToGrid w:val="0"/>
                    <w:jc w:val="center"/>
                    <w:rPr>
                      <w:szCs w:val="21"/>
                    </w:rPr>
                  </w:pPr>
                  <w:r>
                    <w:rPr>
                      <w:rFonts w:hint="eastAsia"/>
                      <w:szCs w:val="21"/>
                    </w:rPr>
                    <w:t>固废</w:t>
                  </w:r>
                </w:p>
              </w:tc>
              <w:tc>
                <w:tcPr>
                  <w:tcW w:w="1161" w:type="dxa"/>
                  <w:vAlign w:val="center"/>
                </w:tcPr>
                <w:p>
                  <w:pPr>
                    <w:adjustRightInd w:val="0"/>
                    <w:snapToGrid w:val="0"/>
                    <w:jc w:val="center"/>
                    <w:rPr>
                      <w:szCs w:val="21"/>
                    </w:rPr>
                  </w:pPr>
                  <w:r>
                    <w:rPr>
                      <w:rFonts w:hint="eastAsia"/>
                      <w:szCs w:val="21"/>
                    </w:rPr>
                    <w:t>建筑垃圾</w:t>
                  </w:r>
                </w:p>
              </w:tc>
              <w:tc>
                <w:tcPr>
                  <w:tcW w:w="3924" w:type="dxa"/>
                  <w:vAlign w:val="center"/>
                </w:tcPr>
                <w:p>
                  <w:pPr>
                    <w:adjustRightInd w:val="0"/>
                    <w:snapToGrid w:val="0"/>
                    <w:jc w:val="left"/>
                    <w:rPr>
                      <w:szCs w:val="21"/>
                    </w:rPr>
                  </w:pPr>
                  <w:r>
                    <w:rPr>
                      <w:rFonts w:hint="eastAsia" w:ascii="宋体" w:hAnsi="宋体" w:cs="宋体"/>
                      <w:szCs w:val="21"/>
                    </w:rPr>
                    <w:t>尽量减少临时占地面积；不可利用建筑垃圾应定点堆放和苫盖，定期拉运（篷布遮盖）至指定地点处置；</w:t>
                  </w:r>
                </w:p>
              </w:tc>
              <w:tc>
                <w:tcPr>
                  <w:tcW w:w="1260" w:type="dxa"/>
                  <w:vAlign w:val="center"/>
                </w:tcPr>
                <w:p>
                  <w:pPr>
                    <w:adjustRightInd w:val="0"/>
                    <w:snapToGrid w:val="0"/>
                    <w:jc w:val="center"/>
                    <w:rPr>
                      <w:szCs w:val="21"/>
                    </w:rPr>
                  </w:pPr>
                  <w:r>
                    <w:rPr>
                      <w:rFonts w:hint="eastAsia"/>
                      <w:szCs w:val="21"/>
                    </w:rPr>
                    <w:t>3</w:t>
                  </w: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vAlign w:val="center"/>
                </w:tcPr>
                <w:p>
                  <w:pPr>
                    <w:adjustRightInd w:val="0"/>
                    <w:snapToGrid w:val="0"/>
                    <w:jc w:val="center"/>
                    <w:rPr>
                      <w:szCs w:val="21"/>
                    </w:rPr>
                  </w:pPr>
                </w:p>
              </w:tc>
              <w:tc>
                <w:tcPr>
                  <w:tcW w:w="948" w:type="dxa"/>
                  <w:vMerge w:val="restart"/>
                  <w:vAlign w:val="center"/>
                </w:tcPr>
                <w:p>
                  <w:pPr>
                    <w:adjustRightInd w:val="0"/>
                    <w:snapToGrid w:val="0"/>
                    <w:jc w:val="center"/>
                    <w:rPr>
                      <w:szCs w:val="21"/>
                    </w:rPr>
                  </w:pPr>
                  <w:r>
                    <w:rPr>
                      <w:rFonts w:hint="eastAsia"/>
                      <w:szCs w:val="21"/>
                    </w:rPr>
                    <w:t>生态</w:t>
                  </w:r>
                </w:p>
              </w:tc>
              <w:tc>
                <w:tcPr>
                  <w:tcW w:w="1161" w:type="dxa"/>
                  <w:vAlign w:val="center"/>
                </w:tcPr>
                <w:p>
                  <w:pPr>
                    <w:adjustRightInd w:val="0"/>
                    <w:snapToGrid w:val="0"/>
                    <w:jc w:val="center"/>
                    <w:rPr>
                      <w:szCs w:val="21"/>
                    </w:rPr>
                  </w:pPr>
                  <w:r>
                    <w:rPr>
                      <w:rFonts w:hint="eastAsia"/>
                      <w:szCs w:val="21"/>
                    </w:rPr>
                    <w:t>生态保护</w:t>
                  </w:r>
                </w:p>
              </w:tc>
              <w:tc>
                <w:tcPr>
                  <w:tcW w:w="3924" w:type="dxa"/>
                  <w:vAlign w:val="center"/>
                </w:tcPr>
                <w:p>
                  <w:pPr>
                    <w:adjustRightInd w:val="0"/>
                    <w:snapToGrid w:val="0"/>
                    <w:jc w:val="left"/>
                    <w:rPr>
                      <w:szCs w:val="21"/>
                    </w:rPr>
                  </w:pPr>
                  <w:r>
                    <w:rPr>
                      <w:rFonts w:hint="eastAsia"/>
                      <w:szCs w:val="21"/>
                    </w:rPr>
                    <w:t>尽量减少临时占地面积；施工生产区采取围挡；土方堆放时洒水降尘；</w:t>
                  </w:r>
                </w:p>
              </w:tc>
              <w:tc>
                <w:tcPr>
                  <w:tcW w:w="1260" w:type="dxa"/>
                  <w:vAlign w:val="center"/>
                </w:tcPr>
                <w:p>
                  <w:pPr>
                    <w:adjustRightInd w:val="0"/>
                    <w:snapToGrid w:val="0"/>
                    <w:jc w:val="center"/>
                    <w:rPr>
                      <w:szCs w:val="21"/>
                    </w:rPr>
                  </w:pPr>
                  <w:r>
                    <w:rPr>
                      <w:rFonts w:hint="eastAsia"/>
                      <w:szCs w:val="21"/>
                    </w:rPr>
                    <w:t>1</w:t>
                  </w:r>
                  <w:r>
                    <w:rPr>
                      <w:szCs w:val="21"/>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vAlign w:val="center"/>
                </w:tcPr>
                <w:p>
                  <w:pPr>
                    <w:adjustRightInd w:val="0"/>
                    <w:snapToGrid w:val="0"/>
                    <w:jc w:val="center"/>
                    <w:rPr>
                      <w:szCs w:val="21"/>
                    </w:rPr>
                  </w:pPr>
                </w:p>
              </w:tc>
              <w:tc>
                <w:tcPr>
                  <w:tcW w:w="948" w:type="dxa"/>
                  <w:vMerge w:val="continue"/>
                  <w:vAlign w:val="center"/>
                </w:tcPr>
                <w:p>
                  <w:pPr>
                    <w:adjustRightInd w:val="0"/>
                    <w:snapToGrid w:val="0"/>
                    <w:jc w:val="center"/>
                    <w:rPr>
                      <w:szCs w:val="21"/>
                    </w:rPr>
                  </w:pPr>
                </w:p>
              </w:tc>
              <w:tc>
                <w:tcPr>
                  <w:tcW w:w="1161" w:type="dxa"/>
                  <w:vAlign w:val="center"/>
                </w:tcPr>
                <w:p>
                  <w:pPr>
                    <w:adjustRightInd w:val="0"/>
                    <w:snapToGrid w:val="0"/>
                    <w:jc w:val="center"/>
                    <w:rPr>
                      <w:szCs w:val="21"/>
                    </w:rPr>
                  </w:pPr>
                  <w:r>
                    <w:rPr>
                      <w:rFonts w:hint="eastAsia"/>
                      <w:szCs w:val="21"/>
                    </w:rPr>
                    <w:t>防沙治沙</w:t>
                  </w:r>
                </w:p>
              </w:tc>
              <w:tc>
                <w:tcPr>
                  <w:tcW w:w="3924" w:type="dxa"/>
                  <w:vAlign w:val="center"/>
                </w:tcPr>
                <w:p>
                  <w:pPr>
                    <w:adjustRightInd w:val="0"/>
                    <w:snapToGrid w:val="0"/>
                    <w:jc w:val="left"/>
                    <w:rPr>
                      <w:kern w:val="0"/>
                      <w:szCs w:val="21"/>
                    </w:rPr>
                  </w:pPr>
                  <w:r>
                    <w:rPr>
                      <w:rFonts w:hint="eastAsia"/>
                      <w:kern w:val="0"/>
                      <w:szCs w:val="21"/>
                    </w:rPr>
                    <w:t>（1）</w:t>
                  </w:r>
                  <w:bookmarkStart w:id="36" w:name="_Hlk87518567"/>
                  <w:r>
                    <w:rPr>
                      <w:rFonts w:hint="eastAsia"/>
                      <w:kern w:val="0"/>
                      <w:szCs w:val="21"/>
                    </w:rPr>
                    <w:t>矿区周边及进场道路两侧设置宽度不低于5m草方格固沙，并播撒草籽。整个矿区设置草方格面积约4.75hm</w:t>
                  </w:r>
                  <w:r>
                    <w:rPr>
                      <w:kern w:val="0"/>
                      <w:szCs w:val="21"/>
                      <w:vertAlign w:val="superscript"/>
                    </w:rPr>
                    <w:t>2</w:t>
                  </w:r>
                  <w:r>
                    <w:rPr>
                      <w:rFonts w:hint="eastAsia"/>
                      <w:kern w:val="0"/>
                      <w:szCs w:val="21"/>
                    </w:rPr>
                    <w:t>。</w:t>
                  </w:r>
                </w:p>
                <w:bookmarkEnd w:id="36"/>
                <w:p>
                  <w:pPr>
                    <w:pStyle w:val="36"/>
                    <w:jc w:val="left"/>
                    <w:rPr>
                      <w:rFonts w:ascii="Times New Roman"/>
                      <w:color w:val="auto"/>
                      <w:kern w:val="0"/>
                      <w:sz w:val="21"/>
                      <w:szCs w:val="21"/>
                    </w:rPr>
                  </w:pPr>
                  <w:r>
                    <w:rPr>
                      <w:rFonts w:hint="eastAsia" w:ascii="Times New Roman"/>
                      <w:color w:val="auto"/>
                      <w:kern w:val="0"/>
                      <w:sz w:val="21"/>
                      <w:szCs w:val="21"/>
                    </w:rPr>
                    <w:t>（2）植物措施（在流动沙地、风蚀严重的风口、施工区域采取的恢复林草植被的林网、林带和林片等防风固沙植被恢复措施）</w:t>
                  </w:r>
                </w:p>
                <w:p>
                  <w:pPr>
                    <w:pStyle w:val="26"/>
                    <w:adjustRightInd w:val="0"/>
                    <w:ind w:left="0" w:firstLine="0" w:firstLineChars="0"/>
                    <w:jc w:val="left"/>
                    <w:rPr>
                      <w:kern w:val="0"/>
                      <w:szCs w:val="21"/>
                    </w:rPr>
                  </w:pPr>
                  <w:r>
                    <w:rPr>
                      <w:rFonts w:hint="eastAsia"/>
                      <w:kern w:val="0"/>
                      <w:szCs w:val="21"/>
                    </w:rPr>
                    <w:t>（3）工程施工过程如遇到植被覆盖度高的区域，施工结束后，及时采取泼洒草籽，种植树木等措施，恢复原地貌。</w:t>
                  </w:r>
                </w:p>
                <w:p>
                  <w:pPr>
                    <w:adjustRightInd w:val="0"/>
                    <w:snapToGrid w:val="0"/>
                    <w:jc w:val="left"/>
                    <w:rPr>
                      <w:szCs w:val="21"/>
                    </w:rPr>
                  </w:pPr>
                  <w:r>
                    <w:rPr>
                      <w:rFonts w:hint="eastAsia"/>
                      <w:kern w:val="0"/>
                      <w:szCs w:val="21"/>
                    </w:rPr>
                    <w:t>（4）施工期间应划定施工活动范围，严格控制和管理运输车辆及重型机械的运输路线和范围，不得离开运输道路随意行驶，由专人负责，以防破坏土壤和植被，加剧土地荒漠化。</w:t>
                  </w:r>
                </w:p>
              </w:tc>
              <w:tc>
                <w:tcPr>
                  <w:tcW w:w="1260" w:type="dxa"/>
                  <w:vAlign w:val="center"/>
                </w:tcPr>
                <w:p>
                  <w:pPr>
                    <w:adjustRightInd w:val="0"/>
                    <w:snapToGrid w:val="0"/>
                    <w:jc w:val="center"/>
                    <w:rPr>
                      <w:szCs w:val="21"/>
                    </w:rPr>
                  </w:pPr>
                  <w:r>
                    <w:rPr>
                      <w:rFonts w:hint="eastAsia"/>
                      <w:szCs w:val="21"/>
                    </w:rPr>
                    <w:t>1</w:t>
                  </w:r>
                  <w:r>
                    <w:rPr>
                      <w:szCs w:val="21"/>
                    </w:rPr>
                    <w:t>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restart"/>
                  <w:vAlign w:val="center"/>
                </w:tcPr>
                <w:p>
                  <w:pPr>
                    <w:adjustRightInd w:val="0"/>
                    <w:snapToGrid w:val="0"/>
                    <w:jc w:val="center"/>
                    <w:rPr>
                      <w:szCs w:val="21"/>
                    </w:rPr>
                  </w:pPr>
                  <w:r>
                    <w:rPr>
                      <w:rFonts w:hint="eastAsia"/>
                      <w:szCs w:val="21"/>
                    </w:rPr>
                    <w:t>运营期</w:t>
                  </w:r>
                </w:p>
              </w:tc>
              <w:tc>
                <w:tcPr>
                  <w:tcW w:w="948" w:type="dxa"/>
                  <w:vMerge w:val="restart"/>
                  <w:vAlign w:val="center"/>
                </w:tcPr>
                <w:p>
                  <w:pPr>
                    <w:adjustRightInd w:val="0"/>
                    <w:snapToGrid w:val="0"/>
                    <w:jc w:val="center"/>
                    <w:rPr>
                      <w:szCs w:val="21"/>
                    </w:rPr>
                  </w:pPr>
                  <w:r>
                    <w:rPr>
                      <w:szCs w:val="21"/>
                    </w:rPr>
                    <w:t>废气</w:t>
                  </w:r>
                </w:p>
              </w:tc>
              <w:tc>
                <w:tcPr>
                  <w:tcW w:w="1161" w:type="dxa"/>
                  <w:vAlign w:val="center"/>
                </w:tcPr>
                <w:p>
                  <w:pPr>
                    <w:adjustRightInd w:val="0"/>
                    <w:snapToGrid w:val="0"/>
                    <w:jc w:val="center"/>
                    <w:rPr>
                      <w:szCs w:val="21"/>
                    </w:rPr>
                  </w:pPr>
                  <w:r>
                    <w:rPr>
                      <w:szCs w:val="21"/>
                    </w:rPr>
                    <w:t>开采区</w:t>
                  </w:r>
                </w:p>
              </w:tc>
              <w:tc>
                <w:tcPr>
                  <w:tcW w:w="3924" w:type="dxa"/>
                  <w:vAlign w:val="center"/>
                </w:tcPr>
                <w:p>
                  <w:pPr>
                    <w:adjustRightInd w:val="0"/>
                    <w:snapToGrid w:val="0"/>
                    <w:jc w:val="left"/>
                    <w:rPr>
                      <w:szCs w:val="21"/>
                    </w:rPr>
                  </w:pPr>
                  <w:r>
                    <w:rPr>
                      <w:rFonts w:hint="eastAsia"/>
                      <w:szCs w:val="21"/>
                    </w:rPr>
                    <w:t>采掘过程对采掘场地采用移动式雾炮机降尘（控制效率74%）、规定开采方式、大风天气不得生产、分区分片开采（控制效率80%）等减缓措施，通过采取以上措施粉尘控制效率可达94.8%。</w:t>
                  </w:r>
                </w:p>
              </w:tc>
              <w:tc>
                <w:tcPr>
                  <w:tcW w:w="1260" w:type="dxa"/>
                  <w:vAlign w:val="center"/>
                </w:tcPr>
                <w:p>
                  <w:pPr>
                    <w:adjustRightInd w:val="0"/>
                    <w:snapToGrid w:val="0"/>
                    <w:jc w:val="center"/>
                    <w:rPr>
                      <w:szCs w:val="21"/>
                    </w:rPr>
                  </w:pPr>
                  <w:r>
                    <w:rPr>
                      <w:szCs w:val="21"/>
                    </w:rPr>
                    <w:t>10</w:t>
                  </w:r>
                  <w:r>
                    <w:rPr>
                      <w:rFonts w:hint="eastAsia"/>
                      <w:szCs w:val="21"/>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tcPr>
                <w:p>
                  <w:pPr>
                    <w:adjustRightInd w:val="0"/>
                    <w:snapToGrid w:val="0"/>
                    <w:jc w:val="center"/>
                    <w:rPr>
                      <w:szCs w:val="21"/>
                    </w:rPr>
                  </w:pPr>
                </w:p>
              </w:tc>
              <w:tc>
                <w:tcPr>
                  <w:tcW w:w="948" w:type="dxa"/>
                  <w:vMerge w:val="continue"/>
                  <w:vAlign w:val="center"/>
                </w:tcPr>
                <w:p>
                  <w:pPr>
                    <w:adjustRightInd w:val="0"/>
                    <w:snapToGrid w:val="0"/>
                    <w:jc w:val="center"/>
                    <w:rPr>
                      <w:szCs w:val="21"/>
                    </w:rPr>
                  </w:pPr>
                </w:p>
              </w:tc>
              <w:tc>
                <w:tcPr>
                  <w:tcW w:w="1161" w:type="dxa"/>
                  <w:vAlign w:val="center"/>
                </w:tcPr>
                <w:p>
                  <w:pPr>
                    <w:adjustRightInd w:val="0"/>
                    <w:snapToGrid w:val="0"/>
                    <w:jc w:val="center"/>
                    <w:rPr>
                      <w:szCs w:val="21"/>
                    </w:rPr>
                  </w:pPr>
                  <w:r>
                    <w:rPr>
                      <w:spacing w:val="3"/>
                      <w:szCs w:val="21"/>
                    </w:rPr>
                    <w:t>装卸粉尘</w:t>
                  </w:r>
                </w:p>
              </w:tc>
              <w:tc>
                <w:tcPr>
                  <w:tcW w:w="3924" w:type="dxa"/>
                  <w:vAlign w:val="center"/>
                </w:tcPr>
                <w:p>
                  <w:pPr>
                    <w:adjustRightInd w:val="0"/>
                    <w:snapToGrid w:val="0"/>
                    <w:jc w:val="left"/>
                    <w:rPr>
                      <w:szCs w:val="21"/>
                      <w:lang w:val="en-GB"/>
                    </w:rPr>
                  </w:pPr>
                  <w:r>
                    <w:rPr>
                      <w:rFonts w:hint="eastAsia"/>
                      <w:szCs w:val="21"/>
                    </w:rPr>
                    <w:t>采取控制落差并在开采区配套移动式雾炮机（控制效率74%）并设防风抑尘网（控制效率60%），通过采取以上措施粉尘控制效率可达89.6％。</w:t>
                  </w:r>
                </w:p>
              </w:tc>
              <w:tc>
                <w:tcPr>
                  <w:tcW w:w="1260" w:type="dxa"/>
                  <w:vAlign w:val="center"/>
                </w:tcPr>
                <w:p>
                  <w:pPr>
                    <w:adjustRightInd w:val="0"/>
                    <w:snapToGrid w:val="0"/>
                    <w:jc w:val="center"/>
                    <w:rPr>
                      <w:szCs w:val="21"/>
                    </w:rPr>
                  </w:pPr>
                  <w:r>
                    <w:rPr>
                      <w:rFonts w:hint="eastAsia"/>
                      <w:szCs w:val="21"/>
                    </w:rPr>
                    <w:t>5</w:t>
                  </w:r>
                  <w:r>
                    <w:rPr>
                      <w:szCs w:val="21"/>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tcPr>
                <w:p>
                  <w:pPr>
                    <w:adjustRightInd w:val="0"/>
                    <w:snapToGrid w:val="0"/>
                    <w:jc w:val="center"/>
                    <w:rPr>
                      <w:szCs w:val="21"/>
                    </w:rPr>
                  </w:pPr>
                </w:p>
              </w:tc>
              <w:tc>
                <w:tcPr>
                  <w:tcW w:w="948" w:type="dxa"/>
                  <w:vMerge w:val="continue"/>
                  <w:vAlign w:val="center"/>
                </w:tcPr>
                <w:p>
                  <w:pPr>
                    <w:adjustRightInd w:val="0"/>
                    <w:snapToGrid w:val="0"/>
                    <w:jc w:val="center"/>
                    <w:rPr>
                      <w:szCs w:val="21"/>
                    </w:rPr>
                  </w:pPr>
                </w:p>
              </w:tc>
              <w:tc>
                <w:tcPr>
                  <w:tcW w:w="1161" w:type="dxa"/>
                  <w:vAlign w:val="center"/>
                </w:tcPr>
                <w:p>
                  <w:pPr>
                    <w:adjustRightInd w:val="0"/>
                    <w:snapToGrid w:val="0"/>
                    <w:jc w:val="center"/>
                    <w:rPr>
                      <w:szCs w:val="21"/>
                    </w:rPr>
                  </w:pPr>
                  <w:r>
                    <w:rPr>
                      <w:rFonts w:hint="eastAsia"/>
                      <w:szCs w:val="21"/>
                    </w:rPr>
                    <w:t>表土堆场装卸、风蚀扬尘</w:t>
                  </w:r>
                </w:p>
              </w:tc>
              <w:tc>
                <w:tcPr>
                  <w:tcW w:w="3924" w:type="dxa"/>
                  <w:vAlign w:val="center"/>
                </w:tcPr>
                <w:p>
                  <w:pPr>
                    <w:adjustRightInd w:val="0"/>
                    <w:snapToGrid w:val="0"/>
                    <w:jc w:val="left"/>
                    <w:rPr>
                      <w:szCs w:val="21"/>
                      <w:lang w:val="en-GB"/>
                    </w:rPr>
                  </w:pPr>
                  <w:r>
                    <w:rPr>
                      <w:rFonts w:hint="eastAsia"/>
                      <w:szCs w:val="21"/>
                    </w:rPr>
                    <w:t>对地表覆盖砂集中堆放场采取设置防风抑尘网（控制效率60%），用苫盖遮挡（控制效率86%），通过采取以上措施粉尘控制效率可达94.4％。</w:t>
                  </w:r>
                </w:p>
              </w:tc>
              <w:tc>
                <w:tcPr>
                  <w:tcW w:w="1260" w:type="dxa"/>
                  <w:vAlign w:val="center"/>
                </w:tcPr>
                <w:p>
                  <w:pPr>
                    <w:adjustRightInd w:val="0"/>
                    <w:snapToGrid w:val="0"/>
                    <w:jc w:val="center"/>
                    <w:rPr>
                      <w:szCs w:val="21"/>
                    </w:rPr>
                  </w:pPr>
                  <w:r>
                    <w:rPr>
                      <w:rFonts w:hint="eastAsia"/>
                      <w:szCs w:val="21"/>
                    </w:rPr>
                    <w:t>6</w:t>
                  </w:r>
                  <w:r>
                    <w:rPr>
                      <w:szCs w:val="21"/>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tcPr>
                <w:p>
                  <w:pPr>
                    <w:adjustRightInd w:val="0"/>
                    <w:snapToGrid w:val="0"/>
                    <w:jc w:val="center"/>
                    <w:rPr>
                      <w:szCs w:val="21"/>
                    </w:rPr>
                  </w:pPr>
                </w:p>
              </w:tc>
              <w:tc>
                <w:tcPr>
                  <w:tcW w:w="948" w:type="dxa"/>
                  <w:vMerge w:val="continue"/>
                  <w:vAlign w:val="center"/>
                </w:tcPr>
                <w:p>
                  <w:pPr>
                    <w:adjustRightInd w:val="0"/>
                    <w:snapToGrid w:val="0"/>
                    <w:jc w:val="center"/>
                    <w:rPr>
                      <w:szCs w:val="21"/>
                    </w:rPr>
                  </w:pPr>
                </w:p>
              </w:tc>
              <w:tc>
                <w:tcPr>
                  <w:tcW w:w="1161" w:type="dxa"/>
                  <w:vAlign w:val="center"/>
                </w:tcPr>
                <w:p>
                  <w:pPr>
                    <w:adjustRightInd w:val="0"/>
                    <w:snapToGrid w:val="0"/>
                    <w:jc w:val="center"/>
                    <w:rPr>
                      <w:szCs w:val="21"/>
                    </w:rPr>
                  </w:pPr>
                  <w:r>
                    <w:rPr>
                      <w:szCs w:val="21"/>
                    </w:rPr>
                    <w:t>运输道路</w:t>
                  </w:r>
                </w:p>
              </w:tc>
              <w:tc>
                <w:tcPr>
                  <w:tcW w:w="3924" w:type="dxa"/>
                  <w:vAlign w:val="center"/>
                </w:tcPr>
                <w:p>
                  <w:pPr>
                    <w:adjustRightInd w:val="0"/>
                    <w:snapToGrid w:val="0"/>
                    <w:jc w:val="left"/>
                    <w:rPr>
                      <w:szCs w:val="21"/>
                      <w:lang w:val="en-GB"/>
                    </w:rPr>
                  </w:pPr>
                  <w:r>
                    <w:rPr>
                      <w:szCs w:val="21"/>
                    </w:rPr>
                    <w:t>对进厂道路进行砾石复压</w:t>
                  </w:r>
                  <w:r>
                    <w:rPr>
                      <w:rFonts w:hint="eastAsia"/>
                      <w:szCs w:val="21"/>
                    </w:rPr>
                    <w:t>硬化</w:t>
                  </w:r>
                  <w:r>
                    <w:rPr>
                      <w:szCs w:val="21"/>
                    </w:rPr>
                    <w:t>，</w:t>
                  </w:r>
                  <w:r>
                    <w:rPr>
                      <w:rFonts w:hint="eastAsia"/>
                      <w:szCs w:val="21"/>
                    </w:rPr>
                    <w:t>矿区配备洒水车，采用洒水对道路进行充分预湿（控制效率7</w:t>
                  </w:r>
                  <w:r>
                    <w:rPr>
                      <w:szCs w:val="21"/>
                    </w:rPr>
                    <w:t>4</w:t>
                  </w:r>
                  <w:r>
                    <w:rPr>
                      <w:rFonts w:hint="eastAsia"/>
                      <w:szCs w:val="21"/>
                    </w:rPr>
                    <w:t>%），</w:t>
                  </w:r>
                  <w:r>
                    <w:rPr>
                      <w:szCs w:val="21"/>
                    </w:rPr>
                    <w:t>运输车辆出厂时，采取苫盖篷布的措施</w:t>
                  </w:r>
                  <w:r>
                    <w:rPr>
                      <w:rFonts w:hint="eastAsia"/>
                      <w:szCs w:val="21"/>
                    </w:rPr>
                    <w:t>（控制效率8</w:t>
                  </w:r>
                  <w:r>
                    <w:rPr>
                      <w:szCs w:val="21"/>
                    </w:rPr>
                    <w:t>6</w:t>
                  </w:r>
                  <w:r>
                    <w:rPr>
                      <w:rFonts w:hint="eastAsia"/>
                      <w:szCs w:val="21"/>
                    </w:rPr>
                    <w:t>%）</w:t>
                  </w:r>
                  <w:r>
                    <w:rPr>
                      <w:szCs w:val="21"/>
                    </w:rPr>
                    <w:t>，</w:t>
                  </w:r>
                  <w:r>
                    <w:rPr>
                      <w:rFonts w:hint="eastAsia"/>
                      <w:szCs w:val="21"/>
                    </w:rPr>
                    <w:t>并对车辆进行冲洗（控制效率</w:t>
                  </w:r>
                  <w:r>
                    <w:rPr>
                      <w:szCs w:val="21"/>
                    </w:rPr>
                    <w:t>78</w:t>
                  </w:r>
                  <w:r>
                    <w:rPr>
                      <w:rFonts w:hint="eastAsia"/>
                      <w:szCs w:val="21"/>
                    </w:rPr>
                    <w:t>%），通过采取以上措施粉尘控制</w:t>
                  </w:r>
                  <w:r>
                    <w:rPr>
                      <w:szCs w:val="21"/>
                    </w:rPr>
                    <w:t>效率可达99.2%</w:t>
                  </w:r>
                  <w:r>
                    <w:rPr>
                      <w:rFonts w:hint="eastAsia"/>
                      <w:szCs w:val="21"/>
                    </w:rPr>
                    <w:t>。</w:t>
                  </w:r>
                </w:p>
              </w:tc>
              <w:tc>
                <w:tcPr>
                  <w:tcW w:w="1260" w:type="dxa"/>
                  <w:vAlign w:val="center"/>
                </w:tcPr>
                <w:p>
                  <w:pPr>
                    <w:adjustRightInd w:val="0"/>
                    <w:snapToGrid w:val="0"/>
                    <w:jc w:val="center"/>
                    <w:rPr>
                      <w:szCs w:val="21"/>
                    </w:rPr>
                  </w:pPr>
                  <w:r>
                    <w:rPr>
                      <w:rFonts w:hint="eastAsia"/>
                      <w:szCs w:val="21"/>
                    </w:rPr>
                    <w:t>3</w:t>
                  </w:r>
                  <w:r>
                    <w:rPr>
                      <w:szCs w:val="21"/>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tcPr>
                <w:p>
                  <w:pPr>
                    <w:adjustRightInd w:val="0"/>
                    <w:snapToGrid w:val="0"/>
                    <w:jc w:val="center"/>
                    <w:rPr>
                      <w:szCs w:val="21"/>
                    </w:rPr>
                  </w:pPr>
                </w:p>
              </w:tc>
              <w:tc>
                <w:tcPr>
                  <w:tcW w:w="948" w:type="dxa"/>
                  <w:vAlign w:val="center"/>
                </w:tcPr>
                <w:p>
                  <w:pPr>
                    <w:adjustRightInd w:val="0"/>
                    <w:snapToGrid w:val="0"/>
                    <w:jc w:val="center"/>
                    <w:rPr>
                      <w:szCs w:val="21"/>
                    </w:rPr>
                  </w:pPr>
                  <w:r>
                    <w:rPr>
                      <w:szCs w:val="21"/>
                    </w:rPr>
                    <w:t>噪声</w:t>
                  </w:r>
                </w:p>
              </w:tc>
              <w:tc>
                <w:tcPr>
                  <w:tcW w:w="1161" w:type="dxa"/>
                  <w:vAlign w:val="center"/>
                </w:tcPr>
                <w:p>
                  <w:pPr>
                    <w:adjustRightInd w:val="0"/>
                    <w:snapToGrid w:val="0"/>
                    <w:jc w:val="center"/>
                    <w:rPr>
                      <w:szCs w:val="21"/>
                    </w:rPr>
                  </w:pPr>
                  <w:r>
                    <w:rPr>
                      <w:szCs w:val="21"/>
                    </w:rPr>
                    <w:t>机械噪声</w:t>
                  </w:r>
                </w:p>
              </w:tc>
              <w:tc>
                <w:tcPr>
                  <w:tcW w:w="3924" w:type="dxa"/>
                  <w:vAlign w:val="center"/>
                </w:tcPr>
                <w:p>
                  <w:pPr>
                    <w:adjustRightInd w:val="0"/>
                    <w:snapToGrid w:val="0"/>
                    <w:jc w:val="left"/>
                    <w:rPr>
                      <w:szCs w:val="21"/>
                    </w:rPr>
                  </w:pPr>
                  <w:r>
                    <w:rPr>
                      <w:szCs w:val="21"/>
                    </w:rPr>
                    <w:t>噪声机械合理布局，定期保养、维护</w:t>
                  </w:r>
                </w:p>
              </w:tc>
              <w:tc>
                <w:tcPr>
                  <w:tcW w:w="1260" w:type="dxa"/>
                  <w:vAlign w:val="center"/>
                </w:tcPr>
                <w:p>
                  <w:pPr>
                    <w:adjustRightInd w:val="0"/>
                    <w:snapToGrid w:val="0"/>
                    <w:jc w:val="center"/>
                    <w:rPr>
                      <w:szCs w:val="21"/>
                    </w:rPr>
                  </w:pPr>
                  <w:r>
                    <w:rPr>
                      <w:szCs w:val="21"/>
                    </w:rPr>
                    <w:t>2</w:t>
                  </w:r>
                  <w:r>
                    <w:rPr>
                      <w:rFonts w:hint="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tcPr>
                <w:p>
                  <w:pPr>
                    <w:adjustRightInd w:val="0"/>
                    <w:snapToGrid w:val="0"/>
                    <w:jc w:val="center"/>
                    <w:rPr>
                      <w:szCs w:val="21"/>
                    </w:rPr>
                  </w:pPr>
                </w:p>
              </w:tc>
              <w:tc>
                <w:tcPr>
                  <w:tcW w:w="948" w:type="dxa"/>
                  <w:vAlign w:val="center"/>
                </w:tcPr>
                <w:p>
                  <w:pPr>
                    <w:adjustRightInd w:val="0"/>
                    <w:snapToGrid w:val="0"/>
                    <w:jc w:val="center"/>
                    <w:rPr>
                      <w:szCs w:val="21"/>
                    </w:rPr>
                  </w:pPr>
                  <w:r>
                    <w:rPr>
                      <w:rFonts w:hint="eastAsia"/>
                      <w:szCs w:val="21"/>
                    </w:rPr>
                    <w:t>固废</w:t>
                  </w:r>
                </w:p>
              </w:tc>
              <w:tc>
                <w:tcPr>
                  <w:tcW w:w="1161" w:type="dxa"/>
                  <w:vAlign w:val="center"/>
                </w:tcPr>
                <w:p>
                  <w:pPr>
                    <w:adjustRightInd w:val="0"/>
                    <w:snapToGrid w:val="0"/>
                    <w:jc w:val="center"/>
                    <w:rPr>
                      <w:szCs w:val="21"/>
                    </w:rPr>
                  </w:pPr>
                  <w:r>
                    <w:rPr>
                      <w:szCs w:val="21"/>
                    </w:rPr>
                    <w:t>生活垃圾</w:t>
                  </w:r>
                </w:p>
              </w:tc>
              <w:tc>
                <w:tcPr>
                  <w:tcW w:w="3924" w:type="dxa"/>
                  <w:vAlign w:val="center"/>
                </w:tcPr>
                <w:p>
                  <w:pPr>
                    <w:adjustRightInd w:val="0"/>
                    <w:snapToGrid w:val="0"/>
                    <w:jc w:val="left"/>
                    <w:rPr>
                      <w:szCs w:val="21"/>
                    </w:rPr>
                  </w:pPr>
                  <w:r>
                    <w:rPr>
                      <w:szCs w:val="21"/>
                    </w:rPr>
                    <w:t>收集后拉运至垃圾填埋场</w:t>
                  </w:r>
                </w:p>
              </w:tc>
              <w:tc>
                <w:tcPr>
                  <w:tcW w:w="1260" w:type="dxa"/>
                  <w:vAlign w:val="center"/>
                </w:tcPr>
                <w:p>
                  <w:pPr>
                    <w:adjustRightInd w:val="0"/>
                    <w:snapToGrid w:val="0"/>
                    <w:jc w:val="center"/>
                    <w:rPr>
                      <w:szCs w:val="21"/>
                    </w:rPr>
                  </w:pPr>
                  <w:r>
                    <w:rPr>
                      <w:szCs w:val="21"/>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tcPr>
                <w:p>
                  <w:pPr>
                    <w:adjustRightInd w:val="0"/>
                    <w:snapToGrid w:val="0"/>
                    <w:jc w:val="center"/>
                    <w:rPr>
                      <w:szCs w:val="21"/>
                    </w:rPr>
                  </w:pPr>
                </w:p>
              </w:tc>
              <w:tc>
                <w:tcPr>
                  <w:tcW w:w="948" w:type="dxa"/>
                  <w:vMerge w:val="restart"/>
                  <w:vAlign w:val="center"/>
                </w:tcPr>
                <w:p>
                  <w:pPr>
                    <w:adjustRightInd w:val="0"/>
                    <w:snapToGrid w:val="0"/>
                    <w:jc w:val="center"/>
                    <w:rPr>
                      <w:szCs w:val="21"/>
                    </w:rPr>
                  </w:pPr>
                  <w:r>
                    <w:rPr>
                      <w:szCs w:val="21"/>
                    </w:rPr>
                    <w:t>生态</w:t>
                  </w:r>
                </w:p>
              </w:tc>
              <w:tc>
                <w:tcPr>
                  <w:tcW w:w="1161" w:type="dxa"/>
                  <w:vAlign w:val="center"/>
                </w:tcPr>
                <w:p>
                  <w:pPr>
                    <w:adjustRightInd w:val="0"/>
                    <w:snapToGrid w:val="0"/>
                    <w:jc w:val="center"/>
                    <w:rPr>
                      <w:szCs w:val="21"/>
                    </w:rPr>
                  </w:pPr>
                  <w:r>
                    <w:rPr>
                      <w:rFonts w:hint="eastAsia"/>
                      <w:szCs w:val="21"/>
                    </w:rPr>
                    <w:t>地表恢复</w:t>
                  </w:r>
                </w:p>
              </w:tc>
              <w:tc>
                <w:tcPr>
                  <w:tcW w:w="3924" w:type="dxa"/>
                  <w:vAlign w:val="center"/>
                </w:tcPr>
                <w:p>
                  <w:pPr>
                    <w:adjustRightInd w:val="0"/>
                    <w:snapToGrid w:val="0"/>
                    <w:jc w:val="left"/>
                    <w:rPr>
                      <w:szCs w:val="21"/>
                    </w:rPr>
                  </w:pPr>
                  <w:r>
                    <w:rPr>
                      <w:rFonts w:hint="eastAsia"/>
                      <w:kern w:val="0"/>
                      <w:szCs w:val="21"/>
                    </w:rPr>
                    <w:t>在地表覆盖砂集中堆放场堆存，</w:t>
                  </w:r>
                  <w:r>
                    <w:rPr>
                      <w:rFonts w:hint="eastAsia"/>
                      <w:szCs w:val="21"/>
                    </w:rPr>
                    <w:t>占地面积约1</w:t>
                  </w:r>
                  <w:r>
                    <w:rPr>
                      <w:szCs w:val="21"/>
                    </w:rPr>
                    <w:t>.0</w:t>
                  </w:r>
                  <w:r>
                    <w:rPr>
                      <w:rFonts w:hint="eastAsia"/>
                      <w:szCs w:val="21"/>
                    </w:rPr>
                    <w:t>hm</w:t>
                  </w:r>
                  <w:r>
                    <w:rPr>
                      <w:rFonts w:hint="eastAsia"/>
                      <w:szCs w:val="21"/>
                      <w:vertAlign w:val="superscript"/>
                    </w:rPr>
                    <w:t>2</w:t>
                  </w:r>
                  <w:r>
                    <w:rPr>
                      <w:rFonts w:hint="eastAsia"/>
                      <w:szCs w:val="21"/>
                    </w:rPr>
                    <w:t>，最大堆置高度</w:t>
                  </w:r>
                  <w:r>
                    <w:rPr>
                      <w:szCs w:val="21"/>
                    </w:rPr>
                    <w:t>5</w:t>
                  </w:r>
                  <w:r>
                    <w:rPr>
                      <w:rFonts w:hint="eastAsia"/>
                      <w:szCs w:val="21"/>
                    </w:rPr>
                    <w:t>m。</w:t>
                  </w:r>
                  <w:r>
                    <w:rPr>
                      <w:rFonts w:hint="eastAsia"/>
                      <w:kern w:val="0"/>
                      <w:szCs w:val="21"/>
                    </w:rPr>
                    <w:t>在阶段性开采结束后，将地表覆盖砂全部有序清运至露天采坑回填覆盖，以恢复当地生态环境。</w:t>
                  </w:r>
                </w:p>
              </w:tc>
              <w:tc>
                <w:tcPr>
                  <w:tcW w:w="1260" w:type="dxa"/>
                  <w:vAlign w:val="center"/>
                </w:tcPr>
                <w:p>
                  <w:pPr>
                    <w:adjustRightInd w:val="0"/>
                    <w:snapToGrid w:val="0"/>
                    <w:jc w:val="center"/>
                    <w:rPr>
                      <w:szCs w:val="21"/>
                    </w:rPr>
                  </w:pPr>
                  <w:r>
                    <w:rPr>
                      <w:szCs w:val="21"/>
                    </w:rPr>
                    <w:t>5</w:t>
                  </w:r>
                  <w:r>
                    <w:rPr>
                      <w:rFonts w:hint="eastAsia"/>
                      <w:szCs w:val="21"/>
                    </w:rPr>
                    <w:t>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Merge w:val="continue"/>
                </w:tcPr>
                <w:p>
                  <w:pPr>
                    <w:adjustRightInd w:val="0"/>
                    <w:snapToGrid w:val="0"/>
                    <w:jc w:val="center"/>
                    <w:rPr>
                      <w:szCs w:val="21"/>
                    </w:rPr>
                  </w:pPr>
                </w:p>
              </w:tc>
              <w:tc>
                <w:tcPr>
                  <w:tcW w:w="948" w:type="dxa"/>
                  <w:vMerge w:val="continue"/>
                  <w:vAlign w:val="center"/>
                </w:tcPr>
                <w:p>
                  <w:pPr>
                    <w:adjustRightInd w:val="0"/>
                    <w:snapToGrid w:val="0"/>
                    <w:jc w:val="center"/>
                    <w:rPr>
                      <w:szCs w:val="21"/>
                    </w:rPr>
                  </w:pPr>
                </w:p>
              </w:tc>
              <w:tc>
                <w:tcPr>
                  <w:tcW w:w="1161" w:type="dxa"/>
                  <w:vAlign w:val="center"/>
                </w:tcPr>
                <w:p>
                  <w:pPr>
                    <w:adjustRightInd w:val="0"/>
                    <w:snapToGrid w:val="0"/>
                    <w:jc w:val="center"/>
                    <w:rPr>
                      <w:szCs w:val="21"/>
                    </w:rPr>
                  </w:pPr>
                  <w:r>
                    <w:rPr>
                      <w:szCs w:val="21"/>
                    </w:rPr>
                    <w:t>生态</w:t>
                  </w:r>
                  <w:r>
                    <w:rPr>
                      <w:rFonts w:hint="eastAsia"/>
                      <w:szCs w:val="21"/>
                    </w:rPr>
                    <w:t>保护</w:t>
                  </w:r>
                </w:p>
              </w:tc>
              <w:tc>
                <w:tcPr>
                  <w:tcW w:w="3924" w:type="dxa"/>
                  <w:vAlign w:val="center"/>
                </w:tcPr>
                <w:p>
                  <w:pPr>
                    <w:adjustRightInd w:val="0"/>
                    <w:snapToGrid w:val="0"/>
                    <w:jc w:val="left"/>
                    <w:rPr>
                      <w:kern w:val="0"/>
                      <w:szCs w:val="21"/>
                    </w:rPr>
                  </w:pPr>
                  <w:r>
                    <w:rPr>
                      <w:rFonts w:hint="eastAsia"/>
                      <w:kern w:val="0"/>
                      <w:szCs w:val="21"/>
                    </w:rPr>
                    <w:t>（1）</w:t>
                  </w:r>
                  <w:r>
                    <w:rPr>
                      <w:kern w:val="0"/>
                      <w:szCs w:val="21"/>
                    </w:rPr>
                    <w:t>严格按照操作规程和规划设计进行开采，严禁超挖采场坡底，保证台阶段面坡角、最终边坡角及水平标高达到设计要求。</w:t>
                  </w:r>
                </w:p>
                <w:p>
                  <w:pPr>
                    <w:pStyle w:val="36"/>
                    <w:jc w:val="left"/>
                    <w:rPr>
                      <w:rFonts w:ascii="Times New Roman"/>
                      <w:color w:val="auto"/>
                      <w:kern w:val="0"/>
                      <w:sz w:val="21"/>
                      <w:szCs w:val="21"/>
                    </w:rPr>
                  </w:pPr>
                  <w:r>
                    <w:rPr>
                      <w:rFonts w:hint="eastAsia" w:ascii="Times New Roman"/>
                      <w:color w:val="auto"/>
                      <w:kern w:val="0"/>
                      <w:sz w:val="21"/>
                      <w:szCs w:val="21"/>
                    </w:rPr>
                    <w:t>（2）</w:t>
                  </w:r>
                  <w:r>
                    <w:rPr>
                      <w:rFonts w:ascii="Times New Roman"/>
                      <w:color w:val="auto"/>
                      <w:kern w:val="0"/>
                      <w:sz w:val="21"/>
                      <w:szCs w:val="21"/>
                    </w:rPr>
                    <w:t>矿区在道路和地面修建时，预设排水沟、截洪沟，减少水土流失。防治水土流失的工程必须在矿区投产前建设完成。</w:t>
                  </w:r>
                </w:p>
                <w:p>
                  <w:pPr>
                    <w:adjustRightInd w:val="0"/>
                    <w:snapToGrid w:val="0"/>
                    <w:jc w:val="left"/>
                    <w:rPr>
                      <w:szCs w:val="21"/>
                    </w:rPr>
                  </w:pPr>
                  <w:r>
                    <w:rPr>
                      <w:rFonts w:hint="eastAsia"/>
                      <w:kern w:val="0"/>
                      <w:szCs w:val="21"/>
                    </w:rPr>
                    <w:t>（3）</w:t>
                  </w:r>
                  <w:r>
                    <w:rPr>
                      <w:kern w:val="0"/>
                      <w:szCs w:val="21"/>
                    </w:rPr>
                    <w:t>运输车辆严格按照规定道路行驶防止碾压土壤植被。</w:t>
                  </w:r>
                </w:p>
              </w:tc>
              <w:tc>
                <w:tcPr>
                  <w:tcW w:w="1260" w:type="dxa"/>
                  <w:vAlign w:val="center"/>
                </w:tcPr>
                <w:p>
                  <w:pPr>
                    <w:adjustRightInd w:val="0"/>
                    <w:snapToGrid w:val="0"/>
                    <w:jc w:val="center"/>
                    <w:rPr>
                      <w:szCs w:val="21"/>
                    </w:rPr>
                  </w:pPr>
                  <w:r>
                    <w:rPr>
                      <w:szCs w:val="21"/>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vAlign w:val="center"/>
                </w:tcPr>
                <w:p>
                  <w:pPr>
                    <w:adjustRightInd w:val="0"/>
                    <w:snapToGrid w:val="0"/>
                    <w:jc w:val="center"/>
                    <w:rPr>
                      <w:szCs w:val="21"/>
                    </w:rPr>
                  </w:pPr>
                  <w:r>
                    <w:rPr>
                      <w:rFonts w:hint="eastAsia"/>
                      <w:szCs w:val="21"/>
                    </w:rPr>
                    <w:t>闭矿期</w:t>
                  </w:r>
                </w:p>
              </w:tc>
              <w:tc>
                <w:tcPr>
                  <w:tcW w:w="948" w:type="dxa"/>
                  <w:vAlign w:val="center"/>
                </w:tcPr>
                <w:p>
                  <w:pPr>
                    <w:adjustRightInd w:val="0"/>
                    <w:snapToGrid w:val="0"/>
                    <w:jc w:val="center"/>
                    <w:rPr>
                      <w:szCs w:val="21"/>
                    </w:rPr>
                  </w:pPr>
                  <w:r>
                    <w:rPr>
                      <w:rFonts w:hint="eastAsia"/>
                      <w:szCs w:val="21"/>
                    </w:rPr>
                    <w:t>生态</w:t>
                  </w:r>
                </w:p>
              </w:tc>
              <w:tc>
                <w:tcPr>
                  <w:tcW w:w="1161" w:type="dxa"/>
                  <w:vAlign w:val="center"/>
                </w:tcPr>
                <w:p>
                  <w:pPr>
                    <w:adjustRightInd w:val="0"/>
                    <w:snapToGrid w:val="0"/>
                    <w:jc w:val="center"/>
                    <w:rPr>
                      <w:szCs w:val="21"/>
                    </w:rPr>
                  </w:pPr>
                  <w:r>
                    <w:rPr>
                      <w:szCs w:val="21"/>
                    </w:rPr>
                    <w:t>生态恢复</w:t>
                  </w:r>
                </w:p>
              </w:tc>
              <w:tc>
                <w:tcPr>
                  <w:tcW w:w="3924" w:type="dxa"/>
                  <w:vAlign w:val="center"/>
                </w:tcPr>
                <w:p>
                  <w:pPr>
                    <w:adjustRightInd w:val="0"/>
                    <w:snapToGrid w:val="0"/>
                    <w:jc w:val="left"/>
                    <w:rPr>
                      <w:kern w:val="0"/>
                      <w:szCs w:val="21"/>
                    </w:rPr>
                  </w:pPr>
                  <w:r>
                    <w:rPr>
                      <w:rFonts w:hint="eastAsia"/>
                      <w:kern w:val="0"/>
                      <w:szCs w:val="21"/>
                    </w:rPr>
                    <w:t>（1）针对露天采场地进行回填，对露天采场回填区域和上部台阶，采取机械平整，进行覆土植被恢复，沿露天采场边界设置围栏，并安装相应的警示牌。</w:t>
                  </w:r>
                </w:p>
                <w:p>
                  <w:pPr>
                    <w:adjustRightInd w:val="0"/>
                    <w:snapToGrid w:val="0"/>
                    <w:jc w:val="left"/>
                    <w:rPr>
                      <w:szCs w:val="21"/>
                    </w:rPr>
                  </w:pPr>
                  <w:r>
                    <w:rPr>
                      <w:rFonts w:hint="eastAsia"/>
                      <w:kern w:val="0"/>
                      <w:szCs w:val="21"/>
                    </w:rPr>
                    <w:t>（2）对堆场进行平整、覆土、植被恢复（种植当地乡土物种）、使其基本恢复原土地利用功能，达到与周边环境一致。</w:t>
                  </w:r>
                </w:p>
              </w:tc>
              <w:tc>
                <w:tcPr>
                  <w:tcW w:w="1260" w:type="dxa"/>
                  <w:vAlign w:val="center"/>
                </w:tcPr>
                <w:p>
                  <w:pPr>
                    <w:adjustRightInd w:val="0"/>
                    <w:snapToGrid w:val="0"/>
                    <w:jc w:val="center"/>
                    <w:rPr>
                      <w:szCs w:val="21"/>
                    </w:rPr>
                  </w:pPr>
                  <w:r>
                    <w:rPr>
                      <w:szCs w:val="21"/>
                    </w:rPr>
                    <w:t>1080.0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6" w:type="dxa"/>
                  <w:bottom w:w="0" w:type="dxa"/>
                  <w:right w:w="56" w:type="dxa"/>
                </w:tblCellMar>
              </w:tblPrEx>
              <w:trPr>
                <w:trHeight w:val="397" w:hRule="atLeast"/>
              </w:trPr>
              <w:tc>
                <w:tcPr>
                  <w:tcW w:w="689" w:type="dxa"/>
                </w:tcPr>
                <w:p>
                  <w:pPr>
                    <w:adjustRightInd w:val="0"/>
                    <w:snapToGrid w:val="0"/>
                    <w:jc w:val="center"/>
                    <w:rPr>
                      <w:szCs w:val="21"/>
                    </w:rPr>
                  </w:pPr>
                </w:p>
              </w:tc>
              <w:tc>
                <w:tcPr>
                  <w:tcW w:w="6033" w:type="dxa"/>
                  <w:gridSpan w:val="3"/>
                  <w:vAlign w:val="center"/>
                </w:tcPr>
                <w:p>
                  <w:pPr>
                    <w:adjustRightInd w:val="0"/>
                    <w:snapToGrid w:val="0"/>
                    <w:jc w:val="center"/>
                    <w:rPr>
                      <w:szCs w:val="21"/>
                    </w:rPr>
                  </w:pPr>
                  <w:r>
                    <w:rPr>
                      <w:szCs w:val="21"/>
                    </w:rPr>
                    <w:t>合计</w:t>
                  </w:r>
                </w:p>
              </w:tc>
              <w:tc>
                <w:tcPr>
                  <w:tcW w:w="1260" w:type="dxa"/>
                  <w:vAlign w:val="center"/>
                </w:tcPr>
                <w:p>
                  <w:pPr>
                    <w:adjustRightInd w:val="0"/>
                    <w:snapToGrid w:val="0"/>
                    <w:jc w:val="center"/>
                    <w:rPr>
                      <w:szCs w:val="21"/>
                    </w:rPr>
                  </w:pPr>
                  <w:r>
                    <w:rPr>
                      <w:szCs w:val="21"/>
                    </w:rPr>
                    <w:t>1517.0</w:t>
                  </w:r>
                </w:p>
              </w:tc>
            </w:tr>
          </w:tbl>
          <w:p>
            <w:pPr>
              <w:pStyle w:val="21"/>
            </w:pPr>
          </w:p>
          <w:p>
            <w:pPr>
              <w:pStyle w:val="21"/>
            </w:pPr>
          </w:p>
        </w:tc>
      </w:tr>
    </w:tbl>
    <w:p>
      <w:pPr>
        <w:sectPr>
          <w:pgSz w:w="11907" w:h="16840"/>
          <w:pgMar w:top="1440" w:right="1797" w:bottom="1440" w:left="1797" w:header="851" w:footer="1077" w:gutter="0"/>
          <w:cols w:space="720" w:num="1"/>
          <w:docGrid w:linePitch="312" w:charSpace="0"/>
        </w:sectPr>
      </w:pPr>
    </w:p>
    <w:p>
      <w:pPr>
        <w:pStyle w:val="28"/>
        <w:jc w:val="center"/>
        <w:outlineLvl w:val="0"/>
        <w:rPr>
          <w:rFonts w:ascii="黑体" w:hAnsi="黑体" w:eastAsia="黑体"/>
          <w:snapToGrid w:val="0"/>
          <w:sz w:val="30"/>
          <w:szCs w:val="30"/>
        </w:rPr>
      </w:pPr>
      <w:r>
        <w:rPr>
          <w:rFonts w:hint="eastAsia" w:ascii="黑体" w:hAnsi="黑体" w:eastAsia="黑体"/>
          <w:snapToGrid w:val="0"/>
          <w:sz w:val="30"/>
          <w:szCs w:val="30"/>
        </w:rPr>
        <w:t>六、生态环境保护措施监督检查清单</w:t>
      </w:r>
    </w:p>
    <w:tbl>
      <w:tblPr>
        <w:tblStyle w:val="31"/>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388"/>
        <w:gridCol w:w="1259"/>
        <w:gridCol w:w="848"/>
        <w:gridCol w:w="2448"/>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restart"/>
            <w:vAlign w:val="center"/>
          </w:tcPr>
          <w:p>
            <w:pPr>
              <w:pStyle w:val="28"/>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内容</w:t>
            </w:r>
          </w:p>
          <w:p>
            <w:pPr>
              <w:pStyle w:val="28"/>
              <w:adjustRightInd w:val="0"/>
              <w:snapToGrid w:val="0"/>
              <w:spacing w:before="0" w:beforeAutospacing="0" w:after="0" w:afterAutospacing="0"/>
              <w:jc w:val="center"/>
              <w:outlineLvl w:val="0"/>
              <w:rPr>
                <w:rFonts w:ascii="黑体" w:hAnsi="黑体" w:eastAsia="黑体" w:cs="宋体"/>
                <w:kern w:val="2"/>
              </w:rPr>
            </w:pPr>
          </w:p>
          <w:p>
            <w:pPr>
              <w:pStyle w:val="28"/>
              <w:adjustRightInd w:val="0"/>
              <w:snapToGrid w:val="0"/>
              <w:spacing w:before="0" w:beforeAutospacing="0" w:after="0" w:afterAutospacing="0"/>
              <w:jc w:val="center"/>
              <w:outlineLvl w:val="0"/>
              <w:rPr>
                <w:rFonts w:ascii="黑体" w:hAnsi="黑体" w:eastAsia="黑体" w:cs="宋体"/>
                <w:kern w:val="2"/>
              </w:rPr>
            </w:pPr>
          </w:p>
          <w:p>
            <w:pPr>
              <w:pStyle w:val="28"/>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要素</w:t>
            </w:r>
          </w:p>
        </w:tc>
        <w:tc>
          <w:tcPr>
            <w:tcW w:w="2647" w:type="dxa"/>
            <w:gridSpan w:val="2"/>
            <w:vAlign w:val="center"/>
          </w:tcPr>
          <w:p>
            <w:pPr>
              <w:pStyle w:val="28"/>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施工期</w:t>
            </w:r>
          </w:p>
        </w:tc>
        <w:tc>
          <w:tcPr>
            <w:tcW w:w="5491" w:type="dxa"/>
            <w:gridSpan w:val="3"/>
            <w:vAlign w:val="center"/>
          </w:tcPr>
          <w:p>
            <w:pPr>
              <w:pStyle w:val="28"/>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continue"/>
            <w:vAlign w:val="center"/>
          </w:tcPr>
          <w:p>
            <w:pPr>
              <w:pStyle w:val="28"/>
              <w:adjustRightInd w:val="0"/>
              <w:snapToGrid w:val="0"/>
              <w:spacing w:before="0" w:beforeAutospacing="0" w:after="0" w:afterAutospacing="0"/>
              <w:jc w:val="center"/>
              <w:outlineLvl w:val="0"/>
              <w:rPr>
                <w:rFonts w:ascii="黑体" w:hAnsi="黑体" w:eastAsia="黑体" w:cs="宋体"/>
                <w:kern w:val="2"/>
              </w:rPr>
            </w:pPr>
          </w:p>
        </w:tc>
        <w:tc>
          <w:tcPr>
            <w:tcW w:w="1388" w:type="dxa"/>
            <w:vAlign w:val="center"/>
          </w:tcPr>
          <w:p>
            <w:pPr>
              <w:pStyle w:val="28"/>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环境保</w:t>
            </w:r>
          </w:p>
          <w:p>
            <w:pPr>
              <w:pStyle w:val="28"/>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护措施</w:t>
            </w:r>
          </w:p>
        </w:tc>
        <w:tc>
          <w:tcPr>
            <w:tcW w:w="1259" w:type="dxa"/>
            <w:vAlign w:val="center"/>
          </w:tcPr>
          <w:p>
            <w:pPr>
              <w:pStyle w:val="28"/>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验收要求</w:t>
            </w:r>
          </w:p>
        </w:tc>
        <w:tc>
          <w:tcPr>
            <w:tcW w:w="3296" w:type="dxa"/>
            <w:gridSpan w:val="2"/>
            <w:vAlign w:val="center"/>
          </w:tcPr>
          <w:p>
            <w:pPr>
              <w:pStyle w:val="28"/>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环境保护措施</w:t>
            </w:r>
          </w:p>
        </w:tc>
        <w:tc>
          <w:tcPr>
            <w:tcW w:w="2195" w:type="dxa"/>
            <w:vAlign w:val="center"/>
          </w:tcPr>
          <w:p>
            <w:pPr>
              <w:pStyle w:val="28"/>
              <w:adjustRightInd w:val="0"/>
              <w:snapToGrid w:val="0"/>
              <w:spacing w:before="0" w:beforeAutospacing="0" w:after="0" w:afterAutospacing="0"/>
              <w:jc w:val="center"/>
              <w:outlineLvl w:val="0"/>
              <w:rPr>
                <w:rFonts w:ascii="黑体" w:hAnsi="黑体" w:eastAsia="黑体" w:cs="宋体"/>
                <w:kern w:val="2"/>
              </w:rPr>
            </w:pPr>
            <w:r>
              <w:rPr>
                <w:rFonts w:hint="eastAsia" w:ascii="黑体" w:hAnsi="黑体" w:eastAsia="黑体" w:cs="宋体"/>
                <w:kern w:val="2"/>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陆生</w:t>
            </w:r>
          </w:p>
          <w:p>
            <w:pPr>
              <w:adjustRightInd w:val="0"/>
              <w:snapToGrid w:val="0"/>
              <w:jc w:val="center"/>
              <w:rPr>
                <w:rFonts w:ascii="宋体" w:hAnsi="宋体" w:cs="宋体"/>
                <w:szCs w:val="21"/>
              </w:rPr>
            </w:pPr>
            <w:r>
              <w:rPr>
                <w:rFonts w:hint="eastAsia" w:ascii="宋体" w:hAnsi="宋体" w:cs="宋体"/>
                <w:szCs w:val="21"/>
              </w:rPr>
              <w:t>生态</w:t>
            </w:r>
          </w:p>
        </w:tc>
        <w:tc>
          <w:tcPr>
            <w:tcW w:w="1388" w:type="dxa"/>
            <w:vAlign w:val="center"/>
          </w:tcPr>
          <w:p>
            <w:pPr>
              <w:adjustRightInd w:val="0"/>
              <w:snapToGrid w:val="0"/>
              <w:rPr>
                <w:rFonts w:ascii="宋体" w:hAnsi="宋体" w:cs="宋体"/>
                <w:szCs w:val="21"/>
              </w:rPr>
            </w:pPr>
            <w:r>
              <w:rPr>
                <w:rFonts w:hint="eastAsia" w:ascii="宋体" w:hAnsi="宋体" w:cs="宋体"/>
                <w:szCs w:val="21"/>
              </w:rPr>
              <w:t>尽量减少临时占地面积；施工生产区采取围挡；土方堆放时洒水降尘。</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临时占地植被恢复，不造成太大生态影响。</w:t>
            </w:r>
          </w:p>
        </w:tc>
        <w:tc>
          <w:tcPr>
            <w:tcW w:w="3296" w:type="dxa"/>
            <w:gridSpan w:val="2"/>
            <w:vAlign w:val="center"/>
          </w:tcPr>
          <w:p>
            <w:pPr>
              <w:numPr>
                <w:ilvl w:val="0"/>
                <w:numId w:val="14"/>
              </w:numPr>
              <w:adjustRightInd w:val="0"/>
              <w:snapToGrid w:val="0"/>
              <w:jc w:val="left"/>
              <w:rPr>
                <w:rFonts w:ascii="宋体" w:hAnsi="宋体" w:cs="宋体"/>
                <w:szCs w:val="21"/>
              </w:rPr>
            </w:pPr>
            <w:r>
              <w:rPr>
                <w:rFonts w:hint="eastAsia" w:ascii="宋体" w:hAnsi="宋体" w:cs="宋体"/>
                <w:szCs w:val="21"/>
              </w:rPr>
              <w:t>选择合理的边坡参数，严禁超挖采场坡底。</w:t>
            </w:r>
          </w:p>
          <w:p>
            <w:pPr>
              <w:adjustRightInd w:val="0"/>
              <w:snapToGrid w:val="0"/>
              <w:jc w:val="left"/>
              <w:rPr>
                <w:rFonts w:ascii="宋体" w:hAnsi="宋体" w:cs="宋体"/>
                <w:szCs w:val="21"/>
              </w:rPr>
            </w:pPr>
            <w:r>
              <w:rPr>
                <w:rFonts w:hint="eastAsia" w:ascii="宋体" w:hAnsi="宋体" w:cs="宋体"/>
                <w:szCs w:val="21"/>
              </w:rPr>
              <w:t>（2）严格按照操作规程和规划设计进行开采，及时清理危岩体，严禁超挖采场坡底，保证台阶段面坡角、最终边坡角及水平标高达到设计要求。</w:t>
            </w:r>
          </w:p>
          <w:p>
            <w:pPr>
              <w:adjustRightInd w:val="0"/>
              <w:snapToGrid w:val="0"/>
              <w:jc w:val="left"/>
              <w:rPr>
                <w:rFonts w:ascii="宋体" w:hAnsi="宋体" w:cs="宋体"/>
                <w:szCs w:val="21"/>
              </w:rPr>
            </w:pPr>
            <w:r>
              <w:rPr>
                <w:rFonts w:hint="eastAsia" w:ascii="宋体" w:hAnsi="宋体" w:cs="宋体"/>
                <w:szCs w:val="21"/>
              </w:rPr>
              <w:t>（3）矿区在道路和地面修建时，预设排水沟、截洪沟，减少水土流失。防治水土流失的工程必须在矿区投产前建设完成。</w:t>
            </w:r>
          </w:p>
          <w:p>
            <w:pPr>
              <w:adjustRightInd w:val="0"/>
              <w:snapToGrid w:val="0"/>
              <w:jc w:val="left"/>
              <w:rPr>
                <w:rFonts w:ascii="宋体" w:hAnsi="宋体" w:cs="宋体"/>
                <w:szCs w:val="21"/>
              </w:rPr>
            </w:pPr>
            <w:r>
              <w:rPr>
                <w:rFonts w:hint="eastAsia" w:ascii="宋体" w:hAnsi="宋体" w:cs="宋体"/>
                <w:szCs w:val="21"/>
              </w:rPr>
              <w:t>（4）运输车辆严格按照规定道路行驶防止碾压土壤植被。</w:t>
            </w:r>
          </w:p>
          <w:p>
            <w:pPr>
              <w:pStyle w:val="36"/>
              <w:rPr>
                <w:color w:val="auto"/>
                <w:kern w:val="0"/>
                <w:sz w:val="21"/>
                <w:szCs w:val="21"/>
              </w:rPr>
            </w:pPr>
            <w:r>
              <w:rPr>
                <w:rFonts w:hint="eastAsia"/>
                <w:color w:val="auto"/>
                <w:sz w:val="21"/>
                <w:szCs w:val="21"/>
              </w:rPr>
              <w:t>（</w:t>
            </w:r>
            <w:r>
              <w:rPr>
                <w:color w:val="auto"/>
                <w:sz w:val="21"/>
                <w:szCs w:val="21"/>
              </w:rPr>
              <w:t>5</w:t>
            </w:r>
            <w:r>
              <w:rPr>
                <w:rFonts w:hint="eastAsia"/>
                <w:color w:val="auto"/>
                <w:sz w:val="21"/>
                <w:szCs w:val="21"/>
              </w:rPr>
              <w:t>）</w:t>
            </w:r>
            <w:r>
              <w:rPr>
                <w:rFonts w:hint="eastAsia"/>
                <w:color w:val="auto"/>
                <w:kern w:val="0"/>
                <w:sz w:val="21"/>
                <w:szCs w:val="21"/>
              </w:rPr>
              <w:t>在地表覆盖砂集中堆放场堆存，</w:t>
            </w:r>
            <w:r>
              <w:rPr>
                <w:rFonts w:hint="eastAsia"/>
                <w:color w:val="auto"/>
                <w:sz w:val="21"/>
                <w:szCs w:val="21"/>
              </w:rPr>
              <w:t>占地面积约1</w:t>
            </w:r>
            <w:r>
              <w:rPr>
                <w:color w:val="auto"/>
                <w:sz w:val="21"/>
                <w:szCs w:val="21"/>
              </w:rPr>
              <w:t>.0</w:t>
            </w:r>
            <w:r>
              <w:rPr>
                <w:rFonts w:hint="eastAsia"/>
                <w:color w:val="auto"/>
                <w:sz w:val="21"/>
                <w:szCs w:val="21"/>
              </w:rPr>
              <w:t>hm</w:t>
            </w:r>
            <w:r>
              <w:rPr>
                <w:rFonts w:hint="eastAsia"/>
                <w:color w:val="auto"/>
                <w:sz w:val="21"/>
                <w:szCs w:val="21"/>
                <w:vertAlign w:val="superscript"/>
              </w:rPr>
              <w:t>2</w:t>
            </w:r>
            <w:r>
              <w:rPr>
                <w:rFonts w:hint="eastAsia"/>
                <w:color w:val="auto"/>
                <w:sz w:val="21"/>
                <w:szCs w:val="21"/>
              </w:rPr>
              <w:t>，最大堆置高度</w:t>
            </w:r>
            <w:r>
              <w:rPr>
                <w:color w:val="auto"/>
                <w:sz w:val="21"/>
                <w:szCs w:val="21"/>
              </w:rPr>
              <w:t>5</w:t>
            </w:r>
            <w:r>
              <w:rPr>
                <w:rFonts w:hint="eastAsia"/>
                <w:color w:val="auto"/>
                <w:sz w:val="21"/>
                <w:szCs w:val="21"/>
              </w:rPr>
              <w:t>m。</w:t>
            </w:r>
            <w:r>
              <w:rPr>
                <w:rFonts w:hint="eastAsia"/>
                <w:color w:val="auto"/>
                <w:kern w:val="0"/>
                <w:sz w:val="21"/>
                <w:szCs w:val="21"/>
              </w:rPr>
              <w:t>在阶段性开采结束后，将地表覆盖砂全部有序清运至露天采坑回填覆盖，以恢复当地生态环境。</w:t>
            </w:r>
          </w:p>
          <w:p>
            <w:pPr>
              <w:pStyle w:val="26"/>
              <w:ind w:left="0" w:firstLine="0" w:firstLineChars="0"/>
              <w:rPr>
                <w:szCs w:val="21"/>
              </w:rPr>
            </w:pPr>
            <w:r>
              <w:rPr>
                <w:rFonts w:hint="eastAsia"/>
                <w:szCs w:val="21"/>
              </w:rPr>
              <w:t>（</w:t>
            </w:r>
            <w:r>
              <w:rPr>
                <w:rFonts w:hint="eastAsia" w:ascii="宋体"/>
                <w:kern w:val="0"/>
                <w:szCs w:val="21"/>
              </w:rPr>
              <w:t>6）闭矿后针对露天采场地进行回填，对露天采场回填区域和上部台阶，采取机械平整，进行覆土植被恢复，沿露天采场边界设置围栏，并安装相应的警示牌。对堆场进行平整、覆土、植被恢复（种植当地乡土物种）、使其基本恢复原土地利用功能，达到与周边环境一致。</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落实措施，不造成明显生态环境影响。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水生</w:t>
            </w:r>
          </w:p>
          <w:p>
            <w:pPr>
              <w:adjustRightInd w:val="0"/>
              <w:snapToGrid w:val="0"/>
              <w:jc w:val="center"/>
              <w:rPr>
                <w:rFonts w:ascii="宋体" w:hAnsi="宋体" w:cs="宋体"/>
                <w:szCs w:val="21"/>
              </w:rPr>
            </w:pPr>
            <w:r>
              <w:rPr>
                <w:rFonts w:hint="eastAsia" w:ascii="宋体" w:hAnsi="宋体" w:cs="宋体"/>
                <w:szCs w:val="21"/>
              </w:rPr>
              <w:t>生态</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地表水环境</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矿区设置1座防渗环保厕所，配套10m³防渗储粪池，定期委托环卫部门进行清运。车辆清洗废水经过沉淀后循环利用不外排。。</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措施落实</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矿区设置1座防渗环保厕所，配套10m³防渗储粪池，定期委托环卫部门进行清运。</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措施落实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地下水及土壤环境</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声环境</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高噪声设备操作人员配备耳塞、耳罩等；</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措施落实，不对敏感群体造成不良影响</w:t>
            </w:r>
          </w:p>
        </w:tc>
        <w:tc>
          <w:tcPr>
            <w:tcW w:w="3296" w:type="dxa"/>
            <w:gridSpan w:val="2"/>
            <w:vAlign w:val="center"/>
          </w:tcPr>
          <w:p>
            <w:pPr>
              <w:adjustRightInd w:val="0"/>
              <w:snapToGrid w:val="0"/>
              <w:jc w:val="center"/>
              <w:rPr>
                <w:rFonts w:ascii="宋体" w:hAnsi="宋体" w:cs="宋体"/>
                <w:szCs w:val="21"/>
              </w:rPr>
            </w:pPr>
            <w:r>
              <w:rPr>
                <w:rFonts w:hint="eastAsia"/>
                <w:szCs w:val="21"/>
              </w:rPr>
              <w:t>基础减震、选用低噪声设备；合理安排作业时间；加强厂区绿化</w:t>
            </w:r>
          </w:p>
        </w:tc>
        <w:tc>
          <w:tcPr>
            <w:tcW w:w="2195" w:type="dxa"/>
            <w:vAlign w:val="center"/>
          </w:tcPr>
          <w:p>
            <w:pPr>
              <w:adjustRightInd w:val="0"/>
              <w:snapToGrid w:val="0"/>
              <w:jc w:val="center"/>
              <w:rPr>
                <w:rFonts w:ascii="宋体" w:hAnsi="宋体" w:cs="宋体"/>
                <w:szCs w:val="21"/>
              </w:rPr>
            </w:pPr>
            <w:r>
              <w:rPr>
                <w:szCs w:val="21"/>
              </w:rPr>
              <w:t>《工业企业厂界环境噪声排放标准》（GB12348-2008）中</w:t>
            </w:r>
            <w:r>
              <w:rPr>
                <w:rFonts w:hint="eastAsia"/>
                <w:szCs w:val="21"/>
              </w:rPr>
              <w:t>2</w:t>
            </w:r>
            <w:r>
              <w:rPr>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振动</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restart"/>
            <w:vAlign w:val="center"/>
          </w:tcPr>
          <w:p>
            <w:pPr>
              <w:adjustRightInd w:val="0"/>
              <w:snapToGrid w:val="0"/>
              <w:jc w:val="center"/>
              <w:rPr>
                <w:rFonts w:ascii="宋体" w:hAnsi="宋体" w:cs="宋体"/>
                <w:szCs w:val="21"/>
              </w:rPr>
            </w:pPr>
            <w:r>
              <w:rPr>
                <w:rFonts w:hint="eastAsia" w:ascii="宋体" w:hAnsi="宋体" w:cs="宋体"/>
                <w:szCs w:val="21"/>
              </w:rPr>
              <w:t>大气</w:t>
            </w:r>
          </w:p>
          <w:p>
            <w:pPr>
              <w:adjustRightInd w:val="0"/>
              <w:snapToGrid w:val="0"/>
              <w:jc w:val="center"/>
              <w:rPr>
                <w:rFonts w:ascii="宋体" w:hAnsi="宋体" w:cs="宋体"/>
                <w:szCs w:val="21"/>
              </w:rPr>
            </w:pPr>
            <w:r>
              <w:rPr>
                <w:rFonts w:hint="eastAsia" w:ascii="宋体" w:hAnsi="宋体" w:cs="宋体"/>
                <w:szCs w:val="21"/>
              </w:rPr>
              <w:t>环境</w:t>
            </w:r>
          </w:p>
        </w:tc>
        <w:tc>
          <w:tcPr>
            <w:tcW w:w="1388" w:type="dxa"/>
            <w:vMerge w:val="restart"/>
            <w:vAlign w:val="center"/>
          </w:tcPr>
          <w:p>
            <w:pPr>
              <w:adjustRightInd w:val="0"/>
              <w:snapToGrid w:val="0"/>
              <w:jc w:val="center"/>
              <w:rPr>
                <w:rFonts w:ascii="宋体" w:hAnsi="宋体" w:cs="宋体"/>
                <w:szCs w:val="21"/>
              </w:rPr>
            </w:pPr>
            <w:r>
              <w:rPr>
                <w:rFonts w:hint="eastAsia" w:hAnsi="宋体"/>
                <w:bCs/>
                <w:szCs w:val="21"/>
              </w:rPr>
              <w:t>施工区定时洒水保湿，</w:t>
            </w:r>
            <w:r>
              <w:rPr>
                <w:rFonts w:hAnsi="宋体"/>
                <w:bCs/>
                <w:szCs w:val="21"/>
              </w:rPr>
              <w:t>加强施工机械维修保养</w:t>
            </w:r>
            <w:r>
              <w:rPr>
                <w:rFonts w:hint="eastAsia" w:hAnsi="宋体"/>
                <w:bCs/>
                <w:szCs w:val="21"/>
              </w:rPr>
              <w:t>等</w:t>
            </w:r>
          </w:p>
        </w:tc>
        <w:tc>
          <w:tcPr>
            <w:tcW w:w="1259" w:type="dxa"/>
            <w:vMerge w:val="restart"/>
            <w:vAlign w:val="center"/>
          </w:tcPr>
          <w:p>
            <w:pPr>
              <w:adjustRightInd w:val="0"/>
              <w:snapToGrid w:val="0"/>
              <w:jc w:val="center"/>
              <w:rPr>
                <w:rFonts w:ascii="宋体" w:hAnsi="宋体" w:cs="宋体"/>
                <w:szCs w:val="21"/>
              </w:rPr>
            </w:pPr>
            <w:r>
              <w:rPr>
                <w:rFonts w:hint="eastAsia" w:ascii="宋体" w:hAnsi="宋体" w:cs="宋体"/>
                <w:szCs w:val="21"/>
              </w:rPr>
              <w:t>不造成大量扬尘、水土流失</w:t>
            </w:r>
          </w:p>
        </w:tc>
        <w:tc>
          <w:tcPr>
            <w:tcW w:w="848" w:type="dxa"/>
            <w:vAlign w:val="center"/>
          </w:tcPr>
          <w:p>
            <w:pPr>
              <w:widowControl/>
              <w:jc w:val="center"/>
              <w:rPr>
                <w:szCs w:val="21"/>
              </w:rPr>
            </w:pPr>
            <w:r>
              <w:rPr>
                <w:rFonts w:hint="eastAsia"/>
                <w:szCs w:val="21"/>
              </w:rPr>
              <w:t>开采粉尘</w:t>
            </w:r>
          </w:p>
        </w:tc>
        <w:tc>
          <w:tcPr>
            <w:tcW w:w="2448" w:type="dxa"/>
            <w:vAlign w:val="center"/>
          </w:tcPr>
          <w:p>
            <w:pPr>
              <w:widowControl/>
              <w:jc w:val="center"/>
              <w:rPr>
                <w:szCs w:val="21"/>
              </w:rPr>
            </w:pPr>
            <w:r>
              <w:rPr>
                <w:rFonts w:hint="eastAsia"/>
                <w:szCs w:val="21"/>
              </w:rPr>
              <w:t>采掘过程对采掘场地采用移动式雾炮机降尘（控制效率74%）、规定开采方式、大风天气不得生产、分区分片开采（控制效率80%）等减缓措施，通过采取以上措施粉尘控制效率可达94.8%。</w:t>
            </w:r>
          </w:p>
        </w:tc>
        <w:tc>
          <w:tcPr>
            <w:tcW w:w="2195" w:type="dxa"/>
            <w:vMerge w:val="restart"/>
            <w:vAlign w:val="center"/>
          </w:tcPr>
          <w:p>
            <w:pPr>
              <w:adjustRightInd w:val="0"/>
              <w:snapToGrid w:val="0"/>
              <w:jc w:val="center"/>
              <w:rPr>
                <w:rFonts w:ascii="宋体" w:hAnsi="宋体" w:cs="宋体"/>
                <w:szCs w:val="21"/>
              </w:rPr>
            </w:pPr>
            <w:r>
              <w:rPr>
                <w:szCs w:val="21"/>
              </w:rPr>
              <w:t>达到《大气污染物综合排放标准》（GB16297-1996）中的</w:t>
            </w:r>
            <w:r>
              <w:rPr>
                <w:rFonts w:hint="eastAsia"/>
                <w:szCs w:val="21"/>
              </w:rPr>
              <w:t>无组织排放</w:t>
            </w:r>
            <w:r>
              <w:rPr>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continue"/>
            <w:vAlign w:val="center"/>
          </w:tcPr>
          <w:p>
            <w:pPr>
              <w:adjustRightInd w:val="0"/>
              <w:snapToGrid w:val="0"/>
              <w:jc w:val="center"/>
              <w:rPr>
                <w:rFonts w:ascii="宋体" w:hAnsi="宋体" w:cs="宋体"/>
                <w:szCs w:val="21"/>
              </w:rPr>
            </w:pPr>
          </w:p>
        </w:tc>
        <w:tc>
          <w:tcPr>
            <w:tcW w:w="1388" w:type="dxa"/>
            <w:vMerge w:val="continue"/>
            <w:vAlign w:val="center"/>
          </w:tcPr>
          <w:p>
            <w:pPr>
              <w:adjustRightInd w:val="0"/>
              <w:snapToGrid w:val="0"/>
              <w:jc w:val="center"/>
              <w:rPr>
                <w:rFonts w:ascii="宋体" w:hAnsi="宋体" w:cs="宋体"/>
                <w:szCs w:val="21"/>
              </w:rPr>
            </w:pPr>
          </w:p>
        </w:tc>
        <w:tc>
          <w:tcPr>
            <w:tcW w:w="1259" w:type="dxa"/>
            <w:vMerge w:val="continue"/>
            <w:vAlign w:val="center"/>
          </w:tcPr>
          <w:p>
            <w:pPr>
              <w:adjustRightInd w:val="0"/>
              <w:snapToGrid w:val="0"/>
              <w:jc w:val="center"/>
              <w:rPr>
                <w:rFonts w:ascii="宋体" w:hAnsi="宋体" w:cs="宋体"/>
                <w:szCs w:val="21"/>
              </w:rPr>
            </w:pPr>
          </w:p>
        </w:tc>
        <w:tc>
          <w:tcPr>
            <w:tcW w:w="848" w:type="dxa"/>
            <w:vAlign w:val="center"/>
          </w:tcPr>
          <w:p>
            <w:pPr>
              <w:widowControl/>
              <w:jc w:val="center"/>
              <w:rPr>
                <w:spacing w:val="3"/>
                <w:szCs w:val="21"/>
              </w:rPr>
            </w:pPr>
            <w:r>
              <w:rPr>
                <w:rFonts w:hint="eastAsia"/>
                <w:spacing w:val="3"/>
                <w:szCs w:val="21"/>
              </w:rPr>
              <w:t>装卸粉尘</w:t>
            </w:r>
          </w:p>
        </w:tc>
        <w:tc>
          <w:tcPr>
            <w:tcW w:w="2448" w:type="dxa"/>
            <w:vAlign w:val="center"/>
          </w:tcPr>
          <w:p>
            <w:pPr>
              <w:widowControl/>
              <w:jc w:val="center"/>
              <w:rPr>
                <w:szCs w:val="21"/>
              </w:rPr>
            </w:pPr>
            <w:r>
              <w:rPr>
                <w:rFonts w:hint="eastAsia"/>
                <w:szCs w:val="21"/>
              </w:rPr>
              <w:t>采取控制落差并在开采区配套移动式雾炮机（控制效率74%）并设防风抑尘网（控制效率60%），通过采取以上措施粉尘控制效率可达89.6％。</w:t>
            </w:r>
          </w:p>
        </w:tc>
        <w:tc>
          <w:tcPr>
            <w:tcW w:w="2195" w:type="dxa"/>
            <w:vMerge w:val="continue"/>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continue"/>
            <w:vAlign w:val="center"/>
          </w:tcPr>
          <w:p>
            <w:pPr>
              <w:adjustRightInd w:val="0"/>
              <w:snapToGrid w:val="0"/>
              <w:jc w:val="center"/>
              <w:rPr>
                <w:rFonts w:ascii="宋体" w:hAnsi="宋体" w:cs="宋体"/>
                <w:szCs w:val="21"/>
              </w:rPr>
            </w:pPr>
          </w:p>
        </w:tc>
        <w:tc>
          <w:tcPr>
            <w:tcW w:w="1388" w:type="dxa"/>
            <w:vMerge w:val="continue"/>
            <w:vAlign w:val="center"/>
          </w:tcPr>
          <w:p>
            <w:pPr>
              <w:adjustRightInd w:val="0"/>
              <w:snapToGrid w:val="0"/>
              <w:jc w:val="center"/>
              <w:rPr>
                <w:rFonts w:ascii="宋体" w:hAnsi="宋体" w:cs="宋体"/>
                <w:szCs w:val="21"/>
              </w:rPr>
            </w:pPr>
          </w:p>
        </w:tc>
        <w:tc>
          <w:tcPr>
            <w:tcW w:w="1259" w:type="dxa"/>
            <w:vMerge w:val="continue"/>
            <w:vAlign w:val="center"/>
          </w:tcPr>
          <w:p>
            <w:pPr>
              <w:adjustRightInd w:val="0"/>
              <w:snapToGrid w:val="0"/>
              <w:jc w:val="center"/>
              <w:rPr>
                <w:rFonts w:ascii="宋体" w:hAnsi="宋体" w:cs="宋体"/>
                <w:szCs w:val="21"/>
              </w:rPr>
            </w:pPr>
          </w:p>
        </w:tc>
        <w:tc>
          <w:tcPr>
            <w:tcW w:w="848" w:type="dxa"/>
            <w:vAlign w:val="center"/>
          </w:tcPr>
          <w:p>
            <w:pPr>
              <w:widowControl/>
              <w:jc w:val="center"/>
              <w:rPr>
                <w:spacing w:val="3"/>
                <w:szCs w:val="21"/>
              </w:rPr>
            </w:pPr>
            <w:r>
              <w:rPr>
                <w:rFonts w:hint="eastAsia"/>
                <w:spacing w:val="3"/>
                <w:szCs w:val="21"/>
              </w:rPr>
              <w:t>成品堆场</w:t>
            </w:r>
          </w:p>
          <w:p>
            <w:pPr>
              <w:widowControl/>
              <w:jc w:val="center"/>
              <w:rPr>
                <w:rFonts w:eastAsia="黑体"/>
                <w:szCs w:val="21"/>
              </w:rPr>
            </w:pPr>
            <w:r>
              <w:rPr>
                <w:rFonts w:hint="eastAsia"/>
                <w:spacing w:val="3"/>
                <w:szCs w:val="21"/>
              </w:rPr>
              <w:t>废石料堆场</w:t>
            </w:r>
          </w:p>
        </w:tc>
        <w:tc>
          <w:tcPr>
            <w:tcW w:w="2448" w:type="dxa"/>
            <w:vAlign w:val="center"/>
          </w:tcPr>
          <w:p>
            <w:pPr>
              <w:widowControl/>
              <w:jc w:val="center"/>
              <w:rPr>
                <w:szCs w:val="21"/>
              </w:rPr>
            </w:pPr>
            <w:r>
              <w:rPr>
                <w:rFonts w:hint="eastAsia"/>
                <w:szCs w:val="21"/>
              </w:rPr>
              <w:t>对地表覆盖砂集中堆放场采取设置防风抑尘网（控制效率60%），用苫盖遮挡（控制效率86%），通过采取以上措施粉尘控制效率可达94.4％。</w:t>
            </w:r>
          </w:p>
        </w:tc>
        <w:tc>
          <w:tcPr>
            <w:tcW w:w="2195" w:type="dxa"/>
            <w:vMerge w:val="continue"/>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continue"/>
            <w:vAlign w:val="center"/>
          </w:tcPr>
          <w:p>
            <w:pPr>
              <w:adjustRightInd w:val="0"/>
              <w:snapToGrid w:val="0"/>
              <w:jc w:val="center"/>
              <w:rPr>
                <w:rFonts w:ascii="宋体" w:hAnsi="宋体" w:cs="宋体"/>
                <w:szCs w:val="21"/>
              </w:rPr>
            </w:pPr>
          </w:p>
        </w:tc>
        <w:tc>
          <w:tcPr>
            <w:tcW w:w="1388" w:type="dxa"/>
            <w:vMerge w:val="continue"/>
            <w:vAlign w:val="center"/>
          </w:tcPr>
          <w:p>
            <w:pPr>
              <w:adjustRightInd w:val="0"/>
              <w:snapToGrid w:val="0"/>
              <w:jc w:val="center"/>
              <w:rPr>
                <w:rFonts w:ascii="宋体" w:hAnsi="宋体" w:cs="宋体"/>
                <w:szCs w:val="21"/>
              </w:rPr>
            </w:pPr>
          </w:p>
        </w:tc>
        <w:tc>
          <w:tcPr>
            <w:tcW w:w="1259" w:type="dxa"/>
            <w:vMerge w:val="continue"/>
            <w:vAlign w:val="center"/>
          </w:tcPr>
          <w:p>
            <w:pPr>
              <w:adjustRightInd w:val="0"/>
              <w:snapToGrid w:val="0"/>
              <w:jc w:val="center"/>
              <w:rPr>
                <w:rFonts w:ascii="宋体" w:hAnsi="宋体" w:cs="宋体"/>
                <w:szCs w:val="21"/>
              </w:rPr>
            </w:pPr>
          </w:p>
        </w:tc>
        <w:tc>
          <w:tcPr>
            <w:tcW w:w="848" w:type="dxa"/>
            <w:vAlign w:val="center"/>
          </w:tcPr>
          <w:p>
            <w:pPr>
              <w:jc w:val="center"/>
              <w:rPr>
                <w:szCs w:val="21"/>
              </w:rPr>
            </w:pPr>
            <w:r>
              <w:rPr>
                <w:rFonts w:hint="eastAsia"/>
                <w:szCs w:val="21"/>
              </w:rPr>
              <w:t>运输道路</w:t>
            </w:r>
          </w:p>
        </w:tc>
        <w:tc>
          <w:tcPr>
            <w:tcW w:w="2448" w:type="dxa"/>
            <w:vAlign w:val="center"/>
          </w:tcPr>
          <w:p>
            <w:pPr>
              <w:widowControl/>
              <w:jc w:val="center"/>
              <w:rPr>
                <w:szCs w:val="21"/>
              </w:rPr>
            </w:pPr>
            <w:r>
              <w:rPr>
                <w:szCs w:val="21"/>
              </w:rPr>
              <w:t>对进厂道路进行砾石复压</w:t>
            </w:r>
            <w:r>
              <w:rPr>
                <w:rFonts w:hint="eastAsia"/>
                <w:szCs w:val="21"/>
              </w:rPr>
              <w:t>硬化</w:t>
            </w:r>
            <w:r>
              <w:rPr>
                <w:szCs w:val="21"/>
              </w:rPr>
              <w:t>，</w:t>
            </w:r>
            <w:r>
              <w:rPr>
                <w:rFonts w:hint="eastAsia"/>
                <w:szCs w:val="21"/>
              </w:rPr>
              <w:t>矿区配备洒水车，采用洒水对道路进行充分预湿（控制效率7</w:t>
            </w:r>
            <w:r>
              <w:rPr>
                <w:szCs w:val="21"/>
              </w:rPr>
              <w:t>4</w:t>
            </w:r>
            <w:r>
              <w:rPr>
                <w:rFonts w:hint="eastAsia"/>
                <w:szCs w:val="21"/>
              </w:rPr>
              <w:t>%），</w:t>
            </w:r>
            <w:r>
              <w:rPr>
                <w:szCs w:val="21"/>
              </w:rPr>
              <w:t>运输车辆出厂时，采取苫盖篷布的措施</w:t>
            </w:r>
            <w:r>
              <w:rPr>
                <w:rFonts w:hint="eastAsia"/>
                <w:szCs w:val="21"/>
              </w:rPr>
              <w:t>（控制效率8</w:t>
            </w:r>
            <w:r>
              <w:rPr>
                <w:szCs w:val="21"/>
              </w:rPr>
              <w:t>6</w:t>
            </w:r>
            <w:r>
              <w:rPr>
                <w:rFonts w:hint="eastAsia"/>
                <w:szCs w:val="21"/>
              </w:rPr>
              <w:t>%）</w:t>
            </w:r>
            <w:r>
              <w:rPr>
                <w:szCs w:val="21"/>
              </w:rPr>
              <w:t>，</w:t>
            </w:r>
            <w:r>
              <w:rPr>
                <w:rFonts w:hint="eastAsia"/>
                <w:szCs w:val="21"/>
              </w:rPr>
              <w:t>并对车辆进行冲洗（控制效率</w:t>
            </w:r>
            <w:r>
              <w:rPr>
                <w:szCs w:val="21"/>
              </w:rPr>
              <w:t>78</w:t>
            </w:r>
            <w:r>
              <w:rPr>
                <w:rFonts w:hint="eastAsia"/>
                <w:szCs w:val="21"/>
              </w:rPr>
              <w:t>%），通过采取以上措施粉尘控制</w:t>
            </w:r>
            <w:r>
              <w:rPr>
                <w:szCs w:val="21"/>
              </w:rPr>
              <w:t>效率可达99.2%</w:t>
            </w:r>
            <w:r>
              <w:rPr>
                <w:rFonts w:hint="eastAsia"/>
                <w:szCs w:val="21"/>
              </w:rPr>
              <w:t>。</w:t>
            </w:r>
          </w:p>
        </w:tc>
        <w:tc>
          <w:tcPr>
            <w:tcW w:w="2195" w:type="dxa"/>
            <w:vMerge w:val="continue"/>
            <w:vAlign w:val="center"/>
          </w:tcPr>
          <w:p>
            <w:pPr>
              <w:adjustRightInd w:val="0"/>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restart"/>
            <w:vAlign w:val="center"/>
          </w:tcPr>
          <w:p>
            <w:pPr>
              <w:adjustRightInd w:val="0"/>
              <w:snapToGrid w:val="0"/>
              <w:jc w:val="center"/>
              <w:rPr>
                <w:rFonts w:ascii="宋体" w:hAnsi="宋体" w:cs="宋体"/>
                <w:szCs w:val="21"/>
              </w:rPr>
            </w:pPr>
            <w:r>
              <w:rPr>
                <w:rFonts w:hint="eastAsia" w:ascii="宋体" w:hAnsi="宋体" w:cs="宋体"/>
                <w:szCs w:val="21"/>
              </w:rPr>
              <w:t>固体</w:t>
            </w:r>
          </w:p>
          <w:p>
            <w:pPr>
              <w:adjustRightInd w:val="0"/>
              <w:snapToGrid w:val="0"/>
              <w:jc w:val="center"/>
              <w:rPr>
                <w:rFonts w:ascii="宋体" w:hAnsi="宋体" w:cs="宋体"/>
                <w:szCs w:val="21"/>
              </w:rPr>
            </w:pPr>
            <w:r>
              <w:rPr>
                <w:rFonts w:hint="eastAsia" w:ascii="宋体" w:hAnsi="宋体" w:cs="宋体"/>
                <w:szCs w:val="21"/>
              </w:rPr>
              <w:t>废物</w:t>
            </w:r>
          </w:p>
        </w:tc>
        <w:tc>
          <w:tcPr>
            <w:tcW w:w="1388" w:type="dxa"/>
            <w:vMerge w:val="restart"/>
            <w:vAlign w:val="center"/>
          </w:tcPr>
          <w:p>
            <w:pPr>
              <w:adjustRightInd w:val="0"/>
              <w:snapToGrid w:val="0"/>
              <w:jc w:val="center"/>
              <w:rPr>
                <w:rFonts w:ascii="宋体" w:hAnsi="宋体" w:cs="宋体"/>
                <w:szCs w:val="21"/>
              </w:rPr>
            </w:pPr>
            <w:r>
              <w:rPr>
                <w:rFonts w:hint="eastAsia" w:ascii="宋体" w:hAnsi="宋体" w:cs="宋体"/>
                <w:szCs w:val="21"/>
              </w:rPr>
              <w:t>生活垃圾采用垃圾桶收集；</w:t>
            </w:r>
          </w:p>
          <w:p>
            <w:pPr>
              <w:adjustRightInd w:val="0"/>
              <w:snapToGrid w:val="0"/>
              <w:jc w:val="center"/>
              <w:rPr>
                <w:rFonts w:ascii="宋体" w:hAnsi="宋体" w:cs="宋体"/>
                <w:szCs w:val="21"/>
              </w:rPr>
            </w:pPr>
            <w:r>
              <w:rPr>
                <w:rFonts w:hint="eastAsia" w:ascii="宋体" w:hAnsi="宋体" w:cs="宋体"/>
                <w:szCs w:val="21"/>
              </w:rPr>
              <w:t>不可</w:t>
            </w:r>
            <w:r>
              <w:rPr>
                <w:rFonts w:hint="eastAsia" w:hAnsi="宋体"/>
                <w:bCs/>
                <w:szCs w:val="21"/>
              </w:rPr>
              <w:t>利用建筑垃圾应定点堆放和苫盖，定期拉运（篷布遮盖）至指定地点处置；</w:t>
            </w:r>
          </w:p>
        </w:tc>
        <w:tc>
          <w:tcPr>
            <w:tcW w:w="1259" w:type="dxa"/>
            <w:vMerge w:val="restart"/>
            <w:vAlign w:val="center"/>
          </w:tcPr>
          <w:p>
            <w:pPr>
              <w:adjustRightInd w:val="0"/>
              <w:snapToGrid w:val="0"/>
              <w:jc w:val="center"/>
              <w:rPr>
                <w:rFonts w:ascii="宋体" w:hAnsi="宋体" w:cs="宋体"/>
                <w:szCs w:val="21"/>
              </w:rPr>
            </w:pPr>
            <w:r>
              <w:rPr>
                <w:rFonts w:hint="eastAsia" w:ascii="宋体" w:hAnsi="宋体" w:cs="宋体"/>
                <w:szCs w:val="21"/>
              </w:rPr>
              <w:t>落实措施，不造成明显环境影响。</w:t>
            </w:r>
          </w:p>
        </w:tc>
        <w:tc>
          <w:tcPr>
            <w:tcW w:w="848" w:type="dxa"/>
            <w:vAlign w:val="center"/>
          </w:tcPr>
          <w:p>
            <w:pPr>
              <w:adjustRightInd w:val="0"/>
              <w:snapToGrid w:val="0"/>
              <w:jc w:val="center"/>
              <w:rPr>
                <w:rFonts w:ascii="宋体" w:hAnsi="宋体" w:cs="宋体"/>
                <w:szCs w:val="21"/>
              </w:rPr>
            </w:pPr>
            <w:r>
              <w:rPr>
                <w:rFonts w:hint="eastAsia"/>
                <w:szCs w:val="21"/>
              </w:rPr>
              <w:t>剥离的表土</w:t>
            </w:r>
          </w:p>
        </w:tc>
        <w:tc>
          <w:tcPr>
            <w:tcW w:w="2448" w:type="dxa"/>
            <w:vAlign w:val="center"/>
          </w:tcPr>
          <w:p>
            <w:pPr>
              <w:adjustRightInd w:val="0"/>
              <w:snapToGrid w:val="0"/>
              <w:jc w:val="center"/>
              <w:rPr>
                <w:rFonts w:ascii="宋体" w:hAnsi="宋体" w:cs="宋体"/>
                <w:szCs w:val="21"/>
              </w:rPr>
            </w:pPr>
            <w:r>
              <w:rPr>
                <w:rFonts w:hint="eastAsia"/>
                <w:szCs w:val="21"/>
              </w:rPr>
              <w:t>暂存于堆场，苫盖遮挡，设置不低于堆放高度的防风抑尘网围挡，待采矿期结束后回填采坑</w:t>
            </w:r>
          </w:p>
        </w:tc>
        <w:tc>
          <w:tcPr>
            <w:tcW w:w="2195" w:type="dxa"/>
            <w:vAlign w:val="center"/>
          </w:tcPr>
          <w:p>
            <w:pPr>
              <w:adjustRightInd w:val="0"/>
              <w:snapToGrid w:val="0"/>
              <w:jc w:val="center"/>
              <w:rPr>
                <w:rFonts w:ascii="宋体" w:hAnsi="宋体" w:cs="宋体"/>
                <w:szCs w:val="21"/>
              </w:rPr>
            </w:pPr>
            <w:r>
              <w:rPr>
                <w:rFonts w:hint="eastAsia"/>
                <w:szCs w:val="21"/>
              </w:rPr>
              <w:t>《一般工业固体废物贮存和填埋污染控制标准》（GB18599-2020）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Merge w:val="continue"/>
            <w:vAlign w:val="center"/>
          </w:tcPr>
          <w:p>
            <w:pPr>
              <w:adjustRightInd w:val="0"/>
              <w:snapToGrid w:val="0"/>
              <w:jc w:val="center"/>
              <w:rPr>
                <w:rFonts w:ascii="宋体" w:hAnsi="宋体" w:cs="宋体"/>
                <w:szCs w:val="21"/>
              </w:rPr>
            </w:pPr>
          </w:p>
        </w:tc>
        <w:tc>
          <w:tcPr>
            <w:tcW w:w="1388" w:type="dxa"/>
            <w:vMerge w:val="continue"/>
            <w:vAlign w:val="center"/>
          </w:tcPr>
          <w:p>
            <w:pPr>
              <w:adjustRightInd w:val="0"/>
              <w:snapToGrid w:val="0"/>
              <w:jc w:val="center"/>
              <w:rPr>
                <w:rFonts w:ascii="宋体" w:hAnsi="宋体" w:cs="宋体"/>
                <w:szCs w:val="21"/>
              </w:rPr>
            </w:pPr>
          </w:p>
        </w:tc>
        <w:tc>
          <w:tcPr>
            <w:tcW w:w="1259" w:type="dxa"/>
            <w:vMerge w:val="continue"/>
            <w:vAlign w:val="center"/>
          </w:tcPr>
          <w:p>
            <w:pPr>
              <w:adjustRightInd w:val="0"/>
              <w:snapToGrid w:val="0"/>
              <w:jc w:val="center"/>
              <w:rPr>
                <w:rFonts w:ascii="宋体" w:hAnsi="宋体" w:cs="宋体"/>
                <w:szCs w:val="21"/>
              </w:rPr>
            </w:pPr>
          </w:p>
        </w:tc>
        <w:tc>
          <w:tcPr>
            <w:tcW w:w="848" w:type="dxa"/>
            <w:vAlign w:val="center"/>
          </w:tcPr>
          <w:p>
            <w:pPr>
              <w:adjustRightInd w:val="0"/>
              <w:snapToGrid w:val="0"/>
              <w:jc w:val="center"/>
              <w:rPr>
                <w:szCs w:val="21"/>
              </w:rPr>
            </w:pPr>
            <w:r>
              <w:rPr>
                <w:rFonts w:hint="eastAsia"/>
                <w:szCs w:val="21"/>
              </w:rPr>
              <w:t>生活</w:t>
            </w:r>
          </w:p>
          <w:p>
            <w:pPr>
              <w:adjustRightInd w:val="0"/>
              <w:snapToGrid w:val="0"/>
              <w:jc w:val="center"/>
              <w:rPr>
                <w:rFonts w:ascii="宋体" w:hAnsi="宋体" w:cs="宋体"/>
                <w:szCs w:val="21"/>
              </w:rPr>
            </w:pPr>
            <w:r>
              <w:rPr>
                <w:rFonts w:hint="eastAsia"/>
                <w:szCs w:val="21"/>
              </w:rPr>
              <w:t>垃圾</w:t>
            </w:r>
          </w:p>
        </w:tc>
        <w:tc>
          <w:tcPr>
            <w:tcW w:w="2448" w:type="dxa"/>
            <w:vAlign w:val="center"/>
          </w:tcPr>
          <w:p>
            <w:pPr>
              <w:adjustRightInd w:val="0"/>
              <w:snapToGrid w:val="0"/>
              <w:jc w:val="center"/>
              <w:rPr>
                <w:rFonts w:ascii="宋体" w:hAnsi="宋体" w:cs="宋体"/>
                <w:szCs w:val="21"/>
              </w:rPr>
            </w:pPr>
            <w:r>
              <w:rPr>
                <w:rFonts w:hint="eastAsia"/>
                <w:szCs w:val="21"/>
              </w:rPr>
              <w:t>集中收集后拉运至阜康市垃圾填埋场填埋处理</w:t>
            </w:r>
          </w:p>
        </w:tc>
        <w:tc>
          <w:tcPr>
            <w:tcW w:w="2195" w:type="dxa"/>
            <w:vAlign w:val="center"/>
          </w:tcPr>
          <w:p>
            <w:pPr>
              <w:adjustRightInd w:val="0"/>
              <w:snapToGrid w:val="0"/>
              <w:jc w:val="center"/>
              <w:rPr>
                <w:szCs w:val="21"/>
              </w:rPr>
            </w:pPr>
            <w:r>
              <w:rPr>
                <w:rFonts w:hint="eastAsia"/>
                <w:szCs w:val="21"/>
              </w:rPr>
              <w:t>《生活垃圾填埋场污染控制标准》（GB16889-2008）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电磁</w:t>
            </w:r>
          </w:p>
          <w:p>
            <w:pPr>
              <w:adjustRightInd w:val="0"/>
              <w:snapToGrid w:val="0"/>
              <w:jc w:val="center"/>
              <w:rPr>
                <w:rFonts w:ascii="宋体" w:hAnsi="宋体" w:cs="宋体"/>
                <w:szCs w:val="21"/>
              </w:rPr>
            </w:pPr>
            <w:r>
              <w:rPr>
                <w:rFonts w:hint="eastAsia" w:ascii="宋体" w:hAnsi="宋体" w:cs="宋体"/>
                <w:szCs w:val="21"/>
              </w:rPr>
              <w:t>环境</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环境</w:t>
            </w:r>
          </w:p>
          <w:p>
            <w:pPr>
              <w:adjustRightInd w:val="0"/>
              <w:snapToGrid w:val="0"/>
              <w:jc w:val="center"/>
              <w:rPr>
                <w:rFonts w:ascii="宋体" w:hAnsi="宋体" w:cs="宋体"/>
                <w:szCs w:val="21"/>
              </w:rPr>
            </w:pPr>
            <w:r>
              <w:rPr>
                <w:rFonts w:hint="eastAsia" w:ascii="宋体" w:hAnsi="宋体" w:cs="宋体"/>
                <w:szCs w:val="21"/>
              </w:rPr>
              <w:t>风险</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环境</w:t>
            </w:r>
          </w:p>
          <w:p>
            <w:pPr>
              <w:adjustRightInd w:val="0"/>
              <w:snapToGrid w:val="0"/>
              <w:jc w:val="center"/>
              <w:rPr>
                <w:rFonts w:ascii="宋体" w:hAnsi="宋体" w:cs="宋体"/>
                <w:szCs w:val="21"/>
              </w:rPr>
            </w:pPr>
            <w:r>
              <w:rPr>
                <w:rFonts w:hint="eastAsia" w:ascii="宋体" w:hAnsi="宋体" w:cs="宋体"/>
                <w:szCs w:val="21"/>
              </w:rPr>
              <w:t>监测</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3" w:type="dxa"/>
            <w:vAlign w:val="center"/>
          </w:tcPr>
          <w:p>
            <w:pPr>
              <w:adjustRightInd w:val="0"/>
              <w:snapToGrid w:val="0"/>
              <w:jc w:val="center"/>
              <w:rPr>
                <w:rFonts w:ascii="宋体" w:hAnsi="宋体" w:cs="宋体"/>
                <w:szCs w:val="21"/>
              </w:rPr>
            </w:pPr>
            <w:r>
              <w:rPr>
                <w:rFonts w:hint="eastAsia" w:ascii="宋体" w:hAnsi="宋体" w:cs="宋体"/>
                <w:szCs w:val="21"/>
              </w:rPr>
              <w:t>其他</w:t>
            </w:r>
          </w:p>
        </w:tc>
        <w:tc>
          <w:tcPr>
            <w:tcW w:w="1388"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1259" w:type="dxa"/>
            <w:vAlign w:val="center"/>
          </w:tcPr>
          <w:p>
            <w:pPr>
              <w:adjustRightInd w:val="0"/>
              <w:snapToGrid w:val="0"/>
              <w:jc w:val="center"/>
              <w:rPr>
                <w:rFonts w:ascii="宋体" w:hAnsi="宋体" w:cs="宋体"/>
                <w:szCs w:val="21"/>
              </w:rPr>
            </w:pPr>
            <w:r>
              <w:rPr>
                <w:rFonts w:hint="eastAsia" w:ascii="宋体" w:hAnsi="宋体" w:cs="宋体"/>
                <w:szCs w:val="21"/>
              </w:rPr>
              <w:t>/</w:t>
            </w:r>
          </w:p>
        </w:tc>
        <w:tc>
          <w:tcPr>
            <w:tcW w:w="3296" w:type="dxa"/>
            <w:gridSpan w:val="2"/>
            <w:vAlign w:val="center"/>
          </w:tcPr>
          <w:p>
            <w:pPr>
              <w:adjustRightInd w:val="0"/>
              <w:snapToGrid w:val="0"/>
              <w:jc w:val="center"/>
              <w:rPr>
                <w:rFonts w:ascii="宋体" w:hAnsi="宋体" w:cs="宋体"/>
                <w:szCs w:val="21"/>
              </w:rPr>
            </w:pPr>
            <w:r>
              <w:rPr>
                <w:rFonts w:hint="eastAsia" w:ascii="宋体" w:hAnsi="宋体" w:cs="宋体"/>
                <w:szCs w:val="21"/>
              </w:rPr>
              <w:t>/</w:t>
            </w:r>
          </w:p>
        </w:tc>
        <w:tc>
          <w:tcPr>
            <w:tcW w:w="2195" w:type="dxa"/>
            <w:vAlign w:val="center"/>
          </w:tcPr>
          <w:p>
            <w:pPr>
              <w:adjustRightInd w:val="0"/>
              <w:snapToGrid w:val="0"/>
              <w:jc w:val="center"/>
              <w:rPr>
                <w:rFonts w:ascii="宋体" w:hAnsi="宋体" w:cs="宋体"/>
                <w:szCs w:val="21"/>
              </w:rPr>
            </w:pPr>
            <w:r>
              <w:rPr>
                <w:rFonts w:hint="eastAsia" w:ascii="宋体" w:hAnsi="宋体" w:cs="宋体"/>
                <w:szCs w:val="21"/>
              </w:rPr>
              <w:t>/</w:t>
            </w:r>
          </w:p>
        </w:tc>
      </w:tr>
    </w:tbl>
    <w:p>
      <w:pPr>
        <w:pStyle w:val="28"/>
        <w:spacing w:before="0" w:beforeAutospacing="0" w:line="14" w:lineRule="auto"/>
        <w:jc w:val="center"/>
        <w:outlineLvl w:val="0"/>
        <w:rPr>
          <w:rFonts w:ascii="黑体" w:hAnsi="黑体" w:eastAsia="黑体"/>
          <w:snapToGrid w:val="0"/>
          <w:sz w:val="30"/>
          <w:szCs w:val="30"/>
        </w:rPr>
      </w:pPr>
      <w:r>
        <w:rPr>
          <w:rFonts w:ascii="黑体" w:hAnsi="黑体" w:eastAsia="黑体"/>
          <w:snapToGrid w:val="0"/>
          <w:sz w:val="30"/>
          <w:szCs w:val="30"/>
        </w:rPr>
        <w:br w:type="page"/>
      </w:r>
      <w:r>
        <w:rPr>
          <w:rFonts w:hint="eastAsia" w:ascii="黑体" w:hAnsi="黑体" w:eastAsia="黑体"/>
          <w:snapToGrid w:val="0"/>
          <w:sz w:val="30"/>
          <w:szCs w:val="30"/>
        </w:rPr>
        <w:t>七、结论</w:t>
      </w:r>
    </w:p>
    <w:tbl>
      <w:tblPr>
        <w:tblStyle w:val="31"/>
        <w:tblW w:w="92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349" w:hRule="atLeast"/>
          <w:jc w:val="center"/>
        </w:trPr>
        <w:tc>
          <w:tcPr>
            <w:tcW w:w="9289" w:type="dxa"/>
          </w:tcPr>
          <w:p>
            <w:pPr>
              <w:adjustRightInd w:val="0"/>
              <w:snapToGrid w:val="0"/>
              <w:spacing w:line="520" w:lineRule="exact"/>
              <w:ind w:firstLine="480" w:firstLineChars="200"/>
              <w:rPr>
                <w:sz w:val="24"/>
              </w:rPr>
            </w:pPr>
            <w:r>
              <w:rPr>
                <w:rFonts w:hint="eastAsia"/>
                <w:sz w:val="24"/>
              </w:rPr>
              <w:t>本项目运行期间产生一定量的废水、废气、噪声和固体废物，通过采取有效的污染防治措施，可将项目对周围环境造成的影响降到最低。同时，项目运营过程中，依据本次评价所提出的有关污染防治措施，全面落实“三同时”制度，加强运营期环境管理，定期监测，确保污染防治设施稳定达标运行，则项目建设对周围环境质量不会产生明显的影响，从环境保护角度出发，本项目建设是可行的。</w:t>
            </w:r>
          </w:p>
          <w:p>
            <w:pPr>
              <w:adjustRightInd w:val="0"/>
              <w:snapToGrid w:val="0"/>
              <w:ind w:firstLine="315"/>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p>
            <w:pPr>
              <w:pStyle w:val="21"/>
              <w:rPr>
                <w:rFonts w:hAnsi="宋体" w:cs="宋体"/>
                <w:szCs w:val="21"/>
              </w:rPr>
            </w:pPr>
          </w:p>
        </w:tc>
      </w:tr>
    </w:tbl>
    <w:p>
      <w:pPr>
        <w:rPr>
          <w:rFonts w:ascii="宋体"/>
        </w:rPr>
      </w:pPr>
    </w:p>
    <w:p>
      <w:pPr>
        <w:pStyle w:val="30"/>
        <w:ind w:left="0" w:leftChars="0" w:firstLine="0" w:firstLineChars="0"/>
        <w:rPr>
          <w:b/>
          <w:bCs/>
          <w:sz w:val="28"/>
          <w:szCs w:val="28"/>
        </w:rPr>
      </w:pPr>
      <w:r>
        <w:rPr>
          <w:rFonts w:ascii="黑体" w:hAnsi="黑体" w:eastAsia="黑体"/>
          <w:snapToGrid w:val="0"/>
          <w:sz w:val="32"/>
          <w:szCs w:val="32"/>
        </w:rPr>
        <w:br w:type="page"/>
      </w:r>
      <w:bookmarkStart w:id="37" w:name="_Hlk86049645"/>
      <w:r>
        <w:rPr>
          <w:rFonts w:hint="eastAsia"/>
          <w:b/>
          <w:bCs/>
          <w:sz w:val="28"/>
          <w:szCs w:val="28"/>
        </w:rPr>
        <w:t>附件1  环评委托书</w:t>
      </w:r>
    </w:p>
    <w:p>
      <w:pPr>
        <w:jc w:val="center"/>
        <w:rPr>
          <w:b/>
          <w:sz w:val="44"/>
          <w:szCs w:val="44"/>
        </w:rPr>
      </w:pPr>
      <w:r>
        <w:rPr>
          <w:rFonts w:hint="eastAsia"/>
          <w:b/>
          <w:sz w:val="44"/>
          <w:szCs w:val="44"/>
        </w:rPr>
        <w:t>委托书</w:t>
      </w:r>
    </w:p>
    <w:p>
      <w:pPr>
        <w:jc w:val="center"/>
        <w:rPr>
          <w:b/>
          <w:sz w:val="44"/>
          <w:szCs w:val="44"/>
        </w:rPr>
      </w:pPr>
    </w:p>
    <w:p>
      <w:pPr>
        <w:rPr>
          <w:b/>
          <w:sz w:val="28"/>
          <w:szCs w:val="28"/>
        </w:rPr>
      </w:pPr>
    </w:p>
    <w:p>
      <w:pPr>
        <w:rPr>
          <w:b/>
          <w:sz w:val="32"/>
          <w:szCs w:val="32"/>
        </w:rPr>
      </w:pPr>
      <w:r>
        <w:rPr>
          <w:rFonts w:hint="eastAsia"/>
          <w:b/>
          <w:sz w:val="32"/>
          <w:szCs w:val="32"/>
        </w:rPr>
        <w:t>乌鲁木齐天之宇环保科技有限公司：</w:t>
      </w:r>
    </w:p>
    <w:p>
      <w:pPr>
        <w:rPr>
          <w:b/>
          <w:sz w:val="32"/>
          <w:szCs w:val="32"/>
        </w:rPr>
      </w:pPr>
    </w:p>
    <w:p>
      <w:pPr>
        <w:ind w:right="25" w:rightChars="12" w:firstLine="640" w:firstLineChars="200"/>
        <w:rPr>
          <w:b/>
          <w:snapToGrid w:val="0"/>
          <w:sz w:val="28"/>
          <w:szCs w:val="28"/>
          <w:u w:val="single"/>
        </w:rPr>
      </w:pPr>
      <w:r>
        <w:rPr>
          <w:rFonts w:hint="eastAsia"/>
          <w:sz w:val="32"/>
          <w:szCs w:val="32"/>
        </w:rPr>
        <w:t>根据《建设项目环境保护管理条例》以及《中华人民共和国环境影响评价法》的规定，特委托贵单位承担</w:t>
      </w:r>
      <w:bookmarkStart w:id="38" w:name="_Hlk86050292"/>
      <w:r>
        <w:rPr>
          <w:rFonts w:hint="eastAsia"/>
          <w:b/>
          <w:bCs/>
          <w:sz w:val="32"/>
          <w:szCs w:val="32"/>
          <w:u w:val="single"/>
        </w:rPr>
        <w:t>新疆阜康市规划四号石英砂矿采矿项目</w:t>
      </w:r>
      <w:bookmarkEnd w:id="38"/>
      <w:r>
        <w:rPr>
          <w:rFonts w:hint="eastAsia"/>
          <w:sz w:val="32"/>
          <w:szCs w:val="32"/>
        </w:rPr>
        <w:t>环境影响评价工作，编制环境影响报告表。</w:t>
      </w:r>
    </w:p>
    <w:p>
      <w:pPr>
        <w:ind w:firstLine="640" w:firstLineChars="200"/>
        <w:rPr>
          <w:sz w:val="32"/>
          <w:szCs w:val="32"/>
        </w:rPr>
      </w:pPr>
    </w:p>
    <w:p>
      <w:pPr>
        <w:ind w:firstLine="960" w:firstLineChars="300"/>
        <w:rPr>
          <w:sz w:val="32"/>
          <w:szCs w:val="32"/>
        </w:rPr>
      </w:pPr>
      <w:r>
        <w:rPr>
          <w:rFonts w:hint="eastAsia"/>
          <w:sz w:val="32"/>
          <w:szCs w:val="32"/>
        </w:rPr>
        <w:t>特此委托！</w:t>
      </w:r>
    </w:p>
    <w:p>
      <w:pPr>
        <w:ind w:firstLine="720" w:firstLineChars="225"/>
        <w:rPr>
          <w:sz w:val="32"/>
          <w:szCs w:val="32"/>
        </w:rPr>
      </w:pPr>
    </w:p>
    <w:p>
      <w:pPr>
        <w:ind w:firstLine="720" w:firstLineChars="225"/>
        <w:rPr>
          <w:sz w:val="32"/>
          <w:szCs w:val="32"/>
        </w:rPr>
      </w:pPr>
    </w:p>
    <w:p>
      <w:pPr>
        <w:ind w:firstLine="720" w:firstLineChars="225"/>
        <w:rPr>
          <w:sz w:val="32"/>
          <w:szCs w:val="32"/>
        </w:rPr>
      </w:pPr>
    </w:p>
    <w:p>
      <w:pPr>
        <w:ind w:firstLine="2480" w:firstLineChars="775"/>
        <w:jc w:val="right"/>
        <w:rPr>
          <w:sz w:val="32"/>
          <w:szCs w:val="32"/>
        </w:rPr>
      </w:pPr>
    </w:p>
    <w:p>
      <w:pPr>
        <w:ind w:firstLine="2480" w:firstLineChars="775"/>
        <w:jc w:val="right"/>
        <w:rPr>
          <w:sz w:val="32"/>
          <w:szCs w:val="32"/>
        </w:rPr>
      </w:pPr>
    </w:p>
    <w:p>
      <w:pPr>
        <w:ind w:right="206" w:firstLine="1440" w:firstLineChars="450"/>
        <w:jc w:val="center"/>
      </w:pPr>
      <w:r>
        <w:rPr>
          <w:sz w:val="32"/>
          <w:szCs w:val="32"/>
        </w:rPr>
        <w:t>委托单位：</w:t>
      </w:r>
      <w:bookmarkStart w:id="39" w:name="_Hlk86050314"/>
      <w:r>
        <w:rPr>
          <w:rFonts w:hint="eastAsia"/>
          <w:sz w:val="32"/>
          <w:szCs w:val="32"/>
        </w:rPr>
        <w:t>新疆世纪能源集团有限公司</w:t>
      </w:r>
      <w:bookmarkEnd w:id="39"/>
    </w:p>
    <w:p>
      <w:pPr>
        <w:ind w:right="206" w:firstLine="1440" w:firstLineChars="450"/>
        <w:jc w:val="center"/>
        <w:rPr>
          <w:sz w:val="32"/>
          <w:szCs w:val="32"/>
        </w:rPr>
        <w:sectPr>
          <w:footerReference r:id="rId6" w:type="default"/>
          <w:pgSz w:w="11906" w:h="16838"/>
          <w:pgMar w:top="1134" w:right="1134" w:bottom="1701" w:left="1701" w:header="851" w:footer="992" w:gutter="0"/>
          <w:cols w:space="720" w:num="1"/>
          <w:docGrid w:type="lines" w:linePitch="312" w:charSpace="0"/>
        </w:sectPr>
      </w:pPr>
      <w:r>
        <w:rPr>
          <w:sz w:val="32"/>
          <w:szCs w:val="32"/>
        </w:rPr>
        <w:t>委托日期：20</w:t>
      </w:r>
      <w:r>
        <w:rPr>
          <w:rFonts w:hint="eastAsia"/>
          <w:sz w:val="32"/>
          <w:szCs w:val="32"/>
        </w:rPr>
        <w:t>21</w:t>
      </w:r>
      <w:r>
        <w:rPr>
          <w:sz w:val="32"/>
          <w:szCs w:val="32"/>
        </w:rPr>
        <w:t>年10月</w:t>
      </w:r>
      <w:bookmarkEnd w:id="37"/>
      <w:bookmarkStart w:id="40" w:name="_GoBack"/>
      <w:bookmarkEnd w:id="40"/>
    </w:p>
    <w:p>
      <w:pPr>
        <w:pStyle w:val="56"/>
        <w:spacing w:line="240" w:lineRule="auto"/>
        <w:ind w:firstLine="561"/>
        <w:jc w:val="both"/>
        <w:rPr>
          <w:rFonts w:hint="eastAsia"/>
          <w:b/>
          <w:bCs/>
          <w:sz w:val="28"/>
          <w:szCs w:val="28"/>
        </w:rPr>
      </w:pPr>
    </w:p>
    <w:sectPr>
      <w:type w:val="continuous"/>
      <w:pgSz w:w="16838" w:h="11906" w:orient="landscape"/>
      <w:pgMar w:top="1800" w:right="1440" w:bottom="1800" w:left="1440" w:header="851" w:footer="107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仿宋"/>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34"/>
      </w:rPr>
    </w:pPr>
    <w:r>
      <w:rPr>
        <w:rStyle w:val="34"/>
      </w:rPr>
      <w:fldChar w:fldCharType="begin"/>
    </w:r>
    <w:r>
      <w:rPr>
        <w:rStyle w:val="34"/>
      </w:rPr>
      <w:instrText xml:space="preserve">PAGE  </w:instrText>
    </w:r>
    <w:r>
      <w:rPr>
        <w:rStyle w:val="34"/>
      </w:rP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34"/>
        <w:rFonts w:ascii="宋体" w:hAnsi="宋体"/>
        <w:sz w:val="28"/>
        <w:szCs w:val="28"/>
      </w:rPr>
    </w:pPr>
    <w:r>
      <w:rPr>
        <w:rStyle w:val="34"/>
        <w:rFonts w:hint="eastAsia" w:ascii="宋体" w:hAnsi="宋体"/>
        <w:sz w:val="28"/>
        <w:szCs w:val="28"/>
      </w:rPr>
      <w:t>—</w:t>
    </w:r>
    <w:r>
      <w:rPr>
        <w:rStyle w:val="34"/>
        <w:rFonts w:hint="eastAsia" w:ascii="宋体" w:hAnsi="宋体"/>
        <w:sz w:val="20"/>
        <w:szCs w:val="20"/>
      </w:rPr>
      <w:t xml:space="preserve">  </w:t>
    </w:r>
    <w:r>
      <w:rPr>
        <w:rStyle w:val="34"/>
        <w:rFonts w:ascii="宋体" w:hAnsi="宋体"/>
        <w:sz w:val="26"/>
        <w:szCs w:val="26"/>
      </w:rPr>
      <w:fldChar w:fldCharType="begin"/>
    </w:r>
    <w:r>
      <w:rPr>
        <w:rStyle w:val="34"/>
        <w:rFonts w:ascii="宋体" w:hAnsi="宋体"/>
        <w:sz w:val="26"/>
        <w:szCs w:val="26"/>
      </w:rPr>
      <w:instrText xml:space="preserve">PAGE  </w:instrText>
    </w:r>
    <w:r>
      <w:rPr>
        <w:rStyle w:val="34"/>
        <w:rFonts w:ascii="宋体" w:hAnsi="宋体"/>
        <w:sz w:val="26"/>
        <w:szCs w:val="26"/>
      </w:rPr>
      <w:fldChar w:fldCharType="separate"/>
    </w:r>
    <w:r>
      <w:rPr>
        <w:rStyle w:val="34"/>
        <w:rFonts w:ascii="宋体" w:hAnsi="宋体"/>
        <w:sz w:val="26"/>
        <w:szCs w:val="26"/>
      </w:rPr>
      <w:t>22</w:t>
    </w:r>
    <w:r>
      <w:rPr>
        <w:rStyle w:val="34"/>
        <w:rFonts w:ascii="宋体" w:hAnsi="宋体"/>
        <w:sz w:val="26"/>
        <w:szCs w:val="26"/>
      </w:rPr>
      <w:fldChar w:fldCharType="end"/>
    </w:r>
    <w:r>
      <w:rPr>
        <w:rStyle w:val="34"/>
        <w:rFonts w:hint="eastAsia" w:ascii="宋体" w:hAnsi="宋体"/>
        <w:sz w:val="20"/>
        <w:szCs w:val="20"/>
      </w:rPr>
      <w:t xml:space="preserve">  </w:t>
    </w:r>
    <w:r>
      <w:rPr>
        <w:rStyle w:val="34"/>
        <w:rFonts w:hint="eastAsia" w:ascii="宋体" w:hAnsi="宋体"/>
        <w:sz w:val="28"/>
        <w:szCs w:val="28"/>
      </w:rPr>
      <w:t>—</w:t>
    </w:r>
  </w:p>
  <w:p>
    <w:pPr>
      <w:pStyle w:val="2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firstLine="36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2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3GF10gAAAAMBAAAPAAAA&#10;AAAAAAEAIAAAACIAAABkcnMvZG93bnJldi54bWxQSwECFAAUAAAACACHTuJAI+FPrRsCAAAXBAAA&#10;DgAAAAAAAAABACAAAAAhAQAAZHJzL2Uyb0RvYy54bWxQSwUGAAAAAAYABgBZAQAArg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D53780"/>
    <w:multiLevelType w:val="singleLevel"/>
    <w:tmpl w:val="8FD53780"/>
    <w:lvl w:ilvl="0" w:tentative="0">
      <w:start w:val="1"/>
      <w:numFmt w:val="decimal"/>
      <w:suff w:val="nothing"/>
      <w:lvlText w:val="%1、"/>
      <w:lvlJc w:val="left"/>
      <w:pPr>
        <w:ind w:left="646"/>
      </w:pPr>
    </w:lvl>
  </w:abstractNum>
  <w:abstractNum w:abstractNumId="1">
    <w:nsid w:val="A08E0653"/>
    <w:multiLevelType w:val="singleLevel"/>
    <w:tmpl w:val="A08E0653"/>
    <w:lvl w:ilvl="0" w:tentative="0">
      <w:start w:val="1"/>
      <w:numFmt w:val="decimal"/>
      <w:suff w:val="nothing"/>
      <w:lvlText w:val="%1、"/>
      <w:lvlJc w:val="left"/>
    </w:lvl>
  </w:abstractNum>
  <w:abstractNum w:abstractNumId="2">
    <w:nsid w:val="AEC189B5"/>
    <w:multiLevelType w:val="singleLevel"/>
    <w:tmpl w:val="AEC189B5"/>
    <w:lvl w:ilvl="0" w:tentative="0">
      <w:start w:val="1"/>
      <w:numFmt w:val="decimal"/>
      <w:suff w:val="nothing"/>
      <w:lvlText w:val="%1、"/>
      <w:lvlJc w:val="left"/>
    </w:lvl>
  </w:abstractNum>
  <w:abstractNum w:abstractNumId="3">
    <w:nsid w:val="B35CDFC1"/>
    <w:multiLevelType w:val="singleLevel"/>
    <w:tmpl w:val="B35CDFC1"/>
    <w:lvl w:ilvl="0" w:tentative="0">
      <w:start w:val="1"/>
      <w:numFmt w:val="decimal"/>
      <w:suff w:val="nothing"/>
      <w:lvlText w:val="（%1）"/>
      <w:lvlJc w:val="left"/>
    </w:lvl>
  </w:abstractNum>
  <w:abstractNum w:abstractNumId="4">
    <w:nsid w:val="D9D63C42"/>
    <w:multiLevelType w:val="singleLevel"/>
    <w:tmpl w:val="D9D63C42"/>
    <w:lvl w:ilvl="0" w:tentative="0">
      <w:start w:val="1"/>
      <w:numFmt w:val="decimal"/>
      <w:suff w:val="nothing"/>
      <w:lvlText w:val="（%1）"/>
      <w:lvlJc w:val="left"/>
    </w:lvl>
  </w:abstractNum>
  <w:abstractNum w:abstractNumId="5">
    <w:nsid w:val="DFC209F7"/>
    <w:multiLevelType w:val="singleLevel"/>
    <w:tmpl w:val="DFC209F7"/>
    <w:lvl w:ilvl="0" w:tentative="0">
      <w:start w:val="1"/>
      <w:numFmt w:val="decimal"/>
      <w:suff w:val="nothing"/>
      <w:lvlText w:val="（%1）"/>
      <w:lvlJc w:val="left"/>
    </w:lvl>
  </w:abstractNum>
  <w:abstractNum w:abstractNumId="6">
    <w:nsid w:val="05EF78DE"/>
    <w:multiLevelType w:val="singleLevel"/>
    <w:tmpl w:val="05EF78DE"/>
    <w:lvl w:ilvl="0" w:tentative="0">
      <w:start w:val="3"/>
      <w:numFmt w:val="decimal"/>
      <w:suff w:val="nothing"/>
      <w:lvlText w:val="（%1）"/>
      <w:lvlJc w:val="left"/>
    </w:lvl>
  </w:abstractNum>
  <w:abstractNum w:abstractNumId="7">
    <w:nsid w:val="07BB87F3"/>
    <w:multiLevelType w:val="singleLevel"/>
    <w:tmpl w:val="07BB87F3"/>
    <w:lvl w:ilvl="0" w:tentative="0">
      <w:start w:val="1"/>
      <w:numFmt w:val="decimal"/>
      <w:suff w:val="nothing"/>
      <w:lvlText w:val="（%1）"/>
      <w:lvlJc w:val="left"/>
    </w:lvl>
  </w:abstractNum>
  <w:abstractNum w:abstractNumId="8">
    <w:nsid w:val="3526DD5B"/>
    <w:multiLevelType w:val="singleLevel"/>
    <w:tmpl w:val="3526DD5B"/>
    <w:lvl w:ilvl="0" w:tentative="0">
      <w:start w:val="1"/>
      <w:numFmt w:val="decimal"/>
      <w:suff w:val="nothing"/>
      <w:lvlText w:val="%1、"/>
      <w:lvlJc w:val="left"/>
      <w:pPr>
        <w:ind w:left="-60"/>
      </w:pPr>
    </w:lvl>
  </w:abstractNum>
  <w:abstractNum w:abstractNumId="9">
    <w:nsid w:val="3ECC1F4C"/>
    <w:multiLevelType w:val="singleLevel"/>
    <w:tmpl w:val="3ECC1F4C"/>
    <w:lvl w:ilvl="0" w:tentative="0">
      <w:start w:val="1"/>
      <w:numFmt w:val="bullet"/>
      <w:pStyle w:val="15"/>
      <w:lvlText w:val=""/>
      <w:lvlJc w:val="left"/>
      <w:pPr>
        <w:tabs>
          <w:tab w:val="left" w:pos="2040"/>
        </w:tabs>
        <w:ind w:left="2040" w:hanging="360"/>
      </w:pPr>
      <w:rPr>
        <w:rFonts w:hint="default" w:ascii="Wingdings" w:hAnsi="Wingdings"/>
      </w:rPr>
    </w:lvl>
  </w:abstractNum>
  <w:abstractNum w:abstractNumId="10">
    <w:nsid w:val="4B0ABAA4"/>
    <w:multiLevelType w:val="singleLevel"/>
    <w:tmpl w:val="4B0ABAA4"/>
    <w:lvl w:ilvl="0" w:tentative="0">
      <w:start w:val="1"/>
      <w:numFmt w:val="decimal"/>
      <w:suff w:val="nothing"/>
      <w:lvlText w:val="%1、"/>
      <w:lvlJc w:val="left"/>
    </w:lvl>
  </w:abstractNum>
  <w:abstractNum w:abstractNumId="11">
    <w:nsid w:val="51F017BE"/>
    <w:multiLevelType w:val="singleLevel"/>
    <w:tmpl w:val="51F017BE"/>
    <w:lvl w:ilvl="0" w:tentative="0">
      <w:start w:val="1"/>
      <w:numFmt w:val="decimal"/>
      <w:suff w:val="nothing"/>
      <w:lvlText w:val="（%1）"/>
      <w:lvlJc w:val="left"/>
    </w:lvl>
  </w:abstractNum>
  <w:abstractNum w:abstractNumId="12">
    <w:nsid w:val="576167E7"/>
    <w:multiLevelType w:val="multilevel"/>
    <w:tmpl w:val="576167E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
    <w:nsid w:val="668BE267"/>
    <w:multiLevelType w:val="singleLevel"/>
    <w:tmpl w:val="668BE267"/>
    <w:lvl w:ilvl="0" w:tentative="0">
      <w:start w:val="1"/>
      <w:numFmt w:val="decimal"/>
      <w:suff w:val="nothing"/>
      <w:lvlText w:val="%1、"/>
      <w:lvlJc w:val="left"/>
    </w:lvl>
  </w:abstractNum>
  <w:num w:numId="1">
    <w:abstractNumId w:val="12"/>
  </w:num>
  <w:num w:numId="2">
    <w:abstractNumId w:val="9"/>
  </w:num>
  <w:num w:numId="3">
    <w:abstractNumId w:val="1"/>
  </w:num>
  <w:num w:numId="4">
    <w:abstractNumId w:val="6"/>
  </w:num>
  <w:num w:numId="5">
    <w:abstractNumId w:val="8"/>
  </w:num>
  <w:num w:numId="6">
    <w:abstractNumId w:val="10"/>
  </w:num>
  <w:num w:numId="7">
    <w:abstractNumId w:val="13"/>
  </w:num>
  <w:num w:numId="8">
    <w:abstractNumId w:val="0"/>
  </w:num>
  <w:num w:numId="9">
    <w:abstractNumId w:val="2"/>
  </w:num>
  <w:num w:numId="10">
    <w:abstractNumId w:val="3"/>
  </w:num>
  <w:num w:numId="11">
    <w:abstractNumId w:val="7"/>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11CA"/>
    <w:rsid w:val="00001CED"/>
    <w:rsid w:val="00001E67"/>
    <w:rsid w:val="0000266F"/>
    <w:rsid w:val="00003CD8"/>
    <w:rsid w:val="000041D1"/>
    <w:rsid w:val="000139CD"/>
    <w:rsid w:val="00014965"/>
    <w:rsid w:val="0001523A"/>
    <w:rsid w:val="00016ECB"/>
    <w:rsid w:val="00020555"/>
    <w:rsid w:val="00023D80"/>
    <w:rsid w:val="000269F6"/>
    <w:rsid w:val="00027F40"/>
    <w:rsid w:val="00031939"/>
    <w:rsid w:val="00032D25"/>
    <w:rsid w:val="00033CC6"/>
    <w:rsid w:val="00036F39"/>
    <w:rsid w:val="0005219D"/>
    <w:rsid w:val="0005568F"/>
    <w:rsid w:val="0005644B"/>
    <w:rsid w:val="000565C1"/>
    <w:rsid w:val="00060350"/>
    <w:rsid w:val="0006153D"/>
    <w:rsid w:val="00061718"/>
    <w:rsid w:val="00061B1F"/>
    <w:rsid w:val="00066090"/>
    <w:rsid w:val="000664DB"/>
    <w:rsid w:val="0007127D"/>
    <w:rsid w:val="00071AE5"/>
    <w:rsid w:val="00074783"/>
    <w:rsid w:val="000757B9"/>
    <w:rsid w:val="000801E0"/>
    <w:rsid w:val="00082A29"/>
    <w:rsid w:val="0008331D"/>
    <w:rsid w:val="00083C18"/>
    <w:rsid w:val="0008531C"/>
    <w:rsid w:val="00092899"/>
    <w:rsid w:val="00094A50"/>
    <w:rsid w:val="000A178E"/>
    <w:rsid w:val="000A24EF"/>
    <w:rsid w:val="000A557E"/>
    <w:rsid w:val="000B058F"/>
    <w:rsid w:val="000B693F"/>
    <w:rsid w:val="000C09AC"/>
    <w:rsid w:val="000C0A63"/>
    <w:rsid w:val="000C437E"/>
    <w:rsid w:val="000D41B2"/>
    <w:rsid w:val="000D60C6"/>
    <w:rsid w:val="000D7FED"/>
    <w:rsid w:val="000E5F16"/>
    <w:rsid w:val="000F1E27"/>
    <w:rsid w:val="000F4452"/>
    <w:rsid w:val="000F6CF9"/>
    <w:rsid w:val="000F6DA1"/>
    <w:rsid w:val="000F701B"/>
    <w:rsid w:val="000F7156"/>
    <w:rsid w:val="001012E9"/>
    <w:rsid w:val="001056A0"/>
    <w:rsid w:val="0010669C"/>
    <w:rsid w:val="00111311"/>
    <w:rsid w:val="00115279"/>
    <w:rsid w:val="00117459"/>
    <w:rsid w:val="0011749A"/>
    <w:rsid w:val="00126766"/>
    <w:rsid w:val="00126A79"/>
    <w:rsid w:val="00127A68"/>
    <w:rsid w:val="00140B13"/>
    <w:rsid w:val="00141B68"/>
    <w:rsid w:val="0014621A"/>
    <w:rsid w:val="001466DA"/>
    <w:rsid w:val="001479BF"/>
    <w:rsid w:val="00154DE1"/>
    <w:rsid w:val="00155B40"/>
    <w:rsid w:val="00157435"/>
    <w:rsid w:val="00163EEA"/>
    <w:rsid w:val="0016663A"/>
    <w:rsid w:val="0016671E"/>
    <w:rsid w:val="0016777F"/>
    <w:rsid w:val="00167A07"/>
    <w:rsid w:val="0017046A"/>
    <w:rsid w:val="001704A3"/>
    <w:rsid w:val="001718F3"/>
    <w:rsid w:val="0017504D"/>
    <w:rsid w:val="00177422"/>
    <w:rsid w:val="001823B6"/>
    <w:rsid w:val="00184F10"/>
    <w:rsid w:val="00185546"/>
    <w:rsid w:val="00190490"/>
    <w:rsid w:val="0019146B"/>
    <w:rsid w:val="00194398"/>
    <w:rsid w:val="001A180F"/>
    <w:rsid w:val="001A522F"/>
    <w:rsid w:val="001A58BA"/>
    <w:rsid w:val="001A7D2A"/>
    <w:rsid w:val="001B09CC"/>
    <w:rsid w:val="001B4B4F"/>
    <w:rsid w:val="001B574C"/>
    <w:rsid w:val="001C0AF9"/>
    <w:rsid w:val="001C155A"/>
    <w:rsid w:val="001C319C"/>
    <w:rsid w:val="001C48C0"/>
    <w:rsid w:val="001D39CD"/>
    <w:rsid w:val="001D6726"/>
    <w:rsid w:val="001E0CD5"/>
    <w:rsid w:val="001E1A24"/>
    <w:rsid w:val="001F3347"/>
    <w:rsid w:val="001F40B7"/>
    <w:rsid w:val="001F4440"/>
    <w:rsid w:val="001F69E4"/>
    <w:rsid w:val="00206A65"/>
    <w:rsid w:val="00212D31"/>
    <w:rsid w:val="002130C7"/>
    <w:rsid w:val="002218A8"/>
    <w:rsid w:val="0022306D"/>
    <w:rsid w:val="00226574"/>
    <w:rsid w:val="002278EC"/>
    <w:rsid w:val="002331FF"/>
    <w:rsid w:val="002357C7"/>
    <w:rsid w:val="00235A30"/>
    <w:rsid w:val="002367C4"/>
    <w:rsid w:val="00237163"/>
    <w:rsid w:val="00244DD6"/>
    <w:rsid w:val="002478AB"/>
    <w:rsid w:val="00255731"/>
    <w:rsid w:val="0025679E"/>
    <w:rsid w:val="0025707A"/>
    <w:rsid w:val="00257E7A"/>
    <w:rsid w:val="00260C68"/>
    <w:rsid w:val="002621DE"/>
    <w:rsid w:val="0026287A"/>
    <w:rsid w:val="002648B0"/>
    <w:rsid w:val="00275271"/>
    <w:rsid w:val="0027535E"/>
    <w:rsid w:val="00275AA6"/>
    <w:rsid w:val="002807D5"/>
    <w:rsid w:val="00282CCD"/>
    <w:rsid w:val="002A0B8E"/>
    <w:rsid w:val="002A168C"/>
    <w:rsid w:val="002A2C48"/>
    <w:rsid w:val="002A3EED"/>
    <w:rsid w:val="002A4A39"/>
    <w:rsid w:val="002A5A17"/>
    <w:rsid w:val="002A6425"/>
    <w:rsid w:val="002A79B9"/>
    <w:rsid w:val="002B49E2"/>
    <w:rsid w:val="002B7B00"/>
    <w:rsid w:val="002B7C44"/>
    <w:rsid w:val="002C1388"/>
    <w:rsid w:val="002C3C6A"/>
    <w:rsid w:val="002D0BF6"/>
    <w:rsid w:val="002D42DB"/>
    <w:rsid w:val="002D53D0"/>
    <w:rsid w:val="002D6078"/>
    <w:rsid w:val="002D7DE0"/>
    <w:rsid w:val="002E1F3A"/>
    <w:rsid w:val="002E298A"/>
    <w:rsid w:val="002F02A4"/>
    <w:rsid w:val="002F272B"/>
    <w:rsid w:val="002F5A79"/>
    <w:rsid w:val="002F7C6D"/>
    <w:rsid w:val="003027E4"/>
    <w:rsid w:val="0030332C"/>
    <w:rsid w:val="00312296"/>
    <w:rsid w:val="0031340E"/>
    <w:rsid w:val="00316464"/>
    <w:rsid w:val="0032073A"/>
    <w:rsid w:val="00321D8E"/>
    <w:rsid w:val="00330B5C"/>
    <w:rsid w:val="00331C8A"/>
    <w:rsid w:val="00334996"/>
    <w:rsid w:val="00336969"/>
    <w:rsid w:val="00336C52"/>
    <w:rsid w:val="00340C9F"/>
    <w:rsid w:val="00341B3E"/>
    <w:rsid w:val="00341B42"/>
    <w:rsid w:val="00345154"/>
    <w:rsid w:val="0034560E"/>
    <w:rsid w:val="00350523"/>
    <w:rsid w:val="00352975"/>
    <w:rsid w:val="00356868"/>
    <w:rsid w:val="00363883"/>
    <w:rsid w:val="0036485B"/>
    <w:rsid w:val="00365465"/>
    <w:rsid w:val="0036617E"/>
    <w:rsid w:val="00373B0D"/>
    <w:rsid w:val="003746B7"/>
    <w:rsid w:val="00376988"/>
    <w:rsid w:val="00377BF4"/>
    <w:rsid w:val="00381A72"/>
    <w:rsid w:val="00383534"/>
    <w:rsid w:val="003A1948"/>
    <w:rsid w:val="003B152A"/>
    <w:rsid w:val="003B545B"/>
    <w:rsid w:val="003C7917"/>
    <w:rsid w:val="003D255B"/>
    <w:rsid w:val="003D3EE9"/>
    <w:rsid w:val="003E0F5A"/>
    <w:rsid w:val="003E34A2"/>
    <w:rsid w:val="003E7681"/>
    <w:rsid w:val="003F0809"/>
    <w:rsid w:val="003F2463"/>
    <w:rsid w:val="003F611C"/>
    <w:rsid w:val="003F6BD5"/>
    <w:rsid w:val="003F755C"/>
    <w:rsid w:val="00406F01"/>
    <w:rsid w:val="00411B36"/>
    <w:rsid w:val="004121D7"/>
    <w:rsid w:val="00412F79"/>
    <w:rsid w:val="00416D50"/>
    <w:rsid w:val="00417772"/>
    <w:rsid w:val="004209BF"/>
    <w:rsid w:val="00420E6A"/>
    <w:rsid w:val="00430F51"/>
    <w:rsid w:val="00433CA9"/>
    <w:rsid w:val="0043521D"/>
    <w:rsid w:val="00442024"/>
    <w:rsid w:val="0044254C"/>
    <w:rsid w:val="00443F6A"/>
    <w:rsid w:val="00450A17"/>
    <w:rsid w:val="00455F47"/>
    <w:rsid w:val="0046164C"/>
    <w:rsid w:val="004633A0"/>
    <w:rsid w:val="0046432F"/>
    <w:rsid w:val="00466321"/>
    <w:rsid w:val="004672AF"/>
    <w:rsid w:val="004727B0"/>
    <w:rsid w:val="00474BA6"/>
    <w:rsid w:val="00477560"/>
    <w:rsid w:val="00480247"/>
    <w:rsid w:val="0048081D"/>
    <w:rsid w:val="0048117E"/>
    <w:rsid w:val="004855F6"/>
    <w:rsid w:val="00486F0C"/>
    <w:rsid w:val="0049152B"/>
    <w:rsid w:val="00494670"/>
    <w:rsid w:val="004A0EB4"/>
    <w:rsid w:val="004A132F"/>
    <w:rsid w:val="004A3823"/>
    <w:rsid w:val="004A4F78"/>
    <w:rsid w:val="004A59BB"/>
    <w:rsid w:val="004B3761"/>
    <w:rsid w:val="004B43A3"/>
    <w:rsid w:val="004B4C49"/>
    <w:rsid w:val="004B58A5"/>
    <w:rsid w:val="004B63D9"/>
    <w:rsid w:val="004C0882"/>
    <w:rsid w:val="004C55BE"/>
    <w:rsid w:val="004D378D"/>
    <w:rsid w:val="004E5B30"/>
    <w:rsid w:val="004F0222"/>
    <w:rsid w:val="004F0779"/>
    <w:rsid w:val="004F1230"/>
    <w:rsid w:val="004F173F"/>
    <w:rsid w:val="004F177C"/>
    <w:rsid w:val="004F2DCE"/>
    <w:rsid w:val="004F2E1D"/>
    <w:rsid w:val="00502512"/>
    <w:rsid w:val="005039CB"/>
    <w:rsid w:val="0050558F"/>
    <w:rsid w:val="005057E0"/>
    <w:rsid w:val="00506286"/>
    <w:rsid w:val="00510813"/>
    <w:rsid w:val="00511DE0"/>
    <w:rsid w:val="00515EC2"/>
    <w:rsid w:val="005168E3"/>
    <w:rsid w:val="00517F02"/>
    <w:rsid w:val="00521CFE"/>
    <w:rsid w:val="00524547"/>
    <w:rsid w:val="005258A2"/>
    <w:rsid w:val="00530F7C"/>
    <w:rsid w:val="00534567"/>
    <w:rsid w:val="00534F43"/>
    <w:rsid w:val="00535A84"/>
    <w:rsid w:val="00536889"/>
    <w:rsid w:val="00542E07"/>
    <w:rsid w:val="00545317"/>
    <w:rsid w:val="0054607B"/>
    <w:rsid w:val="00554A7B"/>
    <w:rsid w:val="0055572C"/>
    <w:rsid w:val="0056064F"/>
    <w:rsid w:val="00561B84"/>
    <w:rsid w:val="00570BAE"/>
    <w:rsid w:val="00571D98"/>
    <w:rsid w:val="005720AE"/>
    <w:rsid w:val="0058030D"/>
    <w:rsid w:val="00582045"/>
    <w:rsid w:val="00590AE3"/>
    <w:rsid w:val="005918F1"/>
    <w:rsid w:val="005A06B7"/>
    <w:rsid w:val="005A1759"/>
    <w:rsid w:val="005A6E3B"/>
    <w:rsid w:val="005D0369"/>
    <w:rsid w:val="005D53FE"/>
    <w:rsid w:val="005D736B"/>
    <w:rsid w:val="005D7A0F"/>
    <w:rsid w:val="005E0438"/>
    <w:rsid w:val="005E1791"/>
    <w:rsid w:val="005E2CE6"/>
    <w:rsid w:val="005E6324"/>
    <w:rsid w:val="005F0519"/>
    <w:rsid w:val="005F14DE"/>
    <w:rsid w:val="005F228B"/>
    <w:rsid w:val="005F29CD"/>
    <w:rsid w:val="005F4DFB"/>
    <w:rsid w:val="005F55D9"/>
    <w:rsid w:val="005F6CC0"/>
    <w:rsid w:val="00602A11"/>
    <w:rsid w:val="00603E5B"/>
    <w:rsid w:val="00604675"/>
    <w:rsid w:val="00604BC8"/>
    <w:rsid w:val="00615B4C"/>
    <w:rsid w:val="00615B5D"/>
    <w:rsid w:val="0062146F"/>
    <w:rsid w:val="00622195"/>
    <w:rsid w:val="006343AF"/>
    <w:rsid w:val="0063634A"/>
    <w:rsid w:val="0064250D"/>
    <w:rsid w:val="006428A6"/>
    <w:rsid w:val="00647959"/>
    <w:rsid w:val="006535EB"/>
    <w:rsid w:val="00663016"/>
    <w:rsid w:val="0066617F"/>
    <w:rsid w:val="00674605"/>
    <w:rsid w:val="006748B8"/>
    <w:rsid w:val="00684508"/>
    <w:rsid w:val="0068535B"/>
    <w:rsid w:val="00686AD5"/>
    <w:rsid w:val="0068736E"/>
    <w:rsid w:val="0069290A"/>
    <w:rsid w:val="00697032"/>
    <w:rsid w:val="006975AC"/>
    <w:rsid w:val="006A15FB"/>
    <w:rsid w:val="006A72BF"/>
    <w:rsid w:val="006B01FA"/>
    <w:rsid w:val="006B1367"/>
    <w:rsid w:val="006B23C6"/>
    <w:rsid w:val="006B332A"/>
    <w:rsid w:val="006B33BD"/>
    <w:rsid w:val="006C3F75"/>
    <w:rsid w:val="006C6568"/>
    <w:rsid w:val="006D001C"/>
    <w:rsid w:val="006D0D92"/>
    <w:rsid w:val="006D170E"/>
    <w:rsid w:val="006D3422"/>
    <w:rsid w:val="006D633E"/>
    <w:rsid w:val="006E06AF"/>
    <w:rsid w:val="006E43F7"/>
    <w:rsid w:val="006F1789"/>
    <w:rsid w:val="006F1BB1"/>
    <w:rsid w:val="006F5C0F"/>
    <w:rsid w:val="00706C5D"/>
    <w:rsid w:val="007118E6"/>
    <w:rsid w:val="00711DE2"/>
    <w:rsid w:val="007203FA"/>
    <w:rsid w:val="007225C9"/>
    <w:rsid w:val="007228E3"/>
    <w:rsid w:val="00735CD7"/>
    <w:rsid w:val="00754034"/>
    <w:rsid w:val="00754BF1"/>
    <w:rsid w:val="00755A30"/>
    <w:rsid w:val="00755E1C"/>
    <w:rsid w:val="00756556"/>
    <w:rsid w:val="0076132B"/>
    <w:rsid w:val="007623AE"/>
    <w:rsid w:val="00770B19"/>
    <w:rsid w:val="00774FA0"/>
    <w:rsid w:val="00776620"/>
    <w:rsid w:val="00777B6D"/>
    <w:rsid w:val="00784855"/>
    <w:rsid w:val="00784F39"/>
    <w:rsid w:val="0078545C"/>
    <w:rsid w:val="007906C4"/>
    <w:rsid w:val="007940EA"/>
    <w:rsid w:val="007967E8"/>
    <w:rsid w:val="007A63F2"/>
    <w:rsid w:val="007B5914"/>
    <w:rsid w:val="007B68DE"/>
    <w:rsid w:val="007C07D6"/>
    <w:rsid w:val="007C1857"/>
    <w:rsid w:val="007C514F"/>
    <w:rsid w:val="007C7FDD"/>
    <w:rsid w:val="007D0F95"/>
    <w:rsid w:val="007D7ECB"/>
    <w:rsid w:val="007E25A1"/>
    <w:rsid w:val="007E4A16"/>
    <w:rsid w:val="007E4BD2"/>
    <w:rsid w:val="007E7145"/>
    <w:rsid w:val="007F0475"/>
    <w:rsid w:val="007F3916"/>
    <w:rsid w:val="007F7E9E"/>
    <w:rsid w:val="008009CF"/>
    <w:rsid w:val="00801179"/>
    <w:rsid w:val="00802479"/>
    <w:rsid w:val="00805372"/>
    <w:rsid w:val="00805B7B"/>
    <w:rsid w:val="00810B4E"/>
    <w:rsid w:val="0081293E"/>
    <w:rsid w:val="00814FFB"/>
    <w:rsid w:val="00820568"/>
    <w:rsid w:val="00825FDE"/>
    <w:rsid w:val="00831A80"/>
    <w:rsid w:val="008332C8"/>
    <w:rsid w:val="00833743"/>
    <w:rsid w:val="008340A4"/>
    <w:rsid w:val="00836799"/>
    <w:rsid w:val="00837028"/>
    <w:rsid w:val="00837131"/>
    <w:rsid w:val="00845F57"/>
    <w:rsid w:val="008521E0"/>
    <w:rsid w:val="008525B0"/>
    <w:rsid w:val="00867CBC"/>
    <w:rsid w:val="00871E48"/>
    <w:rsid w:val="00876C30"/>
    <w:rsid w:val="00876CDF"/>
    <w:rsid w:val="00877017"/>
    <w:rsid w:val="008773C0"/>
    <w:rsid w:val="00880364"/>
    <w:rsid w:val="00886C4C"/>
    <w:rsid w:val="0088711C"/>
    <w:rsid w:val="00892ECF"/>
    <w:rsid w:val="00892F06"/>
    <w:rsid w:val="00894285"/>
    <w:rsid w:val="008A40AE"/>
    <w:rsid w:val="008A4E19"/>
    <w:rsid w:val="008A67C5"/>
    <w:rsid w:val="008B22E1"/>
    <w:rsid w:val="008B3C78"/>
    <w:rsid w:val="008B44CF"/>
    <w:rsid w:val="008B4AE9"/>
    <w:rsid w:val="008C30AD"/>
    <w:rsid w:val="008C57C5"/>
    <w:rsid w:val="008C60DC"/>
    <w:rsid w:val="008D068E"/>
    <w:rsid w:val="008D0F7A"/>
    <w:rsid w:val="008D63BE"/>
    <w:rsid w:val="008E0CFF"/>
    <w:rsid w:val="008E5D6B"/>
    <w:rsid w:val="008E689B"/>
    <w:rsid w:val="008E76F0"/>
    <w:rsid w:val="008F15FE"/>
    <w:rsid w:val="008F2A94"/>
    <w:rsid w:val="008F5187"/>
    <w:rsid w:val="008F709C"/>
    <w:rsid w:val="009005E5"/>
    <w:rsid w:val="00902102"/>
    <w:rsid w:val="00902370"/>
    <w:rsid w:val="0090278A"/>
    <w:rsid w:val="0090312B"/>
    <w:rsid w:val="00904961"/>
    <w:rsid w:val="00904A50"/>
    <w:rsid w:val="00910407"/>
    <w:rsid w:val="009129E7"/>
    <w:rsid w:val="0091736D"/>
    <w:rsid w:val="00917390"/>
    <w:rsid w:val="00931001"/>
    <w:rsid w:val="00931863"/>
    <w:rsid w:val="00933524"/>
    <w:rsid w:val="0094278D"/>
    <w:rsid w:val="0094476F"/>
    <w:rsid w:val="0095272B"/>
    <w:rsid w:val="0095308A"/>
    <w:rsid w:val="00955AEE"/>
    <w:rsid w:val="00956F14"/>
    <w:rsid w:val="0095742E"/>
    <w:rsid w:val="00961234"/>
    <w:rsid w:val="009620FD"/>
    <w:rsid w:val="0096247A"/>
    <w:rsid w:val="00965F4B"/>
    <w:rsid w:val="00970F8A"/>
    <w:rsid w:val="00971FB5"/>
    <w:rsid w:val="00972D2A"/>
    <w:rsid w:val="00975CC5"/>
    <w:rsid w:val="00975E25"/>
    <w:rsid w:val="00976328"/>
    <w:rsid w:val="00976B4E"/>
    <w:rsid w:val="009771D3"/>
    <w:rsid w:val="00984458"/>
    <w:rsid w:val="00985283"/>
    <w:rsid w:val="00987322"/>
    <w:rsid w:val="009919EE"/>
    <w:rsid w:val="009A0F3B"/>
    <w:rsid w:val="009A169F"/>
    <w:rsid w:val="009A6574"/>
    <w:rsid w:val="009A72C7"/>
    <w:rsid w:val="009B0897"/>
    <w:rsid w:val="009B1F24"/>
    <w:rsid w:val="009B6A04"/>
    <w:rsid w:val="009C0591"/>
    <w:rsid w:val="009C3CC5"/>
    <w:rsid w:val="009D01B4"/>
    <w:rsid w:val="009D0852"/>
    <w:rsid w:val="009D1FBF"/>
    <w:rsid w:val="009D528E"/>
    <w:rsid w:val="009D60FB"/>
    <w:rsid w:val="009D6A03"/>
    <w:rsid w:val="009E399C"/>
    <w:rsid w:val="009E43C1"/>
    <w:rsid w:val="009E48FE"/>
    <w:rsid w:val="009E606C"/>
    <w:rsid w:val="009E7E95"/>
    <w:rsid w:val="009F116F"/>
    <w:rsid w:val="009F329E"/>
    <w:rsid w:val="009F3A00"/>
    <w:rsid w:val="009F57A1"/>
    <w:rsid w:val="009F7ED3"/>
    <w:rsid w:val="00A00A56"/>
    <w:rsid w:val="00A010E9"/>
    <w:rsid w:val="00A03607"/>
    <w:rsid w:val="00A047FF"/>
    <w:rsid w:val="00A04FEF"/>
    <w:rsid w:val="00A05131"/>
    <w:rsid w:val="00A122CD"/>
    <w:rsid w:val="00A12A32"/>
    <w:rsid w:val="00A14248"/>
    <w:rsid w:val="00A14947"/>
    <w:rsid w:val="00A20CF3"/>
    <w:rsid w:val="00A23DC5"/>
    <w:rsid w:val="00A3172A"/>
    <w:rsid w:val="00A31ED8"/>
    <w:rsid w:val="00A330B6"/>
    <w:rsid w:val="00A34028"/>
    <w:rsid w:val="00A3459B"/>
    <w:rsid w:val="00A34AF5"/>
    <w:rsid w:val="00A35568"/>
    <w:rsid w:val="00A37056"/>
    <w:rsid w:val="00A42D21"/>
    <w:rsid w:val="00A43206"/>
    <w:rsid w:val="00A4358F"/>
    <w:rsid w:val="00A46F67"/>
    <w:rsid w:val="00A50A92"/>
    <w:rsid w:val="00A50AC4"/>
    <w:rsid w:val="00A52338"/>
    <w:rsid w:val="00A54AA1"/>
    <w:rsid w:val="00A568FF"/>
    <w:rsid w:val="00A61496"/>
    <w:rsid w:val="00A61833"/>
    <w:rsid w:val="00A624C6"/>
    <w:rsid w:val="00A63CEC"/>
    <w:rsid w:val="00A65CA6"/>
    <w:rsid w:val="00A672A7"/>
    <w:rsid w:val="00A7031E"/>
    <w:rsid w:val="00A728B1"/>
    <w:rsid w:val="00A763DE"/>
    <w:rsid w:val="00A803D6"/>
    <w:rsid w:val="00A81282"/>
    <w:rsid w:val="00A8713F"/>
    <w:rsid w:val="00A8718E"/>
    <w:rsid w:val="00A91167"/>
    <w:rsid w:val="00A9171C"/>
    <w:rsid w:val="00A92FFD"/>
    <w:rsid w:val="00A95975"/>
    <w:rsid w:val="00A9708D"/>
    <w:rsid w:val="00A97E3C"/>
    <w:rsid w:val="00AA2890"/>
    <w:rsid w:val="00AA2C17"/>
    <w:rsid w:val="00AA4172"/>
    <w:rsid w:val="00AA4F60"/>
    <w:rsid w:val="00AB0535"/>
    <w:rsid w:val="00AB1358"/>
    <w:rsid w:val="00AB1495"/>
    <w:rsid w:val="00AB1914"/>
    <w:rsid w:val="00AB5330"/>
    <w:rsid w:val="00AB7747"/>
    <w:rsid w:val="00AB7AA2"/>
    <w:rsid w:val="00AC2532"/>
    <w:rsid w:val="00AC5D84"/>
    <w:rsid w:val="00AD1507"/>
    <w:rsid w:val="00AD5A70"/>
    <w:rsid w:val="00AD6B35"/>
    <w:rsid w:val="00AD738B"/>
    <w:rsid w:val="00AE1BF4"/>
    <w:rsid w:val="00AE5D97"/>
    <w:rsid w:val="00AE6794"/>
    <w:rsid w:val="00AE6979"/>
    <w:rsid w:val="00AF0EF6"/>
    <w:rsid w:val="00B01110"/>
    <w:rsid w:val="00B02262"/>
    <w:rsid w:val="00B03CEC"/>
    <w:rsid w:val="00B06882"/>
    <w:rsid w:val="00B1209F"/>
    <w:rsid w:val="00B12AD0"/>
    <w:rsid w:val="00B24F30"/>
    <w:rsid w:val="00B31768"/>
    <w:rsid w:val="00B31ABF"/>
    <w:rsid w:val="00B335AE"/>
    <w:rsid w:val="00B368F3"/>
    <w:rsid w:val="00B37CE1"/>
    <w:rsid w:val="00B40500"/>
    <w:rsid w:val="00B40ACF"/>
    <w:rsid w:val="00B434ED"/>
    <w:rsid w:val="00B46BAA"/>
    <w:rsid w:val="00B50B5F"/>
    <w:rsid w:val="00B54128"/>
    <w:rsid w:val="00B54E75"/>
    <w:rsid w:val="00B55826"/>
    <w:rsid w:val="00B60426"/>
    <w:rsid w:val="00B622DD"/>
    <w:rsid w:val="00B63522"/>
    <w:rsid w:val="00B7342C"/>
    <w:rsid w:val="00B76F1D"/>
    <w:rsid w:val="00B77358"/>
    <w:rsid w:val="00B85479"/>
    <w:rsid w:val="00B92A19"/>
    <w:rsid w:val="00B9544C"/>
    <w:rsid w:val="00BA1FCD"/>
    <w:rsid w:val="00BA29E9"/>
    <w:rsid w:val="00BB3618"/>
    <w:rsid w:val="00BC00D7"/>
    <w:rsid w:val="00BC0C9E"/>
    <w:rsid w:val="00BC32DC"/>
    <w:rsid w:val="00BC4454"/>
    <w:rsid w:val="00BD1B51"/>
    <w:rsid w:val="00BD47F6"/>
    <w:rsid w:val="00BE312D"/>
    <w:rsid w:val="00BE36B0"/>
    <w:rsid w:val="00BE3FCA"/>
    <w:rsid w:val="00BF6BD9"/>
    <w:rsid w:val="00C03FC8"/>
    <w:rsid w:val="00C05719"/>
    <w:rsid w:val="00C10578"/>
    <w:rsid w:val="00C17D62"/>
    <w:rsid w:val="00C21FDC"/>
    <w:rsid w:val="00C234AC"/>
    <w:rsid w:val="00C24EE7"/>
    <w:rsid w:val="00C2596A"/>
    <w:rsid w:val="00C26C77"/>
    <w:rsid w:val="00C271BE"/>
    <w:rsid w:val="00C27425"/>
    <w:rsid w:val="00C328FE"/>
    <w:rsid w:val="00C337DE"/>
    <w:rsid w:val="00C33A05"/>
    <w:rsid w:val="00C42500"/>
    <w:rsid w:val="00C4409D"/>
    <w:rsid w:val="00C4411F"/>
    <w:rsid w:val="00C455BE"/>
    <w:rsid w:val="00C51E5F"/>
    <w:rsid w:val="00C57EF6"/>
    <w:rsid w:val="00C618CF"/>
    <w:rsid w:val="00C61E4B"/>
    <w:rsid w:val="00C62E3A"/>
    <w:rsid w:val="00C64503"/>
    <w:rsid w:val="00C64A1F"/>
    <w:rsid w:val="00C64BFF"/>
    <w:rsid w:val="00C763C9"/>
    <w:rsid w:val="00C77DB3"/>
    <w:rsid w:val="00C80057"/>
    <w:rsid w:val="00C82C79"/>
    <w:rsid w:val="00C84753"/>
    <w:rsid w:val="00C91611"/>
    <w:rsid w:val="00C92F34"/>
    <w:rsid w:val="00CA3585"/>
    <w:rsid w:val="00CA3D5A"/>
    <w:rsid w:val="00CA4C7C"/>
    <w:rsid w:val="00CB0183"/>
    <w:rsid w:val="00CB1EA3"/>
    <w:rsid w:val="00CB39A3"/>
    <w:rsid w:val="00CB552C"/>
    <w:rsid w:val="00CB6A9E"/>
    <w:rsid w:val="00CC0607"/>
    <w:rsid w:val="00CC6181"/>
    <w:rsid w:val="00CD2BCD"/>
    <w:rsid w:val="00CD36AA"/>
    <w:rsid w:val="00CD3791"/>
    <w:rsid w:val="00CD65B0"/>
    <w:rsid w:val="00CE02CD"/>
    <w:rsid w:val="00CE10E9"/>
    <w:rsid w:val="00CE1D66"/>
    <w:rsid w:val="00CE2A8E"/>
    <w:rsid w:val="00CF1BAB"/>
    <w:rsid w:val="00D0072E"/>
    <w:rsid w:val="00D04D47"/>
    <w:rsid w:val="00D15727"/>
    <w:rsid w:val="00D16332"/>
    <w:rsid w:val="00D24972"/>
    <w:rsid w:val="00D24CFE"/>
    <w:rsid w:val="00D2515E"/>
    <w:rsid w:val="00D307D4"/>
    <w:rsid w:val="00D308ED"/>
    <w:rsid w:val="00D36E31"/>
    <w:rsid w:val="00D47CB3"/>
    <w:rsid w:val="00D54A75"/>
    <w:rsid w:val="00D56178"/>
    <w:rsid w:val="00D56CF0"/>
    <w:rsid w:val="00D56F5C"/>
    <w:rsid w:val="00D57641"/>
    <w:rsid w:val="00D612C2"/>
    <w:rsid w:val="00D704B1"/>
    <w:rsid w:val="00D70B63"/>
    <w:rsid w:val="00D72B92"/>
    <w:rsid w:val="00D72ED4"/>
    <w:rsid w:val="00D73D10"/>
    <w:rsid w:val="00D73F61"/>
    <w:rsid w:val="00D754C0"/>
    <w:rsid w:val="00D776A2"/>
    <w:rsid w:val="00D801C4"/>
    <w:rsid w:val="00D80ACC"/>
    <w:rsid w:val="00D8693E"/>
    <w:rsid w:val="00D90836"/>
    <w:rsid w:val="00D95896"/>
    <w:rsid w:val="00D95CC6"/>
    <w:rsid w:val="00D969CA"/>
    <w:rsid w:val="00DA2DA3"/>
    <w:rsid w:val="00DA6615"/>
    <w:rsid w:val="00DA76AE"/>
    <w:rsid w:val="00DB06D9"/>
    <w:rsid w:val="00DB181E"/>
    <w:rsid w:val="00DB1C7A"/>
    <w:rsid w:val="00DB2983"/>
    <w:rsid w:val="00DB343D"/>
    <w:rsid w:val="00DB5579"/>
    <w:rsid w:val="00DB5CFE"/>
    <w:rsid w:val="00DC72A6"/>
    <w:rsid w:val="00DC7869"/>
    <w:rsid w:val="00DC7BA2"/>
    <w:rsid w:val="00DD2113"/>
    <w:rsid w:val="00DD265E"/>
    <w:rsid w:val="00DD4030"/>
    <w:rsid w:val="00DE3874"/>
    <w:rsid w:val="00DE74CF"/>
    <w:rsid w:val="00DF1930"/>
    <w:rsid w:val="00DF514A"/>
    <w:rsid w:val="00E003D5"/>
    <w:rsid w:val="00E0358D"/>
    <w:rsid w:val="00E06327"/>
    <w:rsid w:val="00E15DEE"/>
    <w:rsid w:val="00E2064B"/>
    <w:rsid w:val="00E25239"/>
    <w:rsid w:val="00E25FE3"/>
    <w:rsid w:val="00E265B1"/>
    <w:rsid w:val="00E275B0"/>
    <w:rsid w:val="00E412D0"/>
    <w:rsid w:val="00E42F04"/>
    <w:rsid w:val="00E47CDB"/>
    <w:rsid w:val="00E54EE1"/>
    <w:rsid w:val="00E566BC"/>
    <w:rsid w:val="00E60982"/>
    <w:rsid w:val="00E60C8D"/>
    <w:rsid w:val="00E6162F"/>
    <w:rsid w:val="00E6311B"/>
    <w:rsid w:val="00E65CE9"/>
    <w:rsid w:val="00E65D97"/>
    <w:rsid w:val="00E67EFD"/>
    <w:rsid w:val="00E702DC"/>
    <w:rsid w:val="00E71FFB"/>
    <w:rsid w:val="00E72443"/>
    <w:rsid w:val="00E76D1D"/>
    <w:rsid w:val="00E806F8"/>
    <w:rsid w:val="00E81A2D"/>
    <w:rsid w:val="00E82545"/>
    <w:rsid w:val="00E87752"/>
    <w:rsid w:val="00E8793B"/>
    <w:rsid w:val="00E90F81"/>
    <w:rsid w:val="00E91A6D"/>
    <w:rsid w:val="00E9242D"/>
    <w:rsid w:val="00E96C62"/>
    <w:rsid w:val="00E96C75"/>
    <w:rsid w:val="00EA2C21"/>
    <w:rsid w:val="00EA359D"/>
    <w:rsid w:val="00EB041C"/>
    <w:rsid w:val="00EB3E66"/>
    <w:rsid w:val="00EB4A35"/>
    <w:rsid w:val="00EC5874"/>
    <w:rsid w:val="00ED192D"/>
    <w:rsid w:val="00ED30B4"/>
    <w:rsid w:val="00ED31F5"/>
    <w:rsid w:val="00EF2759"/>
    <w:rsid w:val="00EF3507"/>
    <w:rsid w:val="00EF45EB"/>
    <w:rsid w:val="00EF5099"/>
    <w:rsid w:val="00EF5E33"/>
    <w:rsid w:val="00F00075"/>
    <w:rsid w:val="00F00FB5"/>
    <w:rsid w:val="00F07822"/>
    <w:rsid w:val="00F13419"/>
    <w:rsid w:val="00F14708"/>
    <w:rsid w:val="00F155D5"/>
    <w:rsid w:val="00F15C95"/>
    <w:rsid w:val="00F21005"/>
    <w:rsid w:val="00F22985"/>
    <w:rsid w:val="00F241AB"/>
    <w:rsid w:val="00F31382"/>
    <w:rsid w:val="00F35829"/>
    <w:rsid w:val="00F42868"/>
    <w:rsid w:val="00F4450E"/>
    <w:rsid w:val="00F45E83"/>
    <w:rsid w:val="00F465A7"/>
    <w:rsid w:val="00F50469"/>
    <w:rsid w:val="00F50B7C"/>
    <w:rsid w:val="00F5202D"/>
    <w:rsid w:val="00F52CF6"/>
    <w:rsid w:val="00F54496"/>
    <w:rsid w:val="00F55791"/>
    <w:rsid w:val="00F61097"/>
    <w:rsid w:val="00F656B8"/>
    <w:rsid w:val="00F70E8D"/>
    <w:rsid w:val="00F74345"/>
    <w:rsid w:val="00F74441"/>
    <w:rsid w:val="00F77F30"/>
    <w:rsid w:val="00F82589"/>
    <w:rsid w:val="00F82B19"/>
    <w:rsid w:val="00F90AA7"/>
    <w:rsid w:val="00F9212D"/>
    <w:rsid w:val="00F9781C"/>
    <w:rsid w:val="00FA1392"/>
    <w:rsid w:val="00FA301A"/>
    <w:rsid w:val="00FA406A"/>
    <w:rsid w:val="00FA5CB6"/>
    <w:rsid w:val="00FB4A58"/>
    <w:rsid w:val="00FC331F"/>
    <w:rsid w:val="00FC57D5"/>
    <w:rsid w:val="00FC66AC"/>
    <w:rsid w:val="00FD18F4"/>
    <w:rsid w:val="00FD3C64"/>
    <w:rsid w:val="00FD5780"/>
    <w:rsid w:val="00FD74B4"/>
    <w:rsid w:val="00FE2628"/>
    <w:rsid w:val="00FE3A41"/>
    <w:rsid w:val="00FE4A51"/>
    <w:rsid w:val="00FE61B7"/>
    <w:rsid w:val="00FF571E"/>
    <w:rsid w:val="00FF6FCE"/>
    <w:rsid w:val="00FF7518"/>
    <w:rsid w:val="00FF7FD8"/>
    <w:rsid w:val="01BD30F7"/>
    <w:rsid w:val="020266E5"/>
    <w:rsid w:val="025A7073"/>
    <w:rsid w:val="02927768"/>
    <w:rsid w:val="02C16041"/>
    <w:rsid w:val="03526FEF"/>
    <w:rsid w:val="03756A9B"/>
    <w:rsid w:val="04762A5C"/>
    <w:rsid w:val="04835932"/>
    <w:rsid w:val="05742AC8"/>
    <w:rsid w:val="06352F05"/>
    <w:rsid w:val="063E7D85"/>
    <w:rsid w:val="06C627DE"/>
    <w:rsid w:val="06DA101B"/>
    <w:rsid w:val="06F9367B"/>
    <w:rsid w:val="070875E0"/>
    <w:rsid w:val="07293586"/>
    <w:rsid w:val="07295285"/>
    <w:rsid w:val="07502A36"/>
    <w:rsid w:val="07550350"/>
    <w:rsid w:val="07770C56"/>
    <w:rsid w:val="08935EFE"/>
    <w:rsid w:val="08C873A4"/>
    <w:rsid w:val="09084182"/>
    <w:rsid w:val="092217DD"/>
    <w:rsid w:val="093A7294"/>
    <w:rsid w:val="09797188"/>
    <w:rsid w:val="098827EC"/>
    <w:rsid w:val="0B3432BD"/>
    <w:rsid w:val="0BD27BF6"/>
    <w:rsid w:val="0DA53869"/>
    <w:rsid w:val="0E110D06"/>
    <w:rsid w:val="0E150219"/>
    <w:rsid w:val="0E605803"/>
    <w:rsid w:val="0ED63DEF"/>
    <w:rsid w:val="0F13775A"/>
    <w:rsid w:val="0F9A112B"/>
    <w:rsid w:val="0FA7585D"/>
    <w:rsid w:val="10185AE7"/>
    <w:rsid w:val="103F4AFD"/>
    <w:rsid w:val="106D2F64"/>
    <w:rsid w:val="109F5C31"/>
    <w:rsid w:val="10B63710"/>
    <w:rsid w:val="111C2F7A"/>
    <w:rsid w:val="113013DE"/>
    <w:rsid w:val="11767ED0"/>
    <w:rsid w:val="122B06C2"/>
    <w:rsid w:val="13951726"/>
    <w:rsid w:val="13F57F71"/>
    <w:rsid w:val="14274D19"/>
    <w:rsid w:val="14396509"/>
    <w:rsid w:val="1447165C"/>
    <w:rsid w:val="1541689F"/>
    <w:rsid w:val="156B7489"/>
    <w:rsid w:val="15874B8B"/>
    <w:rsid w:val="160E16F0"/>
    <w:rsid w:val="17735226"/>
    <w:rsid w:val="17972A79"/>
    <w:rsid w:val="17F57393"/>
    <w:rsid w:val="18AB0C74"/>
    <w:rsid w:val="19102094"/>
    <w:rsid w:val="19AE75B8"/>
    <w:rsid w:val="1A1C66C0"/>
    <w:rsid w:val="1A42393B"/>
    <w:rsid w:val="1A6F3A09"/>
    <w:rsid w:val="1B046F80"/>
    <w:rsid w:val="1B143CBA"/>
    <w:rsid w:val="1B3267B5"/>
    <w:rsid w:val="1BA025D8"/>
    <w:rsid w:val="1BC25DC8"/>
    <w:rsid w:val="1C5E7925"/>
    <w:rsid w:val="1C887FC8"/>
    <w:rsid w:val="1D1441D0"/>
    <w:rsid w:val="1D2E0D03"/>
    <w:rsid w:val="1D5F6196"/>
    <w:rsid w:val="1D6132A5"/>
    <w:rsid w:val="1D8E56D5"/>
    <w:rsid w:val="1D9C33E4"/>
    <w:rsid w:val="1E121855"/>
    <w:rsid w:val="1E7A43DA"/>
    <w:rsid w:val="1E8045F0"/>
    <w:rsid w:val="1EB277FE"/>
    <w:rsid w:val="1EF57895"/>
    <w:rsid w:val="1EF83FFE"/>
    <w:rsid w:val="1FE7539E"/>
    <w:rsid w:val="20286F3A"/>
    <w:rsid w:val="20963CB8"/>
    <w:rsid w:val="20B07FB6"/>
    <w:rsid w:val="211B5A8F"/>
    <w:rsid w:val="213B74B1"/>
    <w:rsid w:val="215A2310"/>
    <w:rsid w:val="21CD0ECF"/>
    <w:rsid w:val="21DE318A"/>
    <w:rsid w:val="21EF5B80"/>
    <w:rsid w:val="22576990"/>
    <w:rsid w:val="229C4EAB"/>
    <w:rsid w:val="239370CF"/>
    <w:rsid w:val="24593642"/>
    <w:rsid w:val="251E0267"/>
    <w:rsid w:val="252D53FE"/>
    <w:rsid w:val="258E3E47"/>
    <w:rsid w:val="25BB20D8"/>
    <w:rsid w:val="25EC2D81"/>
    <w:rsid w:val="25F872BE"/>
    <w:rsid w:val="264528BD"/>
    <w:rsid w:val="26686239"/>
    <w:rsid w:val="26FE1F6B"/>
    <w:rsid w:val="2717429B"/>
    <w:rsid w:val="27AE67CD"/>
    <w:rsid w:val="27D15DD1"/>
    <w:rsid w:val="285E7380"/>
    <w:rsid w:val="28A76295"/>
    <w:rsid w:val="28CF638A"/>
    <w:rsid w:val="29206EB8"/>
    <w:rsid w:val="29E325E0"/>
    <w:rsid w:val="2A452503"/>
    <w:rsid w:val="2AED717F"/>
    <w:rsid w:val="2AF56320"/>
    <w:rsid w:val="2BA936A8"/>
    <w:rsid w:val="2BFA2D6D"/>
    <w:rsid w:val="2C272129"/>
    <w:rsid w:val="2C315A5A"/>
    <w:rsid w:val="2CE83C9D"/>
    <w:rsid w:val="2D9E56F5"/>
    <w:rsid w:val="2DAB3A94"/>
    <w:rsid w:val="2E267F25"/>
    <w:rsid w:val="2E281B43"/>
    <w:rsid w:val="2E547267"/>
    <w:rsid w:val="2E667F96"/>
    <w:rsid w:val="2E8226AB"/>
    <w:rsid w:val="2F262F6C"/>
    <w:rsid w:val="2F832C79"/>
    <w:rsid w:val="2FCC4648"/>
    <w:rsid w:val="2FEF2D58"/>
    <w:rsid w:val="301352D5"/>
    <w:rsid w:val="30390B69"/>
    <w:rsid w:val="30580BC9"/>
    <w:rsid w:val="311E2ED7"/>
    <w:rsid w:val="315C449C"/>
    <w:rsid w:val="31B82709"/>
    <w:rsid w:val="31C6019A"/>
    <w:rsid w:val="31E73370"/>
    <w:rsid w:val="32053242"/>
    <w:rsid w:val="32400B34"/>
    <w:rsid w:val="329E6876"/>
    <w:rsid w:val="33765E7C"/>
    <w:rsid w:val="33A65882"/>
    <w:rsid w:val="33D934D4"/>
    <w:rsid w:val="33FE2F6A"/>
    <w:rsid w:val="352402AD"/>
    <w:rsid w:val="3541484B"/>
    <w:rsid w:val="35774D7D"/>
    <w:rsid w:val="35954491"/>
    <w:rsid w:val="36074A7F"/>
    <w:rsid w:val="36923549"/>
    <w:rsid w:val="36954DC3"/>
    <w:rsid w:val="36AC0842"/>
    <w:rsid w:val="36B75FBF"/>
    <w:rsid w:val="36CE4CC2"/>
    <w:rsid w:val="36FB4891"/>
    <w:rsid w:val="37A0045C"/>
    <w:rsid w:val="38C10633"/>
    <w:rsid w:val="38F12CD3"/>
    <w:rsid w:val="38F94775"/>
    <w:rsid w:val="392971ED"/>
    <w:rsid w:val="3B3763D1"/>
    <w:rsid w:val="3C5E5949"/>
    <w:rsid w:val="3C7F054C"/>
    <w:rsid w:val="3CB05796"/>
    <w:rsid w:val="3CDA245A"/>
    <w:rsid w:val="3CEE0A37"/>
    <w:rsid w:val="3D975506"/>
    <w:rsid w:val="3F1334D8"/>
    <w:rsid w:val="3F634E8B"/>
    <w:rsid w:val="3F660E74"/>
    <w:rsid w:val="3F6F39C2"/>
    <w:rsid w:val="3FBE5BFE"/>
    <w:rsid w:val="40627C4F"/>
    <w:rsid w:val="407A6407"/>
    <w:rsid w:val="40884A4F"/>
    <w:rsid w:val="408903EF"/>
    <w:rsid w:val="41A87904"/>
    <w:rsid w:val="423A3BCC"/>
    <w:rsid w:val="423D0CC6"/>
    <w:rsid w:val="424134F5"/>
    <w:rsid w:val="42A538D2"/>
    <w:rsid w:val="42CF1F0E"/>
    <w:rsid w:val="43015409"/>
    <w:rsid w:val="433A6FE6"/>
    <w:rsid w:val="4350713C"/>
    <w:rsid w:val="436653E0"/>
    <w:rsid w:val="44516203"/>
    <w:rsid w:val="44CD14E0"/>
    <w:rsid w:val="44F56A2F"/>
    <w:rsid w:val="45804B82"/>
    <w:rsid w:val="458946E9"/>
    <w:rsid w:val="46D955A7"/>
    <w:rsid w:val="47133957"/>
    <w:rsid w:val="4779329E"/>
    <w:rsid w:val="478362CC"/>
    <w:rsid w:val="47A07E0C"/>
    <w:rsid w:val="48005948"/>
    <w:rsid w:val="4870272E"/>
    <w:rsid w:val="49DC7715"/>
    <w:rsid w:val="4A023139"/>
    <w:rsid w:val="4A7B576F"/>
    <w:rsid w:val="4B566B6C"/>
    <w:rsid w:val="4C1173E9"/>
    <w:rsid w:val="4C3645FF"/>
    <w:rsid w:val="4C4A0649"/>
    <w:rsid w:val="4C6D21E6"/>
    <w:rsid w:val="4CE470D3"/>
    <w:rsid w:val="4D0D536E"/>
    <w:rsid w:val="4D6C63CA"/>
    <w:rsid w:val="4DEC4FB0"/>
    <w:rsid w:val="4E075D8A"/>
    <w:rsid w:val="4E457B80"/>
    <w:rsid w:val="4FAD741E"/>
    <w:rsid w:val="4FC62A8C"/>
    <w:rsid w:val="4FE20F0D"/>
    <w:rsid w:val="501E03EF"/>
    <w:rsid w:val="50504C4B"/>
    <w:rsid w:val="509C6E7C"/>
    <w:rsid w:val="50F62183"/>
    <w:rsid w:val="5162104E"/>
    <w:rsid w:val="51762FA3"/>
    <w:rsid w:val="52EA153C"/>
    <w:rsid w:val="53A039CC"/>
    <w:rsid w:val="53A1505A"/>
    <w:rsid w:val="54063E08"/>
    <w:rsid w:val="543437E8"/>
    <w:rsid w:val="54D74763"/>
    <w:rsid w:val="55804D96"/>
    <w:rsid w:val="559B174B"/>
    <w:rsid w:val="55CA3756"/>
    <w:rsid w:val="55CE0CF4"/>
    <w:rsid w:val="56B22A9C"/>
    <w:rsid w:val="56F377CB"/>
    <w:rsid w:val="57406FA6"/>
    <w:rsid w:val="57AF0173"/>
    <w:rsid w:val="57B72A76"/>
    <w:rsid w:val="58D16AD5"/>
    <w:rsid w:val="591E2617"/>
    <w:rsid w:val="5A3C747D"/>
    <w:rsid w:val="5ABE2233"/>
    <w:rsid w:val="5B276D18"/>
    <w:rsid w:val="5BDF5D95"/>
    <w:rsid w:val="5BEB4046"/>
    <w:rsid w:val="5D3678D5"/>
    <w:rsid w:val="5D8857E6"/>
    <w:rsid w:val="5DAA172A"/>
    <w:rsid w:val="5DF87A0F"/>
    <w:rsid w:val="5F1A2B43"/>
    <w:rsid w:val="5FB837BB"/>
    <w:rsid w:val="60BD2BA9"/>
    <w:rsid w:val="62364782"/>
    <w:rsid w:val="62C36135"/>
    <w:rsid w:val="63D40BE9"/>
    <w:rsid w:val="63E0211F"/>
    <w:rsid w:val="63ED5946"/>
    <w:rsid w:val="65373578"/>
    <w:rsid w:val="660B6276"/>
    <w:rsid w:val="669328A7"/>
    <w:rsid w:val="673F2C7A"/>
    <w:rsid w:val="681A4AC7"/>
    <w:rsid w:val="681F6961"/>
    <w:rsid w:val="68374573"/>
    <w:rsid w:val="68610A2F"/>
    <w:rsid w:val="68787AC3"/>
    <w:rsid w:val="68805514"/>
    <w:rsid w:val="69200849"/>
    <w:rsid w:val="694E2071"/>
    <w:rsid w:val="697A3B33"/>
    <w:rsid w:val="699B066D"/>
    <w:rsid w:val="699E2456"/>
    <w:rsid w:val="6A114B25"/>
    <w:rsid w:val="6A752A76"/>
    <w:rsid w:val="6B322639"/>
    <w:rsid w:val="6B9D3FFE"/>
    <w:rsid w:val="6BC56E6A"/>
    <w:rsid w:val="6BD9022C"/>
    <w:rsid w:val="6C636C38"/>
    <w:rsid w:val="6DB34098"/>
    <w:rsid w:val="6DB545B6"/>
    <w:rsid w:val="6DDB24E8"/>
    <w:rsid w:val="6DFB3F51"/>
    <w:rsid w:val="6E2B4D37"/>
    <w:rsid w:val="6E4375A0"/>
    <w:rsid w:val="6E514CED"/>
    <w:rsid w:val="6E79491A"/>
    <w:rsid w:val="6EB563D5"/>
    <w:rsid w:val="6F225983"/>
    <w:rsid w:val="6FFC5590"/>
    <w:rsid w:val="70301DA3"/>
    <w:rsid w:val="706D1DD0"/>
    <w:rsid w:val="70856B87"/>
    <w:rsid w:val="70D527EE"/>
    <w:rsid w:val="715B5300"/>
    <w:rsid w:val="715F4BD7"/>
    <w:rsid w:val="71D27F8A"/>
    <w:rsid w:val="71F744C6"/>
    <w:rsid w:val="71F960CF"/>
    <w:rsid w:val="72B57254"/>
    <w:rsid w:val="731F5D5E"/>
    <w:rsid w:val="732C77D2"/>
    <w:rsid w:val="74142B6E"/>
    <w:rsid w:val="741E793C"/>
    <w:rsid w:val="7488641A"/>
    <w:rsid w:val="758D75E2"/>
    <w:rsid w:val="76A85D35"/>
    <w:rsid w:val="772E718C"/>
    <w:rsid w:val="773B2C6A"/>
    <w:rsid w:val="77712D2A"/>
    <w:rsid w:val="77762421"/>
    <w:rsid w:val="780F09F4"/>
    <w:rsid w:val="789C4F47"/>
    <w:rsid w:val="78A90480"/>
    <w:rsid w:val="79196397"/>
    <w:rsid w:val="794B1DCA"/>
    <w:rsid w:val="795150B2"/>
    <w:rsid w:val="79811327"/>
    <w:rsid w:val="7A364017"/>
    <w:rsid w:val="7A505B5E"/>
    <w:rsid w:val="7A8265E1"/>
    <w:rsid w:val="7AC82494"/>
    <w:rsid w:val="7B686D42"/>
    <w:rsid w:val="7B841746"/>
    <w:rsid w:val="7BE84B1E"/>
    <w:rsid w:val="7C1E7A4D"/>
    <w:rsid w:val="7CBB13C0"/>
    <w:rsid w:val="7D0239FF"/>
    <w:rsid w:val="7D44440F"/>
    <w:rsid w:val="7D5E40CD"/>
    <w:rsid w:val="7D693BED"/>
    <w:rsid w:val="7D790D0C"/>
    <w:rsid w:val="7DB22B5E"/>
    <w:rsid w:val="7EDD2B8C"/>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4"/>
    <w:link w:val="66"/>
    <w:unhideWhenUsed/>
    <w:qFormat/>
    <w:locked/>
    <w:uiPriority w:val="0"/>
    <w:pPr>
      <w:keepNext/>
      <w:keepLines/>
      <w:pBdr>
        <w:top w:val="none" w:color="auto" w:sz="0" w:space="4"/>
        <w:left w:val="none" w:color="auto" w:sz="0" w:space="4"/>
        <w:bottom w:val="none" w:color="auto" w:sz="0" w:space="1"/>
        <w:right w:val="none" w:color="auto" w:sz="0" w:space="4"/>
      </w:pBdr>
      <w:tabs>
        <w:tab w:val="left" w:pos="432"/>
        <w:tab w:val="left" w:pos="588"/>
      </w:tabs>
      <w:spacing w:line="520" w:lineRule="exact"/>
      <w:ind w:left="576" w:hanging="576"/>
      <w:textAlignment w:val="top"/>
      <w:outlineLvl w:val="1"/>
    </w:pPr>
    <w:rPr>
      <w:b/>
      <w:kern w:val="0"/>
      <w:sz w:val="30"/>
      <w:szCs w:val="30"/>
    </w:rPr>
  </w:style>
  <w:style w:type="paragraph" w:styleId="5">
    <w:name w:val="heading 3"/>
    <w:basedOn w:val="1"/>
    <w:next w:val="1"/>
    <w:qFormat/>
    <w:locked/>
    <w:uiPriority w:val="0"/>
    <w:pPr>
      <w:keepNext/>
      <w:keepLines/>
      <w:tabs>
        <w:tab w:val="left" w:pos="1080"/>
      </w:tabs>
      <w:spacing w:before="62" w:beforeLines="20" w:after="62" w:afterLines="20" w:line="360" w:lineRule="auto"/>
      <w:ind w:left="709" w:hanging="709"/>
      <w:outlineLvl w:val="2"/>
    </w:pPr>
    <w:rPr>
      <w:b/>
      <w:sz w:val="28"/>
    </w:rPr>
  </w:style>
  <w:style w:type="paragraph" w:styleId="6">
    <w:name w:val="heading 4"/>
    <w:basedOn w:val="1"/>
    <w:next w:val="1"/>
    <w:qFormat/>
    <w:locked/>
    <w:uiPriority w:val="0"/>
    <w:pPr>
      <w:keepNext/>
      <w:keepLines/>
      <w:numPr>
        <w:ilvl w:val="3"/>
        <w:numId w:val="1"/>
      </w:numPr>
      <w:ind w:left="0" w:firstLine="643" w:firstLineChars="200"/>
      <w:outlineLvl w:val="3"/>
    </w:pPr>
  </w:style>
  <w:style w:type="paragraph" w:styleId="7">
    <w:name w:val="heading 5"/>
    <w:basedOn w:val="1"/>
    <w:next w:val="1"/>
    <w:link w:val="67"/>
    <w:semiHidden/>
    <w:unhideWhenUsed/>
    <w:qFormat/>
    <w:locked/>
    <w:uiPriority w:val="0"/>
    <w:pPr>
      <w:keepNext/>
      <w:keepLines/>
      <w:tabs>
        <w:tab w:val="left" w:pos="1008"/>
      </w:tabs>
      <w:spacing w:before="280" w:after="290" w:line="372" w:lineRule="auto"/>
      <w:ind w:left="1008" w:hanging="1008"/>
      <w:outlineLvl w:val="4"/>
    </w:pPr>
    <w:rPr>
      <w:b/>
      <w:kern w:val="0"/>
      <w:sz w:val="28"/>
      <w:szCs w:val="20"/>
    </w:rPr>
  </w:style>
  <w:style w:type="paragraph" w:styleId="8">
    <w:name w:val="heading 6"/>
    <w:basedOn w:val="1"/>
    <w:next w:val="1"/>
    <w:link w:val="68"/>
    <w:semiHidden/>
    <w:unhideWhenUsed/>
    <w:qFormat/>
    <w:locked/>
    <w:uiPriority w:val="0"/>
    <w:pPr>
      <w:keepNext/>
      <w:keepLines/>
      <w:tabs>
        <w:tab w:val="left" w:pos="1152"/>
      </w:tabs>
      <w:spacing w:before="240" w:after="64" w:line="317" w:lineRule="auto"/>
      <w:ind w:left="1152" w:hanging="1152"/>
      <w:outlineLvl w:val="5"/>
    </w:pPr>
    <w:rPr>
      <w:rFonts w:ascii="Arial" w:hAnsi="Arial" w:eastAsia="黑体"/>
      <w:b/>
      <w:kern w:val="0"/>
      <w:sz w:val="24"/>
      <w:szCs w:val="20"/>
    </w:rPr>
  </w:style>
  <w:style w:type="paragraph" w:styleId="9">
    <w:name w:val="heading 7"/>
    <w:basedOn w:val="1"/>
    <w:next w:val="1"/>
    <w:link w:val="69"/>
    <w:semiHidden/>
    <w:unhideWhenUsed/>
    <w:qFormat/>
    <w:locked/>
    <w:uiPriority w:val="0"/>
    <w:pPr>
      <w:keepNext/>
      <w:keepLines/>
      <w:tabs>
        <w:tab w:val="left" w:pos="1296"/>
      </w:tabs>
      <w:spacing w:before="240" w:after="64" w:line="317" w:lineRule="auto"/>
      <w:ind w:left="1296" w:hanging="1296"/>
      <w:outlineLvl w:val="6"/>
    </w:pPr>
    <w:rPr>
      <w:b/>
      <w:kern w:val="0"/>
      <w:sz w:val="24"/>
      <w:szCs w:val="20"/>
    </w:rPr>
  </w:style>
  <w:style w:type="paragraph" w:styleId="10">
    <w:name w:val="heading 8"/>
    <w:basedOn w:val="1"/>
    <w:next w:val="1"/>
    <w:link w:val="70"/>
    <w:semiHidden/>
    <w:unhideWhenUsed/>
    <w:qFormat/>
    <w:locked/>
    <w:uiPriority w:val="0"/>
    <w:pPr>
      <w:keepNext/>
      <w:keepLines/>
      <w:tabs>
        <w:tab w:val="left" w:pos="1440"/>
      </w:tabs>
      <w:spacing w:before="240" w:after="64" w:line="317" w:lineRule="auto"/>
      <w:ind w:left="1440" w:hanging="1440"/>
      <w:outlineLvl w:val="7"/>
    </w:pPr>
    <w:rPr>
      <w:rFonts w:ascii="Arial" w:hAnsi="Arial" w:eastAsia="黑体"/>
      <w:kern w:val="0"/>
      <w:sz w:val="24"/>
      <w:szCs w:val="20"/>
    </w:rPr>
  </w:style>
  <w:style w:type="paragraph" w:styleId="11">
    <w:name w:val="heading 9"/>
    <w:basedOn w:val="1"/>
    <w:next w:val="1"/>
    <w:link w:val="71"/>
    <w:semiHidden/>
    <w:unhideWhenUsed/>
    <w:qFormat/>
    <w:locked/>
    <w:uiPriority w:val="0"/>
    <w:pPr>
      <w:keepNext/>
      <w:keepLines/>
      <w:tabs>
        <w:tab w:val="left" w:pos="1584"/>
      </w:tabs>
      <w:spacing w:before="240" w:after="64" w:line="317" w:lineRule="auto"/>
      <w:ind w:left="1584" w:hanging="1584"/>
      <w:outlineLvl w:val="8"/>
    </w:pPr>
    <w:rPr>
      <w:rFonts w:ascii="Arial" w:hAnsi="Arial" w:eastAsia="黑体"/>
      <w:kern w:val="0"/>
      <w:sz w:val="20"/>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正文缩进"/>
    <w:basedOn w:val="1"/>
    <w:link w:val="74"/>
    <w:qFormat/>
    <w:uiPriority w:val="0"/>
    <w:pPr>
      <w:ind w:firstLine="200" w:firstLineChars="200"/>
      <w:jc w:val="left"/>
    </w:pPr>
    <w:rPr>
      <w:kern w:val="0"/>
    </w:rPr>
  </w:style>
  <w:style w:type="paragraph" w:styleId="12">
    <w:name w:val="Normal Indent"/>
    <w:basedOn w:val="1"/>
    <w:qFormat/>
    <w:uiPriority w:val="0"/>
    <w:pPr>
      <w:ind w:firstLine="602"/>
    </w:pPr>
    <w:rPr>
      <w:rFonts w:eastAsia="仿宋_GB2312"/>
      <w:sz w:val="28"/>
      <w:szCs w:val="20"/>
    </w:rPr>
  </w:style>
  <w:style w:type="paragraph" w:styleId="13">
    <w:name w:val="annotation text"/>
    <w:basedOn w:val="1"/>
    <w:link w:val="38"/>
    <w:semiHidden/>
    <w:qFormat/>
    <w:uiPriority w:val="0"/>
    <w:pPr>
      <w:jc w:val="left"/>
    </w:pPr>
    <w:rPr>
      <w:kern w:val="0"/>
      <w:sz w:val="20"/>
    </w:rPr>
  </w:style>
  <w:style w:type="paragraph" w:styleId="14">
    <w:name w:val="Body Text"/>
    <w:basedOn w:val="1"/>
    <w:next w:val="15"/>
    <w:link w:val="39"/>
    <w:qFormat/>
    <w:uiPriority w:val="0"/>
    <w:pPr>
      <w:widowControl/>
      <w:snapToGrid w:val="0"/>
      <w:spacing w:before="60" w:after="160" w:line="259" w:lineRule="auto"/>
      <w:ind w:right="113"/>
    </w:pPr>
    <w:rPr>
      <w:kern w:val="0"/>
      <w:sz w:val="18"/>
      <w:szCs w:val="18"/>
    </w:rPr>
  </w:style>
  <w:style w:type="paragraph" w:styleId="15">
    <w:name w:val="List Bullet 5"/>
    <w:basedOn w:val="1"/>
    <w:qFormat/>
    <w:uiPriority w:val="0"/>
    <w:pPr>
      <w:numPr>
        <w:ilvl w:val="0"/>
        <w:numId w:val="2"/>
      </w:numPr>
    </w:pPr>
  </w:style>
  <w:style w:type="paragraph" w:styleId="16">
    <w:name w:val="Body Text Indent"/>
    <w:basedOn w:val="1"/>
    <w:next w:val="17"/>
    <w:link w:val="40"/>
    <w:semiHidden/>
    <w:qFormat/>
    <w:uiPriority w:val="0"/>
    <w:pPr>
      <w:spacing w:after="120"/>
      <w:ind w:left="420" w:leftChars="200"/>
    </w:pPr>
  </w:style>
  <w:style w:type="paragraph" w:styleId="17">
    <w:name w:val="header"/>
    <w:basedOn w:val="1"/>
    <w:next w:val="18"/>
    <w:link w:val="41"/>
    <w:qFormat/>
    <w:uiPriority w:val="0"/>
    <w:pPr>
      <w:pBdr>
        <w:bottom w:val="single" w:color="auto" w:sz="6" w:space="1"/>
      </w:pBdr>
      <w:tabs>
        <w:tab w:val="center" w:pos="4153"/>
        <w:tab w:val="right" w:pos="8306"/>
      </w:tabs>
      <w:snapToGrid w:val="0"/>
      <w:jc w:val="center"/>
    </w:pPr>
    <w:rPr>
      <w:sz w:val="18"/>
      <w:szCs w:val="18"/>
    </w:rPr>
  </w:style>
  <w:style w:type="paragraph" w:customStyle="1" w:styleId="18">
    <w:name w:val="样式5"/>
    <w:basedOn w:val="19"/>
    <w:qFormat/>
    <w:uiPriority w:val="0"/>
    <w:pPr>
      <w:spacing w:line="360" w:lineRule="auto"/>
    </w:pPr>
    <w:rPr>
      <w:rFonts w:ascii="Times New Roman" w:hAnsi="Times New Roman"/>
      <w:sz w:val="24"/>
      <w:szCs w:val="22"/>
    </w:rPr>
  </w:style>
  <w:style w:type="paragraph" w:customStyle="1" w:styleId="19">
    <w:name w:val="正文1"/>
    <w:basedOn w:val="20"/>
    <w:next w:val="1"/>
    <w:qFormat/>
    <w:uiPriority w:val="0"/>
    <w:rPr>
      <w:rFonts w:ascii="宋体" w:hAnsi="宋体"/>
      <w:sz w:val="32"/>
      <w:szCs w:val="32"/>
    </w:rPr>
  </w:style>
  <w:style w:type="paragraph" w:customStyle="1" w:styleId="20">
    <w:name w:val="列出段落11"/>
    <w:basedOn w:val="1"/>
    <w:qFormat/>
    <w:uiPriority w:val="34"/>
    <w:pPr>
      <w:ind w:firstLine="420"/>
    </w:pPr>
  </w:style>
  <w:style w:type="paragraph" w:styleId="21">
    <w:name w:val="Plain Text"/>
    <w:basedOn w:val="1"/>
    <w:qFormat/>
    <w:uiPriority w:val="0"/>
    <w:rPr>
      <w:rFonts w:ascii="宋体" w:hAnsi="Courier New"/>
    </w:rPr>
  </w:style>
  <w:style w:type="paragraph" w:styleId="22">
    <w:name w:val="Date"/>
    <w:basedOn w:val="1"/>
    <w:next w:val="1"/>
    <w:link w:val="42"/>
    <w:qFormat/>
    <w:uiPriority w:val="0"/>
    <w:pPr>
      <w:ind w:left="100" w:leftChars="2500"/>
    </w:pPr>
    <w:rPr>
      <w:kern w:val="0"/>
      <w:sz w:val="20"/>
    </w:rPr>
  </w:style>
  <w:style w:type="paragraph" w:styleId="23">
    <w:name w:val="Body Text Indent 2"/>
    <w:basedOn w:val="1"/>
    <w:qFormat/>
    <w:uiPriority w:val="0"/>
    <w:pPr>
      <w:spacing w:line="520" w:lineRule="exact"/>
      <w:ind w:firstLine="573"/>
    </w:pPr>
    <w:rPr>
      <w:sz w:val="28"/>
      <w:szCs w:val="28"/>
    </w:rPr>
  </w:style>
  <w:style w:type="paragraph" w:styleId="24">
    <w:name w:val="Balloon Text"/>
    <w:basedOn w:val="1"/>
    <w:link w:val="43"/>
    <w:semiHidden/>
    <w:qFormat/>
    <w:uiPriority w:val="0"/>
    <w:rPr>
      <w:sz w:val="18"/>
      <w:szCs w:val="18"/>
    </w:rPr>
  </w:style>
  <w:style w:type="paragraph" w:styleId="25">
    <w:name w:val="footer"/>
    <w:basedOn w:val="1"/>
    <w:link w:val="44"/>
    <w:qFormat/>
    <w:uiPriority w:val="0"/>
    <w:pPr>
      <w:tabs>
        <w:tab w:val="center" w:pos="4153"/>
        <w:tab w:val="right" w:pos="8306"/>
      </w:tabs>
      <w:snapToGrid w:val="0"/>
      <w:jc w:val="left"/>
    </w:pPr>
    <w:rPr>
      <w:sz w:val="18"/>
      <w:szCs w:val="18"/>
    </w:rPr>
  </w:style>
  <w:style w:type="paragraph" w:styleId="26">
    <w:name w:val="List"/>
    <w:basedOn w:val="1"/>
    <w:next w:val="1"/>
    <w:qFormat/>
    <w:uiPriority w:val="0"/>
    <w:pPr>
      <w:ind w:left="200" w:hanging="200" w:hangingChars="200"/>
    </w:pPr>
  </w:style>
  <w:style w:type="paragraph" w:styleId="27">
    <w:name w:val="Body Text 2"/>
    <w:basedOn w:val="1"/>
    <w:link w:val="75"/>
    <w:qFormat/>
    <w:uiPriority w:val="0"/>
    <w:pPr>
      <w:spacing w:after="120" w:line="480" w:lineRule="auto"/>
    </w:pPr>
  </w:style>
  <w:style w:type="paragraph" w:styleId="28">
    <w:name w:val="Normal (Web)"/>
    <w:basedOn w:val="1"/>
    <w:link w:val="45"/>
    <w:qFormat/>
    <w:uiPriority w:val="0"/>
    <w:pPr>
      <w:widowControl/>
      <w:spacing w:before="100" w:beforeAutospacing="1" w:after="100" w:afterAutospacing="1"/>
      <w:jc w:val="left"/>
    </w:pPr>
    <w:rPr>
      <w:rFonts w:ascii="宋体" w:hAnsi="宋体"/>
      <w:kern w:val="0"/>
      <w:sz w:val="24"/>
    </w:rPr>
  </w:style>
  <w:style w:type="paragraph" w:styleId="29">
    <w:name w:val="annotation subject"/>
    <w:basedOn w:val="13"/>
    <w:next w:val="13"/>
    <w:link w:val="46"/>
    <w:semiHidden/>
    <w:qFormat/>
    <w:uiPriority w:val="0"/>
    <w:rPr>
      <w:b/>
      <w:bCs/>
    </w:rPr>
  </w:style>
  <w:style w:type="paragraph" w:styleId="30">
    <w:name w:val="Body Text First Indent 2"/>
    <w:basedOn w:val="16"/>
    <w:next w:val="1"/>
    <w:qFormat/>
    <w:uiPriority w:val="0"/>
    <w:pPr>
      <w:ind w:firstLine="420" w:firstLineChars="200"/>
    </w:p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4">
    <w:name w:val="page number"/>
    <w:qFormat/>
    <w:uiPriority w:val="0"/>
  </w:style>
  <w:style w:type="character" w:styleId="35">
    <w:name w:val="annotation reference"/>
    <w:semiHidden/>
    <w:qFormat/>
    <w:uiPriority w:val="0"/>
    <w:rPr>
      <w:sz w:val="21"/>
    </w:rPr>
  </w:style>
  <w:style w:type="paragraph" w:customStyle="1" w:styleId="36">
    <w:name w:val="Default"/>
    <w:basedOn w:val="37"/>
    <w:next w:val="26"/>
    <w:qFormat/>
    <w:uiPriority w:val="0"/>
    <w:pPr>
      <w:autoSpaceDE w:val="0"/>
      <w:autoSpaceDN w:val="0"/>
      <w:adjustRightInd w:val="0"/>
    </w:pPr>
    <w:rPr>
      <w:rFonts w:hAnsi="Times New Roman"/>
      <w:color w:val="000000"/>
      <w:sz w:val="24"/>
    </w:rPr>
  </w:style>
  <w:style w:type="paragraph" w:customStyle="1" w:styleId="37">
    <w:name w:val="纯文本1"/>
    <w:basedOn w:val="1"/>
    <w:qFormat/>
    <w:uiPriority w:val="0"/>
    <w:rPr>
      <w:rFonts w:ascii="宋体" w:hAnsi="Courier New"/>
    </w:rPr>
  </w:style>
  <w:style w:type="character" w:customStyle="1" w:styleId="38">
    <w:name w:val="批注文字 字符"/>
    <w:link w:val="13"/>
    <w:qFormat/>
    <w:locked/>
    <w:uiPriority w:val="0"/>
    <w:rPr>
      <w:rFonts w:ascii="Times New Roman" w:hAnsi="Times New Roman" w:eastAsia="宋体"/>
      <w:sz w:val="24"/>
    </w:rPr>
  </w:style>
  <w:style w:type="character" w:customStyle="1" w:styleId="39">
    <w:name w:val="正文文本 字符"/>
    <w:link w:val="14"/>
    <w:qFormat/>
    <w:locked/>
    <w:uiPriority w:val="0"/>
    <w:rPr>
      <w:sz w:val="18"/>
    </w:rPr>
  </w:style>
  <w:style w:type="character" w:customStyle="1" w:styleId="40">
    <w:name w:val="正文文本缩进 字符"/>
    <w:link w:val="16"/>
    <w:semiHidden/>
    <w:qFormat/>
    <w:locked/>
    <w:uiPriority w:val="0"/>
    <w:rPr>
      <w:rFonts w:ascii="Times New Roman" w:hAnsi="Times New Roman" w:eastAsia="宋体" w:cs="Times New Roman"/>
      <w:sz w:val="24"/>
      <w:szCs w:val="24"/>
    </w:rPr>
  </w:style>
  <w:style w:type="character" w:customStyle="1" w:styleId="41">
    <w:name w:val="页眉 字符"/>
    <w:link w:val="17"/>
    <w:qFormat/>
    <w:locked/>
    <w:uiPriority w:val="0"/>
    <w:rPr>
      <w:rFonts w:cs="Times New Roman"/>
      <w:sz w:val="18"/>
      <w:szCs w:val="18"/>
    </w:rPr>
  </w:style>
  <w:style w:type="character" w:customStyle="1" w:styleId="42">
    <w:name w:val="日期 字符1"/>
    <w:link w:val="22"/>
    <w:qFormat/>
    <w:locked/>
    <w:uiPriority w:val="0"/>
    <w:rPr>
      <w:rFonts w:ascii="Times New Roman" w:hAnsi="Times New Roman" w:eastAsia="宋体"/>
      <w:sz w:val="24"/>
    </w:rPr>
  </w:style>
  <w:style w:type="character" w:customStyle="1" w:styleId="43">
    <w:name w:val="批注框文本 字符"/>
    <w:link w:val="24"/>
    <w:semiHidden/>
    <w:qFormat/>
    <w:locked/>
    <w:uiPriority w:val="0"/>
    <w:rPr>
      <w:rFonts w:ascii="Times New Roman" w:hAnsi="Times New Roman" w:eastAsia="宋体" w:cs="Times New Roman"/>
      <w:sz w:val="18"/>
      <w:szCs w:val="18"/>
    </w:rPr>
  </w:style>
  <w:style w:type="character" w:customStyle="1" w:styleId="44">
    <w:name w:val="页脚 字符"/>
    <w:link w:val="25"/>
    <w:qFormat/>
    <w:locked/>
    <w:uiPriority w:val="0"/>
    <w:rPr>
      <w:rFonts w:cs="Times New Roman"/>
      <w:sz w:val="18"/>
      <w:szCs w:val="18"/>
    </w:rPr>
  </w:style>
  <w:style w:type="character" w:customStyle="1" w:styleId="45">
    <w:name w:val="普通(网站) 字符"/>
    <w:link w:val="28"/>
    <w:qFormat/>
    <w:locked/>
    <w:uiPriority w:val="0"/>
    <w:rPr>
      <w:rFonts w:ascii="宋体" w:hAnsi="宋体" w:eastAsia="宋体"/>
      <w:sz w:val="24"/>
    </w:rPr>
  </w:style>
  <w:style w:type="character" w:customStyle="1" w:styleId="46">
    <w:name w:val="批注主题 字符"/>
    <w:link w:val="29"/>
    <w:semiHidden/>
    <w:qFormat/>
    <w:locked/>
    <w:uiPriority w:val="0"/>
    <w:rPr>
      <w:rFonts w:cs="Times New Roman"/>
      <w:b/>
      <w:bCs/>
      <w:kern w:val="2"/>
      <w:szCs w:val="24"/>
    </w:rPr>
  </w:style>
  <w:style w:type="paragraph" w:customStyle="1" w:styleId="47">
    <w:name w:val="表头"/>
    <w:basedOn w:val="19"/>
    <w:next w:val="1"/>
    <w:qFormat/>
    <w:uiPriority w:val="0"/>
    <w:pPr>
      <w:spacing w:beforeLines="50" w:line="400" w:lineRule="exact"/>
      <w:ind w:firstLine="200" w:firstLineChars="200"/>
    </w:pPr>
    <w:rPr>
      <w:rFonts w:eastAsia="黑体"/>
    </w:rPr>
  </w:style>
  <w:style w:type="character" w:customStyle="1" w:styleId="48">
    <w:name w:val="日期 字符"/>
    <w:semiHidden/>
    <w:qFormat/>
    <w:uiPriority w:val="0"/>
    <w:rPr>
      <w:rFonts w:ascii="Times New Roman" w:hAnsi="Times New Roman" w:eastAsia="宋体" w:cs="Times New Roman"/>
      <w:sz w:val="24"/>
      <w:szCs w:val="24"/>
    </w:rPr>
  </w:style>
  <w:style w:type="character" w:customStyle="1" w:styleId="49">
    <w:name w:val="正文文本 字符1"/>
    <w:semiHidden/>
    <w:qFormat/>
    <w:uiPriority w:val="0"/>
    <w:rPr>
      <w:rFonts w:ascii="Times New Roman" w:hAnsi="Times New Roman" w:eastAsia="宋体" w:cs="Times New Roman"/>
      <w:sz w:val="24"/>
      <w:szCs w:val="24"/>
    </w:rPr>
  </w:style>
  <w:style w:type="paragraph" w:customStyle="1" w:styleId="50">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51">
    <w:name w:val="表格 Char"/>
    <w:link w:val="52"/>
    <w:qFormat/>
    <w:locked/>
    <w:uiPriority w:val="0"/>
    <w:rPr>
      <w:rFonts w:ascii="宋体"/>
      <w:sz w:val="21"/>
    </w:rPr>
  </w:style>
  <w:style w:type="paragraph" w:customStyle="1" w:styleId="52">
    <w:name w:val="表格"/>
    <w:basedOn w:val="1"/>
    <w:next w:val="1"/>
    <w:link w:val="51"/>
    <w:qFormat/>
    <w:uiPriority w:val="0"/>
    <w:pPr>
      <w:adjustRightInd w:val="0"/>
      <w:snapToGrid w:val="0"/>
      <w:spacing w:beforeLines="10" w:afterLines="10" w:line="259" w:lineRule="auto"/>
      <w:jc w:val="center"/>
    </w:pPr>
    <w:rPr>
      <w:rFonts w:ascii="宋体"/>
      <w:kern w:val="0"/>
      <w:sz w:val="20"/>
      <w:szCs w:val="21"/>
    </w:rPr>
  </w:style>
  <w:style w:type="character" w:customStyle="1" w:styleId="53">
    <w:name w:val="批注文字 字符1"/>
    <w:semiHidden/>
    <w:qFormat/>
    <w:uiPriority w:val="0"/>
    <w:rPr>
      <w:rFonts w:ascii="Times New Roman" w:hAnsi="Times New Roman" w:eastAsia="宋体" w:cs="Times New Roman"/>
      <w:sz w:val="24"/>
      <w:szCs w:val="24"/>
    </w:rPr>
  </w:style>
  <w:style w:type="character" w:customStyle="1" w:styleId="54">
    <w:name w:val="普通(网站) Char"/>
    <w:qFormat/>
    <w:locked/>
    <w:uiPriority w:val="0"/>
    <w:rPr>
      <w:rFonts w:ascii="宋体" w:hAnsi="宋体" w:eastAsia="宋体"/>
      <w:sz w:val="24"/>
    </w:rPr>
  </w:style>
  <w:style w:type="paragraph" w:customStyle="1" w:styleId="55">
    <w:name w:val="正文(首行缩进)"/>
    <w:basedOn w:val="1"/>
    <w:next w:val="1"/>
    <w:qFormat/>
    <w:uiPriority w:val="0"/>
    <w:pPr>
      <w:adjustRightInd w:val="0"/>
      <w:snapToGrid w:val="0"/>
      <w:spacing w:line="360" w:lineRule="auto"/>
      <w:ind w:firstLine="482" w:firstLineChars="200"/>
    </w:pPr>
    <w:rPr>
      <w:rFonts w:hAnsi="宋体"/>
      <w:b/>
      <w:bCs/>
      <w:color w:val="000000"/>
      <w:sz w:val="24"/>
      <w:szCs w:val="28"/>
    </w:rPr>
  </w:style>
  <w:style w:type="paragraph" w:customStyle="1" w:styleId="56">
    <w:name w:val="表格内"/>
    <w:basedOn w:val="1"/>
    <w:qFormat/>
    <w:uiPriority w:val="0"/>
    <w:pPr>
      <w:spacing w:line="360" w:lineRule="exact"/>
      <w:jc w:val="center"/>
    </w:pPr>
    <w:rPr>
      <w:rFonts w:ascii="Calibri" w:hAnsi="Calibri"/>
      <w:snapToGrid w:val="0"/>
      <w:szCs w:val="21"/>
    </w:rPr>
  </w:style>
  <w:style w:type="paragraph" w:customStyle="1" w:styleId="57">
    <w:name w:val="表格标题"/>
    <w:basedOn w:val="4"/>
    <w:next w:val="4"/>
    <w:qFormat/>
    <w:uiPriority w:val="0"/>
    <w:pPr>
      <w:spacing w:before="50" w:beforeLines="50"/>
      <w:ind w:firstLine="0" w:firstLineChars="0"/>
      <w:jc w:val="center"/>
    </w:pPr>
    <w:rPr>
      <w:rFonts w:eastAsia="黑体"/>
    </w:rPr>
  </w:style>
  <w:style w:type="paragraph" w:customStyle="1" w:styleId="58">
    <w:name w:val="表格内文本"/>
    <w:basedOn w:val="1"/>
    <w:qFormat/>
    <w:uiPriority w:val="0"/>
    <w:pPr>
      <w:tabs>
        <w:tab w:val="left" w:pos="0"/>
        <w:tab w:val="left" w:pos="1740"/>
      </w:tabs>
      <w:adjustRightInd w:val="0"/>
      <w:snapToGrid w:val="0"/>
      <w:jc w:val="left"/>
    </w:pPr>
    <w:rPr>
      <w:rFonts w:eastAsia="仿宋"/>
      <w:szCs w:val="30"/>
    </w:rPr>
  </w:style>
  <w:style w:type="paragraph" w:styleId="59">
    <w:name w:val="List Paragraph"/>
    <w:basedOn w:val="1"/>
    <w:qFormat/>
    <w:uiPriority w:val="0"/>
    <w:pPr>
      <w:ind w:firstLine="420" w:firstLineChars="200"/>
    </w:pPr>
    <w:rPr>
      <w:szCs w:val="21"/>
    </w:rPr>
  </w:style>
  <w:style w:type="paragraph" w:customStyle="1" w:styleId="60">
    <w:name w:val="表内容"/>
    <w:basedOn w:val="1"/>
    <w:next w:val="1"/>
    <w:qFormat/>
    <w:uiPriority w:val="0"/>
    <w:pPr>
      <w:jc w:val="center"/>
    </w:pPr>
    <w:rPr>
      <w:szCs w:val="21"/>
    </w:rPr>
  </w:style>
  <w:style w:type="paragraph" w:customStyle="1" w:styleId="61">
    <w:name w:val="正文首行缩进 21"/>
    <w:basedOn w:val="1"/>
    <w:qFormat/>
    <w:uiPriority w:val="0"/>
    <w:pPr>
      <w:spacing w:line="540" w:lineRule="exact"/>
      <w:ind w:firstLine="420" w:firstLineChars="200"/>
    </w:pPr>
    <w:rPr>
      <w:rFonts w:eastAsia="方正仿宋简体"/>
      <w:sz w:val="28"/>
      <w:szCs w:val="20"/>
    </w:rPr>
  </w:style>
  <w:style w:type="paragraph" w:customStyle="1" w:styleId="62">
    <w:name w:val="表格标题5.21"/>
    <w:basedOn w:val="1"/>
    <w:qFormat/>
    <w:uiPriority w:val="0"/>
    <w:pPr>
      <w:adjustRightInd w:val="0"/>
      <w:snapToGrid w:val="0"/>
      <w:spacing w:line="520" w:lineRule="exact"/>
      <w:jc w:val="center"/>
      <w:textAlignment w:val="baseline"/>
    </w:pPr>
    <w:rPr>
      <w:rFonts w:ascii="黑体" w:hAnsi="黑体" w:eastAsia="黑体" w:cs="宋体"/>
      <w:snapToGrid w:val="0"/>
      <w:kern w:val="0"/>
      <w:sz w:val="24"/>
    </w:rPr>
  </w:style>
  <w:style w:type="paragraph" w:customStyle="1" w:styleId="63">
    <w:name w:val="正文26-5.21"/>
    <w:basedOn w:val="1"/>
    <w:link w:val="65"/>
    <w:qFormat/>
    <w:uiPriority w:val="0"/>
    <w:pPr>
      <w:adjustRightInd w:val="0"/>
      <w:snapToGrid w:val="0"/>
      <w:spacing w:line="520" w:lineRule="exact"/>
      <w:ind w:firstLine="480" w:firstLineChars="200"/>
      <w:textAlignment w:val="baseline"/>
    </w:pPr>
    <w:rPr>
      <w:rFonts w:cs="宋体"/>
      <w:snapToGrid w:val="0"/>
      <w:sz w:val="24"/>
    </w:rPr>
  </w:style>
  <w:style w:type="paragraph" w:customStyle="1" w:styleId="64">
    <w:name w:val="正文A"/>
    <w:basedOn w:val="1"/>
    <w:qFormat/>
    <w:uiPriority w:val="0"/>
    <w:pPr>
      <w:spacing w:line="500" w:lineRule="exact"/>
      <w:ind w:firstLine="200" w:firstLineChars="200"/>
    </w:pPr>
    <w:rPr>
      <w:sz w:val="24"/>
    </w:rPr>
  </w:style>
  <w:style w:type="character" w:customStyle="1" w:styleId="65">
    <w:name w:val="正文26-5.21 字符"/>
    <w:link w:val="63"/>
    <w:qFormat/>
    <w:uiPriority w:val="0"/>
    <w:rPr>
      <w:rFonts w:cs="宋体"/>
      <w:snapToGrid w:val="0"/>
      <w:kern w:val="2"/>
      <w:sz w:val="24"/>
      <w:szCs w:val="24"/>
    </w:rPr>
  </w:style>
  <w:style w:type="character" w:customStyle="1" w:styleId="66">
    <w:name w:val="标题 2 字符"/>
    <w:basedOn w:val="33"/>
    <w:link w:val="3"/>
    <w:uiPriority w:val="0"/>
    <w:rPr>
      <w:b/>
      <w:sz w:val="30"/>
      <w:szCs w:val="30"/>
    </w:rPr>
  </w:style>
  <w:style w:type="character" w:customStyle="1" w:styleId="67">
    <w:name w:val="标题 5 字符"/>
    <w:basedOn w:val="33"/>
    <w:link w:val="7"/>
    <w:semiHidden/>
    <w:uiPriority w:val="0"/>
    <w:rPr>
      <w:b/>
      <w:sz w:val="28"/>
    </w:rPr>
  </w:style>
  <w:style w:type="character" w:customStyle="1" w:styleId="68">
    <w:name w:val="标题 6 字符"/>
    <w:basedOn w:val="33"/>
    <w:link w:val="8"/>
    <w:semiHidden/>
    <w:uiPriority w:val="0"/>
    <w:rPr>
      <w:rFonts w:ascii="Arial" w:hAnsi="Arial" w:eastAsia="黑体"/>
      <w:b/>
      <w:sz w:val="24"/>
    </w:rPr>
  </w:style>
  <w:style w:type="character" w:customStyle="1" w:styleId="69">
    <w:name w:val="标题 7 字符"/>
    <w:basedOn w:val="33"/>
    <w:link w:val="9"/>
    <w:semiHidden/>
    <w:uiPriority w:val="0"/>
    <w:rPr>
      <w:b/>
      <w:sz w:val="24"/>
    </w:rPr>
  </w:style>
  <w:style w:type="character" w:customStyle="1" w:styleId="70">
    <w:name w:val="标题 8 字符"/>
    <w:basedOn w:val="33"/>
    <w:link w:val="10"/>
    <w:semiHidden/>
    <w:uiPriority w:val="0"/>
    <w:rPr>
      <w:rFonts w:ascii="Arial" w:hAnsi="Arial" w:eastAsia="黑体"/>
      <w:sz w:val="24"/>
    </w:rPr>
  </w:style>
  <w:style w:type="character" w:customStyle="1" w:styleId="71">
    <w:name w:val="标题 9 字符"/>
    <w:basedOn w:val="33"/>
    <w:link w:val="11"/>
    <w:semiHidden/>
    <w:uiPriority w:val="0"/>
    <w:rPr>
      <w:rFonts w:ascii="Arial" w:hAnsi="Arial" w:eastAsia="黑体"/>
    </w:rPr>
  </w:style>
  <w:style w:type="paragraph" w:customStyle="1" w:styleId="72">
    <w:name w:val="@表注释"/>
    <w:basedOn w:val="1"/>
    <w:next w:val="4"/>
    <w:qFormat/>
    <w:uiPriority w:val="0"/>
    <w:pPr>
      <w:keepNext/>
      <w:tabs>
        <w:tab w:val="left" w:pos="0"/>
      </w:tabs>
      <w:adjustRightInd w:val="0"/>
      <w:spacing w:before="156" w:beforeLines="50"/>
      <w:jc w:val="center"/>
    </w:pPr>
    <w:rPr>
      <w:rFonts w:eastAsia="黑体"/>
      <w:bCs/>
      <w:kern w:val="0"/>
      <w:sz w:val="24"/>
    </w:rPr>
  </w:style>
  <w:style w:type="paragraph" w:customStyle="1" w:styleId="73">
    <w:name w:val="@表内文字居中"/>
    <w:basedOn w:val="1"/>
    <w:qFormat/>
    <w:uiPriority w:val="0"/>
    <w:pPr>
      <w:keepLines/>
      <w:pBdr>
        <w:top w:val="none" w:color="auto" w:sz="0" w:space="1"/>
        <w:left w:val="none" w:color="auto" w:sz="0" w:space="4"/>
        <w:bottom w:val="none" w:color="auto" w:sz="0" w:space="1"/>
        <w:right w:val="none" w:color="auto" w:sz="0" w:space="4"/>
      </w:pBdr>
      <w:adjustRightInd w:val="0"/>
      <w:jc w:val="center"/>
    </w:pPr>
    <w:rPr>
      <w:kern w:val="0"/>
      <w:szCs w:val="21"/>
    </w:rPr>
  </w:style>
  <w:style w:type="character" w:customStyle="1" w:styleId="74">
    <w:name w:val="@正文缩进 Char"/>
    <w:link w:val="4"/>
    <w:qFormat/>
    <w:uiPriority w:val="0"/>
    <w:rPr>
      <w:sz w:val="21"/>
      <w:szCs w:val="24"/>
    </w:rPr>
  </w:style>
  <w:style w:type="character" w:customStyle="1" w:styleId="75">
    <w:name w:val="正文文本 2 字符"/>
    <w:basedOn w:val="33"/>
    <w:link w:val="27"/>
    <w:uiPriority w:val="0"/>
    <w:rPr>
      <w:kern w:val="2"/>
      <w:sz w:val="21"/>
      <w:szCs w:val="24"/>
    </w:rPr>
  </w:style>
  <w:style w:type="paragraph" w:customStyle="1" w:styleId="76">
    <w:name w:val="正文2"/>
    <w:uiPriority w:val="0"/>
    <w:pPr>
      <w:jc w:val="both"/>
    </w:pPr>
    <w:rPr>
      <w:rFonts w:ascii="Times New Roman" w:hAnsi="Times New Roman" w:eastAsia="宋体" w:cs="Times New Roman"/>
      <w:kern w:val="2"/>
      <w:sz w:val="21"/>
      <w:szCs w:val="21"/>
      <w:lang w:val="en-US" w:eastAsia="zh-CN" w:bidi="ar-SA"/>
    </w:rPr>
  </w:style>
  <w:style w:type="paragraph" w:customStyle="1" w:styleId="77">
    <w:name w:val="Table Paragraph"/>
    <w:basedOn w:val="1"/>
    <w:qFormat/>
    <w:uiPriority w:val="1"/>
    <w:pPr>
      <w:jc w:val="center"/>
    </w:pPr>
    <w:rPr>
      <w:rFonts w:ascii="宋体" w:hAnsi="宋体" w:cs="宋体"/>
      <w:lang w:val="zh-CN" w:bidi="zh-CN"/>
    </w:rPr>
  </w:style>
  <w:style w:type="paragraph" w:customStyle="1" w:styleId="78">
    <w:name w:val="表格标题1"/>
    <w:basedOn w:val="1"/>
    <w:link w:val="80"/>
    <w:qFormat/>
    <w:uiPriority w:val="0"/>
    <w:pPr>
      <w:adjustRightInd w:val="0"/>
      <w:snapToGrid w:val="0"/>
      <w:jc w:val="center"/>
      <w:textAlignment w:val="baseline"/>
    </w:pPr>
    <w:rPr>
      <w:rFonts w:ascii="黑体" w:hAnsi="黑体" w:eastAsia="黑体" w:cs="宋体"/>
      <w:snapToGrid w:val="0"/>
      <w:kern w:val="0"/>
      <w:sz w:val="24"/>
    </w:rPr>
  </w:style>
  <w:style w:type="paragraph" w:customStyle="1" w:styleId="79">
    <w:name w:val="表格内容1"/>
    <w:basedOn w:val="1"/>
    <w:link w:val="81"/>
    <w:qFormat/>
    <w:uiPriority w:val="0"/>
    <w:pPr>
      <w:widowControl/>
      <w:jc w:val="center"/>
    </w:pPr>
    <w:rPr>
      <w:kern w:val="0"/>
      <w:szCs w:val="21"/>
    </w:rPr>
  </w:style>
  <w:style w:type="character" w:customStyle="1" w:styleId="80">
    <w:name w:val="表格标题1 字符"/>
    <w:link w:val="78"/>
    <w:uiPriority w:val="0"/>
    <w:rPr>
      <w:rFonts w:ascii="黑体" w:hAnsi="黑体" w:eastAsia="黑体" w:cs="宋体"/>
      <w:snapToGrid w:val="0"/>
      <w:sz w:val="24"/>
      <w:szCs w:val="24"/>
    </w:rPr>
  </w:style>
  <w:style w:type="character" w:customStyle="1" w:styleId="81">
    <w:name w:val="表格内容1 字符"/>
    <w:link w:val="79"/>
    <w:uiPriority w:val="0"/>
    <w:rPr>
      <w:sz w:val="21"/>
      <w:szCs w:val="21"/>
    </w:rPr>
  </w:style>
  <w:style w:type="paragraph" w:customStyle="1" w:styleId="82">
    <w:name w:val="正文26"/>
    <w:basedOn w:val="1"/>
    <w:link w:val="83"/>
    <w:qFormat/>
    <w:uiPriority w:val="0"/>
    <w:pPr>
      <w:adjustRightInd w:val="0"/>
      <w:snapToGrid w:val="0"/>
      <w:spacing w:line="520" w:lineRule="exact"/>
      <w:ind w:firstLine="480" w:firstLineChars="200"/>
      <w:textAlignment w:val="baseline"/>
    </w:pPr>
    <w:rPr>
      <w:rFonts w:ascii="宋体" w:hAnsi="宋体" w:cs="宋体"/>
      <w:snapToGrid w:val="0"/>
      <w:sz w:val="24"/>
    </w:rPr>
  </w:style>
  <w:style w:type="character" w:customStyle="1" w:styleId="83">
    <w:name w:val="正文26 字符"/>
    <w:link w:val="82"/>
    <w:uiPriority w:val="0"/>
    <w:rPr>
      <w:rFonts w:ascii="宋体" w:hAnsi="宋体" w:cs="宋体"/>
      <w:snapToGrid w:val="0"/>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9.wmf"/><Relationship Id="rId28" Type="http://schemas.openxmlformats.org/officeDocument/2006/relationships/oleObject" Target="embeddings/oleObject13.bin"/><Relationship Id="rId27" Type="http://schemas.openxmlformats.org/officeDocument/2006/relationships/image" Target="media/image8.wmf"/><Relationship Id="rId26" Type="http://schemas.openxmlformats.org/officeDocument/2006/relationships/oleObject" Target="embeddings/oleObject12.bin"/><Relationship Id="rId25" Type="http://schemas.openxmlformats.org/officeDocument/2006/relationships/oleObject" Target="embeddings/oleObject11.bin"/><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7.wmf"/><Relationship Id="rId21" Type="http://schemas.openxmlformats.org/officeDocument/2006/relationships/oleObject" Target="embeddings/oleObject8.bin"/><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82</Pages>
  <Words>6446</Words>
  <Characters>36746</Characters>
  <Lines>306</Lines>
  <Paragraphs>86</Paragraphs>
  <TotalTime>242</TotalTime>
  <ScaleCrop>false</ScaleCrop>
  <LinksUpToDate>false</LinksUpToDate>
  <CharactersWithSpaces>43106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2021-10-22T02:01:00Z</dcterms:created>
  <dc:creator>lhj</dc:creator>
  <cp:lastModifiedBy>pc20181112</cp:lastModifiedBy>
  <cp:lastPrinted>2020-12-24T01:50:00Z</cp:lastPrinted>
  <dcterms:modified xsi:type="dcterms:W3CDTF">2021-11-17T05:33:17Z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C25F0D6ADD1F4C68AC018BB18D078882</vt:lpwstr>
  </property>
</Properties>
</file>