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28"/>
        <w:tblW w:w="88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25"/>
        <w:gridCol w:w="1830"/>
        <w:gridCol w:w="2276"/>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建设项目名称</w:t>
            </w:r>
          </w:p>
        </w:tc>
        <w:tc>
          <w:tcPr>
            <w:tcW w:w="6745" w:type="dxa"/>
            <w:gridSpan w:val="3"/>
            <w:vAlign w:val="center"/>
          </w:tcPr>
          <w:p>
            <w:pPr>
              <w:adjustRightInd w:val="0"/>
              <w:snapToGrid w:val="0"/>
              <w:jc w:val="center"/>
              <w:rPr>
                <w:rFonts w:hint="default" w:ascii="Times New Roman" w:hAnsi="Times New Roman" w:cs="Times New Roman"/>
                <w:color w:val="auto"/>
                <w:szCs w:val="21"/>
              </w:rPr>
            </w:pPr>
            <w:r>
              <w:rPr>
                <w:rFonts w:hint="eastAsia" w:ascii="宋体" w:hAnsi="宋体" w:eastAsia="宋体" w:cs="宋体"/>
                <w:color w:val="auto"/>
                <w:sz w:val="21"/>
                <w:szCs w:val="21"/>
                <w:u w:val="none"/>
              </w:rPr>
              <w:t>丁香园北区扩建1台</w:t>
            </w:r>
            <w:r>
              <w:rPr>
                <w:rFonts w:hint="eastAsia"/>
                <w:color w:val="auto"/>
                <w:lang w:val="en-US" w:eastAsia="zh-CN"/>
              </w:rPr>
              <w:t>7MW</w:t>
            </w:r>
            <w:r>
              <w:rPr>
                <w:rFonts w:hint="eastAsia" w:ascii="宋体" w:hAnsi="宋体" w:eastAsia="宋体" w:cs="宋体"/>
                <w:color w:val="auto"/>
                <w:sz w:val="21"/>
                <w:szCs w:val="21"/>
                <w:u w:val="none"/>
              </w:rPr>
              <w:t>燃气常压热水锅炉项目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项目代码</w:t>
            </w:r>
          </w:p>
        </w:tc>
        <w:tc>
          <w:tcPr>
            <w:tcW w:w="6745" w:type="dxa"/>
            <w:gridSpan w:val="3"/>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建设单位联系人</w:t>
            </w:r>
          </w:p>
        </w:tc>
        <w:tc>
          <w:tcPr>
            <w:tcW w:w="1830" w:type="dxa"/>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刘烁</w:t>
            </w:r>
          </w:p>
        </w:tc>
        <w:tc>
          <w:tcPr>
            <w:tcW w:w="2276"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联系方式</w:t>
            </w:r>
          </w:p>
        </w:tc>
        <w:tc>
          <w:tcPr>
            <w:tcW w:w="2639" w:type="dxa"/>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w:t>
            </w:r>
            <w:r>
              <w:rPr>
                <w:rFonts w:hint="eastAsia" w:ascii="Times New Roman" w:hAnsi="Times New Roman" w:cs="Times New Roman"/>
                <w:color w:val="auto"/>
                <w:szCs w:val="21"/>
                <w:lang w:val="en-US" w:eastAsia="zh-CN"/>
              </w:rPr>
              <w:t>3139882999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建设地点</w:t>
            </w:r>
          </w:p>
        </w:tc>
        <w:tc>
          <w:tcPr>
            <w:tcW w:w="6745" w:type="dxa"/>
            <w:gridSpan w:val="3"/>
            <w:vAlign w:val="center"/>
          </w:tcPr>
          <w:p>
            <w:pPr>
              <w:adjustRightInd w:val="0"/>
              <w:snapToGrid w:val="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新疆昌吉市</w:t>
            </w:r>
            <w:r>
              <w:rPr>
                <w:rFonts w:hint="eastAsia" w:ascii="宋体" w:hAnsi="宋体" w:eastAsia="宋体" w:cs="宋体"/>
                <w:color w:val="auto"/>
                <w:sz w:val="21"/>
                <w:szCs w:val="21"/>
                <w:u w:val="none"/>
              </w:rPr>
              <w:t>丁香园北区</w:t>
            </w:r>
            <w:r>
              <w:rPr>
                <w:rFonts w:hint="eastAsia" w:ascii="宋体" w:hAnsi="宋体" w:eastAsia="宋体" w:cs="宋体"/>
                <w:color w:val="auto"/>
                <w:sz w:val="21"/>
                <w:szCs w:val="21"/>
                <w:u w:val="none"/>
                <w:lang w:val="en-US" w:eastAsia="zh-CN"/>
              </w:rPr>
              <w:t>地下车库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地理坐标</w:t>
            </w:r>
          </w:p>
        </w:tc>
        <w:tc>
          <w:tcPr>
            <w:tcW w:w="6745" w:type="dxa"/>
            <w:gridSpan w:val="3"/>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E</w:t>
            </w: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val="en-US" w:eastAsia="zh-CN"/>
              </w:rPr>
              <w:t>87</w:t>
            </w:r>
            <w:r>
              <w:rPr>
                <w:rFonts w:hint="default" w:ascii="Times New Roman" w:hAnsi="Times New Roman" w:cs="Times New Roman"/>
                <w:color w:val="auto"/>
                <w:szCs w:val="21"/>
              </w:rPr>
              <w:t>度</w:t>
            </w:r>
            <w:r>
              <w:rPr>
                <w:rFonts w:hint="eastAsia" w:ascii="Times New Roman" w:hAnsi="Times New Roman" w:cs="Times New Roman"/>
                <w:color w:val="auto"/>
                <w:szCs w:val="21"/>
                <w:lang w:val="en-US" w:eastAsia="zh-CN"/>
              </w:rPr>
              <w:t>16</w:t>
            </w:r>
            <w:r>
              <w:rPr>
                <w:rFonts w:hint="default" w:ascii="Times New Roman" w:hAnsi="Times New Roman" w:cs="Times New Roman"/>
                <w:color w:val="auto"/>
                <w:szCs w:val="21"/>
              </w:rPr>
              <w:t>分</w:t>
            </w:r>
            <w:r>
              <w:rPr>
                <w:rFonts w:hint="eastAsia" w:ascii="Times New Roman" w:hAnsi="Times New Roman" w:cs="Times New Roman"/>
                <w:color w:val="auto"/>
                <w:szCs w:val="21"/>
                <w:lang w:val="en-US" w:eastAsia="zh-CN"/>
              </w:rPr>
              <w:t>40.089</w:t>
            </w:r>
            <w:r>
              <w:rPr>
                <w:rFonts w:hint="default" w:ascii="Times New Roman" w:hAnsi="Times New Roman" w:cs="Times New Roman"/>
                <w:color w:val="auto"/>
                <w:szCs w:val="21"/>
              </w:rPr>
              <w:t>秒，</w:t>
            </w:r>
            <w:r>
              <w:rPr>
                <w:rFonts w:hint="default" w:ascii="Times New Roman" w:hAnsi="Times New Roman" w:cs="Times New Roman"/>
                <w:color w:val="auto"/>
                <w:szCs w:val="21"/>
                <w:lang w:val="en-US" w:eastAsia="zh-CN"/>
              </w:rPr>
              <w:t>N</w:t>
            </w: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cs="Times New Roman"/>
                <w:color w:val="auto"/>
                <w:szCs w:val="21"/>
              </w:rPr>
              <w:t>度</w:t>
            </w: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rPr>
              <w:t>分</w:t>
            </w:r>
            <w:r>
              <w:rPr>
                <w:rFonts w:hint="eastAsia" w:ascii="Times New Roman" w:hAnsi="Times New Roman" w:cs="Times New Roman"/>
                <w:color w:val="auto"/>
                <w:szCs w:val="21"/>
                <w:lang w:val="en-US" w:eastAsia="zh-CN"/>
              </w:rPr>
              <w:t>6.950</w:t>
            </w:r>
            <w:r>
              <w:rPr>
                <w:rFonts w:hint="default" w:ascii="Times New Roman" w:hAnsi="Times New Roman" w:cs="Times New Roman"/>
                <w:color w:val="auto"/>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国民经济</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行业类别</w:t>
            </w:r>
          </w:p>
        </w:tc>
        <w:tc>
          <w:tcPr>
            <w:tcW w:w="1830" w:type="dxa"/>
            <w:vAlign w:val="center"/>
          </w:tcPr>
          <w:p>
            <w:pPr>
              <w:adjustRightInd w:val="0"/>
              <w:snapToGrid w:val="0"/>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热力生产和供应D4</w:t>
            </w:r>
            <w:r>
              <w:rPr>
                <w:rFonts w:hint="eastAsia" w:ascii="Times New Roman" w:hAnsi="Times New Roman" w:cs="Times New Roman"/>
                <w:color w:val="auto"/>
                <w:szCs w:val="21"/>
              </w:rPr>
              <w:t>4</w:t>
            </w:r>
            <w:r>
              <w:rPr>
                <w:rFonts w:hint="eastAsia" w:ascii="Times New Roman" w:hAnsi="Times New Roman" w:cs="Times New Roman"/>
                <w:color w:val="auto"/>
                <w:szCs w:val="21"/>
                <w:lang w:val="en-US" w:eastAsia="zh-CN"/>
              </w:rPr>
              <w:t>30</w:t>
            </w:r>
          </w:p>
        </w:tc>
        <w:tc>
          <w:tcPr>
            <w:tcW w:w="2276" w:type="dxa"/>
            <w:vAlign w:val="center"/>
          </w:tcPr>
          <w:p>
            <w:pPr>
              <w:adjustRightInd w:val="0"/>
              <w:snapToGrid w:val="0"/>
              <w:jc w:val="center"/>
              <w:rPr>
                <w:rFonts w:hint="default" w:ascii="Times New Roman" w:hAnsi="Times New Roman" w:cs="Times New Roman"/>
                <w:color w:val="auto"/>
                <w:szCs w:val="21"/>
              </w:rPr>
            </w:pPr>
            <w:bookmarkStart w:id="0" w:name="_Hlk49843745"/>
            <w:r>
              <w:rPr>
                <w:rFonts w:hint="default" w:ascii="Times New Roman" w:hAnsi="Times New Roman" w:cs="Times New Roman"/>
                <w:color w:val="auto"/>
                <w:szCs w:val="21"/>
              </w:rPr>
              <w:t>建设项目</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行业类别</w:t>
            </w:r>
            <w:bookmarkEnd w:id="0"/>
          </w:p>
        </w:tc>
        <w:tc>
          <w:tcPr>
            <w:tcW w:w="26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both"/>
              <w:textAlignment w:val="auto"/>
              <w:outlineLvl w:val="9"/>
              <w:rPr>
                <w:rFonts w:hint="default" w:ascii="Times New Roman" w:hAnsi="Times New Roman" w:cs="Times New Roman"/>
                <w:color w:val="auto"/>
                <w:szCs w:val="21"/>
              </w:rPr>
            </w:pPr>
            <w:r>
              <w:rPr>
                <w:rFonts w:hint="eastAsia" w:ascii="Times New Roman" w:hAnsi="Times New Roman" w:eastAsia="宋体" w:cs="Times New Roman"/>
                <w:color w:val="auto"/>
                <w:szCs w:val="21"/>
                <w:lang w:val="en-US" w:eastAsia="zh-CN"/>
              </w:rPr>
              <w:t>四十一</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电力、热力生产和供应业</w:t>
            </w:r>
            <w:r>
              <w:rPr>
                <w:rFonts w:hint="default"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lang w:val="en-US" w:eastAsia="zh-CN"/>
              </w:rPr>
              <w:t>91</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热力生产和供应工程（包括建设单位自建自用的供热工程）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19"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建设性质</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textAlignment w:val="auto"/>
              <w:outlineLvl w:val="9"/>
              <w:rPr>
                <w:rFonts w:hint="default" w:ascii="Times New Roman" w:hAnsi="Times New Roman" w:cs="Times New Roman"/>
                <w:color w:val="auto"/>
                <w:szCs w:val="21"/>
              </w:rPr>
            </w:pPr>
            <w:r>
              <w:rPr>
                <w:rFonts w:hint="eastAsia" w:ascii="宋体" w:hAnsi="宋体" w:eastAsia="宋体" w:cs="宋体"/>
                <w:color w:val="auto"/>
                <w:szCs w:val="21"/>
              </w:rPr>
              <w:t>□</w:t>
            </w:r>
            <w:r>
              <w:rPr>
                <w:rFonts w:hint="default" w:ascii="Times New Roman" w:hAnsi="Times New Roman" w:cs="Times New Roman"/>
                <w:color w:val="auto"/>
                <w:szCs w:val="21"/>
              </w:rPr>
              <w:t>新建（迁建）</w:t>
            </w:r>
          </w:p>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jc w:val="left"/>
              <w:textAlignment w:val="auto"/>
              <w:outlineLvl w:val="9"/>
              <w:rPr>
                <w:rFonts w:hint="default" w:ascii="Times New Roman" w:hAnsi="Times New Roman" w:cs="Times New Roman"/>
                <w:color w:val="auto"/>
                <w:szCs w:val="21"/>
              </w:rPr>
            </w:pPr>
            <w:r>
              <w:rPr>
                <w:rFonts w:hint="eastAsia" w:ascii="宋体" w:hAnsi="宋体" w:eastAsia="宋体" w:cs="宋体"/>
                <w:color w:val="auto"/>
                <w:szCs w:val="21"/>
              </w:rPr>
              <w:t>□</w:t>
            </w:r>
            <w:r>
              <w:rPr>
                <w:rFonts w:hint="default" w:ascii="Times New Roman" w:hAnsi="Times New Roman" w:cs="Times New Roman"/>
                <w:color w:val="auto"/>
                <w:szCs w:val="21"/>
              </w:rPr>
              <w:t>改建</w:t>
            </w:r>
          </w:p>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jc w:val="left"/>
              <w:textAlignment w:val="auto"/>
              <w:outlineLvl w:val="9"/>
              <w:rPr>
                <w:rFonts w:hint="default" w:ascii="Times New Roman" w:hAnsi="Times New Roman" w:cs="Times New Roman"/>
                <w:color w:val="auto"/>
                <w:szCs w:val="21"/>
              </w:rPr>
            </w:pPr>
            <w:r>
              <w:rPr>
                <w:rFonts w:hint="eastAsia" w:ascii="宋体" w:hAnsi="宋体" w:eastAsia="宋体" w:cs="宋体"/>
                <w:color w:val="auto"/>
              </w:rPr>
              <w:t>■</w:t>
            </w:r>
            <w:r>
              <w:rPr>
                <w:rFonts w:hint="default" w:ascii="Times New Roman" w:hAnsi="Times New Roman" w:cs="Times New Roman"/>
                <w:color w:val="auto"/>
                <w:szCs w:val="21"/>
              </w:rPr>
              <w:t>扩建</w:t>
            </w:r>
          </w:p>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jc w:val="left"/>
              <w:textAlignment w:val="auto"/>
              <w:outlineLvl w:val="9"/>
              <w:rPr>
                <w:rFonts w:hint="default" w:ascii="Times New Roman" w:hAnsi="Times New Roman" w:cs="Times New Roman"/>
                <w:color w:val="auto"/>
                <w:szCs w:val="21"/>
              </w:rPr>
            </w:pPr>
            <w:r>
              <w:rPr>
                <w:rFonts w:hint="eastAsia" w:ascii="宋体" w:hAnsi="宋体" w:eastAsia="宋体" w:cs="宋体"/>
                <w:color w:val="auto"/>
                <w:szCs w:val="21"/>
              </w:rPr>
              <w:t>□</w:t>
            </w:r>
            <w:r>
              <w:rPr>
                <w:rFonts w:hint="default" w:ascii="Times New Roman" w:hAnsi="Times New Roman" w:cs="Times New Roman"/>
                <w:color w:val="auto"/>
                <w:szCs w:val="21"/>
              </w:rPr>
              <w:t>技术改造</w:t>
            </w:r>
          </w:p>
        </w:tc>
        <w:tc>
          <w:tcPr>
            <w:tcW w:w="2276"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申报情形</w:t>
            </w:r>
          </w:p>
        </w:tc>
        <w:tc>
          <w:tcPr>
            <w:tcW w:w="26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textAlignment w:val="auto"/>
              <w:outlineLvl w:val="9"/>
              <w:rPr>
                <w:rFonts w:hint="default" w:ascii="Times New Roman" w:hAnsi="Times New Roman" w:cs="Times New Roman"/>
                <w:color w:val="auto"/>
                <w:szCs w:val="21"/>
              </w:rPr>
            </w:pPr>
            <w:r>
              <w:rPr>
                <w:rFonts w:hint="eastAsia" w:ascii="宋体" w:hAnsi="宋体" w:eastAsia="宋体" w:cs="宋体"/>
                <w:color w:val="auto"/>
              </w:rPr>
              <w:t>■</w:t>
            </w:r>
            <w:r>
              <w:rPr>
                <w:rFonts w:hint="default" w:ascii="Times New Roman" w:hAnsi="Times New Roman" w:cs="Times New Roman"/>
                <w:color w:val="auto"/>
                <w:szCs w:val="21"/>
              </w:rPr>
              <w:t xml:space="preserve">首次申报项目             </w:t>
            </w:r>
          </w:p>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jc w:val="left"/>
              <w:textAlignment w:val="auto"/>
              <w:outlineLvl w:val="9"/>
              <w:rPr>
                <w:rFonts w:hint="default" w:ascii="Times New Roman" w:hAnsi="Times New Roman" w:cs="Times New Roman"/>
                <w:color w:val="auto"/>
                <w:szCs w:val="21"/>
              </w:rPr>
            </w:pPr>
            <w:r>
              <w:rPr>
                <w:rFonts w:hint="eastAsia" w:ascii="宋体" w:hAnsi="宋体" w:eastAsia="宋体" w:cs="宋体"/>
                <w:color w:val="auto"/>
                <w:szCs w:val="21"/>
              </w:rPr>
              <w:t>□</w:t>
            </w:r>
            <w:r>
              <w:rPr>
                <w:rFonts w:hint="default" w:ascii="Times New Roman" w:hAnsi="Times New Roman" w:cs="Times New Roman"/>
                <w:color w:val="auto"/>
                <w:szCs w:val="21"/>
              </w:rPr>
              <w:t>不予批准后再次申报项目</w:t>
            </w:r>
          </w:p>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jc w:val="left"/>
              <w:textAlignment w:val="auto"/>
              <w:outlineLvl w:val="9"/>
              <w:rPr>
                <w:rFonts w:hint="default" w:ascii="Times New Roman" w:hAnsi="Times New Roman" w:cs="Times New Roman"/>
                <w:color w:val="auto"/>
                <w:szCs w:val="21"/>
              </w:rPr>
            </w:pPr>
            <w:r>
              <w:rPr>
                <w:rFonts w:hint="eastAsia" w:ascii="宋体" w:hAnsi="宋体" w:eastAsia="宋体" w:cs="宋体"/>
                <w:color w:val="auto"/>
                <w:szCs w:val="21"/>
              </w:rPr>
              <w:t>□</w:t>
            </w:r>
            <w:r>
              <w:rPr>
                <w:rFonts w:hint="default" w:ascii="Times New Roman" w:hAnsi="Times New Roman" w:cs="Times New Roman"/>
                <w:color w:val="auto"/>
                <w:szCs w:val="21"/>
              </w:rPr>
              <w:t xml:space="preserve">超五年重新审核项目     </w:t>
            </w:r>
          </w:p>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jc w:val="left"/>
              <w:textAlignment w:val="auto"/>
              <w:outlineLvl w:val="9"/>
              <w:rPr>
                <w:rFonts w:hint="default" w:ascii="Times New Roman" w:hAnsi="Times New Roman" w:cs="Times New Roman"/>
                <w:color w:val="auto"/>
                <w:szCs w:val="21"/>
              </w:rPr>
            </w:pPr>
            <w:r>
              <w:rPr>
                <w:rFonts w:hint="eastAsia" w:ascii="宋体" w:hAnsi="宋体" w:eastAsia="宋体" w:cs="宋体"/>
                <w:color w:val="auto"/>
                <w:szCs w:val="21"/>
              </w:rPr>
              <w:t>□</w:t>
            </w:r>
            <w:r>
              <w:rPr>
                <w:rFonts w:hint="default" w:ascii="Times New Roman" w:hAnsi="Times New Roman" w:cs="Times New Roman"/>
                <w:color w:val="auto"/>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项目审批（核准/</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备案）部门（选填）</w:t>
            </w:r>
          </w:p>
        </w:tc>
        <w:tc>
          <w:tcPr>
            <w:tcW w:w="1830" w:type="dxa"/>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无</w:t>
            </w:r>
          </w:p>
        </w:tc>
        <w:tc>
          <w:tcPr>
            <w:tcW w:w="2276"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项目审批（核准/</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备案）文号（选填）</w:t>
            </w:r>
          </w:p>
        </w:tc>
        <w:tc>
          <w:tcPr>
            <w:tcW w:w="2639" w:type="dxa"/>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总投资（万元）</w:t>
            </w:r>
          </w:p>
        </w:tc>
        <w:tc>
          <w:tcPr>
            <w:tcW w:w="1830" w:type="dxa"/>
            <w:vAlign w:val="center"/>
          </w:tcPr>
          <w:p>
            <w:pPr>
              <w:adjustRightInd w:val="0"/>
              <w:snapToGrid w:val="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100</w:t>
            </w:r>
          </w:p>
        </w:tc>
        <w:tc>
          <w:tcPr>
            <w:tcW w:w="2276"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环保投资（万元）</w:t>
            </w:r>
          </w:p>
        </w:tc>
        <w:tc>
          <w:tcPr>
            <w:tcW w:w="2639" w:type="dxa"/>
            <w:vAlign w:val="center"/>
          </w:tcPr>
          <w:p>
            <w:pPr>
              <w:adjustRightInd w:val="0"/>
              <w:snapToGrid w:val="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25.5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环保投资占比（%）</w:t>
            </w:r>
          </w:p>
        </w:tc>
        <w:tc>
          <w:tcPr>
            <w:tcW w:w="1830" w:type="dxa"/>
            <w:vAlign w:val="center"/>
          </w:tcPr>
          <w:p>
            <w:pPr>
              <w:numPr>
                <w:ilvl w:val="0"/>
                <w:numId w:val="0"/>
              </w:numPr>
              <w:adjustRightInd w:val="0"/>
              <w:snapToGrid w:val="0"/>
              <w:ind w:leftChars="0"/>
              <w:jc w:val="both"/>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 xml:space="preserve">       25.5</w:t>
            </w:r>
          </w:p>
        </w:tc>
        <w:tc>
          <w:tcPr>
            <w:tcW w:w="2276"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施工工期</w:t>
            </w:r>
          </w:p>
        </w:tc>
        <w:tc>
          <w:tcPr>
            <w:tcW w:w="2639" w:type="dxa"/>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2021年</w:t>
            </w:r>
            <w:r>
              <w:rPr>
                <w:rFonts w:hint="eastAsia" w:ascii="Times New Roman" w:hAnsi="Times New Roman" w:cs="Times New Roman"/>
                <w:color w:val="auto"/>
                <w:szCs w:val="21"/>
                <w:lang w:val="en-US" w:eastAsia="zh-CN"/>
              </w:rPr>
              <w:t>9</w:t>
            </w:r>
            <w:r>
              <w:rPr>
                <w:rFonts w:hint="default" w:ascii="Times New Roman" w:hAnsi="Times New Roman" w:cs="Times New Roman"/>
                <w:color w:val="auto"/>
                <w:szCs w:val="21"/>
                <w:lang w:val="en-US" w:eastAsia="zh-CN"/>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是否开工建设</w:t>
            </w:r>
          </w:p>
        </w:tc>
        <w:tc>
          <w:tcPr>
            <w:tcW w:w="18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leftChars="0" w:right="0" w:rightChars="0" w:firstLine="0" w:firstLineChars="0"/>
              <w:jc w:val="both"/>
              <w:textAlignment w:val="auto"/>
              <w:outlineLvl w:val="9"/>
              <w:rPr>
                <w:rFonts w:hint="default" w:ascii="Times New Roman" w:hAnsi="Times New Roman" w:cs="Times New Roman"/>
                <w:color w:val="auto"/>
                <w:szCs w:val="21"/>
              </w:rPr>
            </w:pPr>
            <w:r>
              <w:rPr>
                <w:rFonts w:hint="eastAsia" w:ascii="宋体" w:hAnsi="宋体" w:eastAsia="宋体" w:cs="宋体"/>
                <w:color w:val="auto"/>
              </w:rPr>
              <w:t>■</w:t>
            </w:r>
            <w:r>
              <w:rPr>
                <w:rFonts w:hint="default" w:ascii="Times New Roman" w:hAnsi="Times New Roman" w:cs="Times New Roman"/>
                <w:color w:val="auto"/>
                <w:szCs w:val="21"/>
              </w:rPr>
              <w:t>否</w:t>
            </w:r>
          </w:p>
          <w:p>
            <w:pPr>
              <w:keepNext w:val="0"/>
              <w:keepLines w:val="0"/>
              <w:pageBreakBefore w:val="0"/>
              <w:widowControl w:val="0"/>
              <w:kinsoku/>
              <w:wordWrap/>
              <w:overflowPunct/>
              <w:topLinePunct w:val="0"/>
              <w:autoSpaceDE/>
              <w:autoSpaceDN/>
              <w:bidi w:val="0"/>
              <w:adjustRightInd w:val="0"/>
              <w:snapToGrid w:val="0"/>
              <w:spacing w:line="240" w:lineRule="auto"/>
              <w:ind w:left="57" w:leftChars="0" w:right="0" w:rightChars="0" w:firstLine="0" w:firstLineChars="0"/>
              <w:jc w:val="both"/>
              <w:textAlignment w:val="auto"/>
              <w:outlineLvl w:val="9"/>
              <w:rPr>
                <w:rFonts w:hint="default" w:ascii="Times New Roman" w:hAnsi="Times New Roman" w:cs="Times New Roman"/>
                <w:color w:val="auto"/>
                <w:szCs w:val="21"/>
              </w:rPr>
            </w:pPr>
            <w:bookmarkStart w:id="1" w:name="OLE_LINK10"/>
            <w:r>
              <w:rPr>
                <w:rFonts w:hint="eastAsia" w:ascii="宋体" w:hAnsi="宋体" w:eastAsia="宋体" w:cs="宋体"/>
                <w:color w:val="auto"/>
                <w:szCs w:val="21"/>
              </w:rPr>
              <w:t>□</w:t>
            </w:r>
            <w:bookmarkEnd w:id="1"/>
            <w:r>
              <w:rPr>
                <w:rFonts w:hint="default" w:ascii="Times New Roman" w:hAnsi="Times New Roman" w:cs="Times New Roman"/>
                <w:color w:val="auto"/>
                <w:szCs w:val="21"/>
              </w:rPr>
              <w:t>是：</w:t>
            </w:r>
            <w:r>
              <w:rPr>
                <w:rFonts w:hint="default" w:ascii="Times New Roman" w:hAnsi="Times New Roman" w:cs="Times New Roman"/>
                <w:color w:val="auto"/>
                <w:szCs w:val="21"/>
                <w:u w:val="single"/>
              </w:rPr>
              <w:t xml:space="preserve">             </w:t>
            </w:r>
          </w:p>
        </w:tc>
        <w:tc>
          <w:tcPr>
            <w:tcW w:w="2276" w:type="dxa"/>
            <w:tcMar>
              <w:top w:w="16" w:type="dxa"/>
              <w:left w:w="16" w:type="dxa"/>
              <w:right w:w="16" w:type="dxa"/>
            </w:tcMar>
            <w:vAlign w:val="center"/>
          </w:tcPr>
          <w:p>
            <w:pPr>
              <w:adjustRightInd w:val="0"/>
              <w:snapToGrid w:val="0"/>
              <w:jc w:val="both"/>
              <w:rPr>
                <w:rFonts w:hint="default" w:ascii="Times New Roman" w:hAnsi="Times New Roman" w:cs="Times New Roman"/>
                <w:color w:val="auto"/>
                <w:szCs w:val="21"/>
              </w:rPr>
            </w:pPr>
            <w:r>
              <w:rPr>
                <w:rFonts w:hint="default" w:ascii="Times New Roman" w:hAnsi="Times New Roman" w:cs="Times New Roman"/>
                <w:color w:val="auto"/>
                <w:spacing w:val="-6"/>
                <w:szCs w:val="21"/>
              </w:rPr>
              <w:t>用地（用海）面积（</w:t>
            </w:r>
            <w:r>
              <w:rPr>
                <w:rFonts w:hint="default" w:ascii="Times New Roman" w:hAnsi="Times New Roman" w:cs="Times New Roman"/>
                <w:color w:val="auto"/>
                <w:spacing w:val="-6"/>
                <w:szCs w:val="21"/>
                <w:lang w:val="en-US" w:eastAsia="zh-CN"/>
              </w:rPr>
              <w:t>m</w:t>
            </w:r>
            <w:r>
              <w:rPr>
                <w:rFonts w:hint="default" w:ascii="Times New Roman" w:hAnsi="Times New Roman" w:cs="Times New Roman"/>
                <w:color w:val="auto"/>
                <w:spacing w:val="-6"/>
                <w:szCs w:val="21"/>
                <w:vertAlign w:val="superscript"/>
                <w:lang w:val="en-US" w:eastAsia="zh-CN"/>
              </w:rPr>
              <w:t>2</w:t>
            </w:r>
            <w:r>
              <w:rPr>
                <w:rFonts w:hint="default" w:ascii="Times New Roman" w:hAnsi="Times New Roman" w:cs="Times New Roman"/>
                <w:color w:val="auto"/>
                <w:spacing w:val="-6"/>
                <w:szCs w:val="21"/>
              </w:rPr>
              <w:t>）</w:t>
            </w:r>
          </w:p>
        </w:tc>
        <w:tc>
          <w:tcPr>
            <w:tcW w:w="2639" w:type="dxa"/>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106.92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125" w:type="dxa"/>
            <w:vAlign w:val="center"/>
          </w:tcPr>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专项评价设置情况</w:t>
            </w:r>
          </w:p>
        </w:tc>
        <w:tc>
          <w:tcPr>
            <w:tcW w:w="6745" w:type="dxa"/>
            <w:gridSpan w:val="3"/>
            <w:vAlign w:val="center"/>
          </w:tcPr>
          <w:p>
            <w:pPr>
              <w:tabs>
                <w:tab w:val="left" w:pos="1795"/>
              </w:tabs>
              <w:autoSpaceDE w:val="0"/>
              <w:autoSpaceDN w:val="0"/>
              <w:adjustRightInd w:val="0"/>
              <w:snapToGrid w:val="0"/>
              <w:jc w:val="center"/>
              <w:rPr>
                <w:rFonts w:hint="default" w:ascii="Times New Roman" w:hAnsi="Times New Roman" w:cs="Times New Roman" w:eastAsiaTheme="minorEastAsia"/>
                <w:color w:val="auto"/>
                <w:kern w:val="0"/>
                <w:szCs w:val="21"/>
                <w:lang w:eastAsia="zh-CN"/>
              </w:rPr>
            </w:pPr>
            <w:r>
              <w:rPr>
                <w:rFonts w:hint="default" w:ascii="Times New Roman" w:hAnsi="Times New Roman" w:cs="Times New Roman"/>
                <w:color w:val="auto"/>
                <w:kern w:val="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2125" w:type="dxa"/>
            <w:vAlign w:val="center"/>
          </w:tcPr>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规划情况</w:t>
            </w:r>
          </w:p>
        </w:tc>
        <w:tc>
          <w:tcPr>
            <w:tcW w:w="674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25"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规划环境影响</w:t>
            </w:r>
          </w:p>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评价情况</w:t>
            </w:r>
          </w:p>
        </w:tc>
        <w:tc>
          <w:tcPr>
            <w:tcW w:w="674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2125" w:type="dxa"/>
            <w:vAlign w:val="center"/>
          </w:tcPr>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规划及规划环境</w:t>
            </w:r>
          </w:p>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影响评价符合性分析</w:t>
            </w:r>
          </w:p>
        </w:tc>
        <w:tc>
          <w:tcPr>
            <w:tcW w:w="674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25" w:type="dxa"/>
            <w:vAlign w:val="center"/>
          </w:tcPr>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其他符合性分析</w:t>
            </w:r>
          </w:p>
        </w:tc>
        <w:tc>
          <w:tcPr>
            <w:tcW w:w="6745" w:type="dxa"/>
            <w:gridSpan w:val="3"/>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both"/>
              <w:textAlignment w:val="auto"/>
              <w:outlineLvl w:val="9"/>
              <w:rPr>
                <w:rFonts w:hint="eastAsia"/>
                <w:color w:val="auto"/>
                <w:lang w:val="en-US" w:eastAsia="zh-CN"/>
              </w:rPr>
            </w:pPr>
            <w:r>
              <w:rPr>
                <w:rFonts w:hint="eastAsia"/>
                <w:color w:val="auto"/>
                <w:lang w:val="en-US" w:eastAsia="zh-CN"/>
              </w:rPr>
              <w:t>1、“三线一单”符合性分析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default"/>
                <w:color w:val="auto"/>
                <w:lang w:val="en-US" w:eastAsia="zh-CN"/>
              </w:rPr>
              <w:t>根据《关于以改善环境质量为核心加强环境影响评价管理的通知》（环环评[2016]150号），落实“生态保护红线、环境质量底线、资源利用上线和环境准入负面清单”（简称“三线一单”）约束，更好地发挥环评制度从源头防范环境污染和生态破坏的作用，加快推进改善环境质量。</w:t>
            </w:r>
          </w:p>
          <w:p>
            <w:pPr>
              <w:spacing w:line="360" w:lineRule="auto"/>
              <w:jc w:val="both"/>
              <w:rPr>
                <w:rFonts w:hint="default"/>
                <w:color w:val="auto"/>
                <w:lang w:val="en-US" w:eastAsia="zh-CN"/>
              </w:rPr>
            </w:pPr>
            <w:r>
              <w:rPr>
                <w:rFonts w:hint="eastAsia"/>
                <w:color w:val="auto"/>
                <w:lang w:val="en-US" w:eastAsia="zh-CN"/>
              </w:rPr>
              <w:t xml:space="preserve">    </w:t>
            </w:r>
            <w:r>
              <w:rPr>
                <w:rFonts w:hint="default"/>
                <w:color w:val="auto"/>
                <w:lang w:val="en-US" w:eastAsia="zh-CN"/>
              </w:rPr>
              <w:t>依据《</w:t>
            </w:r>
            <w:r>
              <w:rPr>
                <w:rFonts w:hint="eastAsia"/>
                <w:color w:val="auto"/>
                <w:lang w:val="en-US" w:eastAsia="zh-CN"/>
              </w:rPr>
              <w:t>昌吉回族自治州“三线一单”生态环境分区管控方案及生态环境准入清单</w:t>
            </w:r>
            <w:r>
              <w:rPr>
                <w:rFonts w:hint="default"/>
                <w:color w:val="auto"/>
                <w:lang w:val="en-US" w:eastAsia="zh-CN"/>
              </w:rPr>
              <w:t>》（</w:t>
            </w:r>
            <w:r>
              <w:rPr>
                <w:rFonts w:hint="eastAsia"/>
                <w:color w:val="auto"/>
                <w:lang w:val="en-US" w:eastAsia="zh-CN"/>
              </w:rPr>
              <w:t>昌州政办发〔2021〕41号</w:t>
            </w:r>
            <w:r>
              <w:rPr>
                <w:rFonts w:hint="default"/>
                <w:color w:val="auto"/>
                <w:lang w:val="en-US" w:eastAsia="zh-CN"/>
              </w:rPr>
              <w:t>），本项目与“三线一单”的符合性见下述。</w:t>
            </w:r>
          </w:p>
          <w:p>
            <w:pPr>
              <w:spacing w:line="360" w:lineRule="auto"/>
              <w:rPr>
                <w:rFonts w:hint="default"/>
                <w:color w:val="auto"/>
                <w:lang w:val="en-US" w:eastAsia="zh-CN"/>
              </w:rPr>
            </w:pPr>
            <w:r>
              <w:rPr>
                <w:rFonts w:hint="eastAsia"/>
                <w:color w:val="auto"/>
                <w:lang w:val="en-US" w:eastAsia="zh-CN"/>
              </w:rPr>
              <w:t xml:space="preserve">   （1）</w:t>
            </w:r>
            <w:r>
              <w:rPr>
                <w:rFonts w:hint="default"/>
                <w:color w:val="auto"/>
                <w:lang w:val="en-US" w:eastAsia="zh-CN"/>
              </w:rPr>
              <w:t>生态保护红线。</w:t>
            </w:r>
            <w:r>
              <w:rPr>
                <w:rFonts w:hint="eastAsia"/>
                <w:color w:val="auto"/>
                <w:lang w:val="en-US" w:eastAsia="zh-CN"/>
              </w:rPr>
              <w:t>按照“生态功能不降低、面积不减少、性质不改变”的基本要求，</w:t>
            </w:r>
            <w:r>
              <w:rPr>
                <w:rFonts w:hint="default"/>
                <w:color w:val="auto"/>
                <w:lang w:val="en-US" w:eastAsia="zh-CN"/>
              </w:rPr>
              <w:t>生态空间得到优化和保护，生态保护红线得到严格管控。生态功能保持稳定，生物多样性水平稳步提升，生态空间保护体系基本建立。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lang w:val="en-US" w:eastAsia="zh-CN"/>
              </w:rPr>
            </w:pPr>
            <w:r>
              <w:rPr>
                <w:rFonts w:hint="default"/>
                <w:color w:val="auto"/>
              </w:rPr>
              <w:t>本项目</w:t>
            </w:r>
            <w:r>
              <w:rPr>
                <w:rFonts w:hint="eastAsia"/>
                <w:color w:val="auto"/>
                <w:lang w:val="en-US" w:eastAsia="zh-CN"/>
              </w:rPr>
              <w:t>为小区供热工程，</w:t>
            </w:r>
            <w:r>
              <w:rPr>
                <w:rFonts w:hint="default"/>
                <w:color w:val="auto"/>
              </w:rPr>
              <w:t>位于</w:t>
            </w:r>
            <w:r>
              <w:rPr>
                <w:rFonts w:hint="eastAsia"/>
                <w:color w:val="auto"/>
              </w:rPr>
              <w:t>丁香园北区</w:t>
            </w:r>
            <w:r>
              <w:rPr>
                <w:rFonts w:hint="eastAsia"/>
                <w:color w:val="auto"/>
                <w:lang w:val="en-US" w:eastAsia="zh-CN"/>
              </w:rPr>
              <w:t>地下车库</w:t>
            </w:r>
            <w:r>
              <w:rPr>
                <w:rFonts w:hint="default"/>
                <w:color w:val="auto"/>
              </w:rPr>
              <w:t>，</w:t>
            </w:r>
            <w:r>
              <w:rPr>
                <w:rFonts w:hint="default"/>
                <w:color w:val="auto"/>
                <w:lang w:val="en-US" w:eastAsia="zh-CN"/>
              </w:rPr>
              <w:t>选址</w:t>
            </w:r>
            <w:r>
              <w:rPr>
                <w:rFonts w:hint="default"/>
                <w:color w:val="auto"/>
              </w:rPr>
              <w:t>不涉及</w:t>
            </w:r>
            <w:r>
              <w:rPr>
                <w:rFonts w:hint="default"/>
                <w:color w:val="auto"/>
                <w:lang w:val="en-US" w:eastAsia="zh-CN"/>
              </w:rPr>
              <w:t>自然保护区、森林公园、风景名胜区、世界文化和自然遗产地、饮用水源保护区及其他重要生态功能区和生态环境敏感区、脆弱区内，符合生态保护红线要求。</w:t>
            </w:r>
          </w:p>
          <w:p>
            <w:pPr>
              <w:pStyle w:val="45"/>
              <w:snapToGrid/>
              <w:ind w:left="0" w:leftChars="0" w:firstLine="0" w:firstLineChars="0"/>
              <w:rPr>
                <w:rFonts w:hint="default"/>
                <w:color w:val="auto"/>
                <w:lang w:val="en-US" w:eastAsia="zh-CN"/>
              </w:rPr>
            </w:pPr>
            <w:r>
              <w:rPr>
                <w:rFonts w:hint="eastAsia"/>
                <w:color w:val="auto"/>
                <w:lang w:val="en-US" w:eastAsia="zh-CN"/>
              </w:rPr>
              <w:t xml:space="preserve">   </w:t>
            </w:r>
            <w:r>
              <w:rPr>
                <w:rFonts w:hint="eastAsia" w:asciiTheme="minorHAnsi" w:hAnsiTheme="minorHAnsi" w:eastAsiaTheme="minorEastAsia" w:cstheme="minorBidi"/>
                <w:color w:val="auto"/>
                <w:kern w:val="2"/>
                <w:sz w:val="21"/>
                <w:szCs w:val="24"/>
                <w:lang w:val="en-US" w:eastAsia="zh-CN" w:bidi="ar-SA"/>
              </w:rPr>
              <w:t>（2）</w:t>
            </w:r>
            <w:r>
              <w:rPr>
                <w:rFonts w:hint="default" w:asciiTheme="minorHAnsi" w:hAnsiTheme="minorHAnsi" w:eastAsiaTheme="minorEastAsia" w:cstheme="minorBidi"/>
                <w:color w:val="auto"/>
                <w:kern w:val="2"/>
                <w:sz w:val="21"/>
                <w:szCs w:val="24"/>
                <w:lang w:val="en-US" w:eastAsia="zh-CN" w:bidi="ar-SA"/>
              </w:rPr>
              <w:t>环境质量底线。</w:t>
            </w:r>
            <w:r>
              <w:rPr>
                <w:rFonts w:hint="eastAsia" w:asciiTheme="minorHAnsi" w:hAnsiTheme="minorHAnsi" w:eastAsiaTheme="minorEastAsia" w:cstheme="minorBidi"/>
                <w:color w:val="auto"/>
                <w:kern w:val="2"/>
                <w:sz w:val="21"/>
                <w:szCs w:val="24"/>
                <w:lang w:val="en-US" w:eastAsia="zh-CN" w:bidi="ar-SA"/>
              </w:rPr>
              <w:t>全州环境空气质量有所提升，重污染天数持续减少，已达标城市环境空气质量保持稳定，未达标城市环境空气质量持续改善；全州河流、湖库及城镇集中式饮用水水源地水质稳中向好。地下水质量考核点位水质级别保持稳定，地下水污染风险得到有效控制，地下水超采得到严格控制；全州土壤环境质量保持稳定，污染地块安全利用水平稳中有升，土壤环境风险得到进一步管控。</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default"/>
                <w:color w:val="auto"/>
                <w:lang w:val="en-US" w:eastAsia="zh-CN"/>
              </w:rPr>
              <w:t>根据大气环境质量公报数据可知，区域PM</w:t>
            </w:r>
            <w:r>
              <w:rPr>
                <w:rFonts w:hint="default"/>
                <w:color w:val="auto"/>
                <w:vertAlign w:val="subscript"/>
                <w:lang w:val="en-US" w:eastAsia="zh-CN"/>
              </w:rPr>
              <w:t>10</w:t>
            </w:r>
            <w:r>
              <w:rPr>
                <w:rFonts w:hint="default"/>
                <w:color w:val="auto"/>
                <w:lang w:val="en-US" w:eastAsia="zh-CN"/>
              </w:rPr>
              <w:t>、PM</w:t>
            </w:r>
            <w:r>
              <w:rPr>
                <w:rFonts w:hint="default"/>
                <w:color w:val="auto"/>
                <w:vertAlign w:val="subscript"/>
                <w:lang w:val="en-US" w:eastAsia="zh-CN"/>
              </w:rPr>
              <w:t>2.5</w:t>
            </w:r>
            <w:r>
              <w:rPr>
                <w:rFonts w:hint="default"/>
                <w:color w:val="auto"/>
                <w:lang w:val="en-US" w:eastAsia="zh-CN"/>
              </w:rPr>
              <w:t>超标，区域属于“乌昌石”联防联控区，已制定相关大气联防防治方案；地表水例行监测均可满足相应质量标准。项目产污简单，</w:t>
            </w:r>
            <w:r>
              <w:rPr>
                <w:rFonts w:hint="eastAsia"/>
                <w:color w:val="auto"/>
                <w:lang w:val="en-US" w:eastAsia="zh-CN"/>
              </w:rPr>
              <w:t>锅炉烟气可达标排放，</w:t>
            </w:r>
            <w:r>
              <w:rPr>
                <w:rFonts w:hint="eastAsia"/>
                <w:color w:val="auto"/>
              </w:rPr>
              <w:t>锅炉</w:t>
            </w:r>
            <w:r>
              <w:rPr>
                <w:rFonts w:hint="eastAsia"/>
                <w:color w:val="auto"/>
                <w:lang w:val="en-US" w:eastAsia="zh-CN"/>
              </w:rPr>
              <w:t>排污</w:t>
            </w:r>
            <w:r>
              <w:rPr>
                <w:rFonts w:hint="eastAsia"/>
                <w:color w:val="auto"/>
              </w:rPr>
              <w:t>水</w:t>
            </w:r>
            <w:r>
              <w:rPr>
                <w:rFonts w:hint="eastAsia"/>
                <w:color w:val="auto"/>
                <w:lang w:eastAsia="zh-CN"/>
              </w:rPr>
              <w:t>、</w:t>
            </w:r>
            <w:r>
              <w:rPr>
                <w:rFonts w:hint="eastAsia"/>
                <w:color w:val="auto"/>
                <w:lang w:val="en-US" w:eastAsia="zh-CN"/>
              </w:rPr>
              <w:t>软水制备废水排入市政污水管网，</w:t>
            </w:r>
            <w:r>
              <w:rPr>
                <w:rFonts w:hint="default"/>
                <w:color w:val="auto"/>
                <w:lang w:val="en-US" w:eastAsia="zh-CN"/>
              </w:rPr>
              <w:t>项目建设后不会突破环境质量底线。</w:t>
            </w:r>
          </w:p>
          <w:p>
            <w:pPr>
              <w:spacing w:line="360" w:lineRule="auto"/>
              <w:rPr>
                <w:rFonts w:hint="default"/>
                <w:color w:val="auto"/>
                <w:lang w:val="en-US" w:eastAsia="zh-CN"/>
              </w:rPr>
            </w:pPr>
            <w:r>
              <w:rPr>
                <w:rFonts w:hint="eastAsia"/>
                <w:color w:val="auto"/>
                <w:lang w:val="en-US" w:eastAsia="zh-CN"/>
              </w:rPr>
              <w:t xml:space="preserve">   （3）</w:t>
            </w:r>
            <w:r>
              <w:rPr>
                <w:rFonts w:hint="default"/>
                <w:color w:val="auto"/>
                <w:lang w:val="en-US" w:eastAsia="zh-CN"/>
              </w:rPr>
              <w:t>资源利用上线。强化节约集约利用，持续提升资源能源利用效率，水资源、土地资源、能源消耗等达到自治区</w:t>
            </w:r>
            <w:r>
              <w:rPr>
                <w:rFonts w:hint="eastAsia"/>
                <w:color w:val="auto"/>
                <w:lang w:val="en-US" w:eastAsia="zh-CN"/>
              </w:rPr>
              <w:t>、</w:t>
            </w:r>
            <w:r>
              <w:rPr>
                <w:rFonts w:hint="default"/>
                <w:color w:val="auto"/>
                <w:lang w:val="en-US" w:eastAsia="zh-CN"/>
              </w:rPr>
              <w:t>自治</w:t>
            </w:r>
            <w:r>
              <w:rPr>
                <w:rFonts w:hint="eastAsia"/>
                <w:color w:val="auto"/>
                <w:lang w:val="en-US" w:eastAsia="zh-CN"/>
              </w:rPr>
              <w:t>州</w:t>
            </w:r>
            <w:r>
              <w:rPr>
                <w:rFonts w:hint="default"/>
                <w:color w:val="auto"/>
                <w:lang w:val="en-US" w:eastAsia="zh-CN"/>
              </w:rPr>
              <w:t>下达的总量和强度控制目标。</w:t>
            </w:r>
            <w:r>
              <w:rPr>
                <w:rFonts w:hint="eastAsia"/>
                <w:color w:val="auto"/>
                <w:lang w:val="en-US" w:eastAsia="zh-CN"/>
              </w:rPr>
              <w:t>加快区域低碳发展，积极推动昌吉市国家级低碳试点城市发挥低碳试点示范和引领作用。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default"/>
                <w:color w:val="auto"/>
                <w:lang w:val="en-US" w:eastAsia="zh-CN"/>
              </w:rPr>
              <w:t>本项目水、电均依托</w:t>
            </w:r>
            <w:r>
              <w:rPr>
                <w:rFonts w:hint="eastAsia"/>
                <w:color w:val="auto"/>
                <w:lang w:val="en-US" w:eastAsia="zh-CN"/>
              </w:rPr>
              <w:t>市政</w:t>
            </w:r>
            <w:r>
              <w:rPr>
                <w:rFonts w:hint="default"/>
                <w:color w:val="auto"/>
                <w:lang w:val="en-US" w:eastAsia="zh-CN"/>
              </w:rPr>
              <w:t>现有基础设施，资源消耗量相对区域资源利用总量较小，符合资源利用上限要求。</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default"/>
                <w:color w:val="auto"/>
                <w:lang w:val="en-US" w:eastAsia="zh-CN"/>
              </w:rPr>
            </w:pPr>
            <w:r>
              <w:rPr>
                <w:rFonts w:hint="eastAsia"/>
                <w:color w:val="auto"/>
                <w:lang w:val="en-US" w:eastAsia="zh-CN"/>
              </w:rPr>
              <w:t xml:space="preserve">   （4）</w:t>
            </w:r>
            <w:r>
              <w:rPr>
                <w:rFonts w:hint="default"/>
                <w:color w:val="auto"/>
                <w:lang w:val="en-US" w:eastAsia="zh-CN"/>
              </w:rPr>
              <w:t>生态环境分区管控</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eastAsia"/>
                <w:color w:val="auto"/>
                <w:lang w:val="en-US" w:eastAsia="zh-CN"/>
              </w:rPr>
              <w:t>自治州共划定119个环境管控单元，分为优先保护单元、重点管控单元和一般管控单元三类，实施分类管控。详见附图1</w:t>
            </w:r>
            <w:r>
              <w:rPr>
                <w:rFonts w:hint="eastAsia"/>
                <w:color w:val="auto"/>
              </w:rPr>
              <w:t>昌吉回族自治州“三线一单”生态环境分区管控图</w:t>
            </w:r>
            <w:r>
              <w:rPr>
                <w:rFonts w:hint="eastAsia"/>
                <w:color w:val="auto"/>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default"/>
                <w:color w:val="auto"/>
                <w:lang w:val="en-US" w:eastAsia="zh-CN"/>
              </w:rPr>
              <w:t>优先保护单元主要包括生态保护红线区和生态保护红线区以外的饮用水水源保护区、水源涵养区、防风固沙区、</w:t>
            </w:r>
            <w:r>
              <w:rPr>
                <w:rFonts w:hint="eastAsia"/>
                <w:color w:val="auto"/>
                <w:lang w:val="en-US" w:eastAsia="zh-CN"/>
              </w:rPr>
              <w:t>水土保持区、生物多样性维护区、</w:t>
            </w:r>
            <w:r>
              <w:rPr>
                <w:rFonts w:hint="default"/>
                <w:color w:val="auto"/>
                <w:lang w:val="en-US" w:eastAsia="zh-CN"/>
              </w:rPr>
              <w:t>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default"/>
                <w:color w:val="auto"/>
                <w:lang w:val="en-US" w:eastAsia="zh-CN"/>
              </w:rPr>
              <w:t>重点管控单元主要包括城镇建成区、工业园区和工业聚集区等。重点管控单元要着力优化空间布局，不断提升资源利用效率，有针对性地加强污染物排放管控和环境风险防控，解决生态环境质量不达标、生态环境风险高等问题。</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default"/>
                <w:color w:val="auto"/>
                <w:lang w:val="en-US" w:eastAsia="zh-CN"/>
              </w:rPr>
              <w:t>一般管控单元主要包括优先保护单元和重点管控单元之外的其它区域。一般管控单元主要落实生态环境保护基本要求，推动区域环境质量持续改善。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rPr>
            </w:pPr>
            <w:r>
              <w:rPr>
                <w:rFonts w:hint="default"/>
                <w:color w:val="auto"/>
                <w:lang w:val="en-US" w:eastAsia="zh-CN"/>
              </w:rPr>
              <w:t>本项目位于昌吉市建成区，为重点管控单元，</w:t>
            </w:r>
            <w:r>
              <w:rPr>
                <w:rFonts w:hint="eastAsia"/>
                <w:color w:val="auto"/>
                <w:lang w:val="en-US" w:eastAsia="zh-CN"/>
              </w:rPr>
              <w:t>本项目为燃气锅炉房建设项目，符合</w:t>
            </w:r>
            <w:bookmarkStart w:id="2" w:name="_Toc65173538"/>
            <w:bookmarkStart w:id="3" w:name="_Toc69742102"/>
            <w:r>
              <w:rPr>
                <w:rFonts w:hint="eastAsia"/>
                <w:color w:val="auto"/>
                <w:lang w:val="en-US" w:eastAsia="zh-CN"/>
              </w:rPr>
              <w:t>昌吉市环境管控单元生态环境准入清单（重点管控单元）</w:t>
            </w:r>
            <w:bookmarkEnd w:id="2"/>
            <w:bookmarkEnd w:id="3"/>
            <w:r>
              <w:rPr>
                <w:rFonts w:hint="eastAsia"/>
                <w:color w:val="auto"/>
                <w:lang w:val="en-US" w:eastAsia="zh-CN"/>
              </w:rPr>
              <w:t>管控要求。</w:t>
            </w:r>
            <w:r>
              <w:rPr>
                <w:rFonts w:hint="default"/>
                <w:color w:val="auto"/>
              </w:rPr>
              <w:t>综上所述，本项目的建设符合“三线一单”的管控要求。</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default"/>
                <w:color w:val="auto"/>
                <w:lang w:val="en-US" w:eastAsia="zh-CN"/>
              </w:rPr>
            </w:pPr>
            <w:r>
              <w:rPr>
                <w:rFonts w:hint="eastAsia"/>
                <w:color w:val="auto"/>
                <w:lang w:val="en-US" w:eastAsia="zh-CN"/>
              </w:rPr>
              <w:t>2、与《新疆维吾尔自治区</w:t>
            </w:r>
            <w:r>
              <w:rPr>
                <w:rFonts w:hint="eastAsia"/>
                <w:color w:val="auto"/>
                <w:lang w:val="en-US" w:eastAsia="zh-CN"/>
              </w:rPr>
              <w:fldChar w:fldCharType="begin"/>
            </w:r>
            <w:r>
              <w:rPr>
                <w:rFonts w:hint="eastAsia"/>
                <w:color w:val="auto"/>
                <w:lang w:val="en-US" w:eastAsia="zh-CN"/>
              </w:rPr>
              <w:instrText xml:space="preserve"> HYPERLINK "http://www.chndaqi.com/news/field?fid=47" \o "大气污染防治" \t "https://www.chndaqi.com/news/_blank" </w:instrText>
            </w:r>
            <w:r>
              <w:rPr>
                <w:rFonts w:hint="eastAsia"/>
                <w:color w:val="auto"/>
                <w:lang w:val="en-US" w:eastAsia="zh-CN"/>
              </w:rPr>
              <w:fldChar w:fldCharType="separate"/>
            </w:r>
            <w:r>
              <w:rPr>
                <w:rFonts w:hint="eastAsia"/>
                <w:color w:val="auto"/>
                <w:lang w:val="en-US" w:eastAsia="zh-CN"/>
              </w:rPr>
              <w:t>大气污染防治</w:t>
            </w:r>
            <w:r>
              <w:rPr>
                <w:rFonts w:hint="eastAsia"/>
                <w:color w:val="auto"/>
                <w:lang w:val="en-US" w:eastAsia="zh-CN"/>
              </w:rPr>
              <w:fldChar w:fldCharType="end"/>
            </w:r>
            <w:r>
              <w:rPr>
                <w:rFonts w:hint="eastAsia"/>
                <w:color w:val="auto"/>
                <w:lang w:val="en-US" w:eastAsia="zh-CN"/>
              </w:rPr>
              <w:t>条例》符合性分析</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新疆维吾尔自治区</w:t>
            </w:r>
            <w:r>
              <w:rPr>
                <w:rFonts w:hint="eastAsia"/>
                <w:color w:val="auto"/>
                <w:lang w:val="en-US" w:eastAsia="zh-CN"/>
              </w:rPr>
              <w:fldChar w:fldCharType="begin"/>
            </w:r>
            <w:r>
              <w:rPr>
                <w:rFonts w:hint="eastAsia"/>
                <w:color w:val="auto"/>
                <w:lang w:val="en-US" w:eastAsia="zh-CN"/>
              </w:rPr>
              <w:instrText xml:space="preserve"> HYPERLINK "http://www.chndaqi.com/news/field?fid=47" \o "大气污染防治" \t "https://www.chndaqi.com/news/_blank" </w:instrText>
            </w:r>
            <w:r>
              <w:rPr>
                <w:rFonts w:hint="eastAsia"/>
                <w:color w:val="auto"/>
                <w:lang w:val="en-US" w:eastAsia="zh-CN"/>
              </w:rPr>
              <w:fldChar w:fldCharType="separate"/>
            </w:r>
            <w:r>
              <w:rPr>
                <w:rFonts w:hint="eastAsia"/>
                <w:color w:val="auto"/>
                <w:lang w:val="en-US" w:eastAsia="zh-CN"/>
              </w:rPr>
              <w:t>大气污染防治</w:t>
            </w:r>
            <w:r>
              <w:rPr>
                <w:rFonts w:hint="eastAsia"/>
                <w:color w:val="auto"/>
                <w:lang w:val="en-US" w:eastAsia="zh-CN"/>
              </w:rPr>
              <w:fldChar w:fldCharType="end"/>
            </w:r>
            <w:r>
              <w:rPr>
                <w:rFonts w:hint="eastAsia"/>
                <w:color w:val="auto"/>
                <w:lang w:val="en-US" w:eastAsia="zh-CN"/>
              </w:rPr>
              <w:t>条例第二十四条提出：推进城市建成区、工业园区实行集中供热，使用清洁燃料。在集中供热</w:t>
            </w:r>
            <w:r>
              <w:rPr>
                <w:rFonts w:hint="eastAsia"/>
                <w:color w:val="auto"/>
                <w:lang w:val="en-US" w:eastAsia="zh-CN"/>
              </w:rPr>
              <w:fldChar w:fldCharType="begin"/>
            </w:r>
            <w:r>
              <w:rPr>
                <w:rFonts w:hint="eastAsia"/>
                <w:color w:val="auto"/>
                <w:lang w:val="en-US" w:eastAsia="zh-CN"/>
              </w:rPr>
              <w:instrText xml:space="preserve"> HYPERLINK "http://www.h2o-china.com/news/field?fid=16" \o "管网" \t "https://www.chndaqi.com/news/_blank" </w:instrText>
            </w:r>
            <w:r>
              <w:rPr>
                <w:rFonts w:hint="eastAsia"/>
                <w:color w:val="auto"/>
                <w:lang w:val="en-US" w:eastAsia="zh-CN"/>
              </w:rPr>
              <w:fldChar w:fldCharType="separate"/>
            </w:r>
            <w:r>
              <w:rPr>
                <w:rFonts w:hint="eastAsia"/>
                <w:color w:val="auto"/>
                <w:lang w:val="en-US" w:eastAsia="zh-CN"/>
              </w:rPr>
              <w:t>管网</w:t>
            </w:r>
            <w:r>
              <w:rPr>
                <w:rFonts w:hint="eastAsia"/>
                <w:color w:val="auto"/>
                <w:lang w:val="en-US" w:eastAsia="zh-CN"/>
              </w:rPr>
              <w:fldChar w:fldCharType="end"/>
            </w:r>
            <w:r>
              <w:rPr>
                <w:rFonts w:hint="eastAsia"/>
                <w:color w:val="auto"/>
                <w:lang w:val="en-US" w:eastAsia="zh-CN"/>
              </w:rPr>
              <w:t>覆盖区域内，禁止新建、改建、扩建燃煤供热锅炉，集中供热管网覆盖前，已建成使用的燃煤供热锅炉应当限期停止使用。在集中供热未覆盖的区域，鼓励使用清洁能源替代，推广使用高效节能环保型锅炉。本项目锅炉燃料采用清洁能源天然气，符合新疆维吾尔自治区</w:t>
            </w:r>
            <w:r>
              <w:rPr>
                <w:rFonts w:hint="eastAsia"/>
                <w:color w:val="auto"/>
                <w:lang w:val="en-US" w:eastAsia="zh-CN"/>
              </w:rPr>
              <w:fldChar w:fldCharType="begin"/>
            </w:r>
            <w:r>
              <w:rPr>
                <w:rFonts w:hint="eastAsia"/>
                <w:color w:val="auto"/>
                <w:lang w:val="en-US" w:eastAsia="zh-CN"/>
              </w:rPr>
              <w:instrText xml:space="preserve"> HYPERLINK "http://www.chndaqi.com/news/field?fid=47" \o "大气污染防治" \t "https://www.chndaqi.com/news/_blank" </w:instrText>
            </w:r>
            <w:r>
              <w:rPr>
                <w:rFonts w:hint="eastAsia"/>
                <w:color w:val="auto"/>
                <w:lang w:val="en-US" w:eastAsia="zh-CN"/>
              </w:rPr>
              <w:fldChar w:fldCharType="separate"/>
            </w:r>
            <w:r>
              <w:rPr>
                <w:rFonts w:hint="eastAsia"/>
                <w:color w:val="auto"/>
                <w:lang w:val="en-US" w:eastAsia="zh-CN"/>
              </w:rPr>
              <w:t>大气污染防治</w:t>
            </w:r>
            <w:r>
              <w:rPr>
                <w:rFonts w:hint="eastAsia"/>
                <w:color w:val="auto"/>
                <w:lang w:val="en-US" w:eastAsia="zh-CN"/>
              </w:rPr>
              <w:fldChar w:fldCharType="end"/>
            </w:r>
            <w:r>
              <w:rPr>
                <w:rFonts w:hint="eastAsia"/>
                <w:color w:val="auto"/>
                <w:lang w:val="en-US" w:eastAsia="zh-CN"/>
              </w:rPr>
              <w:t>条例管理要求。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3、与</w:t>
            </w:r>
            <w:r>
              <w:rPr>
                <w:rFonts w:hint="default"/>
                <w:color w:val="auto"/>
                <w:lang w:val="en-US" w:eastAsia="zh-CN"/>
              </w:rPr>
              <w:t>《关于开展自治区2021年度夏秋季大气污染防治“</w:t>
            </w:r>
            <w:r>
              <w:rPr>
                <w:rFonts w:hint="eastAsia"/>
                <w:color w:val="auto"/>
                <w:lang w:val="en-US" w:eastAsia="zh-CN"/>
              </w:rPr>
              <w:t>冬</w:t>
            </w:r>
            <w:r>
              <w:rPr>
                <w:rFonts w:hint="default"/>
                <w:color w:val="auto"/>
                <w:lang w:val="en-US" w:eastAsia="zh-CN"/>
              </w:rPr>
              <w:t>病夏治”工作的通知</w:t>
            </w:r>
            <w:r>
              <w:rPr>
                <w:rFonts w:hint="eastAsia"/>
                <w:color w:val="auto"/>
                <w:lang w:val="en-US" w:eastAsia="zh-CN"/>
              </w:rPr>
              <w:t>》符合性分析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20"/>
              <w:jc w:val="both"/>
              <w:textAlignment w:val="auto"/>
              <w:outlineLvl w:val="9"/>
              <w:rPr>
                <w:rFonts w:hint="eastAsia"/>
                <w:color w:val="auto"/>
                <w:lang w:val="en-US" w:eastAsia="zh-CN"/>
              </w:rPr>
            </w:pPr>
            <w:r>
              <w:rPr>
                <w:rFonts w:hint="default"/>
                <w:color w:val="auto"/>
                <w:lang w:val="en-US" w:eastAsia="zh-CN"/>
              </w:rPr>
              <w:t>根据《关于开展自治区2021年度夏秋季大气污染防治“</w:t>
            </w:r>
            <w:r>
              <w:rPr>
                <w:rFonts w:hint="eastAsia"/>
                <w:color w:val="auto"/>
                <w:lang w:val="en-US" w:eastAsia="zh-CN"/>
              </w:rPr>
              <w:t>冬</w:t>
            </w:r>
            <w:r>
              <w:rPr>
                <w:rFonts w:hint="default"/>
                <w:color w:val="auto"/>
                <w:lang w:val="en-US" w:eastAsia="zh-CN"/>
              </w:rPr>
              <w:t>病夏治”工作的通知》</w:t>
            </w:r>
            <w:r>
              <w:rPr>
                <w:rFonts w:hint="eastAsia"/>
                <w:color w:val="auto"/>
                <w:lang w:val="en-US" w:eastAsia="zh-CN"/>
              </w:rPr>
              <w:t>：</w:t>
            </w:r>
            <w:r>
              <w:rPr>
                <w:rFonts w:hint="default"/>
                <w:color w:val="auto"/>
                <w:lang w:val="en-US" w:eastAsia="zh-CN"/>
              </w:rPr>
              <w:t>开展锅炉综合整治</w:t>
            </w:r>
            <w:r>
              <w:rPr>
                <w:rFonts w:hint="eastAsia"/>
                <w:color w:val="auto"/>
                <w:lang w:val="en-US" w:eastAsia="zh-CN"/>
              </w:rPr>
              <w:t>——</w:t>
            </w:r>
            <w:r>
              <w:rPr>
                <w:rFonts w:hint="default"/>
                <w:color w:val="auto"/>
                <w:lang w:val="en-US" w:eastAsia="zh-CN"/>
              </w:rPr>
              <w:t>“实施燃气锅炉低氮改造，重点区域内未实施燃气锅炉低氮改造的城市，按照氮氧化物排放浓度不高于</w:t>
            </w:r>
            <w:r>
              <w:rPr>
                <w:rFonts w:hint="eastAsia"/>
                <w:color w:val="auto"/>
                <w:lang w:val="en-US" w:eastAsia="zh-CN"/>
              </w:rPr>
              <w:t>50</w:t>
            </w:r>
            <w:r>
              <w:rPr>
                <w:rFonts w:hint="default"/>
                <w:color w:val="auto"/>
                <w:lang w:val="en-US" w:eastAsia="zh-CN"/>
              </w:rPr>
              <w:t>毫克/立方米的要求，力争2021年夏</w:t>
            </w:r>
            <w:r>
              <w:rPr>
                <w:rFonts w:hint="eastAsia"/>
                <w:color w:val="auto"/>
                <w:lang w:val="en-US" w:eastAsia="zh-CN"/>
              </w:rPr>
              <w:t>秋季</w:t>
            </w:r>
            <w:r>
              <w:rPr>
                <w:rFonts w:hint="default"/>
                <w:color w:val="auto"/>
                <w:lang w:val="en-US" w:eastAsia="zh-CN"/>
              </w:rPr>
              <w:t>完成30%以上燃气锅炉低氮改造”</w:t>
            </w:r>
            <w:r>
              <w:rPr>
                <w:rFonts w:hint="eastAsia"/>
                <w:color w:val="auto"/>
                <w:lang w:val="en-US" w:eastAsia="zh-CN"/>
              </w:rPr>
              <w:t xml:space="preserve">。   </w:t>
            </w:r>
          </w:p>
          <w:p>
            <w:pPr>
              <w:keepNext w:val="0"/>
              <w:keepLines w:val="0"/>
              <w:widowControl/>
              <w:suppressLineNumbers w:val="0"/>
              <w:spacing w:line="360" w:lineRule="auto"/>
              <w:ind w:firstLine="420" w:firstLineChars="200"/>
              <w:jc w:val="left"/>
              <w:rPr>
                <w:rFonts w:hint="default"/>
                <w:color w:val="auto"/>
                <w:lang w:val="en-US" w:eastAsia="zh-CN"/>
              </w:rPr>
            </w:pPr>
            <w:r>
              <w:rPr>
                <w:rFonts w:hint="default"/>
                <w:color w:val="auto"/>
                <w:lang w:val="en-US" w:eastAsia="zh-CN"/>
              </w:rPr>
              <w:t>本项目位于重点区域，本次</w:t>
            </w:r>
            <w:r>
              <w:rPr>
                <w:rFonts w:hint="eastAsia"/>
                <w:color w:val="auto"/>
                <w:lang w:val="en-US" w:eastAsia="zh-CN"/>
              </w:rPr>
              <w:t>扩</w:t>
            </w:r>
            <w:r>
              <w:rPr>
                <w:rFonts w:hint="default"/>
                <w:color w:val="auto"/>
                <w:lang w:val="en-US" w:eastAsia="zh-CN"/>
              </w:rPr>
              <w:t>建锅炉氮氧化物排放标准</w:t>
            </w:r>
            <w:r>
              <w:rPr>
                <w:rFonts w:hint="eastAsia"/>
                <w:color w:val="auto"/>
                <w:lang w:val="en-US" w:eastAsia="zh-CN"/>
              </w:rPr>
              <w:t>按</w:t>
            </w:r>
            <w:r>
              <w:rPr>
                <w:rFonts w:hint="default"/>
                <w:color w:val="auto"/>
                <w:lang w:val="en-US" w:eastAsia="zh-CN"/>
              </w:rPr>
              <w:t>50毫克/立方米的要求执行</w:t>
            </w:r>
            <w:r>
              <w:rPr>
                <w:rFonts w:hint="eastAsia"/>
                <w:color w:val="auto"/>
                <w:lang w:val="en-US" w:eastAsia="zh-CN"/>
              </w:rPr>
              <w:t>，并对现有锅炉提出改造要求，</w:t>
            </w:r>
            <w:r>
              <w:rPr>
                <w:rFonts w:hint="default"/>
                <w:color w:val="auto"/>
                <w:lang w:val="en-US" w:eastAsia="zh-CN"/>
              </w:rPr>
              <w:t>氮氧化物排放标准</w:t>
            </w:r>
            <w:r>
              <w:rPr>
                <w:rFonts w:hint="eastAsia"/>
                <w:color w:val="auto"/>
                <w:lang w:val="en-US" w:eastAsia="zh-CN"/>
              </w:rPr>
              <w:t>也按</w:t>
            </w:r>
            <w:r>
              <w:rPr>
                <w:rFonts w:hint="default"/>
                <w:color w:val="auto"/>
                <w:lang w:val="en-US" w:eastAsia="zh-CN"/>
              </w:rPr>
              <w:t>50毫克/立方米的要求执行</w:t>
            </w:r>
            <w:r>
              <w:rPr>
                <w:rFonts w:hint="eastAsia"/>
                <w:color w:val="auto"/>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4、与</w:t>
            </w:r>
            <w:r>
              <w:rPr>
                <w:rFonts w:hint="default"/>
                <w:color w:val="auto"/>
                <w:lang w:val="en-US" w:eastAsia="zh-CN"/>
              </w:rPr>
              <w:t>《</w:t>
            </w:r>
            <w:r>
              <w:rPr>
                <w:rFonts w:hint="eastAsia"/>
                <w:color w:val="auto"/>
                <w:lang w:val="en-US" w:eastAsia="zh-CN"/>
              </w:rPr>
              <w:t>新疆维吾尔自治区打赢蓝天保卫战三年行动计划（2018—2020年）》、</w:t>
            </w:r>
            <w:r>
              <w:rPr>
                <w:rFonts w:hint="default"/>
                <w:color w:val="auto"/>
                <w:lang w:val="en-US" w:eastAsia="zh-CN"/>
              </w:rPr>
              <w:t>《</w:t>
            </w:r>
            <w:r>
              <w:rPr>
                <w:rFonts w:hint="eastAsia"/>
                <w:color w:val="auto"/>
                <w:lang w:val="en-US" w:eastAsia="zh-CN"/>
              </w:rPr>
              <w:t>昌吉市打赢蓝天保卫战三年行动计划（2018—2020年）》符合性分析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20"/>
              <w:jc w:val="both"/>
              <w:textAlignment w:val="auto"/>
              <w:outlineLvl w:val="9"/>
              <w:rPr>
                <w:rFonts w:hint="eastAsia"/>
                <w:color w:val="auto"/>
                <w:lang w:val="en-US" w:eastAsia="zh-CN"/>
              </w:rPr>
            </w:pPr>
            <w:r>
              <w:rPr>
                <w:rFonts w:hint="eastAsia"/>
                <w:color w:val="auto"/>
                <w:lang w:val="en-US" w:eastAsia="zh-CN"/>
              </w:rPr>
              <w:t>根据</w:t>
            </w:r>
            <w:r>
              <w:rPr>
                <w:rFonts w:hint="default"/>
                <w:color w:val="auto"/>
                <w:lang w:val="en-US" w:eastAsia="zh-CN"/>
              </w:rPr>
              <w:t>《</w:t>
            </w:r>
            <w:r>
              <w:rPr>
                <w:rFonts w:hint="eastAsia"/>
                <w:color w:val="auto"/>
                <w:lang w:val="en-US" w:eastAsia="zh-CN"/>
              </w:rPr>
              <w:t>新疆维吾尔自治区打赢蓝天保卫战三年行动计划（2018—2020年）》、</w:t>
            </w:r>
            <w:r>
              <w:rPr>
                <w:rFonts w:hint="default"/>
                <w:color w:val="auto"/>
                <w:lang w:val="en-US" w:eastAsia="zh-CN"/>
              </w:rPr>
              <w:t>《</w:t>
            </w:r>
            <w:r>
              <w:rPr>
                <w:rFonts w:hint="eastAsia"/>
                <w:color w:val="auto"/>
                <w:lang w:val="en-US" w:eastAsia="zh-CN"/>
              </w:rPr>
              <w:t>昌吉市打赢蓝天保卫战三年行动计划（2018—2020年）》：稳步推进清洁供暖——认真落实《关于印发北方地区冬季清洁取暖规划（2017—2021年）的通知》（发改能源〔2017〕2100号），坚持从实际出发，“宜煤则煤、宜气则气、宜电则电”，按照自治州清洁取暖方案，因地制宜制定我市方案并组织实施，确保各族群众安全取暖过冬。</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本项目锅炉燃料采用清洁能源天然气，符合昌吉市打赢蓝天保卫战三年行动计划要求。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jc w:val="both"/>
              <w:rPr>
                <w:rFonts w:hint="eastAsia"/>
                <w:color w:val="auto"/>
                <w:lang w:val="en-US" w:eastAsia="zh-CN"/>
              </w:rPr>
            </w:pP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28"/>
        <w:tblW w:w="898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15" w:hRule="atLeast"/>
          <w:jc w:val="center"/>
        </w:trPr>
        <w:tc>
          <w:tcPr>
            <w:tcW w:w="823" w:type="dxa"/>
            <w:vAlign w:val="center"/>
          </w:tcPr>
          <w:p>
            <w:pPr>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建设内容</w:t>
            </w:r>
          </w:p>
        </w:tc>
        <w:tc>
          <w:tcPr>
            <w:tcW w:w="8161" w:type="dxa"/>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1、项目工程概况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color w:val="auto"/>
              </w:rPr>
            </w:pPr>
            <w:r>
              <w:rPr>
                <w:rFonts w:hint="default"/>
                <w:color w:val="auto"/>
              </w:rPr>
              <w:t>本项目</w:t>
            </w:r>
            <w:r>
              <w:rPr>
                <w:rFonts w:hint="eastAsia"/>
                <w:color w:val="auto"/>
                <w:lang w:val="en-US" w:eastAsia="zh-CN"/>
              </w:rPr>
              <w:t>为</w:t>
            </w:r>
            <w:r>
              <w:rPr>
                <w:rFonts w:hint="eastAsia" w:ascii="宋体" w:hAnsi="宋体" w:eastAsia="宋体" w:cs="宋体"/>
                <w:color w:val="auto"/>
                <w:sz w:val="21"/>
                <w:szCs w:val="21"/>
                <w:u w:val="none"/>
              </w:rPr>
              <w:t>丁香园北区</w:t>
            </w:r>
            <w:r>
              <w:rPr>
                <w:rFonts w:hint="eastAsia"/>
                <w:color w:val="auto"/>
                <w:lang w:val="en-US" w:eastAsia="zh-CN"/>
              </w:rPr>
              <w:t>供暖燃气锅炉房扩建工程</w:t>
            </w:r>
            <w:r>
              <w:rPr>
                <w:rFonts w:hint="eastAsia"/>
                <w:color w:val="auto"/>
                <w:lang w:eastAsia="zh-CN"/>
              </w:rPr>
              <w:t>，</w:t>
            </w:r>
            <w:r>
              <w:rPr>
                <w:rFonts w:hint="eastAsia"/>
                <w:color w:val="auto"/>
                <w:lang w:val="en-US" w:eastAsia="zh-CN"/>
              </w:rPr>
              <w:t>本次评价内容不包括小区的供热管道，锅炉房选址位于昌吉市</w:t>
            </w:r>
            <w:r>
              <w:rPr>
                <w:rFonts w:hint="eastAsia" w:ascii="宋体" w:hAnsi="宋体" w:eastAsia="宋体" w:cs="宋体"/>
                <w:color w:val="auto"/>
                <w:sz w:val="21"/>
                <w:szCs w:val="21"/>
                <w:u w:val="none"/>
              </w:rPr>
              <w:t>丁香园北区</w:t>
            </w:r>
            <w:r>
              <w:rPr>
                <w:rFonts w:hint="eastAsia" w:ascii="宋体" w:hAnsi="宋体" w:eastAsia="宋体" w:cs="宋体"/>
                <w:color w:val="auto"/>
                <w:sz w:val="21"/>
                <w:szCs w:val="21"/>
                <w:u w:val="none"/>
                <w:lang w:val="en-US" w:eastAsia="zh-CN"/>
              </w:rPr>
              <w:t>地下车库，详见附图2地理位置图、附图3区域位置图。由于项目所在区域集中供热已超负荷（详见附件-昌吉市城市管理局关于</w:t>
            </w:r>
            <w:r>
              <w:rPr>
                <w:rFonts w:hint="eastAsia" w:ascii="宋体" w:hAnsi="宋体" w:eastAsia="宋体" w:cs="宋体"/>
                <w:color w:val="auto"/>
                <w:sz w:val="21"/>
                <w:szCs w:val="21"/>
                <w:u w:val="none"/>
              </w:rPr>
              <w:t>丁香园北区</w:t>
            </w:r>
            <w:r>
              <w:rPr>
                <w:rFonts w:hint="eastAsia" w:ascii="宋体" w:hAnsi="宋体" w:eastAsia="宋体" w:cs="宋体"/>
                <w:color w:val="auto"/>
                <w:sz w:val="21"/>
                <w:szCs w:val="21"/>
                <w:u w:val="none"/>
                <w:lang w:val="en-US" w:eastAsia="zh-CN"/>
              </w:rPr>
              <w:t>供热方式的回复），</w:t>
            </w:r>
            <w:r>
              <w:rPr>
                <w:rFonts w:hint="default"/>
                <w:color w:val="auto"/>
              </w:rPr>
              <w:t>本项目</w:t>
            </w:r>
            <w:r>
              <w:rPr>
                <w:rFonts w:hint="eastAsia"/>
                <w:color w:val="auto"/>
                <w:lang w:val="en-US" w:eastAsia="zh-CN"/>
              </w:rPr>
              <w:t>拟新增1台7MW</w:t>
            </w:r>
            <w:r>
              <w:rPr>
                <w:rFonts w:hint="eastAsia" w:ascii="宋体" w:hAnsi="宋体" w:eastAsia="宋体" w:cs="宋体"/>
                <w:color w:val="auto"/>
                <w:sz w:val="21"/>
                <w:szCs w:val="21"/>
                <w:u w:val="none"/>
              </w:rPr>
              <w:t>燃气常压热水锅炉</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锅炉房原有</w:t>
            </w:r>
            <w:r>
              <w:rPr>
                <w:rFonts w:hint="eastAsia"/>
                <w:color w:val="auto"/>
                <w:lang w:val="en-US" w:eastAsia="zh-CN"/>
              </w:rPr>
              <w:t>3台7MW燃气锅炉</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，扩建后负担</w:t>
            </w:r>
            <w:r>
              <w:rPr>
                <w:rFonts w:hint="eastAsia" w:ascii="宋体" w:hAnsi="宋体" w:eastAsia="宋体" w:cs="宋体"/>
                <w:color w:val="auto"/>
                <w:sz w:val="21"/>
                <w:szCs w:val="21"/>
                <w:u w:val="none"/>
              </w:rPr>
              <w:t>丁香园北区</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丁香园</w:t>
            </w:r>
            <w:r>
              <w:rPr>
                <w:rFonts w:hint="eastAsia" w:ascii="宋体" w:hAnsi="宋体" w:eastAsia="宋体" w:cs="宋体"/>
                <w:color w:val="auto"/>
                <w:sz w:val="21"/>
                <w:szCs w:val="21"/>
                <w:u w:val="none"/>
                <w:lang w:val="en-US" w:eastAsia="zh-CN"/>
              </w:rPr>
              <w:t>东区的供暖，总供暖面积为</w:t>
            </w:r>
            <w:r>
              <w:rPr>
                <w:rFonts w:hint="eastAsia"/>
                <w:color w:val="auto"/>
                <w:lang w:val="en-US" w:eastAsia="zh-CN"/>
              </w:rPr>
              <w:t>44</w:t>
            </w:r>
            <w:r>
              <w:rPr>
                <w:rFonts w:hint="eastAsia" w:ascii="宋体" w:hAnsi="宋体" w:eastAsia="宋体" w:cs="宋体"/>
                <w:color w:val="auto"/>
                <w:sz w:val="21"/>
                <w:szCs w:val="21"/>
                <w:u w:val="none"/>
                <w:lang w:val="en-US" w:eastAsia="zh-CN"/>
              </w:rPr>
              <w:t>万</w:t>
            </w:r>
            <w:r>
              <w:rPr>
                <w:rFonts w:hint="eastAsia"/>
                <w:color w:val="auto"/>
                <w:lang w:val="en-US" w:eastAsia="zh-CN"/>
              </w:rPr>
              <w:t>m</w:t>
            </w:r>
            <w:r>
              <w:rPr>
                <w:rFonts w:hint="eastAsia"/>
                <w:color w:val="auto"/>
                <w:vertAlign w:val="superscript"/>
                <w:lang w:val="en-US" w:eastAsia="zh-CN"/>
              </w:rPr>
              <w:t>2</w:t>
            </w:r>
            <w:r>
              <w:rPr>
                <w:rFonts w:hint="eastAsia" w:ascii="宋体" w:hAnsi="宋体" w:eastAsia="宋体" w:cs="宋体"/>
                <w:color w:val="auto"/>
                <w:sz w:val="21"/>
                <w:szCs w:val="21"/>
                <w:u w:val="none"/>
                <w:lang w:val="en-US" w:eastAsia="zh-CN"/>
              </w:rPr>
              <w:t>，</w:t>
            </w:r>
            <w:r>
              <w:rPr>
                <w:rFonts w:hint="default"/>
                <w:color w:val="auto"/>
              </w:rPr>
              <w:t>项目总投资为</w:t>
            </w:r>
            <w:r>
              <w:rPr>
                <w:rFonts w:hint="eastAsia" w:ascii="Times New Roman" w:hAnsi="Times New Roman" w:cs="Times New Roman"/>
                <w:color w:val="auto"/>
                <w:szCs w:val="21"/>
                <w:lang w:val="en-US" w:eastAsia="zh-CN"/>
              </w:rPr>
              <w:t>100</w:t>
            </w:r>
            <w:r>
              <w:rPr>
                <w:rFonts w:hint="default"/>
                <w:color w:val="auto"/>
              </w:rPr>
              <w:t>万元</w:t>
            </w:r>
            <w:r>
              <w:rPr>
                <w:rFonts w:hint="eastAsia"/>
                <w:color w:val="auto"/>
                <w:lang w:eastAsia="zh-CN"/>
              </w:rPr>
              <w:t>，</w:t>
            </w:r>
            <w:r>
              <w:rPr>
                <w:rFonts w:hint="default"/>
                <w:color w:val="auto"/>
              </w:rPr>
              <w:t>资金全部由企业自筹</w:t>
            </w:r>
            <w:r>
              <w:rPr>
                <w:rFonts w:hint="eastAsia"/>
                <w:color w:val="auto"/>
                <w:lang w:val="en-US" w:eastAsia="zh-CN"/>
              </w:rPr>
              <w:t>解决</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eastAsia"/>
                <w:color w:val="auto"/>
                <w:lang w:val="en-US" w:eastAsia="zh-CN"/>
              </w:rPr>
              <w:t>本项目工程内容主要分为主体工程、辅助工程、公共工程、环保工程四大部分，项目建设组成见表1。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rPr>
            </w:pPr>
            <w:r>
              <w:rPr>
                <w:rFonts w:hint="eastAsia"/>
                <w:color w:val="auto"/>
                <w:lang w:val="en-US" w:eastAsia="zh-CN"/>
              </w:rPr>
              <w:t xml:space="preserve">  </w:t>
            </w:r>
            <w:r>
              <w:rPr>
                <w:rFonts w:hint="default"/>
                <w:color w:val="auto"/>
              </w:rPr>
              <w:t>表</w:t>
            </w:r>
            <w:r>
              <w:rPr>
                <w:rFonts w:hint="eastAsia"/>
                <w:color w:val="auto"/>
                <w:lang w:val="en-US" w:eastAsia="zh-CN"/>
              </w:rPr>
              <w:t>1</w:t>
            </w:r>
            <w:r>
              <w:rPr>
                <w:rFonts w:hint="default"/>
                <w:color w:val="auto"/>
              </w:rPr>
              <w:t xml:space="preserve"> </w:t>
            </w:r>
            <w:r>
              <w:rPr>
                <w:rFonts w:hint="eastAsia"/>
                <w:color w:val="auto"/>
                <w:lang w:val="en-US" w:eastAsia="zh-CN"/>
              </w:rPr>
              <w:t xml:space="preserve">                    工程主要建设内容及规模</w:t>
            </w:r>
          </w:p>
          <w:tbl>
            <w:tblPr>
              <w:tblStyle w:val="28"/>
              <w:tblW w:w="7945"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05"/>
              <w:gridCol w:w="58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color w:val="auto"/>
                    </w:rPr>
                  </w:pPr>
                  <w:r>
                    <w:rPr>
                      <w:rFonts w:hint="default"/>
                      <w:color w:val="auto"/>
                    </w:rPr>
                    <w:t>工程</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color w:val="auto"/>
                    </w:rPr>
                  </w:pPr>
                  <w:r>
                    <w:rPr>
                      <w:rFonts w:hint="default"/>
                      <w:color w:val="auto"/>
                      <w:lang w:val="en-US" w:eastAsia="zh-CN"/>
                    </w:rPr>
                    <w:t>类别</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eastAsia="zh-CN"/>
                    </w:rPr>
                  </w:pPr>
                  <w:r>
                    <w:rPr>
                      <w:rFonts w:hint="default"/>
                      <w:color w:val="auto"/>
                      <w:lang w:val="en-US" w:eastAsia="zh-CN"/>
                    </w:rPr>
                    <w:t>工程名称</w:t>
                  </w:r>
                </w:p>
              </w:tc>
              <w:tc>
                <w:tcPr>
                  <w:tcW w:w="5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eastAsia="zh-CN"/>
                    </w:rPr>
                  </w:pPr>
                  <w:r>
                    <w:rPr>
                      <w:rFonts w:hint="default"/>
                      <w:color w:val="auto"/>
                      <w:lang w:val="en-US" w:eastAsia="zh-CN"/>
                    </w:rPr>
                    <w:t>建设内容及规模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主体</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工程</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color w:val="auto"/>
                      <w:lang w:eastAsia="zh-CN"/>
                    </w:rPr>
                  </w:pPr>
                  <w:r>
                    <w:rPr>
                      <w:rFonts w:hint="eastAsia"/>
                      <w:color w:val="auto"/>
                      <w:lang w:val="en-US" w:eastAsia="zh-CN"/>
                    </w:rPr>
                    <w:t>锅炉房</w:t>
                  </w:r>
                </w:p>
              </w:tc>
              <w:tc>
                <w:tcPr>
                  <w:tcW w:w="5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color w:val="auto"/>
                      <w:lang w:val="en-US" w:eastAsia="zh-CN"/>
                    </w:rPr>
                  </w:pPr>
                  <w:r>
                    <w:rPr>
                      <w:rFonts w:hint="eastAsia"/>
                      <w:color w:val="auto"/>
                      <w:lang w:val="en-US" w:eastAsia="zh-CN"/>
                    </w:rPr>
                    <w:t>位于</w:t>
                  </w:r>
                  <w:r>
                    <w:rPr>
                      <w:rFonts w:hint="eastAsia" w:ascii="宋体" w:hAnsi="宋体" w:eastAsia="宋体" w:cs="宋体"/>
                      <w:color w:val="auto"/>
                      <w:sz w:val="21"/>
                      <w:szCs w:val="21"/>
                      <w:u w:val="none"/>
                    </w:rPr>
                    <w:t>丁香园北区</w:t>
                  </w:r>
                  <w:r>
                    <w:rPr>
                      <w:rFonts w:hint="eastAsia" w:ascii="宋体" w:hAnsi="宋体" w:eastAsia="宋体" w:cs="宋体"/>
                      <w:color w:val="auto"/>
                      <w:sz w:val="21"/>
                      <w:szCs w:val="21"/>
                      <w:u w:val="none"/>
                      <w:lang w:val="en-US" w:eastAsia="zh-CN"/>
                    </w:rPr>
                    <w:t>地下车库，锅炉房原有</w:t>
                  </w:r>
                  <w:r>
                    <w:rPr>
                      <w:rFonts w:hint="eastAsia"/>
                      <w:color w:val="auto"/>
                      <w:lang w:val="en-US" w:eastAsia="zh-CN"/>
                    </w:rPr>
                    <w:t>3台7MW燃气锅炉，拟新增1台7MW</w:t>
                  </w:r>
                  <w:r>
                    <w:rPr>
                      <w:rFonts w:hint="eastAsia" w:ascii="宋体" w:hAnsi="宋体" w:eastAsia="宋体" w:cs="宋体"/>
                      <w:color w:val="auto"/>
                      <w:sz w:val="21"/>
                      <w:szCs w:val="21"/>
                      <w:u w:val="none"/>
                    </w:rPr>
                    <w:t>燃气常压热水锅炉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r>
                    <w:rPr>
                      <w:rFonts w:hint="default"/>
                      <w:color w:val="auto"/>
                      <w:lang w:val="en-US" w:eastAsia="zh-CN"/>
                    </w:rPr>
                    <w:t>辅助工程</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color w:val="auto"/>
                      <w:lang w:val="en-US" w:eastAsia="zh-CN"/>
                    </w:rPr>
                  </w:pPr>
                  <w:r>
                    <w:rPr>
                      <w:rFonts w:hint="eastAsia"/>
                      <w:color w:val="auto"/>
                      <w:lang w:val="en-US" w:eastAsia="zh-CN"/>
                    </w:rPr>
                    <w:t>值班室</w:t>
                  </w:r>
                </w:p>
              </w:tc>
              <w:tc>
                <w:tcPr>
                  <w:tcW w:w="5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color w:val="auto"/>
                      <w:lang w:val="en-US" w:eastAsia="zh-CN"/>
                    </w:rPr>
                  </w:pPr>
                  <w:r>
                    <w:rPr>
                      <w:rFonts w:hint="eastAsia"/>
                      <w:color w:val="auto"/>
                      <w:vertAlign w:val="baseline"/>
                      <w:lang w:val="en-US" w:eastAsia="zh-CN"/>
                    </w:rPr>
                    <w:t>依托原有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rPr>
                  </w:pPr>
                  <w:r>
                    <w:rPr>
                      <w:rFonts w:hint="eastAsia"/>
                      <w:color w:val="auto"/>
                      <w:lang w:val="en-US" w:eastAsia="zh-CN"/>
                    </w:rPr>
                    <w:t>设备间</w:t>
                  </w:r>
                </w:p>
              </w:tc>
              <w:tc>
                <w:tcPr>
                  <w:tcW w:w="5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auto"/>
                    </w:rPr>
                  </w:pPr>
                  <w:r>
                    <w:rPr>
                      <w:rFonts w:hint="eastAsia"/>
                      <w:color w:val="auto"/>
                      <w:vertAlign w:val="baseline"/>
                      <w:lang w:val="en-US" w:eastAsia="zh-CN"/>
                    </w:rPr>
                    <w:t>包括软水制备装置，依托原有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公用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工程</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给水工程</w:t>
                  </w:r>
                </w:p>
              </w:tc>
              <w:tc>
                <w:tcPr>
                  <w:tcW w:w="5846"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rPr>
                  </w:pPr>
                  <w:r>
                    <w:rPr>
                      <w:rFonts w:hint="default"/>
                      <w:color w:val="auto"/>
                      <w:lang w:val="en-US" w:eastAsia="zh-CN"/>
                    </w:rPr>
                    <w:t>用水接</w:t>
                  </w:r>
                  <w:r>
                    <w:rPr>
                      <w:rFonts w:hint="eastAsia"/>
                      <w:color w:val="auto"/>
                      <w:lang w:val="en-US" w:eastAsia="zh-CN"/>
                    </w:rPr>
                    <w:t>市政</w:t>
                  </w:r>
                  <w:r>
                    <w:rPr>
                      <w:rFonts w:hint="default"/>
                      <w:color w:val="auto"/>
                      <w:lang w:val="en-US" w:eastAsia="zh-CN"/>
                    </w:rPr>
                    <w:t>供水管网</w:t>
                  </w:r>
                  <w:r>
                    <w:rPr>
                      <w:rFonts w:hint="eastAsia"/>
                      <w:color w:val="auto"/>
                      <w:lang w:val="en-US" w:eastAsia="zh-CN"/>
                    </w:rPr>
                    <w:t>，锅炉用水采用钠离子交换器制备软化水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排水工程</w:t>
                  </w:r>
                </w:p>
              </w:tc>
              <w:tc>
                <w:tcPr>
                  <w:tcW w:w="5846"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lang w:val="en-US" w:eastAsia="zh-CN"/>
                    </w:rPr>
                  </w:pPr>
                  <w:r>
                    <w:rPr>
                      <w:rFonts w:hint="default"/>
                      <w:color w:val="auto"/>
                      <w:lang w:val="en-US" w:eastAsia="zh-CN"/>
                    </w:rPr>
                    <w:t>生活污水</w:t>
                  </w:r>
                  <w:r>
                    <w:rPr>
                      <w:rFonts w:hint="eastAsia"/>
                      <w:color w:val="auto"/>
                      <w:lang w:val="en-US" w:eastAsia="zh-CN"/>
                    </w:rPr>
                    <w:t>、锅炉排水、软化水系统排水排入市政污水管网，</w:t>
                  </w:r>
                  <w:r>
                    <w:rPr>
                      <w:rFonts w:hint="eastAsia" w:ascii="宋体" w:hAnsi="宋体" w:cs="宋体"/>
                      <w:color w:val="auto"/>
                      <w:szCs w:val="21"/>
                      <w:lang w:val="en-US" w:eastAsia="zh-CN"/>
                    </w:rPr>
                    <w:t>最终进入</w:t>
                  </w:r>
                  <w:r>
                    <w:rPr>
                      <w:rFonts w:hint="default"/>
                      <w:color w:val="auto"/>
                    </w:rPr>
                    <w:t>昌吉市第二</w:t>
                  </w:r>
                  <w:r>
                    <w:rPr>
                      <w:rFonts w:hint="eastAsia"/>
                      <w:color w:val="auto"/>
                    </w:rPr>
                    <w:fldChar w:fldCharType="begin"/>
                  </w:r>
                  <w:r>
                    <w:rPr>
                      <w:rFonts w:hint="eastAsia"/>
                      <w:color w:val="auto"/>
                    </w:rPr>
                    <w:instrText xml:space="preserve"> HYPERLINK "http://www.chinapipe.net/project/?id=1014" \t "http://www.chinapipe.net/news/2020/_blank" </w:instrText>
                  </w:r>
                  <w:r>
                    <w:rPr>
                      <w:rFonts w:hint="eastAsia"/>
                      <w:color w:val="auto"/>
                    </w:rPr>
                    <w:fldChar w:fldCharType="separate"/>
                  </w:r>
                  <w:r>
                    <w:rPr>
                      <w:rFonts w:hint="eastAsia"/>
                      <w:color w:val="auto"/>
                    </w:rPr>
                    <w:t>污水处理厂</w:t>
                  </w:r>
                  <w:r>
                    <w:rPr>
                      <w:rFonts w:hint="eastAsia"/>
                      <w:color w:val="auto"/>
                    </w:rPr>
                    <w:fldChar w:fldCharType="end"/>
                  </w:r>
                  <w:r>
                    <w:rPr>
                      <w:rFonts w:hint="eastAsia"/>
                      <w:color w:val="auto"/>
                      <w:lang w:val="en-US" w:eastAsia="zh-CN"/>
                    </w:rPr>
                    <w:t>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供电工程</w:t>
                  </w:r>
                </w:p>
              </w:tc>
              <w:tc>
                <w:tcPr>
                  <w:tcW w:w="5846"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lang w:eastAsia="zh-CN"/>
                    </w:rPr>
                  </w:pPr>
                  <w:r>
                    <w:rPr>
                      <w:rFonts w:hint="default"/>
                      <w:color w:val="auto"/>
                      <w:lang w:val="en-US" w:eastAsia="zh-CN"/>
                    </w:rPr>
                    <w:t>用电接</w:t>
                  </w:r>
                  <w:r>
                    <w:rPr>
                      <w:rFonts w:hint="eastAsia"/>
                      <w:color w:val="auto"/>
                      <w:lang w:val="en-US" w:eastAsia="zh-CN"/>
                    </w:rPr>
                    <w:t>市政</w:t>
                  </w:r>
                  <w:r>
                    <w:rPr>
                      <w:rFonts w:hint="default"/>
                      <w:color w:val="auto"/>
                      <w:lang w:val="en-US" w:eastAsia="zh-CN"/>
                    </w:rPr>
                    <w:t>电网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r>
                    <w:rPr>
                      <w:rFonts w:hint="default"/>
                      <w:color w:val="auto"/>
                      <w:lang w:val="en-US" w:eastAsia="zh-CN"/>
                    </w:rPr>
                    <w:t>供暖工程</w:t>
                  </w:r>
                </w:p>
              </w:tc>
              <w:tc>
                <w:tcPr>
                  <w:tcW w:w="5846"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lang w:val="en-US" w:eastAsia="zh-CN"/>
                    </w:rPr>
                  </w:pPr>
                  <w:r>
                    <w:rPr>
                      <w:rFonts w:hint="eastAsia"/>
                      <w:color w:val="auto"/>
                      <w:lang w:val="en-US" w:eastAsia="zh-CN"/>
                    </w:rPr>
                    <w:t>自建燃气锅炉供热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环保</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工程</w:t>
                  </w: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r>
                    <w:rPr>
                      <w:rFonts w:hint="default"/>
                      <w:color w:val="auto"/>
                      <w:lang w:val="en-US" w:eastAsia="zh-CN"/>
                    </w:rPr>
                    <w:t>废气治理</w:t>
                  </w:r>
                </w:p>
              </w:tc>
              <w:tc>
                <w:tcPr>
                  <w:tcW w:w="5846"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rPr>
                  </w:pPr>
                  <w:r>
                    <w:rPr>
                      <w:rFonts w:hint="eastAsia"/>
                      <w:color w:val="auto"/>
                      <w:lang w:val="en-US" w:eastAsia="zh-CN"/>
                    </w:rPr>
                    <w:t>燃气锅炉</w:t>
                  </w:r>
                  <w:r>
                    <w:rPr>
                      <w:rFonts w:hint="eastAsia" w:ascii="Times New Roman" w:hAnsi="Times New Roman" w:eastAsia="宋体" w:cs="Times New Roman"/>
                      <w:color w:val="auto"/>
                      <w:sz w:val="21"/>
                      <w:szCs w:val="21"/>
                      <w:lang w:val="en-US" w:eastAsia="zh-CN"/>
                    </w:rPr>
                    <w:t>采</w:t>
                  </w:r>
                  <w:r>
                    <w:rPr>
                      <w:rFonts w:hint="default" w:ascii="Times New Roman" w:hAnsi="Times New Roman" w:eastAsia="宋体" w:cs="Times New Roman"/>
                      <w:color w:val="auto"/>
                      <w:sz w:val="21"/>
                      <w:szCs w:val="21"/>
                      <w:lang w:val="en-US" w:eastAsia="zh-CN"/>
                    </w:rPr>
                    <w:t>用</w:t>
                  </w:r>
                  <w:r>
                    <w:rPr>
                      <w:rFonts w:hint="default" w:ascii="Times New Roman" w:hAnsi="Times New Roman" w:cs="Times New Roman"/>
                      <w:color w:val="auto"/>
                      <w:sz w:val="21"/>
                    </w:rPr>
                    <w:t>加装低氮燃烧器</w:t>
                  </w:r>
                  <w:r>
                    <w:rPr>
                      <w:rFonts w:hint="default" w:ascii="Times New Roman" w:hAnsi="Times New Roman" w:cs="Times New Roman"/>
                      <w:color w:val="auto"/>
                      <w:sz w:val="21"/>
                      <w:lang w:val="en-US" w:eastAsia="zh-CN"/>
                    </w:rPr>
                    <w:t>+烟气</w:t>
                  </w:r>
                  <w:r>
                    <w:rPr>
                      <w:rFonts w:hint="eastAsia" w:ascii="Times New Roman" w:hAnsi="Times New Roman" w:cs="Times New Roman"/>
                      <w:color w:val="auto"/>
                      <w:sz w:val="21"/>
                      <w:lang w:val="en-US" w:eastAsia="zh-CN"/>
                    </w:rPr>
                    <w:t>再</w:t>
                  </w:r>
                  <w:r>
                    <w:rPr>
                      <w:rFonts w:hint="default" w:ascii="Times New Roman" w:hAnsi="Times New Roman" w:cs="Times New Roman"/>
                      <w:color w:val="auto"/>
                      <w:sz w:val="21"/>
                      <w:lang w:val="en-US" w:eastAsia="zh-CN"/>
                    </w:rPr>
                    <w:t>循环</w:t>
                  </w:r>
                  <w:r>
                    <w:rPr>
                      <w:rFonts w:hint="eastAsia" w:ascii="Times New Roman" w:hAnsi="Times New Roman" w:eastAsia="宋体" w:cs="Times New Roman"/>
                      <w:color w:val="auto"/>
                      <w:sz w:val="21"/>
                      <w:szCs w:val="21"/>
                      <w:lang w:val="en-US" w:eastAsia="zh-CN"/>
                    </w:rPr>
                    <w:t>，新增锅炉与原有3台锅炉共用一根</w:t>
                  </w:r>
                  <w:r>
                    <w:rPr>
                      <w:rFonts w:hint="eastAsia"/>
                      <w:color w:val="auto"/>
                      <w:sz w:val="21"/>
                      <w:szCs w:val="21"/>
                      <w:lang w:val="en-US" w:eastAsia="zh-CN"/>
                    </w:rPr>
                    <w:t>高不低于8m</w:t>
                  </w:r>
                  <w:r>
                    <w:rPr>
                      <w:rFonts w:hint="eastAsia" w:ascii="Times New Roman" w:hAnsi="Times New Roman" w:eastAsia="宋体" w:cs="Times New Roman"/>
                      <w:color w:val="auto"/>
                      <w:sz w:val="21"/>
                      <w:szCs w:val="21"/>
                      <w:lang w:val="en-US" w:eastAsia="zh-CN"/>
                    </w:rPr>
                    <w:t>的</w:t>
                  </w:r>
                  <w:r>
                    <w:rPr>
                      <w:rFonts w:hint="eastAsia"/>
                      <w:color w:val="auto"/>
                      <w:sz w:val="21"/>
                      <w:szCs w:val="21"/>
                      <w:lang w:val="en-US" w:eastAsia="zh-CN"/>
                    </w:rPr>
                    <w:t>烟</w:t>
                  </w:r>
                  <w:r>
                    <w:rPr>
                      <w:rFonts w:hint="eastAsia" w:ascii="Times New Roman" w:hAnsi="Times New Roman" w:eastAsia="宋体" w:cs="Times New Roman"/>
                      <w:color w:val="auto"/>
                      <w:sz w:val="21"/>
                      <w:szCs w:val="21"/>
                      <w:lang w:val="en-US" w:eastAsia="zh-CN"/>
                    </w:rPr>
                    <w:t>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color w:val="auto"/>
                      <w:lang w:val="en-US" w:eastAsia="zh-CN"/>
                    </w:rPr>
                  </w:pPr>
                  <w:r>
                    <w:rPr>
                      <w:rFonts w:hint="default"/>
                      <w:color w:val="auto"/>
                      <w:lang w:val="en-US" w:eastAsia="zh-CN"/>
                    </w:rPr>
                    <w:t>废水治理</w:t>
                  </w:r>
                </w:p>
              </w:tc>
              <w:tc>
                <w:tcPr>
                  <w:tcW w:w="5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color w:val="auto"/>
                      <w:lang w:val="en-US" w:eastAsia="zh-CN"/>
                    </w:rPr>
                  </w:pPr>
                  <w:r>
                    <w:rPr>
                      <w:rFonts w:hint="default"/>
                      <w:color w:val="auto"/>
                      <w:lang w:val="en-US" w:eastAsia="zh-CN"/>
                    </w:rPr>
                    <w:t>生活污水</w:t>
                  </w:r>
                  <w:r>
                    <w:rPr>
                      <w:rFonts w:hint="eastAsia"/>
                      <w:color w:val="auto"/>
                      <w:lang w:val="en-US" w:eastAsia="zh-CN"/>
                    </w:rPr>
                    <w:t>、锅炉排水、软化水系统排水排入市政污水管网，</w:t>
                  </w:r>
                  <w:r>
                    <w:rPr>
                      <w:rFonts w:hint="eastAsia" w:ascii="宋体" w:hAnsi="宋体" w:cs="宋体"/>
                      <w:color w:val="auto"/>
                      <w:szCs w:val="21"/>
                      <w:lang w:val="en-US" w:eastAsia="zh-CN"/>
                    </w:rPr>
                    <w:t>最终进入</w:t>
                  </w:r>
                  <w:r>
                    <w:rPr>
                      <w:rFonts w:hint="default"/>
                      <w:color w:val="auto"/>
                    </w:rPr>
                    <w:t>昌吉市第二</w:t>
                  </w:r>
                  <w:r>
                    <w:rPr>
                      <w:rFonts w:hint="eastAsia"/>
                      <w:color w:val="auto"/>
                    </w:rPr>
                    <w:fldChar w:fldCharType="begin"/>
                  </w:r>
                  <w:r>
                    <w:rPr>
                      <w:rFonts w:hint="eastAsia"/>
                      <w:color w:val="auto"/>
                    </w:rPr>
                    <w:instrText xml:space="preserve"> HYPERLINK "http://www.chinapipe.net/project/?id=1014" \t "http://www.chinapipe.net/news/2020/_blank" </w:instrText>
                  </w:r>
                  <w:r>
                    <w:rPr>
                      <w:rFonts w:hint="eastAsia"/>
                      <w:color w:val="auto"/>
                    </w:rPr>
                    <w:fldChar w:fldCharType="separate"/>
                  </w:r>
                  <w:r>
                    <w:rPr>
                      <w:rFonts w:hint="eastAsia"/>
                      <w:color w:val="auto"/>
                    </w:rPr>
                    <w:t>污水处理厂</w:t>
                  </w:r>
                  <w:r>
                    <w:rPr>
                      <w:rFonts w:hint="eastAsia"/>
                      <w:color w:val="auto"/>
                    </w:rPr>
                    <w:fldChar w:fldCharType="end"/>
                  </w:r>
                  <w:r>
                    <w:rPr>
                      <w:rFonts w:hint="eastAsia"/>
                      <w:color w:val="auto"/>
                      <w:lang w:val="en-US" w:eastAsia="zh-CN"/>
                    </w:rPr>
                    <w:t>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r>
                    <w:rPr>
                      <w:rFonts w:hint="default"/>
                      <w:color w:val="auto"/>
                      <w:lang w:val="en-US" w:eastAsia="zh-CN"/>
                    </w:rPr>
                    <w:t>固废治理</w:t>
                  </w:r>
                </w:p>
              </w:tc>
              <w:tc>
                <w:tcPr>
                  <w:tcW w:w="5846" w:type="dxa"/>
                  <w:vAlign w:val="center"/>
                </w:tcPr>
                <w:p>
                  <w:pPr>
                    <w:pStyle w:val="30"/>
                    <w:spacing w:line="240" w:lineRule="auto"/>
                    <w:jc w:val="left"/>
                    <w:rPr>
                      <w:rFonts w:hint="default"/>
                      <w:color w:val="auto"/>
                      <w:lang w:val="en-US" w:eastAsia="zh-CN"/>
                    </w:rPr>
                  </w:pPr>
                  <w:r>
                    <w:rPr>
                      <w:rFonts w:hint="default"/>
                      <w:color w:val="auto"/>
                      <w:lang w:val="en-US" w:eastAsia="zh-CN"/>
                    </w:rPr>
                    <w:t>生活垃圾集中收集后</w:t>
                  </w:r>
                  <w:r>
                    <w:rPr>
                      <w:rFonts w:hint="eastAsia"/>
                      <w:color w:val="auto"/>
                      <w:lang w:val="en-US" w:eastAsia="zh-CN"/>
                    </w:rPr>
                    <w:t>由</w:t>
                  </w:r>
                  <w:r>
                    <w:rPr>
                      <w:rFonts w:hint="default"/>
                      <w:color w:val="auto"/>
                      <w:lang w:val="en-US" w:eastAsia="zh-CN"/>
                    </w:rPr>
                    <w:t>环卫</w:t>
                  </w:r>
                  <w:r>
                    <w:rPr>
                      <w:rFonts w:hint="eastAsia"/>
                      <w:color w:val="auto"/>
                      <w:lang w:val="en-US" w:eastAsia="zh-CN"/>
                    </w:rPr>
                    <w:t>部门定期</w:t>
                  </w:r>
                  <w:r>
                    <w:rPr>
                      <w:rFonts w:hint="default"/>
                      <w:color w:val="auto"/>
                      <w:lang w:val="en-US" w:eastAsia="zh-CN"/>
                    </w:rPr>
                    <w:t>清运；</w:t>
                  </w:r>
                  <w:r>
                    <w:rPr>
                      <w:rFonts w:hint="eastAsia"/>
                      <w:color w:val="auto"/>
                      <w:lang w:val="en-US" w:eastAsia="zh-CN"/>
                    </w:rPr>
                    <w:t>废离子交换树脂由厂家更换后回收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r>
                    <w:rPr>
                      <w:rFonts w:hint="default"/>
                      <w:color w:val="auto"/>
                      <w:lang w:val="en-US" w:eastAsia="zh-CN"/>
                    </w:rPr>
                    <w:t>噪声治理</w:t>
                  </w:r>
                </w:p>
              </w:tc>
              <w:tc>
                <w:tcPr>
                  <w:tcW w:w="5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olor w:val="auto"/>
                    </w:rPr>
                  </w:pPr>
                  <w:r>
                    <w:rPr>
                      <w:rFonts w:hint="default"/>
                      <w:color w:val="auto"/>
                    </w:rPr>
                    <w:t>选用低噪声设备，</w:t>
                  </w:r>
                  <w:r>
                    <w:rPr>
                      <w:rFonts w:hint="eastAsia"/>
                      <w:color w:val="auto"/>
                      <w:lang w:val="en-US" w:eastAsia="zh-CN"/>
                    </w:rPr>
                    <w:t>基础</w:t>
                  </w:r>
                  <w:r>
                    <w:rPr>
                      <w:rFonts w:hint="default"/>
                      <w:color w:val="auto"/>
                    </w:rPr>
                    <w:t>减震、</w:t>
                  </w:r>
                  <w:r>
                    <w:rPr>
                      <w:rFonts w:hint="default"/>
                      <w:color w:val="auto"/>
                      <w:lang w:val="en-US" w:eastAsia="zh-CN"/>
                    </w:rPr>
                    <w:t>厂房</w:t>
                  </w:r>
                  <w:r>
                    <w:rPr>
                      <w:rFonts w:hint="default"/>
                      <w:color w:val="auto"/>
                    </w:rPr>
                    <w:t>隔声</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2、主要产品及规模</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420" w:firstLineChars="200"/>
              <w:jc w:val="both"/>
              <w:textAlignment w:val="auto"/>
              <w:outlineLvl w:val="9"/>
              <w:rPr>
                <w:rFonts w:hint="eastAsia"/>
                <w:color w:val="auto"/>
                <w:lang w:val="en-US" w:eastAsia="zh-CN"/>
              </w:rPr>
            </w:pPr>
            <w:r>
              <w:rPr>
                <w:rFonts w:hint="eastAsia"/>
                <w:color w:val="auto"/>
                <w:lang w:val="en-US" w:eastAsia="zh-CN"/>
              </w:rPr>
              <w:t>本项目为</w:t>
            </w:r>
            <w:r>
              <w:rPr>
                <w:rFonts w:hint="eastAsia" w:ascii="宋体" w:hAnsi="宋体" w:eastAsia="宋体" w:cs="宋体"/>
                <w:color w:val="auto"/>
                <w:sz w:val="21"/>
                <w:szCs w:val="21"/>
                <w:u w:val="none"/>
              </w:rPr>
              <w:t>燃气</w:t>
            </w:r>
            <w:r>
              <w:rPr>
                <w:rFonts w:hint="eastAsia" w:ascii="宋体" w:hAnsi="宋体" w:eastAsia="宋体" w:cs="宋体"/>
                <w:color w:val="auto"/>
                <w:sz w:val="21"/>
                <w:szCs w:val="21"/>
                <w:u w:val="none"/>
                <w:lang w:val="en-US" w:eastAsia="zh-CN"/>
              </w:rPr>
              <w:t>供热</w:t>
            </w:r>
            <w:r>
              <w:rPr>
                <w:rFonts w:hint="eastAsia" w:ascii="宋体" w:hAnsi="宋体" w:eastAsia="宋体" w:cs="宋体"/>
                <w:color w:val="auto"/>
                <w:sz w:val="21"/>
                <w:szCs w:val="21"/>
                <w:u w:val="none"/>
              </w:rPr>
              <w:t>锅炉</w:t>
            </w:r>
            <w:r>
              <w:rPr>
                <w:rFonts w:hint="eastAsia" w:ascii="宋体" w:hAnsi="宋体" w:eastAsia="宋体" w:cs="宋体"/>
                <w:color w:val="auto"/>
                <w:sz w:val="21"/>
                <w:szCs w:val="21"/>
                <w:u w:val="none"/>
                <w:lang w:val="en-US" w:eastAsia="zh-CN"/>
              </w:rPr>
              <w:t>房扩建项目，锅炉房原有</w:t>
            </w:r>
            <w:r>
              <w:rPr>
                <w:rFonts w:hint="eastAsia"/>
                <w:color w:val="auto"/>
                <w:lang w:val="en-US" w:eastAsia="zh-CN"/>
              </w:rPr>
              <w:t>3台7MW燃气锅炉，拟新增1台7MW</w:t>
            </w:r>
            <w:r>
              <w:rPr>
                <w:rFonts w:hint="eastAsia" w:ascii="宋体" w:hAnsi="宋体" w:eastAsia="宋体" w:cs="宋体"/>
                <w:color w:val="auto"/>
                <w:sz w:val="21"/>
                <w:szCs w:val="21"/>
                <w:u w:val="none"/>
              </w:rPr>
              <w:t>燃气常压热水锅炉</w:t>
            </w:r>
            <w:r>
              <w:rPr>
                <w:rFonts w:hint="eastAsia" w:ascii="宋体" w:hAnsi="宋体" w:eastAsia="宋体" w:cs="宋体"/>
                <w:color w:val="auto"/>
                <w:sz w:val="21"/>
                <w:szCs w:val="21"/>
                <w:u w:val="none"/>
                <w:lang w:val="en-US" w:eastAsia="zh-CN"/>
              </w:rPr>
              <w:t>，扩建后负担</w:t>
            </w:r>
            <w:r>
              <w:rPr>
                <w:rFonts w:hint="eastAsia" w:ascii="宋体" w:hAnsi="宋体" w:eastAsia="宋体" w:cs="宋体"/>
                <w:color w:val="auto"/>
                <w:sz w:val="21"/>
                <w:szCs w:val="21"/>
                <w:u w:val="none"/>
              </w:rPr>
              <w:t>丁香园北区</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丁香园</w:t>
            </w:r>
            <w:r>
              <w:rPr>
                <w:rFonts w:hint="eastAsia" w:ascii="宋体" w:hAnsi="宋体" w:eastAsia="宋体" w:cs="宋体"/>
                <w:color w:val="auto"/>
                <w:sz w:val="21"/>
                <w:szCs w:val="21"/>
                <w:u w:val="none"/>
                <w:lang w:val="en-US" w:eastAsia="zh-CN"/>
              </w:rPr>
              <w:t>东区的供暖，总供暖面积为</w:t>
            </w:r>
            <w:r>
              <w:rPr>
                <w:rFonts w:hint="eastAsia"/>
                <w:color w:val="auto"/>
                <w:lang w:val="en-US" w:eastAsia="zh-CN"/>
              </w:rPr>
              <w:t>44</w:t>
            </w:r>
            <w:r>
              <w:rPr>
                <w:rFonts w:hint="eastAsia" w:ascii="宋体" w:hAnsi="宋体" w:eastAsia="宋体" w:cs="宋体"/>
                <w:color w:val="auto"/>
                <w:sz w:val="21"/>
                <w:szCs w:val="21"/>
                <w:u w:val="none"/>
                <w:lang w:val="en-US" w:eastAsia="zh-CN"/>
              </w:rPr>
              <w:t>万</w:t>
            </w:r>
            <w:r>
              <w:rPr>
                <w:rFonts w:hint="eastAsia"/>
                <w:color w:val="auto"/>
                <w:lang w:val="en-US" w:eastAsia="zh-CN"/>
              </w:rPr>
              <w:t>m</w:t>
            </w:r>
            <w:r>
              <w:rPr>
                <w:rFonts w:hint="eastAsia"/>
                <w:color w:val="auto"/>
                <w:vertAlign w:val="superscript"/>
                <w:lang w:val="en-US" w:eastAsia="zh-CN"/>
              </w:rPr>
              <w:t>2</w:t>
            </w:r>
            <w:r>
              <w:rPr>
                <w:rFonts w:hint="eastAsia"/>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3、主要生产设备</w:t>
            </w:r>
          </w:p>
          <w:p>
            <w:pPr>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20" w:firstLineChars="200"/>
              <w:jc w:val="left"/>
              <w:textAlignment w:val="auto"/>
              <w:outlineLvl w:val="9"/>
              <w:rPr>
                <w:rFonts w:hint="default"/>
                <w:color w:val="auto"/>
                <w:lang w:val="zh-CN"/>
              </w:rPr>
            </w:pPr>
            <w:r>
              <w:rPr>
                <w:rFonts w:hint="default"/>
                <w:color w:val="auto"/>
                <w:lang w:val="zh-CN"/>
              </w:rPr>
              <w:t>本项目</w:t>
            </w:r>
            <w:r>
              <w:rPr>
                <w:rFonts w:hint="eastAsia"/>
                <w:color w:val="auto"/>
                <w:lang w:val="en-US" w:eastAsia="zh-CN"/>
              </w:rPr>
              <w:t>主要设备见表2</w:t>
            </w:r>
            <w:r>
              <w:rPr>
                <w:rFonts w:hint="default"/>
                <w:color w:val="auto"/>
                <w:lang w:val="zh-CN"/>
              </w:rPr>
              <w:t>。</w:t>
            </w:r>
          </w:p>
          <w:p>
            <w:pPr>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20" w:firstLineChars="200"/>
              <w:jc w:val="left"/>
              <w:textAlignment w:val="auto"/>
              <w:outlineLvl w:val="9"/>
              <w:rPr>
                <w:rFonts w:hint="default"/>
                <w:color w:val="auto"/>
                <w:lang w:val="zh-CN"/>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420" w:firstLineChars="200"/>
              <w:jc w:val="both"/>
              <w:textAlignment w:val="auto"/>
              <w:outlineLvl w:val="9"/>
              <w:rPr>
                <w:rFonts w:hint="default"/>
                <w:color w:val="auto"/>
                <w:lang w:val="zh-CN"/>
              </w:rPr>
            </w:pPr>
            <w:r>
              <w:rPr>
                <w:rFonts w:hint="eastAsia"/>
                <w:color w:val="auto"/>
                <w:lang w:val="en-US" w:eastAsia="zh-CN"/>
              </w:rPr>
              <w:t xml:space="preserve">          </w:t>
            </w:r>
            <w:r>
              <w:rPr>
                <w:rFonts w:hint="default"/>
                <w:color w:val="auto"/>
                <w:lang w:val="zh-CN"/>
              </w:rPr>
              <w:t>表</w:t>
            </w:r>
            <w:r>
              <w:rPr>
                <w:rFonts w:hint="eastAsia"/>
                <w:color w:val="auto"/>
                <w:lang w:val="en-US" w:eastAsia="zh-CN"/>
              </w:rPr>
              <w:t xml:space="preserve">2    </w:t>
            </w:r>
            <w:r>
              <w:rPr>
                <w:rFonts w:hint="default"/>
                <w:color w:val="auto"/>
                <w:lang w:val="zh-CN"/>
              </w:rPr>
              <w:t xml:space="preserve"> </w:t>
            </w:r>
            <w:r>
              <w:rPr>
                <w:rFonts w:hint="eastAsia"/>
                <w:color w:val="auto"/>
                <w:lang w:val="en-US" w:eastAsia="zh-CN"/>
              </w:rPr>
              <w:t xml:space="preserve">               </w:t>
            </w:r>
            <w:r>
              <w:rPr>
                <w:rFonts w:hint="default"/>
                <w:color w:val="auto"/>
                <w:lang w:val="zh-CN"/>
              </w:rPr>
              <w:t>项目</w:t>
            </w:r>
            <w:r>
              <w:rPr>
                <w:rFonts w:hint="eastAsia"/>
                <w:color w:val="auto"/>
                <w:lang w:val="en-US" w:eastAsia="zh-CN"/>
              </w:rPr>
              <w:t>主要</w:t>
            </w:r>
            <w:r>
              <w:rPr>
                <w:rFonts w:hint="default"/>
                <w:color w:val="auto"/>
                <w:lang w:val="zh-CN"/>
              </w:rPr>
              <w:t>设备一览表</w:t>
            </w:r>
          </w:p>
          <w:tbl>
            <w:tblPr>
              <w:tblStyle w:val="28"/>
              <w:tblW w:w="802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430"/>
              <w:gridCol w:w="3178"/>
              <w:gridCol w:w="1638"/>
              <w:gridCol w:w="11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6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color w:val="auto"/>
                    </w:rPr>
                    <w:t>序号</w:t>
                  </w:r>
                </w:p>
              </w:tc>
              <w:tc>
                <w:tcPr>
                  <w:tcW w:w="14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color w:val="auto"/>
                    </w:rPr>
                    <w:t>设备名称</w:t>
                  </w:r>
                </w:p>
              </w:tc>
              <w:tc>
                <w:tcPr>
                  <w:tcW w:w="3178" w:type="dxa"/>
                  <w:tcBorders>
                    <w:tl2br w:val="nil"/>
                    <w:tr2bl w:val="nil"/>
                  </w:tcBorders>
                  <w:vAlign w:val="center"/>
                </w:tcPr>
                <w:p>
                  <w:pPr>
                    <w:widowControl/>
                    <w:jc w:val="center"/>
                    <w:rPr>
                      <w:rFonts w:hint="eastAsia" w:eastAsiaTheme="minorEastAsia"/>
                      <w:color w:val="auto"/>
                      <w:lang w:eastAsia="zh-CN"/>
                    </w:rPr>
                  </w:pPr>
                  <w:r>
                    <w:rPr>
                      <w:rFonts w:hint="eastAsia"/>
                      <w:color w:val="auto"/>
                      <w:lang w:val="en-US" w:eastAsia="zh-CN"/>
                    </w:rPr>
                    <w:t>规格型号</w:t>
                  </w:r>
                </w:p>
              </w:tc>
              <w:tc>
                <w:tcPr>
                  <w:tcW w:w="1638" w:type="dxa"/>
                  <w:tcBorders>
                    <w:tl2br w:val="nil"/>
                    <w:tr2bl w:val="nil"/>
                  </w:tcBorders>
                  <w:vAlign w:val="center"/>
                </w:tcPr>
                <w:p>
                  <w:pPr>
                    <w:widowControl/>
                    <w:jc w:val="center"/>
                    <w:rPr>
                      <w:rFonts w:hint="default"/>
                      <w:color w:val="auto"/>
                    </w:rPr>
                  </w:pPr>
                  <w:r>
                    <w:rPr>
                      <w:color w:val="auto"/>
                    </w:rPr>
                    <w:t>数量</w:t>
                  </w:r>
                </w:p>
              </w:tc>
              <w:tc>
                <w:tcPr>
                  <w:tcW w:w="1107" w:type="dxa"/>
                  <w:tcBorders>
                    <w:tl2br w:val="nil"/>
                    <w:tr2bl w:val="nil"/>
                  </w:tcBorders>
                  <w:vAlign w:val="center"/>
                </w:tcPr>
                <w:p>
                  <w:pPr>
                    <w:widowControl/>
                    <w:jc w:val="center"/>
                    <w:rPr>
                      <w:rFonts w:hint="eastAsia" w:eastAsiaTheme="minorEastAsia"/>
                      <w:color w:val="auto"/>
                      <w:lang w:val="en-US" w:eastAsia="zh-CN"/>
                    </w:rPr>
                  </w:pPr>
                  <w:r>
                    <w:rPr>
                      <w:rFonts w:hint="eastAsia"/>
                      <w:color w:val="auto"/>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51" w:hRule="atLeast"/>
                <w:jc w:val="center"/>
              </w:trPr>
              <w:tc>
                <w:tcPr>
                  <w:tcW w:w="6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color w:val="auto"/>
                    </w:rPr>
                    <w:t>1</w:t>
                  </w:r>
                </w:p>
              </w:tc>
              <w:tc>
                <w:tcPr>
                  <w:tcW w:w="14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eastAsiaTheme="minorEastAsia"/>
                      <w:color w:val="auto"/>
                      <w:lang w:val="en-US" w:eastAsia="zh-CN"/>
                    </w:rPr>
                  </w:pPr>
                  <w:r>
                    <w:rPr>
                      <w:rFonts w:hint="eastAsia"/>
                      <w:color w:val="auto"/>
                      <w:lang w:val="en-US" w:eastAsia="zh-CN"/>
                    </w:rPr>
                    <w:t>卧式常压燃气热水锅炉</w:t>
                  </w:r>
                </w:p>
              </w:tc>
              <w:tc>
                <w:tcPr>
                  <w:tcW w:w="31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lang w:val="en-US" w:eastAsia="zh-CN"/>
                    </w:rPr>
                  </w:pPr>
                  <w:r>
                    <w:rPr>
                      <w:rFonts w:hint="eastAsia"/>
                      <w:color w:val="auto"/>
                      <w:lang w:val="en-US" w:eastAsia="zh-CN"/>
                    </w:rPr>
                    <w:t>CWNS—7.0型；额定热功率：7.0MW；供回水温度85/60</w:t>
                  </w:r>
                  <w:r>
                    <w:rPr>
                      <w:rFonts w:hint="eastAsia" w:ascii="宋体" w:hAnsi="宋体" w:eastAsia="宋体" w:cs="宋体"/>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锅炉外形尺寸：6160</w:t>
                  </w:r>
                  <w:r>
                    <w:rPr>
                      <w:rFonts w:hint="default"/>
                      <w:color w:val="auto"/>
                      <w:lang w:val="en-US" w:eastAsia="zh-CN"/>
                    </w:rPr>
                    <w:t>×</w:t>
                  </w:r>
                  <w:r>
                    <w:rPr>
                      <w:rFonts w:hint="eastAsia"/>
                      <w:color w:val="auto"/>
                      <w:lang w:val="en-US" w:eastAsia="zh-CN"/>
                    </w:rPr>
                    <w:t>2460</w:t>
                  </w:r>
                  <w:r>
                    <w:rPr>
                      <w:rFonts w:hint="default"/>
                      <w:color w:val="auto"/>
                      <w:lang w:val="en-US" w:eastAsia="zh-CN"/>
                    </w:rPr>
                    <w:t>×</w:t>
                  </w:r>
                  <w:r>
                    <w:rPr>
                      <w:rFonts w:hint="eastAsia"/>
                      <w:color w:val="auto"/>
                      <w:lang w:val="en-US" w:eastAsia="zh-CN"/>
                    </w:rPr>
                    <w:t>3010（mm）（不含燃烧器）</w:t>
                  </w:r>
                </w:p>
              </w:tc>
              <w:tc>
                <w:tcPr>
                  <w:tcW w:w="16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4台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lang w:val="en-US" w:eastAsia="zh-CN"/>
                    </w:rPr>
                  </w:pPr>
                  <w:r>
                    <w:rPr>
                      <w:rFonts w:hint="eastAsia"/>
                      <w:color w:val="auto"/>
                      <w:lang w:val="en-US" w:eastAsia="zh-CN"/>
                    </w:rPr>
                    <w:t>（原有三台，新增一台）</w:t>
                  </w:r>
                </w:p>
              </w:tc>
              <w:tc>
                <w:tcPr>
                  <w:tcW w:w="11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lang w:val="en-US" w:eastAsia="zh-CN"/>
                    </w:rPr>
                  </w:pPr>
                  <w:r>
                    <w:rPr>
                      <w:rFonts w:hint="eastAsia"/>
                      <w:color w:val="auto"/>
                      <w:lang w:val="en-US" w:eastAsia="zh-CN"/>
                    </w:rPr>
                    <w:t>锅炉厂家自配冷凝器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jc w:val="center"/>
              </w:trPr>
              <w:tc>
                <w:tcPr>
                  <w:tcW w:w="6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color w:val="auto"/>
                    </w:rPr>
                    <w:t>2</w:t>
                  </w:r>
                </w:p>
              </w:tc>
              <w:tc>
                <w:tcPr>
                  <w:tcW w:w="14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auto"/>
                      <w:lang w:eastAsia="zh-CN"/>
                    </w:rPr>
                  </w:pPr>
                  <w:r>
                    <w:rPr>
                      <w:rFonts w:hint="eastAsia"/>
                      <w:color w:val="auto"/>
                      <w:lang w:val="en-US" w:eastAsia="zh-CN"/>
                    </w:rPr>
                    <w:t>一体式燃烧系统</w:t>
                  </w:r>
                </w:p>
              </w:tc>
              <w:tc>
                <w:tcPr>
                  <w:tcW w:w="31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燃烧器进口燃气压力：25000Pa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lang w:val="en-US" w:eastAsia="zh-CN"/>
                    </w:rPr>
                  </w:pPr>
                  <w:r>
                    <w:rPr>
                      <w:rFonts w:hint="eastAsia"/>
                      <w:color w:val="auto"/>
                      <w:lang w:val="en-US" w:eastAsia="zh-CN"/>
                    </w:rPr>
                    <w:t>燃烧器电机功率（含鼓风机）：37.5KW</w:t>
                  </w:r>
                </w:p>
              </w:tc>
              <w:tc>
                <w:tcPr>
                  <w:tcW w:w="16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4台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auto"/>
                      <w:lang w:eastAsia="zh-CN"/>
                    </w:rPr>
                  </w:pPr>
                  <w:r>
                    <w:rPr>
                      <w:rFonts w:hint="eastAsia"/>
                      <w:color w:val="auto"/>
                      <w:lang w:val="en-US" w:eastAsia="zh-CN"/>
                    </w:rPr>
                    <w:t>（原有三台，新增一台）</w:t>
                  </w:r>
                </w:p>
              </w:tc>
              <w:tc>
                <w:tcPr>
                  <w:tcW w:w="11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锅炉厂配套供货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6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color w:val="auto"/>
                    </w:rPr>
                    <w:t>3</w:t>
                  </w:r>
                </w:p>
              </w:tc>
              <w:tc>
                <w:tcPr>
                  <w:tcW w:w="14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auto"/>
                      <w:lang w:val="en-US" w:eastAsia="zh-CN"/>
                    </w:rPr>
                  </w:pPr>
                  <w:r>
                    <w:rPr>
                      <w:rFonts w:hint="eastAsia"/>
                      <w:color w:val="auto"/>
                      <w:lang w:val="en-US" w:eastAsia="zh-CN"/>
                    </w:rPr>
                    <w:t>一次水系统循环水泵</w:t>
                  </w:r>
                </w:p>
              </w:tc>
              <w:tc>
                <w:tcPr>
                  <w:tcW w:w="31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eastAsia"/>
                      <w:color w:val="auto"/>
                      <w:lang w:val="en-US" w:eastAsia="zh-CN"/>
                    </w:rPr>
                    <w:t>流量：400-660m</w:t>
                  </w:r>
                  <w:r>
                    <w:rPr>
                      <w:rFonts w:hint="eastAsia"/>
                      <w:color w:val="auto"/>
                      <w:vertAlign w:val="superscript"/>
                      <w:lang w:val="en-US" w:eastAsia="zh-CN"/>
                    </w:rPr>
                    <w:t>3</w:t>
                  </w:r>
                  <w:r>
                    <w:rPr>
                      <w:rFonts w:hint="eastAsia"/>
                      <w:color w:val="auto"/>
                      <w:vertAlign w:val="baseline"/>
                      <w:lang w:val="en-US" w:eastAsia="zh-CN"/>
                    </w:rPr>
                    <w:t>/h；功率</w:t>
                  </w:r>
                  <w:r>
                    <w:rPr>
                      <w:rFonts w:hint="eastAsia"/>
                      <w:color w:val="auto"/>
                      <w:lang w:val="en-US" w:eastAsia="zh-CN"/>
                    </w:rPr>
                    <w:t>37KW</w:t>
                  </w:r>
                </w:p>
              </w:tc>
              <w:tc>
                <w:tcPr>
                  <w:tcW w:w="16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eastAsia="zh-CN"/>
                    </w:rPr>
                  </w:pPr>
                  <w:r>
                    <w:rPr>
                      <w:rFonts w:hint="eastAsia"/>
                      <w:color w:val="auto"/>
                      <w:lang w:val="en-US" w:eastAsia="zh-CN"/>
                    </w:rPr>
                    <w:t>3台（原有）</w:t>
                  </w:r>
                </w:p>
              </w:tc>
              <w:tc>
                <w:tcPr>
                  <w:tcW w:w="11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auto"/>
                      <w:lang w:val="en-US" w:eastAsia="zh-CN"/>
                    </w:rPr>
                  </w:pPr>
                  <w:r>
                    <w:rPr>
                      <w:rFonts w:hint="eastAsia"/>
                      <w:color w:val="auto"/>
                      <w:lang w:val="en-US" w:eastAsia="zh-CN"/>
                    </w:rPr>
                    <w:t>两用一备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6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color w:val="auto"/>
                    </w:rPr>
                    <w:t>4</w:t>
                  </w:r>
                </w:p>
              </w:tc>
              <w:tc>
                <w:tcPr>
                  <w:tcW w:w="14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auto"/>
                      <w:lang w:eastAsia="zh-CN"/>
                    </w:rPr>
                  </w:pPr>
                  <w:r>
                    <w:rPr>
                      <w:rFonts w:hint="eastAsia"/>
                      <w:color w:val="auto"/>
                      <w:lang w:val="en-US" w:eastAsia="zh-CN"/>
                    </w:rPr>
                    <w:t>不锈钢拼装膨胀水箱</w:t>
                  </w:r>
                </w:p>
              </w:tc>
              <w:tc>
                <w:tcPr>
                  <w:tcW w:w="31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eastAsia"/>
                      <w:color w:val="auto"/>
                      <w:lang w:val="en-US" w:eastAsia="zh-CN"/>
                    </w:rPr>
                    <w:t>V=3m</w:t>
                  </w:r>
                  <w:r>
                    <w:rPr>
                      <w:rFonts w:hint="eastAsia"/>
                      <w:color w:val="auto"/>
                      <w:vertAlign w:val="superscript"/>
                      <w:lang w:val="en-US" w:eastAsia="zh-CN"/>
                    </w:rPr>
                    <w:t>3</w:t>
                  </w:r>
                  <w:r>
                    <w:rPr>
                      <w:rFonts w:hint="eastAsia"/>
                      <w:color w:val="auto"/>
                      <w:vertAlign w:val="baseline"/>
                      <w:lang w:val="en-US" w:eastAsia="zh-CN"/>
                    </w:rPr>
                    <w:t>,</w:t>
                  </w:r>
                  <w:r>
                    <w:rPr>
                      <w:rFonts w:hint="eastAsia"/>
                      <w:color w:val="auto"/>
                      <w:lang w:val="en-US" w:eastAsia="zh-CN"/>
                    </w:rPr>
                    <w:t>1500</w:t>
                  </w:r>
                  <w:r>
                    <w:rPr>
                      <w:rFonts w:hint="default"/>
                      <w:color w:val="auto"/>
                      <w:lang w:val="en-US" w:eastAsia="zh-CN"/>
                    </w:rPr>
                    <w:t>×</w:t>
                  </w:r>
                  <w:r>
                    <w:rPr>
                      <w:rFonts w:hint="eastAsia"/>
                      <w:color w:val="auto"/>
                      <w:lang w:val="en-US" w:eastAsia="zh-CN"/>
                    </w:rPr>
                    <w:t>1500</w:t>
                  </w:r>
                  <w:r>
                    <w:rPr>
                      <w:rFonts w:hint="default"/>
                      <w:color w:val="auto"/>
                      <w:lang w:val="en-US" w:eastAsia="zh-CN"/>
                    </w:rPr>
                    <w:t>×</w:t>
                  </w:r>
                  <w:r>
                    <w:rPr>
                      <w:rFonts w:hint="eastAsia"/>
                      <w:color w:val="auto"/>
                      <w:lang w:val="en-US" w:eastAsia="zh-CN"/>
                    </w:rPr>
                    <w:t>1500（mm）</w:t>
                  </w:r>
                </w:p>
              </w:tc>
              <w:tc>
                <w:tcPr>
                  <w:tcW w:w="16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4台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eastAsia="zh-CN"/>
                    </w:rPr>
                  </w:pPr>
                  <w:r>
                    <w:rPr>
                      <w:rFonts w:hint="eastAsia"/>
                      <w:color w:val="auto"/>
                      <w:lang w:val="en-US" w:eastAsia="zh-CN"/>
                    </w:rPr>
                    <w:t>（原有三台，新增一台）</w:t>
                  </w:r>
                </w:p>
              </w:tc>
              <w:tc>
                <w:tcPr>
                  <w:tcW w:w="11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heme="minorHAnsi" w:hAnsiTheme="minorHAnsi" w:eastAsiaTheme="minorEastAsia" w:cstheme="minorBidi"/>
                      <w:color w:val="auto"/>
                      <w:kern w:val="2"/>
                      <w:sz w:val="21"/>
                      <w:szCs w:val="24"/>
                      <w:lang w:val="en-US" w:eastAsia="zh-CN" w:bidi="ar-SA"/>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6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auto"/>
                      <w:lang w:val="en-US" w:eastAsia="zh-CN"/>
                    </w:rPr>
                  </w:pPr>
                  <w:r>
                    <w:rPr>
                      <w:rFonts w:hint="eastAsia"/>
                      <w:color w:val="auto"/>
                      <w:lang w:val="en-US" w:eastAsia="zh-CN"/>
                    </w:rPr>
                    <w:t>5</w:t>
                  </w:r>
                </w:p>
              </w:tc>
              <w:tc>
                <w:tcPr>
                  <w:tcW w:w="14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全自动钠离子交换器器</w:t>
                  </w:r>
                </w:p>
              </w:tc>
              <w:tc>
                <w:tcPr>
                  <w:tcW w:w="31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lang w:val="en-US" w:eastAsia="zh-CN"/>
                    </w:rPr>
                  </w:pPr>
                  <w:r>
                    <w:rPr>
                      <w:rFonts w:hint="eastAsia"/>
                      <w:color w:val="auto"/>
                      <w:lang w:val="en-US" w:eastAsia="zh-CN"/>
                    </w:rPr>
                    <w:t>FNS型，水处理量50m</w:t>
                  </w:r>
                  <w:r>
                    <w:rPr>
                      <w:rFonts w:hint="eastAsia"/>
                      <w:color w:val="auto"/>
                      <w:vertAlign w:val="superscript"/>
                      <w:lang w:val="en-US" w:eastAsia="zh-CN"/>
                    </w:rPr>
                    <w:t>3</w:t>
                  </w:r>
                  <w:r>
                    <w:rPr>
                      <w:rFonts w:hint="eastAsia"/>
                      <w:color w:val="auto"/>
                      <w:vertAlign w:val="baseline"/>
                      <w:lang w:val="en-US" w:eastAsia="zh-CN"/>
                    </w:rPr>
                    <w:t>/h</w:t>
                  </w:r>
                </w:p>
              </w:tc>
              <w:tc>
                <w:tcPr>
                  <w:tcW w:w="16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1套（原有）</w:t>
                  </w:r>
                </w:p>
              </w:tc>
              <w:tc>
                <w:tcPr>
                  <w:tcW w:w="11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4、原辅料、能源使用情况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rPr>
            </w:pPr>
            <w:r>
              <w:rPr>
                <w:rFonts w:hint="eastAsia"/>
                <w:color w:val="auto"/>
                <w:lang w:val="en-US" w:eastAsia="zh-CN"/>
              </w:rPr>
              <w:t>本</w:t>
            </w:r>
            <w:r>
              <w:rPr>
                <w:rFonts w:hint="eastAsia"/>
                <w:color w:val="auto"/>
              </w:rPr>
              <w:t>项目</w:t>
            </w:r>
            <w:r>
              <w:rPr>
                <w:rFonts w:hint="eastAsia"/>
                <w:color w:val="auto"/>
                <w:lang w:val="en-US" w:eastAsia="zh-CN"/>
              </w:rPr>
              <w:t>主要</w:t>
            </w:r>
            <w:r>
              <w:rPr>
                <w:rFonts w:hint="eastAsia"/>
                <w:color w:val="auto"/>
              </w:rPr>
              <w:t>原辅材料</w:t>
            </w:r>
            <w:r>
              <w:rPr>
                <w:rFonts w:hint="eastAsia"/>
                <w:color w:val="auto"/>
                <w:lang w:val="en-US" w:eastAsia="zh-CN"/>
              </w:rPr>
              <w:t>名称及用量</w:t>
            </w:r>
            <w:r>
              <w:rPr>
                <w:rFonts w:hint="eastAsia"/>
                <w:color w:val="auto"/>
              </w:rPr>
              <w:t>见表</w:t>
            </w:r>
            <w:r>
              <w:rPr>
                <w:rFonts w:hint="eastAsia"/>
                <w:color w:val="auto"/>
                <w:lang w:val="en-US" w:eastAsia="zh-CN"/>
              </w:rPr>
              <w:t>3</w:t>
            </w:r>
            <w:r>
              <w:rPr>
                <w:rFonts w:hint="eastAsia"/>
                <w:color w:val="auto"/>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lang w:val="zh-CN"/>
              </w:rPr>
            </w:pPr>
            <w:r>
              <w:rPr>
                <w:rFonts w:hint="eastAsia"/>
                <w:color w:val="auto"/>
                <w:lang w:val="en-US" w:eastAsia="zh-CN"/>
              </w:rPr>
              <w:t xml:space="preserve">        </w:t>
            </w:r>
            <w:r>
              <w:rPr>
                <w:rFonts w:hint="default"/>
                <w:color w:val="auto"/>
                <w:lang w:val="zh-CN"/>
              </w:rPr>
              <w:t>表</w:t>
            </w:r>
            <w:r>
              <w:rPr>
                <w:rFonts w:hint="eastAsia"/>
                <w:color w:val="auto"/>
                <w:lang w:val="en-US" w:eastAsia="zh-CN"/>
              </w:rPr>
              <w:t xml:space="preserve">3    </w:t>
            </w:r>
            <w:r>
              <w:rPr>
                <w:rFonts w:hint="default"/>
                <w:color w:val="auto"/>
                <w:lang w:val="zh-CN"/>
              </w:rPr>
              <w:t xml:space="preserve"> </w:t>
            </w:r>
            <w:r>
              <w:rPr>
                <w:rFonts w:hint="eastAsia"/>
                <w:color w:val="auto"/>
                <w:lang w:val="en-US" w:eastAsia="zh-CN"/>
              </w:rPr>
              <w:t xml:space="preserve">           </w:t>
            </w:r>
            <w:r>
              <w:rPr>
                <w:rFonts w:hint="default"/>
                <w:color w:val="auto"/>
                <w:lang w:val="zh-CN"/>
              </w:rPr>
              <w:t>项目主要原辅材料消耗情况一览表</w:t>
            </w:r>
          </w:p>
          <w:tbl>
            <w:tblPr>
              <w:tblStyle w:val="28"/>
              <w:tblW w:w="7620"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639"/>
              <w:gridCol w:w="1541"/>
              <w:gridCol w:w="1338"/>
              <w:gridCol w:w="227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jc w:val="center"/>
              </w:trPr>
              <w:tc>
                <w:tcPr>
                  <w:tcW w:w="824" w:type="dxa"/>
                  <w:tcBorders>
                    <w:tl2br w:val="nil"/>
                    <w:tr2bl w:val="nil"/>
                  </w:tcBorders>
                  <w:vAlign w:val="center"/>
                </w:tcPr>
                <w:p>
                  <w:pPr>
                    <w:adjustRightInd w:val="0"/>
                    <w:snapToGrid w:val="0"/>
                    <w:jc w:val="center"/>
                    <w:rPr>
                      <w:rFonts w:hint="default"/>
                      <w:color w:val="auto"/>
                      <w:lang w:val="zh-CN"/>
                    </w:rPr>
                  </w:pPr>
                  <w:r>
                    <w:rPr>
                      <w:rFonts w:hint="default"/>
                      <w:color w:val="auto"/>
                      <w:lang w:val="zh-CN"/>
                    </w:rPr>
                    <w:t>序号</w:t>
                  </w:r>
                </w:p>
              </w:tc>
              <w:tc>
                <w:tcPr>
                  <w:tcW w:w="1639" w:type="dxa"/>
                  <w:tcBorders>
                    <w:tl2br w:val="nil"/>
                    <w:tr2bl w:val="nil"/>
                  </w:tcBorders>
                  <w:vAlign w:val="center"/>
                </w:tcPr>
                <w:p>
                  <w:pPr>
                    <w:adjustRightInd w:val="0"/>
                    <w:snapToGrid w:val="0"/>
                    <w:jc w:val="center"/>
                    <w:rPr>
                      <w:rFonts w:hint="default"/>
                      <w:color w:val="auto"/>
                      <w:lang w:val="zh-CN"/>
                    </w:rPr>
                  </w:pPr>
                  <w:r>
                    <w:rPr>
                      <w:rFonts w:hint="default"/>
                      <w:color w:val="auto"/>
                      <w:lang w:val="zh-CN"/>
                    </w:rPr>
                    <w:t>名称</w:t>
                  </w:r>
                </w:p>
              </w:tc>
              <w:tc>
                <w:tcPr>
                  <w:tcW w:w="1541" w:type="dxa"/>
                  <w:tcBorders>
                    <w:right w:val="single" w:color="auto" w:sz="4" w:space="0"/>
                    <w:tl2br w:val="nil"/>
                    <w:tr2bl w:val="nil"/>
                  </w:tcBorders>
                  <w:vAlign w:val="center"/>
                </w:tcPr>
                <w:p>
                  <w:pPr>
                    <w:adjustRightInd w:val="0"/>
                    <w:snapToGrid w:val="0"/>
                    <w:jc w:val="center"/>
                    <w:rPr>
                      <w:rFonts w:hint="default"/>
                      <w:color w:val="auto"/>
                      <w:lang w:val="zh-CN"/>
                    </w:rPr>
                  </w:pPr>
                  <w:r>
                    <w:rPr>
                      <w:rFonts w:hint="eastAsia"/>
                      <w:color w:val="auto"/>
                      <w:lang w:val="en-US" w:eastAsia="zh-CN"/>
                    </w:rPr>
                    <w:t>原有消耗</w:t>
                  </w:r>
                  <w:r>
                    <w:rPr>
                      <w:rFonts w:hint="default"/>
                      <w:color w:val="auto"/>
                      <w:lang w:val="zh-CN"/>
                    </w:rPr>
                    <w:t>量</w:t>
                  </w:r>
                </w:p>
              </w:tc>
              <w:tc>
                <w:tcPr>
                  <w:tcW w:w="1338" w:type="dxa"/>
                  <w:tcBorders>
                    <w:left w:val="single" w:color="auto" w:sz="4" w:space="0"/>
                    <w:tl2br w:val="nil"/>
                    <w:tr2bl w:val="nil"/>
                  </w:tcBorders>
                  <w:vAlign w:val="center"/>
                </w:tcPr>
                <w:p>
                  <w:pPr>
                    <w:adjustRightInd w:val="0"/>
                    <w:snapToGrid w:val="0"/>
                    <w:jc w:val="center"/>
                    <w:rPr>
                      <w:rFonts w:hint="default"/>
                      <w:color w:val="auto"/>
                      <w:lang w:val="en-US" w:eastAsia="zh-CN"/>
                    </w:rPr>
                  </w:pPr>
                  <w:r>
                    <w:rPr>
                      <w:rFonts w:hint="eastAsia"/>
                      <w:color w:val="auto"/>
                      <w:lang w:val="en-US" w:eastAsia="zh-CN"/>
                    </w:rPr>
                    <w:t>新增消耗</w:t>
                  </w:r>
                  <w:r>
                    <w:rPr>
                      <w:rFonts w:hint="default"/>
                      <w:color w:val="auto"/>
                      <w:lang w:val="zh-CN"/>
                    </w:rPr>
                    <w:t>量</w:t>
                  </w:r>
                </w:p>
              </w:tc>
              <w:tc>
                <w:tcPr>
                  <w:tcW w:w="2278" w:type="dxa"/>
                  <w:tcBorders>
                    <w:tl2br w:val="nil"/>
                    <w:tr2bl w:val="nil"/>
                  </w:tcBorders>
                  <w:vAlign w:val="center"/>
                </w:tcPr>
                <w:p>
                  <w:pPr>
                    <w:spacing w:line="240" w:lineRule="atLeast"/>
                    <w:jc w:val="center"/>
                    <w:rPr>
                      <w:rFonts w:hint="eastAsia" w:eastAsiaTheme="minorEastAsia"/>
                      <w:color w:val="auto"/>
                      <w:lang w:val="zh-CN" w:eastAsia="zh-CN"/>
                    </w:rPr>
                  </w:pPr>
                  <w:r>
                    <w:rPr>
                      <w:color w:val="auto"/>
                    </w:rPr>
                    <w:t>来源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52" w:hRule="atLeast"/>
                <w:jc w:val="center"/>
              </w:trPr>
              <w:tc>
                <w:tcPr>
                  <w:tcW w:w="824"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1</w:t>
                  </w:r>
                </w:p>
              </w:tc>
              <w:tc>
                <w:tcPr>
                  <w:tcW w:w="16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天然气（m</w:t>
                  </w:r>
                  <w:r>
                    <w:rPr>
                      <w:rFonts w:hint="eastAsia"/>
                      <w:color w:val="auto"/>
                      <w:vertAlign w:val="superscript"/>
                      <w:lang w:val="en-US" w:eastAsia="zh-CN"/>
                    </w:rPr>
                    <w:t>3</w:t>
                  </w:r>
                  <w:r>
                    <w:rPr>
                      <w:rFonts w:hint="eastAsia"/>
                      <w:color w:val="auto"/>
                      <w:lang w:val="en-US" w:eastAsia="zh-CN"/>
                    </w:rPr>
                    <w:t>/a）</w:t>
                  </w:r>
                </w:p>
              </w:tc>
              <w:tc>
                <w:tcPr>
                  <w:tcW w:w="1541" w:type="dxa"/>
                  <w:tcBorders>
                    <w:right w:val="single" w:color="auto" w:sz="4" w:space="0"/>
                    <w:tl2br w:val="nil"/>
                    <w:tr2bl w:val="nil"/>
                  </w:tcBorders>
                  <w:vAlign w:val="center"/>
                </w:tcPr>
                <w:p>
                  <w:pPr>
                    <w:adjustRightInd w:val="0"/>
                    <w:snapToGrid w:val="0"/>
                    <w:jc w:val="center"/>
                    <w:rPr>
                      <w:rFonts w:hint="default" w:ascii="Times New Roman" w:hAnsi="Times New Roman" w:cs="Times New Roman"/>
                      <w:color w:val="FF0000"/>
                      <w:lang w:val="en-US" w:eastAsia="zh-CN"/>
                    </w:rPr>
                  </w:pPr>
                  <w:r>
                    <w:rPr>
                      <w:rFonts w:hint="eastAsia" w:ascii="Times New Roman" w:hAnsi="Times New Roman" w:cs="Times New Roman"/>
                      <w:color w:val="FF0000"/>
                      <w:lang w:val="en-US" w:eastAsia="zh-CN"/>
                    </w:rPr>
                    <w:t>712.8</w:t>
                  </w:r>
                  <w:r>
                    <w:rPr>
                      <w:rFonts w:hint="eastAsia"/>
                      <w:color w:val="FF0000"/>
                      <w:lang w:val="en-US" w:eastAsia="zh-CN"/>
                    </w:rPr>
                    <w:t>万</w:t>
                  </w:r>
                </w:p>
              </w:tc>
              <w:tc>
                <w:tcPr>
                  <w:tcW w:w="1338" w:type="dxa"/>
                  <w:tcBorders>
                    <w:left w:val="single" w:color="auto" w:sz="4" w:space="0"/>
                    <w:tl2br w:val="nil"/>
                    <w:tr2bl w:val="nil"/>
                  </w:tcBorders>
                  <w:vAlign w:val="center"/>
                </w:tcPr>
                <w:p>
                  <w:pPr>
                    <w:adjustRightInd w:val="0"/>
                    <w:snapToGrid w:val="0"/>
                    <w:jc w:val="center"/>
                    <w:rPr>
                      <w:rFonts w:hint="default" w:ascii="Times New Roman" w:hAnsi="Times New Roman" w:cs="Times New Roman"/>
                      <w:color w:val="FF0000"/>
                      <w:lang w:val="en-US" w:eastAsia="zh-CN"/>
                    </w:rPr>
                  </w:pPr>
                  <w:r>
                    <w:rPr>
                      <w:rFonts w:hint="eastAsia" w:ascii="Times New Roman" w:hAnsi="Times New Roman" w:cs="Times New Roman"/>
                      <w:color w:val="FF0000"/>
                      <w:lang w:val="en-US" w:eastAsia="zh-CN"/>
                    </w:rPr>
                    <w:t>237.6</w:t>
                  </w:r>
                  <w:r>
                    <w:rPr>
                      <w:rFonts w:hint="eastAsia"/>
                      <w:color w:val="FF0000"/>
                      <w:lang w:val="en-US" w:eastAsia="zh-CN"/>
                    </w:rPr>
                    <w:t>万</w:t>
                  </w:r>
                </w:p>
              </w:tc>
              <w:tc>
                <w:tcPr>
                  <w:tcW w:w="2278" w:type="dxa"/>
                  <w:tcBorders>
                    <w:tl2br w:val="nil"/>
                    <w:tr2bl w:val="nil"/>
                  </w:tcBorders>
                  <w:vAlign w:val="center"/>
                </w:tcPr>
                <w:p>
                  <w:pPr>
                    <w:spacing w:line="240" w:lineRule="atLeast"/>
                    <w:jc w:val="center"/>
                    <w:rPr>
                      <w:rFonts w:hint="eastAsia"/>
                      <w:color w:val="auto"/>
                      <w:lang w:val="en-US" w:eastAsia="zh-CN"/>
                    </w:rPr>
                  </w:pPr>
                  <w:r>
                    <w:rPr>
                      <w:rFonts w:hint="eastAsia"/>
                      <w:color w:val="auto"/>
                      <w:lang w:val="en-US" w:eastAsia="zh-CN"/>
                    </w:rPr>
                    <w:t>昌吉</w:t>
                  </w:r>
                  <w:r>
                    <w:rPr>
                      <w:color w:val="auto"/>
                    </w:rPr>
                    <w:t>市燃气公司</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52" w:hRule="atLeast"/>
                <w:jc w:val="center"/>
              </w:trPr>
              <w:tc>
                <w:tcPr>
                  <w:tcW w:w="824"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2</w:t>
                  </w:r>
                </w:p>
              </w:tc>
              <w:tc>
                <w:tcPr>
                  <w:tcW w:w="16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水（m</w:t>
                  </w:r>
                  <w:r>
                    <w:rPr>
                      <w:rFonts w:hint="eastAsia"/>
                      <w:color w:val="auto"/>
                      <w:vertAlign w:val="superscript"/>
                      <w:lang w:val="en-US" w:eastAsia="zh-CN"/>
                    </w:rPr>
                    <w:t>3</w:t>
                  </w:r>
                  <w:r>
                    <w:rPr>
                      <w:rFonts w:hint="eastAsia"/>
                      <w:color w:val="auto"/>
                      <w:lang w:val="en-US" w:eastAsia="zh-CN"/>
                    </w:rPr>
                    <w:t>/a）</w:t>
                  </w:r>
                </w:p>
              </w:tc>
              <w:tc>
                <w:tcPr>
                  <w:tcW w:w="1541" w:type="dxa"/>
                  <w:tcBorders>
                    <w:right w:val="single" w:color="auto" w:sz="4" w:space="0"/>
                    <w:tl2br w:val="nil"/>
                    <w:tr2bl w:val="nil"/>
                  </w:tcBorders>
                  <w:vAlign w:val="center"/>
                </w:tcPr>
                <w:p>
                  <w:pPr>
                    <w:adjustRightInd w:val="0"/>
                    <w:snapToGrid w:val="0"/>
                    <w:jc w:val="center"/>
                    <w:rPr>
                      <w:rFonts w:hint="default" w:ascii="Times New Roman" w:hAnsi="Times New Roman" w:cs="Times New Roman"/>
                      <w:color w:val="FF0000"/>
                      <w:lang w:val="en-US" w:eastAsia="zh-CN"/>
                    </w:rPr>
                  </w:pPr>
                  <w:r>
                    <w:rPr>
                      <w:rFonts w:hint="eastAsia" w:ascii="Times New Roman" w:hAnsi="Times New Roman" w:cs="Times New Roman"/>
                      <w:color w:val="FF0000"/>
                      <w:lang w:val="en-US" w:eastAsia="zh-CN"/>
                    </w:rPr>
                    <w:t>4.38万</w:t>
                  </w:r>
                </w:p>
              </w:tc>
              <w:tc>
                <w:tcPr>
                  <w:tcW w:w="1338" w:type="dxa"/>
                  <w:tcBorders>
                    <w:left w:val="single" w:color="auto" w:sz="4" w:space="0"/>
                    <w:tl2br w:val="nil"/>
                    <w:tr2bl w:val="nil"/>
                  </w:tcBorders>
                  <w:vAlign w:val="center"/>
                </w:tcPr>
                <w:p>
                  <w:pPr>
                    <w:adjustRightInd w:val="0"/>
                    <w:snapToGrid w:val="0"/>
                    <w:jc w:val="center"/>
                    <w:rPr>
                      <w:rFonts w:hint="eastAsia" w:ascii="Times New Roman" w:hAnsi="Times New Roman" w:cs="Times New Roman"/>
                      <w:color w:val="FF0000"/>
                      <w:lang w:val="en-US" w:eastAsia="zh-CN"/>
                    </w:rPr>
                  </w:pPr>
                  <w:r>
                    <w:rPr>
                      <w:rFonts w:hint="eastAsia" w:ascii="Times New Roman" w:hAnsi="Times New Roman" w:cs="Times New Roman"/>
                      <w:color w:val="FF0000"/>
                      <w:lang w:val="en-US" w:eastAsia="zh-CN"/>
                    </w:rPr>
                    <w:t>1.46万</w:t>
                  </w:r>
                </w:p>
              </w:tc>
              <w:tc>
                <w:tcPr>
                  <w:tcW w:w="2278" w:type="dxa"/>
                  <w:tcBorders>
                    <w:bottom w:val="single" w:color="auto" w:sz="4" w:space="0"/>
                    <w:tl2br w:val="nil"/>
                    <w:tr2bl w:val="nil"/>
                  </w:tcBorders>
                  <w:vAlign w:val="center"/>
                </w:tcPr>
                <w:p>
                  <w:pPr>
                    <w:spacing w:line="184" w:lineRule="atLeast"/>
                    <w:jc w:val="center"/>
                    <w:rPr>
                      <w:rFonts w:hint="eastAsia"/>
                      <w:color w:val="auto"/>
                      <w:lang w:val="en-US" w:eastAsia="zh-CN"/>
                    </w:rPr>
                  </w:pPr>
                  <w:r>
                    <w:rPr>
                      <w:color w:val="auto"/>
                    </w:rPr>
                    <w:t>市政供水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52" w:hRule="atLeast"/>
                <w:jc w:val="center"/>
              </w:trPr>
              <w:tc>
                <w:tcPr>
                  <w:tcW w:w="824"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3</w:t>
                  </w:r>
                </w:p>
              </w:tc>
              <w:tc>
                <w:tcPr>
                  <w:tcW w:w="16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电（kWh/a）</w:t>
                  </w:r>
                </w:p>
              </w:tc>
              <w:tc>
                <w:tcPr>
                  <w:tcW w:w="1541" w:type="dxa"/>
                  <w:tcBorders>
                    <w:right w:val="single" w:color="auto" w:sz="4" w:space="0"/>
                    <w:tl2br w:val="nil"/>
                    <w:tr2bl w:val="nil"/>
                  </w:tcBorders>
                  <w:vAlign w:val="center"/>
                </w:tcPr>
                <w:p>
                  <w:pPr>
                    <w:adjustRightInd w:val="0"/>
                    <w:snapToGrid w:val="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21.5万</w:t>
                  </w:r>
                </w:p>
              </w:tc>
              <w:tc>
                <w:tcPr>
                  <w:tcW w:w="1338" w:type="dxa"/>
                  <w:tcBorders>
                    <w:left w:val="single" w:color="auto" w:sz="4" w:space="0"/>
                    <w:tl2br w:val="nil"/>
                    <w:tr2bl w:val="nil"/>
                  </w:tcBorders>
                  <w:vAlign w:val="center"/>
                </w:tcPr>
                <w:p>
                  <w:pPr>
                    <w:adjustRightInd w:val="0"/>
                    <w:snapToGrid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7.5万</w:t>
                  </w:r>
                </w:p>
              </w:tc>
              <w:tc>
                <w:tcPr>
                  <w:tcW w:w="2278" w:type="dxa"/>
                  <w:tcBorders>
                    <w:top w:val="single" w:color="auto" w:sz="4" w:space="0"/>
                    <w:tl2br w:val="nil"/>
                    <w:tr2bl w:val="nil"/>
                  </w:tcBorders>
                  <w:vAlign w:val="center"/>
                </w:tcPr>
                <w:p>
                  <w:pPr>
                    <w:spacing w:line="240" w:lineRule="atLeast"/>
                    <w:jc w:val="center"/>
                    <w:rPr>
                      <w:rFonts w:hint="eastAsia"/>
                      <w:color w:val="auto"/>
                      <w:lang w:val="en-US" w:eastAsia="zh-CN"/>
                    </w:rPr>
                  </w:pPr>
                  <w:r>
                    <w:rPr>
                      <w:color w:val="auto"/>
                    </w:rPr>
                    <w:t>市政供电</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5、劳动定员及工作制度</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default"/>
                <w:color w:val="auto"/>
              </w:rPr>
            </w:pPr>
            <w:r>
              <w:rPr>
                <w:rFonts w:hint="default"/>
                <w:color w:val="auto"/>
              </w:rPr>
              <w:t>本项目</w:t>
            </w:r>
            <w:r>
              <w:rPr>
                <w:rFonts w:hint="eastAsia"/>
                <w:color w:val="auto"/>
                <w:lang w:val="en-US" w:eastAsia="zh-CN"/>
              </w:rPr>
              <w:t>不新增劳动</w:t>
            </w:r>
            <w:r>
              <w:rPr>
                <w:rFonts w:hint="default"/>
                <w:color w:val="auto"/>
              </w:rPr>
              <w:t>定员，</w:t>
            </w:r>
            <w:r>
              <w:rPr>
                <w:rFonts w:hint="eastAsia"/>
                <w:color w:val="auto"/>
              </w:rPr>
              <w:t>锅炉</w:t>
            </w:r>
            <w:r>
              <w:rPr>
                <w:rFonts w:hint="default"/>
                <w:color w:val="auto"/>
              </w:rPr>
              <w:t>全年运转180天，由10月至次年</w:t>
            </w:r>
            <w:r>
              <w:rPr>
                <w:rFonts w:hint="eastAsia"/>
                <w:color w:val="auto"/>
                <w:lang w:val="en-US" w:eastAsia="zh-CN"/>
              </w:rPr>
              <w:t>4</w:t>
            </w:r>
            <w:r>
              <w:rPr>
                <w:rFonts w:hint="default"/>
                <w:color w:val="auto"/>
              </w:rPr>
              <w:t>月。供热运行为三班两运转</w:t>
            </w:r>
            <w:r>
              <w:rPr>
                <w:rFonts w:hint="eastAsia"/>
                <w:color w:val="auto"/>
                <w:lang w:eastAsia="zh-CN"/>
              </w:rPr>
              <w:t>，锅炉每天运行</w:t>
            </w:r>
            <w:r>
              <w:rPr>
                <w:rFonts w:hint="eastAsia"/>
                <w:color w:val="auto"/>
                <w:lang w:val="en-US" w:eastAsia="zh-CN"/>
              </w:rPr>
              <w:t>24小时</w:t>
            </w:r>
            <w:r>
              <w:rPr>
                <w:rFonts w:hint="default"/>
                <w:color w:val="auto"/>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jc w:val="left"/>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w:t>
            </w:r>
            <w:r>
              <w:rPr>
                <w:rFonts w:hint="eastAsia" w:ascii="Times New Roman" w:hAnsi="Times New Roman" w:eastAsia="宋体" w:cs="Times New Roman"/>
                <w:color w:val="auto"/>
                <w:sz w:val="21"/>
                <w:szCs w:val="21"/>
                <w:lang w:val="en-US" w:eastAsia="zh-CN"/>
              </w:rPr>
              <w:t>、公用工程</w:t>
            </w:r>
          </w:p>
          <w:p>
            <w:pPr>
              <w:widowControl/>
              <w:spacing w:line="360" w:lineRule="auto"/>
              <w:ind w:firstLine="420" w:firstLineChars="200"/>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w:t>
            </w:r>
            <w:r>
              <w:rPr>
                <w:rFonts w:hint="default" w:ascii="Times New Roman" w:hAnsi="Times New Roman" w:cs="Times New Roman"/>
                <w:color w:val="auto"/>
                <w:kern w:val="0"/>
                <w:sz w:val="21"/>
                <w:szCs w:val="21"/>
              </w:rPr>
              <w:t>.1 供水</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color w:val="auto"/>
                <w:kern w:val="0"/>
                <w:sz w:val="21"/>
                <w:szCs w:val="21"/>
              </w:rPr>
            </w:pPr>
            <w:r>
              <w:rPr>
                <w:rFonts w:hint="default"/>
                <w:color w:val="auto"/>
              </w:rPr>
              <w:t>本项目</w:t>
            </w:r>
            <w:r>
              <w:rPr>
                <w:rFonts w:hint="eastAsia"/>
                <w:color w:val="auto"/>
                <w:lang w:val="en-US" w:eastAsia="zh-CN"/>
              </w:rPr>
              <w:t>不新增劳动</w:t>
            </w:r>
            <w:r>
              <w:rPr>
                <w:rFonts w:hint="default"/>
                <w:color w:val="auto"/>
              </w:rPr>
              <w:t>定员</w:t>
            </w:r>
            <w:r>
              <w:rPr>
                <w:rFonts w:hint="eastAsia"/>
                <w:color w:val="auto"/>
                <w:lang w:eastAsia="zh-CN"/>
              </w:rPr>
              <w:t>，</w:t>
            </w:r>
            <w:r>
              <w:rPr>
                <w:rFonts w:hint="eastAsia"/>
                <w:color w:val="auto"/>
                <w:lang w:val="en-US" w:eastAsia="zh-CN"/>
              </w:rPr>
              <w:t>不新增生活用水量</w:t>
            </w:r>
            <w:r>
              <w:rPr>
                <w:rFonts w:hint="default" w:ascii="Times New Roman" w:hAnsi="Times New Roman" w:cs="Times New Roman"/>
                <w:color w:val="auto"/>
                <w:sz w:val="21"/>
                <w:szCs w:val="21"/>
              </w:rPr>
              <w:t>。</w:t>
            </w:r>
            <w:r>
              <w:rPr>
                <w:rFonts w:hint="default" w:ascii="Times New Roman" w:hAnsi="Times New Roman" w:cs="Times New Roman"/>
                <w:color w:val="auto"/>
                <w:kern w:val="0"/>
                <w:sz w:val="21"/>
                <w:szCs w:val="21"/>
              </w:rPr>
              <w:t>本项目用水主要为</w:t>
            </w:r>
            <w:r>
              <w:rPr>
                <w:rFonts w:hint="eastAsia" w:ascii="Times New Roman" w:hAnsi="Times New Roman" w:cs="Times New Roman"/>
                <w:color w:val="auto"/>
                <w:kern w:val="0"/>
                <w:sz w:val="21"/>
                <w:szCs w:val="21"/>
                <w:lang w:val="en-US" w:eastAsia="zh-CN"/>
              </w:rPr>
              <w:t>锅炉</w:t>
            </w:r>
            <w:r>
              <w:rPr>
                <w:rFonts w:hint="default" w:ascii="Times New Roman" w:hAnsi="Times New Roman" w:cs="Times New Roman"/>
                <w:color w:val="auto"/>
                <w:kern w:val="0"/>
                <w:sz w:val="21"/>
                <w:szCs w:val="21"/>
              </w:rPr>
              <w:t>用水，项目水源由</w:t>
            </w:r>
            <w:r>
              <w:rPr>
                <w:rFonts w:hint="eastAsia"/>
                <w:color w:val="auto"/>
                <w:lang w:val="en-US" w:eastAsia="zh-CN"/>
              </w:rPr>
              <w:t>昌吉市</w:t>
            </w:r>
            <w:r>
              <w:rPr>
                <w:rFonts w:hint="default" w:ascii="Times New Roman" w:hAnsi="Times New Roman" w:cs="Times New Roman"/>
                <w:color w:val="auto"/>
                <w:kern w:val="0"/>
                <w:sz w:val="21"/>
                <w:szCs w:val="21"/>
              </w:rPr>
              <w:t>供水管网供给，可满足项目用水需求。</w:t>
            </w:r>
          </w:p>
          <w:p>
            <w:pPr>
              <w:widowControl/>
              <w:spacing w:line="360" w:lineRule="auto"/>
              <w:ind w:firstLine="420" w:firstLineChars="200"/>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锅炉新鲜水用量为</w:t>
            </w:r>
            <w:r>
              <w:rPr>
                <w:rFonts w:hint="eastAsia" w:ascii="Times New Roman" w:hAnsi="Times New Roman" w:cs="Times New Roman"/>
                <w:color w:val="FF0000"/>
                <w:sz w:val="21"/>
                <w:szCs w:val="21"/>
                <w:lang w:val="en-US" w:eastAsia="zh-CN"/>
              </w:rPr>
              <w:t>17.89</w:t>
            </w:r>
            <w:r>
              <w:rPr>
                <w:rFonts w:hint="default" w:ascii="Times New Roman" w:hAnsi="Times New Roman" w:cs="Times New Roman"/>
                <w:color w:val="FF0000"/>
                <w:sz w:val="21"/>
                <w:szCs w:val="21"/>
              </w:rPr>
              <w:t>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/d</w:t>
            </w:r>
            <w:r>
              <w:rPr>
                <w:rFonts w:hint="eastAsia" w:ascii="Times New Roman" w:hAnsi="Times New Roman" w:cs="Times New Roman"/>
                <w:color w:val="FF0000"/>
                <w:sz w:val="21"/>
                <w:szCs w:val="21"/>
                <w:lang w:val="en-US" w:eastAsia="zh-CN"/>
              </w:rPr>
              <w:t>（3221.85</w:t>
            </w:r>
            <w:r>
              <w:rPr>
                <w:rFonts w:hint="default" w:ascii="Times New Roman" w:hAnsi="Times New Roman" w:cs="Times New Roman"/>
                <w:color w:val="FF0000"/>
                <w:sz w:val="21"/>
                <w:szCs w:val="21"/>
              </w:rPr>
              <w:t>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/a</w:t>
            </w:r>
            <w:r>
              <w:rPr>
                <w:rFonts w:hint="eastAsia" w:ascii="Times New Roman" w:hAnsi="Times New Roman" w:cs="Times New Roman"/>
                <w:color w:val="FF0000"/>
                <w:sz w:val="21"/>
                <w:szCs w:val="21"/>
                <w:lang w:val="en-US" w:eastAsia="zh-CN"/>
              </w:rPr>
              <w:t>）</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锅炉使用软水，</w:t>
            </w:r>
            <w:r>
              <w:rPr>
                <w:rFonts w:hint="eastAsia" w:ascii="Times New Roman" w:hAnsi="Times New Roman" w:cs="Times New Roman"/>
                <w:color w:val="auto"/>
                <w:kern w:val="0"/>
                <w:sz w:val="21"/>
                <w:szCs w:val="21"/>
                <w:lang w:val="en-US" w:eastAsia="zh-CN"/>
              </w:rPr>
              <w:t>软水系统出水率按80%计，</w:t>
            </w:r>
            <w:r>
              <w:rPr>
                <w:rFonts w:hint="eastAsia" w:ascii="Times New Roman" w:hAnsi="Times New Roman" w:cs="Times New Roman"/>
                <w:color w:val="auto"/>
                <w:sz w:val="21"/>
                <w:szCs w:val="21"/>
                <w:lang w:val="en-US" w:eastAsia="zh-CN"/>
              </w:rPr>
              <w:t>锅炉补水量为</w:t>
            </w:r>
            <w:r>
              <w:rPr>
                <w:rFonts w:hint="eastAsia" w:ascii="Times New Roman" w:hAnsi="Times New Roman" w:cs="Times New Roman"/>
                <w:color w:val="FF0000"/>
                <w:sz w:val="21"/>
                <w:szCs w:val="21"/>
                <w:lang w:val="en-US" w:eastAsia="zh-CN"/>
              </w:rPr>
              <w:t>1.63</w:t>
            </w:r>
            <w:r>
              <w:rPr>
                <w:rFonts w:hint="default" w:ascii="Times New Roman" w:hAnsi="Times New Roman" w:cs="Times New Roman"/>
                <w:color w:val="FF0000"/>
                <w:sz w:val="21"/>
                <w:szCs w:val="21"/>
              </w:rPr>
              <w:t>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/d</w:t>
            </w:r>
            <w:r>
              <w:rPr>
                <w:rFonts w:hint="eastAsia" w:ascii="Times New Roman" w:hAnsi="Times New Roman" w:cs="Times New Roman"/>
                <w:color w:val="FF0000"/>
                <w:sz w:val="21"/>
                <w:szCs w:val="21"/>
                <w:lang w:val="en-US" w:eastAsia="zh-CN"/>
              </w:rPr>
              <w:t>（292.9</w:t>
            </w:r>
            <w:r>
              <w:rPr>
                <w:rFonts w:hint="default" w:ascii="Times New Roman" w:hAnsi="Times New Roman" w:cs="Times New Roman"/>
                <w:color w:val="FF0000"/>
                <w:sz w:val="21"/>
                <w:szCs w:val="21"/>
              </w:rPr>
              <w:t>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/a</w:t>
            </w:r>
            <w:r>
              <w:rPr>
                <w:rFonts w:hint="eastAsia" w:ascii="Times New Roman" w:hAnsi="Times New Roman" w:cs="Times New Roman"/>
                <w:color w:val="FF0000"/>
                <w:sz w:val="21"/>
                <w:szCs w:val="21"/>
                <w:lang w:val="en-US" w:eastAsia="zh-CN"/>
              </w:rPr>
              <w:t>）</w:t>
            </w:r>
            <w:r>
              <w:rPr>
                <w:rFonts w:hint="eastAsia" w:ascii="Times New Roman" w:hAnsi="Times New Roman" w:cs="Times New Roman"/>
                <w:color w:val="auto"/>
                <w:sz w:val="21"/>
                <w:szCs w:val="21"/>
                <w:lang w:val="en-US" w:eastAsia="zh-CN"/>
              </w:rPr>
              <w:t>，循环水量为</w:t>
            </w:r>
            <w:r>
              <w:rPr>
                <w:rFonts w:hint="eastAsia" w:ascii="Times New Roman" w:hAnsi="Times New Roman" w:cs="Times New Roman"/>
                <w:color w:val="FF0000"/>
                <w:sz w:val="21"/>
                <w:szCs w:val="21"/>
                <w:lang w:val="en-US" w:eastAsia="zh-CN"/>
              </w:rPr>
              <w:t>63.46</w:t>
            </w:r>
            <w:r>
              <w:rPr>
                <w:rFonts w:hint="default" w:ascii="Times New Roman" w:hAnsi="Times New Roman" w:cs="Times New Roman"/>
                <w:color w:val="FF0000"/>
                <w:sz w:val="21"/>
                <w:szCs w:val="21"/>
              </w:rPr>
              <w:t>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/d</w:t>
            </w:r>
            <w:r>
              <w:rPr>
                <w:rFonts w:hint="eastAsia" w:ascii="Times New Roman" w:hAnsi="Times New Roman" w:cs="Times New Roman"/>
                <w:color w:val="FF0000"/>
                <w:sz w:val="21"/>
                <w:szCs w:val="21"/>
                <w:lang w:val="en-US" w:eastAsia="zh-CN"/>
              </w:rPr>
              <w:t>（11422.92</w:t>
            </w:r>
            <w:r>
              <w:rPr>
                <w:rFonts w:hint="default" w:ascii="Times New Roman" w:hAnsi="Times New Roman" w:cs="Times New Roman"/>
                <w:color w:val="FF0000"/>
                <w:sz w:val="21"/>
                <w:szCs w:val="21"/>
              </w:rPr>
              <w:t>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/a</w:t>
            </w:r>
            <w:r>
              <w:rPr>
                <w:rFonts w:hint="eastAsia" w:ascii="Times New Roman" w:hAnsi="Times New Roman" w:cs="Times New Roman"/>
                <w:color w:val="FF0000"/>
                <w:sz w:val="21"/>
                <w:szCs w:val="21"/>
                <w:lang w:val="en-US" w:eastAsia="zh-CN"/>
              </w:rPr>
              <w:t>）</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 </w:t>
            </w:r>
          </w:p>
          <w:p>
            <w:pPr>
              <w:widowControl/>
              <w:spacing w:line="360" w:lineRule="auto"/>
              <w:ind w:firstLine="525" w:firstLineChars="250"/>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w:t>
            </w:r>
            <w:r>
              <w:rPr>
                <w:rFonts w:hint="default" w:ascii="Times New Roman" w:hAnsi="Times New Roman" w:cs="Times New Roman"/>
                <w:color w:val="auto"/>
                <w:kern w:val="0"/>
                <w:sz w:val="21"/>
                <w:szCs w:val="21"/>
              </w:rPr>
              <w:t>.2</w:t>
            </w:r>
            <w:r>
              <w:rPr>
                <w:rFonts w:hint="eastAsia" w:cs="Times New Roman"/>
                <w:color w:val="auto"/>
                <w:kern w:val="0"/>
                <w:sz w:val="21"/>
                <w:szCs w:val="21"/>
                <w:lang w:val="en-US" w:eastAsia="zh-CN"/>
              </w:rPr>
              <w:t xml:space="preserve"> </w:t>
            </w:r>
            <w:r>
              <w:rPr>
                <w:rFonts w:hint="default" w:ascii="Times New Roman" w:hAnsi="Times New Roman" w:cs="Times New Roman"/>
                <w:color w:val="auto"/>
                <w:kern w:val="0"/>
                <w:sz w:val="21"/>
                <w:szCs w:val="21"/>
              </w:rPr>
              <w:t>排水</w:t>
            </w:r>
          </w:p>
          <w:p>
            <w:pPr>
              <w:widowControl/>
              <w:spacing w:line="360" w:lineRule="auto"/>
              <w:ind w:firstLine="420" w:firstLineChars="200"/>
              <w:rPr>
                <w:rFonts w:hint="default" w:ascii="Times New Roman" w:hAnsi="Times New Roman" w:cs="Times New Roman"/>
                <w:color w:val="auto"/>
                <w:kern w:val="0"/>
                <w:sz w:val="21"/>
                <w:szCs w:val="21"/>
              </w:rPr>
            </w:pPr>
            <w:r>
              <w:rPr>
                <w:rFonts w:hint="default"/>
                <w:color w:val="auto"/>
              </w:rPr>
              <w:t>本项目</w:t>
            </w:r>
            <w:r>
              <w:rPr>
                <w:rFonts w:hint="eastAsia"/>
                <w:color w:val="auto"/>
                <w:lang w:val="en-US" w:eastAsia="zh-CN"/>
              </w:rPr>
              <w:t>不新增劳动</w:t>
            </w:r>
            <w:r>
              <w:rPr>
                <w:rFonts w:hint="default"/>
                <w:color w:val="auto"/>
              </w:rPr>
              <w:t>定员</w:t>
            </w:r>
            <w:r>
              <w:rPr>
                <w:rFonts w:hint="eastAsia"/>
                <w:color w:val="auto"/>
                <w:lang w:eastAsia="zh-CN"/>
              </w:rPr>
              <w:t>，</w:t>
            </w:r>
            <w:r>
              <w:rPr>
                <w:rFonts w:hint="eastAsia"/>
                <w:color w:val="auto"/>
                <w:lang w:val="en-US" w:eastAsia="zh-CN"/>
              </w:rPr>
              <w:t>不新增生活污水</w:t>
            </w:r>
            <w:r>
              <w:rPr>
                <w:rFonts w:hint="default" w:ascii="Times New Roman" w:hAnsi="Times New Roman" w:cs="Times New Roman"/>
                <w:color w:val="auto"/>
                <w:sz w:val="21"/>
                <w:szCs w:val="21"/>
              </w:rPr>
              <w:t>。</w:t>
            </w:r>
            <w:r>
              <w:rPr>
                <w:rFonts w:hint="default" w:ascii="Times New Roman" w:hAnsi="Times New Roman" w:cs="Times New Roman"/>
                <w:color w:val="auto"/>
                <w:kern w:val="0"/>
                <w:sz w:val="21"/>
                <w:szCs w:val="21"/>
              </w:rPr>
              <w:t>本项目废水主要为</w:t>
            </w:r>
            <w:r>
              <w:rPr>
                <w:rFonts w:hint="eastAsia" w:hAnsi="宋体" w:eastAsia="宋体"/>
                <w:color w:val="auto"/>
                <w:sz w:val="21"/>
                <w:szCs w:val="21"/>
              </w:rPr>
              <w:t>锅炉</w:t>
            </w:r>
            <w:r>
              <w:rPr>
                <w:rFonts w:hint="eastAsia" w:hAnsi="宋体" w:eastAsia="宋体"/>
                <w:color w:val="auto"/>
                <w:sz w:val="21"/>
                <w:szCs w:val="21"/>
                <w:lang w:val="en-US" w:eastAsia="zh-CN"/>
              </w:rPr>
              <w:t>排污</w:t>
            </w:r>
            <w:r>
              <w:rPr>
                <w:rFonts w:hint="eastAsia" w:hAnsi="宋体" w:eastAsia="宋体"/>
                <w:color w:val="auto"/>
                <w:sz w:val="21"/>
                <w:szCs w:val="21"/>
              </w:rPr>
              <w:t>水</w:t>
            </w:r>
            <w:r>
              <w:rPr>
                <w:rFonts w:hint="eastAsia" w:hAnsi="宋体" w:eastAsia="宋体"/>
                <w:color w:val="auto"/>
                <w:sz w:val="21"/>
                <w:szCs w:val="21"/>
                <w:lang w:eastAsia="zh-CN"/>
              </w:rPr>
              <w:t>、</w:t>
            </w:r>
            <w:r>
              <w:rPr>
                <w:rFonts w:hint="eastAsia" w:hAnsi="宋体" w:eastAsia="宋体"/>
                <w:color w:val="auto"/>
                <w:sz w:val="21"/>
                <w:szCs w:val="21"/>
                <w:lang w:val="en-US" w:eastAsia="zh-CN"/>
              </w:rPr>
              <w:t>软水制备废水</w:t>
            </w:r>
            <w:r>
              <w:rPr>
                <w:rFonts w:hint="default" w:ascii="Times New Roman" w:hAnsi="Times New Roman" w:cs="Times New Roman"/>
                <w:color w:val="auto"/>
                <w:kern w:val="0"/>
                <w:sz w:val="21"/>
                <w:szCs w:val="21"/>
              </w:rPr>
              <w:t>，</w:t>
            </w:r>
            <w:r>
              <w:rPr>
                <w:rFonts w:hint="eastAsia" w:ascii="Times New Roman" w:hAnsi="Times New Roman" w:cs="Times New Roman"/>
                <w:color w:val="auto"/>
                <w:kern w:val="0"/>
                <w:sz w:val="21"/>
                <w:szCs w:val="21"/>
                <w:lang w:val="en-US" w:eastAsia="zh-CN"/>
              </w:rPr>
              <w:t>软水系统出水率按80%计，</w:t>
            </w:r>
            <w:r>
              <w:rPr>
                <w:rFonts w:hint="eastAsia" w:hAnsi="宋体" w:eastAsia="宋体"/>
                <w:color w:val="auto"/>
                <w:sz w:val="21"/>
                <w:szCs w:val="21"/>
                <w:lang w:val="en-US" w:eastAsia="zh-CN"/>
              </w:rPr>
              <w:t>软水制备废水</w:t>
            </w:r>
            <w:r>
              <w:rPr>
                <w:rFonts w:hint="default" w:ascii="Times New Roman" w:hAnsi="Times New Roman" w:cs="Times New Roman"/>
                <w:color w:val="auto"/>
                <w:kern w:val="0"/>
                <w:sz w:val="21"/>
                <w:szCs w:val="21"/>
              </w:rPr>
              <w:t>为</w:t>
            </w:r>
            <w:r>
              <w:rPr>
                <w:rFonts w:hint="eastAsia" w:ascii="Times New Roman" w:hAnsi="Times New Roman" w:cs="Times New Roman"/>
                <w:color w:val="FF0000"/>
                <w:sz w:val="21"/>
                <w:szCs w:val="21"/>
                <w:lang w:val="en-US" w:eastAsia="zh-CN"/>
              </w:rPr>
              <w:t>16.27</w:t>
            </w:r>
            <w:r>
              <w:rPr>
                <w:rFonts w:hint="default" w:ascii="Times New Roman" w:hAnsi="Times New Roman" w:cs="Times New Roman"/>
                <w:color w:val="FF0000"/>
                <w:sz w:val="21"/>
                <w:szCs w:val="21"/>
              </w:rPr>
              <w:t>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/d</w:t>
            </w:r>
            <w:r>
              <w:rPr>
                <w:rFonts w:hint="eastAsia" w:ascii="Times New Roman" w:hAnsi="Times New Roman" w:cs="Times New Roman"/>
                <w:color w:val="FF0000"/>
                <w:sz w:val="21"/>
                <w:szCs w:val="21"/>
                <w:lang w:eastAsia="zh-CN"/>
              </w:rPr>
              <w:t>（</w:t>
            </w:r>
            <w:r>
              <w:rPr>
                <w:rFonts w:hint="eastAsia" w:ascii="Times New Roman" w:hAnsi="Times New Roman" w:cs="Times New Roman"/>
                <w:color w:val="FF0000"/>
                <w:sz w:val="21"/>
                <w:szCs w:val="21"/>
                <w:lang w:val="en-US" w:eastAsia="zh-CN"/>
              </w:rPr>
              <w:t>2928.95</w:t>
            </w:r>
            <w:r>
              <w:rPr>
                <w:rFonts w:hint="default" w:ascii="Times New Roman" w:hAnsi="Times New Roman" w:cs="Times New Roman"/>
                <w:color w:val="FF0000"/>
                <w:kern w:val="0"/>
                <w:sz w:val="21"/>
                <w:szCs w:val="21"/>
              </w:rPr>
              <w:t>m</w:t>
            </w:r>
            <w:r>
              <w:rPr>
                <w:rFonts w:hint="default" w:ascii="Times New Roman" w:hAnsi="Times New Roman" w:cs="Times New Roman"/>
                <w:color w:val="FF0000"/>
                <w:kern w:val="0"/>
                <w:sz w:val="21"/>
                <w:szCs w:val="21"/>
                <w:vertAlign w:val="superscript"/>
              </w:rPr>
              <w:t>3</w:t>
            </w:r>
            <w:r>
              <w:rPr>
                <w:rFonts w:hint="default" w:ascii="Times New Roman" w:hAnsi="Times New Roman" w:cs="Times New Roman"/>
                <w:color w:val="FF0000"/>
                <w:kern w:val="0"/>
                <w:sz w:val="21"/>
                <w:szCs w:val="21"/>
              </w:rPr>
              <w:t>/a</w:t>
            </w:r>
            <w:r>
              <w:rPr>
                <w:rFonts w:hint="eastAsia" w:ascii="Times New Roman" w:hAnsi="Times New Roman" w:cs="Times New Roman"/>
                <w:color w:val="FF0000"/>
                <w:sz w:val="21"/>
                <w:szCs w:val="21"/>
                <w:lang w:eastAsia="zh-CN"/>
              </w:rPr>
              <w:t>）</w:t>
            </w:r>
            <w:r>
              <w:rPr>
                <w:rFonts w:hint="eastAsia" w:ascii="Times New Roman" w:hAnsi="Times New Roman" w:cs="Times New Roman"/>
                <w:color w:val="auto"/>
                <w:kern w:val="0"/>
                <w:sz w:val="21"/>
                <w:szCs w:val="21"/>
                <w:lang w:eastAsia="zh-CN"/>
              </w:rPr>
              <w:t>，</w:t>
            </w:r>
            <w:r>
              <w:rPr>
                <w:rFonts w:hint="eastAsia" w:hAnsi="宋体" w:eastAsia="宋体"/>
                <w:color w:val="auto"/>
                <w:sz w:val="21"/>
                <w:szCs w:val="21"/>
              </w:rPr>
              <w:t>锅炉</w:t>
            </w:r>
            <w:r>
              <w:rPr>
                <w:rFonts w:hint="eastAsia" w:hAnsi="宋体" w:eastAsia="宋体"/>
                <w:color w:val="auto"/>
                <w:sz w:val="21"/>
                <w:szCs w:val="21"/>
                <w:lang w:val="en-US" w:eastAsia="zh-CN"/>
              </w:rPr>
              <w:t>排污</w:t>
            </w:r>
            <w:r>
              <w:rPr>
                <w:rFonts w:hint="eastAsia" w:hAnsi="宋体" w:eastAsia="宋体"/>
                <w:color w:val="auto"/>
                <w:sz w:val="21"/>
                <w:szCs w:val="21"/>
              </w:rPr>
              <w:t>水</w:t>
            </w:r>
            <w:r>
              <w:rPr>
                <w:rFonts w:hint="eastAsia" w:hAnsi="宋体" w:eastAsia="宋体"/>
                <w:color w:val="auto"/>
                <w:sz w:val="21"/>
                <w:szCs w:val="21"/>
                <w:lang w:val="en-US" w:eastAsia="zh-CN"/>
              </w:rPr>
              <w:t>为</w:t>
            </w:r>
            <w:r>
              <w:rPr>
                <w:rFonts w:hint="eastAsia" w:ascii="Times New Roman" w:hAnsi="Times New Roman" w:cs="Times New Roman"/>
                <w:color w:val="FF0000"/>
                <w:sz w:val="21"/>
                <w:szCs w:val="21"/>
                <w:lang w:val="en-US" w:eastAsia="zh-CN"/>
              </w:rPr>
              <w:t>1.63</w:t>
            </w:r>
            <w:r>
              <w:rPr>
                <w:rFonts w:hint="default" w:ascii="Times New Roman" w:hAnsi="Times New Roman" w:cs="Times New Roman"/>
                <w:color w:val="FF0000"/>
                <w:sz w:val="21"/>
                <w:szCs w:val="21"/>
              </w:rPr>
              <w:t>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/d</w:t>
            </w:r>
            <w:r>
              <w:rPr>
                <w:rFonts w:hint="eastAsia" w:ascii="Times New Roman" w:hAnsi="Times New Roman" w:cs="Times New Roman"/>
                <w:color w:val="FF0000"/>
                <w:sz w:val="21"/>
                <w:szCs w:val="21"/>
                <w:lang w:val="en-US" w:eastAsia="zh-CN"/>
              </w:rPr>
              <w:t>（292.9</w:t>
            </w:r>
            <w:r>
              <w:rPr>
                <w:rFonts w:hint="default" w:ascii="Times New Roman" w:hAnsi="Times New Roman" w:cs="Times New Roman"/>
                <w:color w:val="FF0000"/>
                <w:sz w:val="21"/>
                <w:szCs w:val="21"/>
              </w:rPr>
              <w:t>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/a</w:t>
            </w:r>
            <w:r>
              <w:rPr>
                <w:rFonts w:hint="eastAsia" w:ascii="Times New Roman" w:hAnsi="Times New Roman" w:cs="Times New Roman"/>
                <w:color w:val="FF0000"/>
                <w:sz w:val="21"/>
                <w:szCs w:val="21"/>
                <w:lang w:val="en-US" w:eastAsia="zh-CN"/>
              </w:rPr>
              <w:t>）</w:t>
            </w:r>
            <w:r>
              <w:rPr>
                <w:rFonts w:hint="eastAsia" w:ascii="Times New Roman" w:hAnsi="Times New Roman" w:cs="Times New Roman"/>
                <w:color w:val="auto"/>
                <w:sz w:val="21"/>
                <w:szCs w:val="21"/>
                <w:lang w:val="en-US" w:eastAsia="zh-CN"/>
              </w:rPr>
              <w:t>，</w:t>
            </w:r>
            <w:r>
              <w:rPr>
                <w:rFonts w:hint="eastAsia"/>
                <w:color w:val="auto"/>
                <w:lang w:val="en-US" w:eastAsia="zh-CN"/>
              </w:rPr>
              <w:t>排入市政污水管网，最终进入</w:t>
            </w:r>
            <w:r>
              <w:rPr>
                <w:rFonts w:hint="eastAsia" w:hAnsi="宋体" w:eastAsia="宋体"/>
                <w:color w:val="auto"/>
                <w:sz w:val="21"/>
                <w:szCs w:val="21"/>
                <w:lang w:val="en-US" w:eastAsia="zh-CN"/>
              </w:rPr>
              <w:t>昌吉市第二污水处理厂。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40" w:firstLineChars="400"/>
              <w:jc w:val="both"/>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表</w:t>
            </w:r>
            <w:r>
              <w:rPr>
                <w:rFonts w:hint="eastAsia" w:ascii="Times New Roman" w:hAnsi="Times New Roman" w:cs="Times New Roman"/>
                <w:b w:val="0"/>
                <w:bCs w:val="0"/>
                <w:color w:val="auto"/>
                <w:sz w:val="21"/>
                <w:szCs w:val="21"/>
                <w:lang w:val="en-US" w:eastAsia="zh-CN"/>
              </w:rPr>
              <w:t>4</w:t>
            </w:r>
            <w:r>
              <w:rPr>
                <w:rFonts w:hint="default" w:ascii="Times New Roman" w:hAnsi="Times New Roman" w:cs="Times New Roman"/>
                <w:b w:val="0"/>
                <w:bCs w:val="0"/>
                <w:color w:val="auto"/>
                <w:sz w:val="21"/>
                <w:szCs w:val="21"/>
                <w:lang w:val="en-US" w:eastAsia="zh-CN"/>
              </w:rPr>
              <w:t xml:space="preserve">                         项目生产用水一览表</w:t>
            </w:r>
          </w:p>
          <w:tbl>
            <w:tblPr>
              <w:tblStyle w:val="28"/>
              <w:tblW w:w="755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444"/>
              <w:gridCol w:w="2727"/>
              <w:gridCol w:w="238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89" w:hRule="atLeast"/>
                <w:jc w:val="center"/>
              </w:trPr>
              <w:tc>
                <w:tcPr>
                  <w:tcW w:w="2444" w:type="dxa"/>
                  <w:vAlign w:val="center"/>
                </w:tcPr>
                <w:p>
                  <w:pPr>
                    <w:pStyle w:val="31"/>
                    <w:bidi w:val="0"/>
                    <w:rPr>
                      <w:rFonts w:hint="default"/>
                      <w:color w:val="auto"/>
                    </w:rPr>
                  </w:pPr>
                  <w:r>
                    <w:rPr>
                      <w:rFonts w:hint="default"/>
                      <w:color w:val="auto"/>
                    </w:rPr>
                    <w:t>用水项目</w:t>
                  </w:r>
                </w:p>
              </w:tc>
              <w:tc>
                <w:tcPr>
                  <w:tcW w:w="2727" w:type="dxa"/>
                  <w:vAlign w:val="center"/>
                </w:tcPr>
                <w:p>
                  <w:pPr>
                    <w:pStyle w:val="31"/>
                    <w:bidi w:val="0"/>
                    <w:rPr>
                      <w:rFonts w:hint="default"/>
                      <w:color w:val="auto"/>
                    </w:rPr>
                  </w:pPr>
                  <w:r>
                    <w:rPr>
                      <w:rFonts w:hint="default"/>
                      <w:color w:val="auto"/>
                    </w:rPr>
                    <w:t>年用水量（m</w:t>
                  </w:r>
                  <w:r>
                    <w:rPr>
                      <w:rFonts w:hint="default"/>
                      <w:color w:val="auto"/>
                      <w:vertAlign w:val="superscript"/>
                    </w:rPr>
                    <w:t>3</w:t>
                  </w:r>
                  <w:r>
                    <w:rPr>
                      <w:rFonts w:hint="default"/>
                      <w:color w:val="auto"/>
                    </w:rPr>
                    <w:t>/a）</w:t>
                  </w:r>
                </w:p>
              </w:tc>
              <w:tc>
                <w:tcPr>
                  <w:tcW w:w="2388" w:type="dxa"/>
                  <w:vAlign w:val="center"/>
                </w:tcPr>
                <w:p>
                  <w:pPr>
                    <w:pStyle w:val="31"/>
                    <w:bidi w:val="0"/>
                    <w:rPr>
                      <w:rFonts w:hint="default"/>
                      <w:color w:val="auto"/>
                    </w:rPr>
                  </w:pPr>
                  <w:r>
                    <w:rPr>
                      <w:rFonts w:hint="default"/>
                      <w:color w:val="auto"/>
                    </w:rPr>
                    <w:t>年废水量（m</w:t>
                  </w:r>
                  <w:r>
                    <w:rPr>
                      <w:rFonts w:hint="default"/>
                      <w:color w:val="auto"/>
                      <w:vertAlign w:val="superscript"/>
                    </w:rPr>
                    <w:t>3</w:t>
                  </w:r>
                  <w:r>
                    <w:rPr>
                      <w:rFonts w:hint="default"/>
                      <w:color w:val="auto"/>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48" w:hRule="atLeast"/>
                <w:jc w:val="center"/>
              </w:trPr>
              <w:tc>
                <w:tcPr>
                  <w:tcW w:w="2444" w:type="dxa"/>
                  <w:vAlign w:val="center"/>
                </w:tcPr>
                <w:p>
                  <w:pPr>
                    <w:pStyle w:val="31"/>
                    <w:bidi w:val="0"/>
                    <w:rPr>
                      <w:rFonts w:hint="default"/>
                      <w:color w:val="auto"/>
                    </w:rPr>
                  </w:pPr>
                  <w:r>
                    <w:rPr>
                      <w:rFonts w:hint="eastAsia"/>
                      <w:color w:val="auto"/>
                      <w:lang w:val="en-US" w:eastAsia="zh-CN"/>
                    </w:rPr>
                    <w:t>锅炉</w:t>
                  </w:r>
                  <w:r>
                    <w:rPr>
                      <w:rFonts w:hint="default"/>
                      <w:color w:val="auto"/>
                    </w:rPr>
                    <w:t>用水</w:t>
                  </w:r>
                </w:p>
              </w:tc>
              <w:tc>
                <w:tcPr>
                  <w:tcW w:w="2727" w:type="dxa"/>
                  <w:vAlign w:val="center"/>
                </w:tcPr>
                <w:p>
                  <w:pPr>
                    <w:pStyle w:val="31"/>
                    <w:bidi w:val="0"/>
                    <w:rPr>
                      <w:rFonts w:hint="default"/>
                      <w:color w:val="auto"/>
                      <w:lang w:val="en-US" w:eastAsia="zh-CN"/>
                    </w:rPr>
                  </w:pPr>
                  <w:r>
                    <w:rPr>
                      <w:rFonts w:hint="eastAsia"/>
                      <w:color w:val="FF0000"/>
                      <w:lang w:val="en-US" w:eastAsia="zh-CN"/>
                    </w:rPr>
                    <w:t>14644.77</w:t>
                  </w:r>
                </w:p>
              </w:tc>
              <w:tc>
                <w:tcPr>
                  <w:tcW w:w="2388" w:type="dxa"/>
                  <w:vAlign w:val="center"/>
                </w:tcPr>
                <w:p>
                  <w:pPr>
                    <w:pStyle w:val="31"/>
                    <w:bidi w:val="0"/>
                    <w:rPr>
                      <w:rFonts w:hint="default"/>
                      <w:color w:val="auto"/>
                    </w:rPr>
                  </w:pPr>
                  <w:r>
                    <w:rPr>
                      <w:rFonts w:hint="eastAsia"/>
                      <w:color w:val="FF0000"/>
                      <w:lang w:val="en-US" w:eastAsia="zh-CN"/>
                    </w:rPr>
                    <w:t>3221.85</w:t>
                  </w:r>
                </w:p>
              </w:tc>
            </w:tr>
          </w:tbl>
          <w:p>
            <w:pPr>
              <w:widowControl/>
              <w:spacing w:line="360" w:lineRule="auto"/>
              <w:ind w:firstLine="420" w:firstLineChars="20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项目水平衡图详见下图1。</w:t>
            </w:r>
          </w:p>
          <w:p>
            <w:pPr>
              <w:widowControl/>
              <w:spacing w:line="360" w:lineRule="auto"/>
              <w:ind w:firstLine="420" w:firstLineChars="200"/>
              <w:rPr>
                <w:rFonts w:hint="default" w:ascii="Times New Roman" w:hAnsi="Times New Roman" w:cs="Times New Roman"/>
                <w:color w:val="auto"/>
                <w:kern w:val="0"/>
                <w:sz w:val="21"/>
                <w:szCs w:val="21"/>
              </w:rPr>
            </w:pPr>
          </w:p>
          <w:p>
            <w:pPr>
              <w:widowControl/>
              <w:spacing w:line="360" w:lineRule="auto"/>
              <w:ind w:left="0" w:leftChars="0" w:firstLine="0" w:firstLineChars="0"/>
              <w:jc w:val="center"/>
              <w:rPr>
                <w:rFonts w:hint="default" w:ascii="Times New Roman" w:hAnsi="Times New Roman" w:cs="Times New Roman"/>
                <w:b/>
                <w:bCs w:val="0"/>
                <w:color w:val="auto"/>
                <w:kern w:val="0"/>
                <w:szCs w:val="21"/>
              </w:rPr>
            </w:pPr>
            <w:r>
              <w:rPr>
                <w:rFonts w:hint="default" w:ascii="Times New Roman" w:hAnsi="Times New Roman" w:cs="Times New Roman"/>
                <w:b/>
                <w:bCs w:val="0"/>
                <w:color w:val="auto"/>
                <w:kern w:val="0"/>
                <w:szCs w:val="21"/>
              </w:rPr>
              <w:object>
                <v:shape id="_x0000_i1025" o:spt="75" type="#_x0000_t75" style="height:126.1pt;width:375.25pt;" o:ole="t" filled="f" o:preferrelative="t" stroked="f" coordsize="21600,21600">
                  <v:path/>
                  <v:fill on="f" focussize="0,0"/>
                  <v:stroke on="f"/>
                  <v:imagedata r:id="rId7" o:title=""/>
                  <o:lock v:ext="edit" aspectratio="f"/>
                  <w10:wrap type="none"/>
                  <w10:anchorlock/>
                </v:shape>
                <o:OLEObject Type="Embed" ProgID="Visio.Drawing.11" ShapeID="_x0000_i1025" DrawAspect="Content" ObjectID="_1468075725" r:id="rId6">
                  <o:LockedField>false</o:LockedField>
                </o:OLEObject>
              </w:object>
            </w:r>
          </w:p>
          <w:p>
            <w:pPr>
              <w:widowControl/>
              <w:spacing w:line="360" w:lineRule="auto"/>
              <w:ind w:left="0" w:leftChars="0" w:firstLine="0" w:firstLineChars="0"/>
              <w:jc w:val="center"/>
              <w:rPr>
                <w:rFonts w:hint="default" w:ascii="Times New Roman" w:hAnsi="Times New Roman" w:eastAsia="宋体" w:cs="Times New Roman"/>
                <w:b w:val="0"/>
                <w:bCs/>
                <w:color w:val="FF0000"/>
                <w:kern w:val="0"/>
                <w:szCs w:val="21"/>
                <w:lang w:eastAsia="zh-CN"/>
              </w:rPr>
            </w:pPr>
            <w:r>
              <w:rPr>
                <w:rFonts w:hint="default" w:ascii="Times New Roman" w:hAnsi="Times New Roman" w:cs="Times New Roman"/>
                <w:b/>
                <w:bCs w:val="0"/>
                <w:color w:val="FF0000"/>
                <w:kern w:val="0"/>
                <w:szCs w:val="21"/>
              </w:rPr>
              <w:t>图1     项目水平衡图      单位：m</w:t>
            </w:r>
            <w:r>
              <w:rPr>
                <w:rFonts w:hint="default" w:ascii="Times New Roman" w:hAnsi="Times New Roman" w:cs="Times New Roman"/>
                <w:b/>
                <w:bCs w:val="0"/>
                <w:color w:val="FF0000"/>
                <w:kern w:val="0"/>
                <w:szCs w:val="21"/>
                <w:vertAlign w:val="superscript"/>
              </w:rPr>
              <w:t>3</w:t>
            </w:r>
            <w:r>
              <w:rPr>
                <w:rFonts w:hint="default" w:ascii="Times New Roman" w:hAnsi="Times New Roman" w:cs="Times New Roman"/>
                <w:b/>
                <w:bCs w:val="0"/>
                <w:color w:val="FF0000"/>
                <w:kern w:val="0"/>
                <w:szCs w:val="21"/>
              </w:rPr>
              <w:t>/</w:t>
            </w:r>
            <w:r>
              <w:rPr>
                <w:rFonts w:hint="default" w:ascii="Times New Roman" w:hAnsi="Times New Roman" w:cs="Times New Roman"/>
                <w:b/>
                <w:bCs w:val="0"/>
                <w:color w:val="FF0000"/>
                <w:kern w:val="0"/>
                <w:szCs w:val="21"/>
                <w:lang w:val="en-US" w:eastAsia="zh-CN"/>
              </w:rPr>
              <w:t>a</w:t>
            </w:r>
          </w:p>
          <w:p>
            <w:pPr>
              <w:widowControl/>
              <w:spacing w:line="360" w:lineRule="auto"/>
              <w:ind w:firstLine="420" w:firstLineChars="200"/>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w:t>
            </w:r>
            <w:r>
              <w:rPr>
                <w:rFonts w:hint="default" w:ascii="Times New Roman" w:hAnsi="Times New Roman" w:cs="Times New Roman"/>
                <w:color w:val="auto"/>
                <w:kern w:val="0"/>
                <w:sz w:val="21"/>
                <w:szCs w:val="21"/>
              </w:rPr>
              <w:t>.3供电</w:t>
            </w:r>
          </w:p>
          <w:p>
            <w:pPr>
              <w:widowControl/>
              <w:spacing w:line="360" w:lineRule="auto"/>
              <w:ind w:firstLine="420" w:firstLineChars="20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项目用电由</w:t>
            </w:r>
            <w:r>
              <w:rPr>
                <w:rFonts w:hint="eastAsia" w:ascii="Times New Roman" w:hAnsi="Times New Roman" w:cs="Times New Roman"/>
                <w:color w:val="auto"/>
                <w:sz w:val="21"/>
                <w:szCs w:val="21"/>
                <w:lang w:val="en-US" w:eastAsia="zh-CN"/>
              </w:rPr>
              <w:t>市政</w:t>
            </w:r>
            <w:r>
              <w:rPr>
                <w:rFonts w:hint="default" w:ascii="Times New Roman" w:hAnsi="Times New Roman" w:cs="Times New Roman"/>
                <w:color w:val="auto"/>
                <w:sz w:val="21"/>
                <w:szCs w:val="21"/>
                <w:lang w:val="en-US" w:eastAsia="zh-CN"/>
              </w:rPr>
              <w:t>电力网</w:t>
            </w:r>
            <w:r>
              <w:rPr>
                <w:rFonts w:hint="eastAsia" w:ascii="Times New Roman" w:hAnsi="Times New Roman" w:cs="Times New Roman"/>
                <w:color w:val="auto"/>
                <w:sz w:val="21"/>
                <w:szCs w:val="21"/>
                <w:lang w:val="en-US" w:eastAsia="zh-CN"/>
              </w:rPr>
              <w:t>供电</w:t>
            </w:r>
            <w:r>
              <w:rPr>
                <w:rFonts w:hint="default" w:ascii="Times New Roman" w:hAnsi="Times New Roman" w:cs="Times New Roman"/>
                <w:color w:val="auto"/>
                <w:kern w:val="0"/>
                <w:sz w:val="21"/>
                <w:szCs w:val="21"/>
              </w:rPr>
              <w:t>，可满足项目用电需求。</w:t>
            </w:r>
            <w:r>
              <w:rPr>
                <w:rFonts w:hint="default" w:ascii="Times New Roman" w:hAnsi="Times New Roman" w:cs="Times New Roman"/>
                <w:color w:val="auto"/>
                <w:kern w:val="0"/>
                <w:sz w:val="21"/>
                <w:szCs w:val="21"/>
              </w:rPr>
              <w:tab/>
            </w:r>
          </w:p>
          <w:p>
            <w:pPr>
              <w:widowControl/>
              <w:spacing w:line="360" w:lineRule="auto"/>
              <w:ind w:firstLine="420" w:firstLineChars="200"/>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w:t>
            </w:r>
            <w:r>
              <w:rPr>
                <w:rFonts w:hint="default" w:ascii="Times New Roman" w:hAnsi="Times New Roman" w:cs="Times New Roman"/>
                <w:color w:val="auto"/>
                <w:kern w:val="0"/>
                <w:sz w:val="21"/>
                <w:szCs w:val="21"/>
              </w:rPr>
              <w:t>.4供暖</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default"/>
                <w:color w:val="auto"/>
              </w:rPr>
            </w:pPr>
            <w:r>
              <w:rPr>
                <w:rFonts w:hint="default" w:ascii="Times New Roman" w:hAnsi="Times New Roman" w:cs="Times New Roman"/>
                <w:color w:val="auto"/>
                <w:kern w:val="0"/>
                <w:sz w:val="21"/>
                <w:szCs w:val="21"/>
              </w:rPr>
              <w:t>项目</w:t>
            </w:r>
            <w:r>
              <w:rPr>
                <w:rFonts w:hint="eastAsia"/>
                <w:color w:val="auto"/>
                <w:lang w:val="en-US" w:eastAsia="zh-CN"/>
              </w:rPr>
              <w:t>自建燃气锅炉供热</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7、总平面布置</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color w:val="auto"/>
                <w:lang w:val="en-US" w:eastAsia="zh-CN"/>
              </w:rPr>
            </w:pPr>
            <w:r>
              <w:rPr>
                <w:rFonts w:hint="default"/>
                <w:color w:val="auto"/>
              </w:rPr>
              <w:t>本项目位于</w:t>
            </w:r>
            <w:r>
              <w:rPr>
                <w:rFonts w:hint="eastAsia" w:ascii="宋体" w:hAnsi="宋体" w:eastAsia="宋体" w:cs="宋体"/>
                <w:color w:val="auto"/>
                <w:sz w:val="21"/>
                <w:szCs w:val="21"/>
                <w:u w:val="none"/>
              </w:rPr>
              <w:t>丁香园北区</w:t>
            </w:r>
            <w:r>
              <w:rPr>
                <w:rFonts w:hint="eastAsia" w:ascii="宋体" w:hAnsi="宋体" w:eastAsia="宋体" w:cs="宋体"/>
                <w:color w:val="auto"/>
                <w:sz w:val="21"/>
                <w:szCs w:val="21"/>
                <w:u w:val="none"/>
                <w:lang w:val="en-US" w:eastAsia="zh-CN"/>
              </w:rPr>
              <w:t>地下车库</w:t>
            </w:r>
            <w:r>
              <w:rPr>
                <w:rFonts w:hint="eastAsia"/>
                <w:color w:val="auto"/>
                <w:lang w:val="en-US" w:eastAsia="zh-CN"/>
              </w:rPr>
              <w:t>。详见附图4平面布置图。</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color w:val="auto"/>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3" w:type="dxa"/>
            <w:vAlign w:val="center"/>
          </w:tcPr>
          <w:p>
            <w:pPr>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工艺流程和产排污环节</w:t>
            </w:r>
          </w:p>
        </w:tc>
        <w:tc>
          <w:tcPr>
            <w:tcW w:w="8161"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color w:val="auto"/>
                <w:lang w:val="en-US" w:eastAsia="zh-CN"/>
              </w:rPr>
            </w:pPr>
            <w:r>
              <w:rPr>
                <w:rFonts w:hint="default"/>
                <w:color w:val="auto"/>
              </w:rPr>
              <w:t>主要生产工艺流程</w:t>
            </w:r>
            <w:r>
              <w:rPr>
                <w:rFonts w:hint="eastAsia"/>
                <w:color w:val="auto"/>
                <w:lang w:val="en-US" w:eastAsia="zh-CN"/>
              </w:rPr>
              <w:t>及产污环节：</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1、施工期</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 xml:space="preserve">    锅炉房建设时，先清理场地，然后安装工艺装置，并建设相应的辅助设施，其施工工艺流程如图2所示。</w:t>
            </w:r>
          </w:p>
          <w:p>
            <w:pPr>
              <w:jc w:val="center"/>
              <w:rPr>
                <w:rFonts w:hint="eastAsia" w:eastAsiaTheme="minorEastAsia"/>
                <w:b w:val="0"/>
                <w:bCs/>
                <w:color w:val="auto"/>
                <w:szCs w:val="21"/>
                <w:lang w:eastAsia="zh-CN"/>
              </w:rPr>
            </w:pPr>
            <w:r>
              <w:rPr>
                <w:rFonts w:hint="eastAsia"/>
                <w:color w:val="auto"/>
                <w:lang w:val="en-US" w:eastAsia="zh-CN"/>
              </w:rPr>
              <w:t xml:space="preserve">           </w:t>
            </w:r>
            <w:r>
              <w:rPr>
                <w:color w:val="auto"/>
              </w:rPr>
              <w:object>
                <v:shape id="_x0000_i1026" o:spt="75" type="#_x0000_t75" style="height:155.6pt;width:374.5pt;" o:ole="t" filled="f" o:preferrelative="t" stroked="f" coordsize="21600,21600">
                  <v:path/>
                  <v:fill on="f" focussize="0,0"/>
                  <v:stroke on="f"/>
                  <v:imagedata r:id="rId9" o:title=""/>
                  <o:lock v:ext="edit" aspectratio="f"/>
                  <w10:wrap type="none"/>
                  <w10:anchorlock/>
                </v:shape>
                <o:OLEObject Type="Embed" ProgID="Visio.Drawing.11" ShapeID="_x0000_i1026" DrawAspect="Content" ObjectID="_1468075726" r:id="rId8">
                  <o:LockedField>false</o:LockedField>
                </o:OLEObject>
              </w:object>
            </w:r>
          </w:p>
          <w:p>
            <w:pPr>
              <w:spacing w:line="520" w:lineRule="exact"/>
              <w:ind w:firstLine="422" w:firstLineChars="200"/>
              <w:jc w:val="center"/>
              <w:rPr>
                <w:b/>
                <w:bCs w:val="0"/>
                <w:color w:val="auto"/>
                <w:szCs w:val="21"/>
              </w:rPr>
            </w:pPr>
            <w:r>
              <w:rPr>
                <w:b/>
                <w:bCs w:val="0"/>
                <w:color w:val="auto"/>
                <w:szCs w:val="21"/>
              </w:rPr>
              <w:t>图</w:t>
            </w:r>
            <w:r>
              <w:rPr>
                <w:rFonts w:hint="eastAsia"/>
                <w:b/>
                <w:bCs w:val="0"/>
                <w:color w:val="auto"/>
                <w:szCs w:val="21"/>
                <w:lang w:val="en-US" w:eastAsia="zh-CN"/>
              </w:rPr>
              <w:t>2</w:t>
            </w:r>
            <w:r>
              <w:rPr>
                <w:b/>
                <w:bCs w:val="0"/>
                <w:color w:val="auto"/>
                <w:szCs w:val="21"/>
              </w:rPr>
              <w:t xml:space="preserve"> </w:t>
            </w:r>
            <w:r>
              <w:rPr>
                <w:rFonts w:hint="eastAsia"/>
                <w:b/>
                <w:bCs w:val="0"/>
                <w:color w:val="auto"/>
                <w:szCs w:val="21"/>
              </w:rPr>
              <w:t xml:space="preserve"> </w:t>
            </w:r>
            <w:r>
              <w:rPr>
                <w:rFonts w:hint="eastAsia"/>
                <w:b/>
                <w:bCs w:val="0"/>
                <w:color w:val="auto"/>
                <w:szCs w:val="21"/>
                <w:lang w:val="en-US" w:eastAsia="zh-CN"/>
              </w:rPr>
              <w:t xml:space="preserve">  </w:t>
            </w:r>
            <w:r>
              <w:rPr>
                <w:b/>
                <w:bCs w:val="0"/>
                <w:color w:val="auto"/>
                <w:szCs w:val="21"/>
              </w:rPr>
              <w:t>锅炉房施工期工艺流程及产污环节图</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2、营运期</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9"/>
              <w:rPr>
                <w:color w:val="auto"/>
                <w:sz w:val="24"/>
              </w:rPr>
            </w:pPr>
            <w:r>
              <w:rPr>
                <w:color w:val="auto"/>
                <w:sz w:val="24"/>
              </w:rPr>
              <w:object>
                <v:shape id="_x0000_i1027" o:spt="75" type="#_x0000_t75" style="height:229.5pt;width:396.9pt;" o:ole="t" filled="f" o:preferrelative="t" stroked="f" coordsize="21600,21600">
                  <v:path/>
                  <v:fill on="f" focussize="0,0"/>
                  <v:stroke on="f"/>
                  <v:imagedata r:id="rId11" o:title=""/>
                  <o:lock v:ext="edit" aspectratio="f"/>
                  <w10:wrap type="none"/>
                  <w10:anchorlock/>
                </v:shape>
                <o:OLEObject Type="Embed" ProgID="Visio.Drawing.11" ShapeID="_x0000_i1027" DrawAspect="Content" ObjectID="_1468075727" r:id="rId10">
                  <o:LockedField>false</o:LockedField>
                </o:OLEObject>
              </w:object>
            </w:r>
          </w:p>
          <w:p>
            <w:pPr>
              <w:spacing w:line="520" w:lineRule="exact"/>
              <w:ind w:firstLine="422" w:firstLineChars="200"/>
              <w:jc w:val="center"/>
              <w:rPr>
                <w:b/>
                <w:bCs w:val="0"/>
                <w:color w:val="auto"/>
                <w:szCs w:val="21"/>
              </w:rPr>
            </w:pPr>
            <w:r>
              <w:rPr>
                <w:b/>
                <w:bCs w:val="0"/>
                <w:color w:val="auto"/>
                <w:szCs w:val="21"/>
              </w:rPr>
              <w:t>图</w:t>
            </w:r>
            <w:r>
              <w:rPr>
                <w:rFonts w:hint="eastAsia"/>
                <w:b/>
                <w:bCs w:val="0"/>
                <w:color w:val="auto"/>
                <w:szCs w:val="21"/>
                <w:lang w:val="en-US" w:eastAsia="zh-CN"/>
              </w:rPr>
              <w:t>3</w:t>
            </w:r>
            <w:r>
              <w:rPr>
                <w:b/>
                <w:bCs w:val="0"/>
                <w:color w:val="auto"/>
                <w:szCs w:val="21"/>
              </w:rPr>
              <w:t xml:space="preserve">       运营期工艺流程及产污环节图</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9"/>
              <w:rPr>
                <w:rFonts w:hint="eastAsia"/>
                <w:color w:val="auto"/>
                <w:lang w:val="zh-CN"/>
              </w:rPr>
            </w:pPr>
            <w:r>
              <w:rPr>
                <w:rFonts w:hint="eastAsia"/>
                <w:color w:val="auto"/>
                <w:lang w:val="zh-CN"/>
              </w:rPr>
              <w:t>工艺</w:t>
            </w:r>
            <w:r>
              <w:rPr>
                <w:rFonts w:hint="eastAsia"/>
                <w:color w:val="auto"/>
                <w:lang w:val="en-US" w:eastAsia="zh-CN"/>
              </w:rPr>
              <w:t>说明</w:t>
            </w:r>
            <w:r>
              <w:rPr>
                <w:rFonts w:hint="eastAsia"/>
                <w:color w:val="auto"/>
                <w:lang w:val="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eastAsia"/>
                <w:color w:val="auto"/>
                <w:lang w:val="en-US" w:eastAsia="zh-CN"/>
              </w:rPr>
            </w:pPr>
            <w:r>
              <w:rPr>
                <w:rFonts w:hint="eastAsia"/>
                <w:color w:val="auto"/>
                <w:lang w:val="en-US" w:eastAsia="zh-CN"/>
              </w:rPr>
              <w:t>项目新鲜水经软化处理后经加热后用于小区冬季供暖。锅炉送风由锅炉自带的鼓风机供给，将室内的空气送入炉前燃烧器进气管与天然气混合燃烧，锅炉排出的烟气由10m高烟囱排出。锅炉系统流程见附图5锅炉房热力系统流程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eastAsia"/>
                <w:color w:val="auto"/>
                <w:lang w:val="en-US" w:eastAsia="zh-CN"/>
              </w:rPr>
            </w:pPr>
            <w:r>
              <w:rPr>
                <w:rFonts w:hint="eastAsia"/>
                <w:color w:val="auto"/>
                <w:lang w:val="en-US" w:eastAsia="zh-CN"/>
              </w:rPr>
              <w:t>为使燃气锅炉产生的氮氧化物满足排放标准要求，本项目锅炉拟采用安装低氮燃烧器结合烟气循环技术控制氮氧化物排放量。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eastAsia"/>
                <w:color w:val="auto"/>
                <w:lang w:val="en-US" w:eastAsia="zh-CN"/>
              </w:rPr>
            </w:pPr>
            <w:r>
              <w:rPr>
                <w:rFonts w:hint="eastAsia"/>
                <w:color w:val="auto"/>
                <w:lang w:val="en-US" w:eastAsia="zh-CN"/>
              </w:rPr>
              <w:t>低氮燃烧器主要通过选用低氮、全自动比例调节燃烧器，自动控制燃烧过程，严格控制过量空气系数和炉内温度，使燃气充分燃烧，减少NOx的生成，它通过特殊设计的燃烧器结构，改变通过燃烧器的风气比例，使在燃烧器内部或出口射流的空气分级，以控制燃烧器中燃料与空气的混合过程，尽可能降低着火区的温度和降低着火区的氧浓度，在保证燃气着火和燃烧的同时能有效的抑制NOx的生成。</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eastAsia"/>
                <w:color w:val="auto"/>
                <w:lang w:val="en-US" w:eastAsia="zh-CN"/>
              </w:rPr>
            </w:pPr>
            <w:r>
              <w:rPr>
                <w:rFonts w:hint="eastAsia"/>
                <w:color w:val="auto"/>
                <w:lang w:val="en-US" w:eastAsia="zh-CN"/>
              </w:rPr>
              <w:t>烟气再循环技术是通过将烟气的燃烧产物加入到燃烧区域内，降低燃烧温度，减NOx生成同时加入的烟气降低了氧气的分压，减弱氧气与氮气生成热力型NOx的过程，从而减少NOx的生成。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191" w:hRule="atLeast"/>
          <w:jc w:val="center"/>
        </w:trPr>
        <w:tc>
          <w:tcPr>
            <w:tcW w:w="823" w:type="dxa"/>
            <w:vAlign w:val="center"/>
          </w:tcPr>
          <w:p>
            <w:pPr>
              <w:adjustRightInd w:val="0"/>
              <w:snapToGrid w:val="0"/>
              <w:spacing w:before="0" w:beforeAutospacing="0" w:after="0" w:afterAutospacing="0"/>
              <w:jc w:val="center"/>
              <w:rPr>
                <w:rFonts w:cs="宋体"/>
                <w:color w:val="auto"/>
                <w:sz w:val="21"/>
                <w:szCs w:val="21"/>
              </w:rPr>
            </w:pPr>
            <w:r>
              <w:rPr>
                <w:rFonts w:hint="eastAsia" w:cs="宋体"/>
                <w:bCs/>
                <w:color w:val="auto"/>
                <w:kern w:val="2"/>
                <w:sz w:val="21"/>
                <w:szCs w:val="21"/>
              </w:rPr>
              <w:t>与项目有关的原有环境污染问题</w:t>
            </w:r>
          </w:p>
        </w:tc>
        <w:tc>
          <w:tcPr>
            <w:tcW w:w="81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color w:val="auto"/>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default"/>
                <w:color w:val="auto"/>
              </w:rPr>
              <w:t>本项目</w:t>
            </w:r>
            <w:r>
              <w:rPr>
                <w:rFonts w:hint="eastAsia"/>
                <w:color w:val="auto"/>
                <w:lang w:val="en-US" w:eastAsia="zh-CN"/>
              </w:rPr>
              <w:t>为</w:t>
            </w:r>
            <w:r>
              <w:rPr>
                <w:rFonts w:hint="eastAsia" w:ascii="宋体" w:hAnsi="宋体" w:eastAsia="宋体" w:cs="宋体"/>
                <w:color w:val="auto"/>
                <w:sz w:val="21"/>
                <w:szCs w:val="21"/>
                <w:u w:val="none"/>
              </w:rPr>
              <w:t>丁香园北区</w:t>
            </w:r>
            <w:r>
              <w:rPr>
                <w:rFonts w:hint="eastAsia" w:ascii="宋体" w:hAnsi="宋体" w:eastAsia="宋体" w:cs="宋体"/>
                <w:color w:val="auto"/>
                <w:sz w:val="21"/>
                <w:szCs w:val="21"/>
                <w:u w:val="none"/>
                <w:lang w:val="en-US" w:eastAsia="zh-CN"/>
              </w:rPr>
              <w:t>锅炉房</w:t>
            </w:r>
            <w:r>
              <w:rPr>
                <w:rFonts w:hint="eastAsia" w:ascii="宋体" w:hAnsi="宋体" w:eastAsia="宋体" w:cs="宋体"/>
                <w:color w:val="auto"/>
                <w:sz w:val="21"/>
                <w:szCs w:val="21"/>
                <w:u w:val="none"/>
              </w:rPr>
              <w:t>扩建</w:t>
            </w:r>
            <w:r>
              <w:rPr>
                <w:rFonts w:hint="eastAsia"/>
                <w:color w:val="auto"/>
                <w:lang w:val="en-US" w:eastAsia="zh-CN"/>
              </w:rPr>
              <w:t>项目</w:t>
            </w:r>
            <w:r>
              <w:rPr>
                <w:rFonts w:hint="default"/>
                <w:color w:val="auto"/>
                <w:lang w:val="en-US" w:eastAsia="zh-CN"/>
              </w:rPr>
              <w:t>，</w:t>
            </w:r>
            <w:r>
              <w:rPr>
                <w:rFonts w:hint="eastAsia" w:ascii="宋体" w:hAnsi="宋体" w:eastAsia="宋体" w:cs="宋体"/>
                <w:color w:val="auto"/>
                <w:sz w:val="21"/>
                <w:szCs w:val="21"/>
                <w:u w:val="none"/>
                <w:lang w:val="en-US" w:eastAsia="zh-CN"/>
              </w:rPr>
              <w:t>锅炉房原有</w:t>
            </w:r>
            <w:r>
              <w:rPr>
                <w:rFonts w:hint="eastAsia"/>
                <w:color w:val="auto"/>
                <w:lang w:val="en-US" w:eastAsia="zh-CN"/>
              </w:rPr>
              <w:t>3台7MW燃气锅炉，拟新增1台7MW</w:t>
            </w:r>
            <w:r>
              <w:rPr>
                <w:rFonts w:hint="eastAsia" w:ascii="宋体" w:hAnsi="宋体" w:eastAsia="宋体" w:cs="宋体"/>
                <w:color w:val="auto"/>
                <w:sz w:val="21"/>
                <w:szCs w:val="21"/>
                <w:u w:val="none"/>
              </w:rPr>
              <w:t>燃气常压热水锅炉</w:t>
            </w:r>
            <w:r>
              <w:rPr>
                <w:rFonts w:hint="default"/>
                <w:color w:val="auto"/>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原有工程环保手续履行情况</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 xml:space="preserve">   2017年2月，乌鲁木齐天辰创展工程咨询有限公司编制完成了</w:t>
            </w:r>
            <w:r>
              <w:rPr>
                <w:color w:val="auto"/>
              </w:rPr>
              <w:t>《</w:t>
            </w:r>
            <w:r>
              <w:rPr>
                <w:rFonts w:hint="eastAsia"/>
                <w:color w:val="auto"/>
                <w:lang w:val="en-US" w:eastAsia="zh-CN"/>
              </w:rPr>
              <w:t>和谐丁香园住宅小区燃气锅炉房建设项目环境影响报告表</w:t>
            </w:r>
            <w:r>
              <w:rPr>
                <w:color w:val="auto"/>
              </w:rPr>
              <w:t>》</w:t>
            </w:r>
            <w:r>
              <w:rPr>
                <w:rFonts w:hint="eastAsia"/>
                <w:color w:val="auto"/>
                <w:lang w:eastAsia="zh-CN"/>
              </w:rPr>
              <w:t>；</w:t>
            </w:r>
            <w:r>
              <w:rPr>
                <w:rFonts w:hint="eastAsia"/>
                <w:color w:val="auto"/>
                <w:lang w:val="en-US" w:eastAsia="zh-CN"/>
              </w:rPr>
              <w:t>2017年3月10日获得昌吉市环境保护局的批复，文号：昌市环管字[2017]23号；2020年4月20日取得了和谐丁香园住宅小区燃气锅炉房竣工环境保护验收意见。详见附件（环评批复及竣工环境保护验收意见）。无申请办理排污许可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color w:val="auto"/>
                <w:lang w:val="en-US" w:eastAsia="zh-CN"/>
              </w:rPr>
            </w:pPr>
            <w:r>
              <w:rPr>
                <w:rFonts w:hint="eastAsia"/>
                <w:color w:val="auto"/>
                <w:lang w:val="en-US" w:eastAsia="zh-CN"/>
              </w:rPr>
              <w:t>原有工程污染物处理和排放情况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20"/>
              <w:jc w:val="both"/>
              <w:textAlignment w:val="auto"/>
              <w:outlineLvl w:val="9"/>
              <w:rPr>
                <w:rFonts w:hint="default"/>
                <w:color w:val="auto"/>
                <w:lang w:val="en-US" w:eastAsia="zh-CN"/>
              </w:rPr>
            </w:pPr>
            <w:r>
              <w:rPr>
                <w:rFonts w:hint="eastAsia"/>
                <w:color w:val="auto"/>
                <w:lang w:val="en-US" w:eastAsia="zh-CN"/>
              </w:rPr>
              <w:t>根据原有锅炉房竣工环境保护验收意见和例行检测报告，锅炉烟气污染物为</w:t>
            </w:r>
            <w:r>
              <w:rPr>
                <w:rFonts w:hint="default"/>
                <w:color w:val="auto"/>
                <w:lang w:val="en-US" w:eastAsia="zh-CN"/>
              </w:rPr>
              <w:t>SO</w:t>
            </w:r>
            <w:r>
              <w:rPr>
                <w:rFonts w:hint="default"/>
                <w:color w:val="auto"/>
                <w:vertAlign w:val="subscript"/>
                <w:lang w:val="en-US" w:eastAsia="zh-CN"/>
              </w:rPr>
              <w:t>2</w:t>
            </w:r>
            <w:r>
              <w:rPr>
                <w:rFonts w:hint="default"/>
                <w:color w:val="auto"/>
                <w:lang w:val="en-US" w:eastAsia="zh-CN"/>
              </w:rPr>
              <w:t>、NOx</w:t>
            </w:r>
            <w:r>
              <w:rPr>
                <w:rFonts w:hint="eastAsia"/>
                <w:color w:val="auto"/>
                <w:lang w:val="en-US" w:eastAsia="zh-CN"/>
              </w:rPr>
              <w:t>、</w:t>
            </w:r>
            <w:r>
              <w:rPr>
                <w:rFonts w:hint="eastAsia"/>
                <w:color w:val="auto"/>
                <w:sz w:val="21"/>
                <w:szCs w:val="21"/>
                <w:lang w:val="en-US" w:eastAsia="zh-CN"/>
              </w:rPr>
              <w:t>颗粒物，烟气经低氮燃烧技术和蒸汽冷凝器处理后通过10m高烟囱排放，排放满足</w:t>
            </w:r>
            <w:r>
              <w:rPr>
                <w:color w:val="auto"/>
              </w:rPr>
              <w:t>《</w:t>
            </w:r>
            <w:r>
              <w:rPr>
                <w:rFonts w:hint="eastAsia"/>
                <w:b w:val="0"/>
                <w:bCs w:val="0"/>
                <w:color w:val="auto"/>
                <w:sz w:val="21"/>
                <w:szCs w:val="21"/>
              </w:rPr>
              <w:t>锅炉大气污染物排放标准》</w:t>
            </w:r>
            <w:r>
              <w:rPr>
                <w:b w:val="0"/>
                <w:bCs w:val="0"/>
                <w:color w:val="auto"/>
                <w:sz w:val="21"/>
                <w:szCs w:val="21"/>
              </w:rPr>
              <w:t>(GB13271-2014)</w:t>
            </w:r>
            <w:r>
              <w:rPr>
                <w:rFonts w:hint="eastAsia" w:ascii="Times New Roman" w:hAnsi="Times New Roman"/>
                <w:color w:val="auto"/>
                <w:kern w:val="2"/>
                <w:sz w:val="21"/>
                <w:szCs w:val="21"/>
                <w:lang w:val="en-US" w:eastAsia="zh-CN"/>
              </w:rPr>
              <w:t>表3大气污染物特别排放限值</w:t>
            </w:r>
            <w:r>
              <w:rPr>
                <w:rFonts w:hint="eastAsia"/>
                <w:color w:val="auto"/>
                <w:sz w:val="21"/>
                <w:szCs w:val="21"/>
                <w:lang w:val="en-US" w:eastAsia="zh-CN"/>
              </w:rPr>
              <w:t>。废水</w:t>
            </w:r>
            <w:r>
              <w:rPr>
                <w:rFonts w:hint="eastAsia"/>
                <w:color w:val="auto"/>
                <w:lang w:val="en-US" w:eastAsia="zh-CN"/>
              </w:rPr>
              <w:t>主要为</w:t>
            </w:r>
            <w:r>
              <w:rPr>
                <w:rFonts w:hint="eastAsia" w:hAnsi="宋体" w:eastAsia="宋体"/>
                <w:color w:val="auto"/>
                <w:sz w:val="21"/>
                <w:szCs w:val="21"/>
              </w:rPr>
              <w:t>锅炉</w:t>
            </w:r>
            <w:r>
              <w:rPr>
                <w:rFonts w:hint="eastAsia" w:hAnsi="宋体" w:eastAsia="宋体"/>
                <w:color w:val="auto"/>
                <w:sz w:val="21"/>
                <w:szCs w:val="21"/>
                <w:lang w:val="en-US" w:eastAsia="zh-CN"/>
              </w:rPr>
              <w:t>排污</w:t>
            </w:r>
            <w:r>
              <w:rPr>
                <w:rFonts w:hint="eastAsia" w:hAnsi="宋体" w:eastAsia="宋体"/>
                <w:color w:val="auto"/>
                <w:sz w:val="21"/>
                <w:szCs w:val="21"/>
              </w:rPr>
              <w:t>水</w:t>
            </w:r>
            <w:r>
              <w:rPr>
                <w:rFonts w:hint="eastAsia" w:hAnsi="宋体" w:eastAsia="宋体"/>
                <w:color w:val="auto"/>
                <w:sz w:val="21"/>
                <w:szCs w:val="21"/>
                <w:lang w:eastAsia="zh-CN"/>
              </w:rPr>
              <w:t>、</w:t>
            </w:r>
            <w:r>
              <w:rPr>
                <w:rFonts w:hint="eastAsia" w:hAnsi="宋体" w:eastAsia="宋体"/>
                <w:color w:val="auto"/>
                <w:sz w:val="21"/>
                <w:szCs w:val="21"/>
                <w:lang w:val="en-US" w:eastAsia="zh-CN"/>
              </w:rPr>
              <w:t>软水制备废水，排入市政污水管网。噪声源主要为锅炉房内燃烧机、各类水泵，设备运行通过选用低噪声设备、合理布局、基底减振、墙体隔声、距离衰减等措施，边界噪声满足</w:t>
            </w:r>
            <w:r>
              <w:rPr>
                <w:rFonts w:hint="eastAsia"/>
                <w:color w:val="auto"/>
                <w:lang w:val="en-US" w:eastAsia="zh-CN"/>
              </w:rPr>
              <w:t>《工业企业厂界环境噪声排放标准》（GB12348-2008）中的2类区标准。运营期间无生产性固废产生。原有锅炉房无环保投诉情况。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20"/>
              <w:jc w:val="both"/>
              <w:textAlignment w:val="auto"/>
              <w:outlineLvl w:val="9"/>
              <w:rPr>
                <w:rFonts w:hint="eastAsia"/>
                <w:color w:val="auto"/>
                <w:lang w:val="en-US" w:eastAsia="zh-CN"/>
              </w:rPr>
            </w:pPr>
            <w:r>
              <w:rPr>
                <w:rFonts w:hint="eastAsia"/>
                <w:color w:val="auto"/>
                <w:lang w:val="en-US" w:eastAsia="zh-CN"/>
              </w:rPr>
              <w:t xml:space="preserve"> 根据锅炉房例行检测报告（详见附件），锅炉烟气、噪声排放情况见表5、表6。</w:t>
            </w:r>
          </w:p>
          <w:p>
            <w:pPr>
              <w:pStyle w:val="2"/>
              <w:rPr>
                <w:rFonts w:hint="eastAsia"/>
                <w:color w:val="auto"/>
                <w:lang w:val="en-US" w:eastAsia="zh-CN"/>
              </w:rPr>
            </w:pP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 xml:space="preserve">          </w:t>
            </w:r>
            <w:r>
              <w:rPr>
                <w:rFonts w:hint="default"/>
                <w:color w:val="auto"/>
              </w:rPr>
              <w:t>表</w:t>
            </w:r>
            <w:r>
              <w:rPr>
                <w:rFonts w:hint="eastAsia"/>
                <w:color w:val="auto"/>
                <w:lang w:val="en-US" w:eastAsia="zh-CN"/>
              </w:rPr>
              <w:t>5</w:t>
            </w:r>
            <w:r>
              <w:rPr>
                <w:rFonts w:hint="default"/>
                <w:color w:val="auto"/>
              </w:rPr>
              <w:t xml:space="preserve">          </w:t>
            </w:r>
            <w:r>
              <w:rPr>
                <w:rFonts w:hint="eastAsia"/>
                <w:color w:val="auto"/>
                <w:lang w:val="en-US" w:eastAsia="zh-CN"/>
              </w:rPr>
              <w:t xml:space="preserve">      原有锅炉废气污染物排放量</w:t>
            </w:r>
          </w:p>
          <w:tbl>
            <w:tblPr>
              <w:tblStyle w:val="28"/>
              <w:tblW w:w="7135"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
            <w:tblGrid>
              <w:gridCol w:w="1191"/>
              <w:gridCol w:w="1455"/>
              <w:gridCol w:w="1440"/>
              <w:gridCol w:w="1545"/>
              <w:gridCol w:w="1504"/>
            </w:tblGrid>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653" w:hRule="atLeast"/>
                <w:jc w:val="center"/>
              </w:trPr>
              <w:tc>
                <w:tcPr>
                  <w:tcW w:w="1191" w:type="dxa"/>
                  <w:tcBorders>
                    <w:tl2br w:val="nil"/>
                    <w:tr2bl w:val="nil"/>
                  </w:tcBorders>
                  <w:vAlign w:val="center"/>
                </w:tcPr>
                <w:p>
                  <w:pPr>
                    <w:snapToGrid w:val="0"/>
                    <w:jc w:val="center"/>
                    <w:rPr>
                      <w:rFonts w:hint="eastAsia" w:eastAsiaTheme="minorEastAsia"/>
                      <w:color w:val="auto"/>
                      <w:sz w:val="21"/>
                      <w:szCs w:val="21"/>
                      <w:lang w:eastAsia="zh-CN"/>
                    </w:rPr>
                  </w:pPr>
                  <w:r>
                    <w:rPr>
                      <w:rFonts w:hint="eastAsia"/>
                      <w:color w:val="auto"/>
                      <w:sz w:val="21"/>
                      <w:szCs w:val="21"/>
                      <w:lang w:val="en-US" w:eastAsia="zh-CN"/>
                    </w:rPr>
                    <w:t>检测项目</w:t>
                  </w:r>
                </w:p>
              </w:tc>
              <w:tc>
                <w:tcPr>
                  <w:tcW w:w="1455" w:type="dxa"/>
                  <w:tcBorders>
                    <w:tl2br w:val="nil"/>
                    <w:tr2bl w:val="nil"/>
                  </w:tcBorders>
                  <w:vAlign w:val="center"/>
                </w:tcPr>
                <w:p>
                  <w:pPr>
                    <w:snapToGrid w:val="0"/>
                    <w:jc w:val="center"/>
                    <w:rPr>
                      <w:color w:val="auto"/>
                      <w:sz w:val="21"/>
                      <w:szCs w:val="21"/>
                    </w:rPr>
                  </w:pPr>
                  <w:r>
                    <w:rPr>
                      <w:rFonts w:hint="eastAsia"/>
                      <w:color w:val="auto"/>
                      <w:sz w:val="21"/>
                      <w:szCs w:val="21"/>
                      <w:lang w:val="en-US" w:eastAsia="zh-CN"/>
                    </w:rPr>
                    <w:t>实测</w:t>
                  </w:r>
                  <w:r>
                    <w:rPr>
                      <w:rFonts w:hint="eastAsia"/>
                      <w:color w:val="auto"/>
                      <w:sz w:val="21"/>
                      <w:szCs w:val="21"/>
                    </w:rPr>
                    <w:t>浓度（</w:t>
                  </w:r>
                  <w:r>
                    <w:rPr>
                      <w:color w:val="auto"/>
                      <w:sz w:val="21"/>
                      <w:szCs w:val="21"/>
                    </w:rPr>
                    <w:t>mg/m</w:t>
                  </w:r>
                  <w:r>
                    <w:rPr>
                      <w:color w:val="auto"/>
                      <w:sz w:val="21"/>
                      <w:szCs w:val="21"/>
                      <w:vertAlign w:val="superscript"/>
                    </w:rPr>
                    <w:t>3</w:t>
                  </w:r>
                  <w:r>
                    <w:rPr>
                      <w:rFonts w:hint="eastAsia"/>
                      <w:color w:val="auto"/>
                      <w:sz w:val="21"/>
                      <w:szCs w:val="21"/>
                    </w:rPr>
                    <w:t>）</w:t>
                  </w:r>
                </w:p>
              </w:tc>
              <w:tc>
                <w:tcPr>
                  <w:tcW w:w="1440" w:type="dxa"/>
                  <w:tcBorders>
                    <w:tl2br w:val="nil"/>
                    <w:tr2bl w:val="nil"/>
                  </w:tcBorders>
                  <w:vAlign w:val="center"/>
                </w:tcPr>
                <w:p>
                  <w:pPr>
                    <w:adjustRightInd w:val="0"/>
                    <w:snapToGrid w:val="0"/>
                    <w:jc w:val="center"/>
                    <w:textAlignment w:val="baseline"/>
                    <w:rPr>
                      <w:rFonts w:hint="eastAsia"/>
                      <w:color w:val="auto"/>
                      <w:sz w:val="21"/>
                      <w:szCs w:val="21"/>
                    </w:rPr>
                  </w:pPr>
                  <w:r>
                    <w:rPr>
                      <w:rFonts w:hint="eastAsia"/>
                      <w:color w:val="auto"/>
                      <w:sz w:val="21"/>
                      <w:szCs w:val="21"/>
                      <w:lang w:val="en-US" w:eastAsia="zh-CN"/>
                    </w:rPr>
                    <w:t>折算</w:t>
                  </w:r>
                  <w:r>
                    <w:rPr>
                      <w:rFonts w:hint="eastAsia"/>
                      <w:color w:val="auto"/>
                      <w:sz w:val="21"/>
                      <w:szCs w:val="21"/>
                    </w:rPr>
                    <w:t>浓度</w:t>
                  </w:r>
                </w:p>
                <w:p>
                  <w:pPr>
                    <w:adjustRightInd w:val="0"/>
                    <w:snapToGrid w:val="0"/>
                    <w:jc w:val="center"/>
                    <w:textAlignment w:val="baseline"/>
                    <w:rPr>
                      <w:color w:val="auto"/>
                      <w:sz w:val="21"/>
                      <w:szCs w:val="21"/>
                    </w:rPr>
                  </w:pPr>
                  <w:r>
                    <w:rPr>
                      <w:rFonts w:hint="eastAsia"/>
                      <w:color w:val="auto"/>
                      <w:sz w:val="21"/>
                      <w:szCs w:val="21"/>
                    </w:rPr>
                    <w:t>（</w:t>
                  </w:r>
                  <w:r>
                    <w:rPr>
                      <w:color w:val="auto"/>
                      <w:sz w:val="21"/>
                      <w:szCs w:val="21"/>
                    </w:rPr>
                    <w:t>mg/m</w:t>
                  </w:r>
                  <w:r>
                    <w:rPr>
                      <w:color w:val="auto"/>
                      <w:sz w:val="21"/>
                      <w:szCs w:val="21"/>
                      <w:vertAlign w:val="superscript"/>
                    </w:rPr>
                    <w:t>3</w:t>
                  </w:r>
                  <w:r>
                    <w:rPr>
                      <w:rFonts w:hint="eastAsia"/>
                      <w:color w:val="auto"/>
                      <w:sz w:val="21"/>
                      <w:szCs w:val="21"/>
                    </w:rPr>
                    <w:t>）</w:t>
                  </w:r>
                </w:p>
              </w:tc>
              <w:tc>
                <w:tcPr>
                  <w:tcW w:w="1545" w:type="dxa"/>
                  <w:tcBorders>
                    <w:tl2br w:val="nil"/>
                    <w:tr2bl w:val="nil"/>
                  </w:tcBorders>
                  <w:vAlign w:val="center"/>
                </w:tcPr>
                <w:p>
                  <w:pPr>
                    <w:snapToGrid w:val="0"/>
                    <w:jc w:val="center"/>
                    <w:rPr>
                      <w:rFonts w:hint="eastAsia"/>
                      <w:color w:val="auto"/>
                      <w:sz w:val="21"/>
                      <w:szCs w:val="21"/>
                      <w:lang w:val="en-US" w:eastAsia="zh-CN"/>
                    </w:rPr>
                  </w:pPr>
                  <w:r>
                    <w:rPr>
                      <w:rFonts w:hint="eastAsia"/>
                      <w:color w:val="auto"/>
                      <w:sz w:val="21"/>
                      <w:szCs w:val="21"/>
                    </w:rPr>
                    <w:t>排放</w:t>
                  </w:r>
                  <w:r>
                    <w:rPr>
                      <w:rFonts w:hint="eastAsia"/>
                      <w:color w:val="auto"/>
                      <w:sz w:val="21"/>
                      <w:szCs w:val="21"/>
                      <w:lang w:val="en-US" w:eastAsia="zh-CN"/>
                    </w:rPr>
                    <w:t>速率</w:t>
                  </w:r>
                </w:p>
                <w:p>
                  <w:pPr>
                    <w:snapToGrid w:val="0"/>
                    <w:jc w:val="center"/>
                    <w:rPr>
                      <w:color w:val="auto"/>
                      <w:sz w:val="21"/>
                      <w:szCs w:val="21"/>
                    </w:rPr>
                  </w:pPr>
                  <w:r>
                    <w:rPr>
                      <w:rFonts w:hint="eastAsia"/>
                      <w:color w:val="auto"/>
                      <w:sz w:val="21"/>
                      <w:szCs w:val="21"/>
                    </w:rPr>
                    <w:t>（</w:t>
                  </w:r>
                  <w:r>
                    <w:rPr>
                      <w:rFonts w:hint="eastAsia"/>
                      <w:color w:val="auto"/>
                      <w:sz w:val="21"/>
                      <w:szCs w:val="21"/>
                      <w:lang w:val="en-US" w:eastAsia="zh-CN"/>
                    </w:rPr>
                    <w:t>kg</w:t>
                  </w:r>
                  <w:r>
                    <w:rPr>
                      <w:color w:val="auto"/>
                      <w:sz w:val="21"/>
                      <w:szCs w:val="21"/>
                    </w:rPr>
                    <w:t>/</w:t>
                  </w:r>
                  <w:r>
                    <w:rPr>
                      <w:rFonts w:hint="eastAsia"/>
                      <w:color w:val="auto"/>
                      <w:sz w:val="21"/>
                      <w:szCs w:val="21"/>
                      <w:lang w:val="en-US" w:eastAsia="zh-CN"/>
                    </w:rPr>
                    <w:t>h</w:t>
                  </w:r>
                  <w:r>
                    <w:rPr>
                      <w:rFonts w:hint="eastAsia"/>
                      <w:color w:val="auto"/>
                      <w:sz w:val="21"/>
                      <w:szCs w:val="21"/>
                    </w:rPr>
                    <w:t>）</w:t>
                  </w:r>
                </w:p>
              </w:tc>
              <w:tc>
                <w:tcPr>
                  <w:tcW w:w="1504" w:type="dxa"/>
                  <w:tcBorders>
                    <w:tl2br w:val="nil"/>
                    <w:tr2bl w:val="nil"/>
                  </w:tcBorders>
                  <w:vAlign w:val="center"/>
                </w:tcPr>
                <w:p>
                  <w:pPr>
                    <w:adjustRightInd w:val="0"/>
                    <w:snapToGrid w:val="0"/>
                    <w:jc w:val="center"/>
                    <w:textAlignment w:val="baseline"/>
                    <w:rPr>
                      <w:rFonts w:hint="eastAsia"/>
                      <w:color w:val="auto"/>
                      <w:sz w:val="21"/>
                      <w:szCs w:val="21"/>
                      <w:lang w:val="en-US" w:eastAsia="zh-CN"/>
                    </w:rPr>
                  </w:pPr>
                  <w:r>
                    <w:rPr>
                      <w:rFonts w:hint="eastAsia"/>
                      <w:color w:val="auto"/>
                      <w:sz w:val="21"/>
                      <w:szCs w:val="21"/>
                    </w:rPr>
                    <w:t>排放</w:t>
                  </w:r>
                  <w:r>
                    <w:rPr>
                      <w:rFonts w:hint="eastAsia"/>
                      <w:color w:val="auto"/>
                      <w:sz w:val="21"/>
                      <w:szCs w:val="21"/>
                      <w:lang w:val="en-US" w:eastAsia="zh-CN"/>
                    </w:rPr>
                    <w:t>量</w:t>
                  </w:r>
                </w:p>
                <w:p>
                  <w:pPr>
                    <w:adjustRightInd w:val="0"/>
                    <w:snapToGrid w:val="0"/>
                    <w:jc w:val="center"/>
                    <w:textAlignment w:val="baseline"/>
                    <w:rPr>
                      <w:color w:val="auto"/>
                      <w:sz w:val="21"/>
                      <w:szCs w:val="21"/>
                    </w:rPr>
                  </w:pPr>
                  <w:r>
                    <w:rPr>
                      <w:rFonts w:hint="eastAsia"/>
                      <w:color w:val="auto"/>
                      <w:sz w:val="21"/>
                      <w:szCs w:val="21"/>
                    </w:rPr>
                    <w:t>（</w:t>
                  </w:r>
                  <w:r>
                    <w:rPr>
                      <w:color w:val="auto"/>
                      <w:sz w:val="21"/>
                      <w:szCs w:val="21"/>
                    </w:rPr>
                    <w:t>t/a</w:t>
                  </w:r>
                  <w:r>
                    <w:rPr>
                      <w:rFonts w:hint="eastAsia"/>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548" w:hRule="atLeast"/>
                <w:jc w:val="center"/>
              </w:trPr>
              <w:tc>
                <w:tcPr>
                  <w:tcW w:w="1191" w:type="dxa"/>
                  <w:tcBorders>
                    <w:tl2br w:val="nil"/>
                    <w:tr2bl w:val="nil"/>
                  </w:tcBorders>
                  <w:vAlign w:val="center"/>
                </w:tcPr>
                <w:p>
                  <w:pPr>
                    <w:pStyle w:val="42"/>
                    <w:spacing w:line="240" w:lineRule="auto"/>
                    <w:rPr>
                      <w:rFonts w:hint="eastAsia"/>
                      <w:color w:val="auto"/>
                      <w:sz w:val="21"/>
                      <w:szCs w:val="21"/>
                      <w:lang w:val="en-US" w:eastAsia="zh-CN"/>
                    </w:rPr>
                  </w:pPr>
                  <w:r>
                    <w:rPr>
                      <w:rFonts w:hint="eastAsia"/>
                      <w:color w:val="auto"/>
                      <w:sz w:val="21"/>
                      <w:szCs w:val="21"/>
                      <w:lang w:val="en-US" w:eastAsia="zh-CN"/>
                    </w:rPr>
                    <w:t>SO</w:t>
                  </w:r>
                  <w:r>
                    <w:rPr>
                      <w:rFonts w:hint="eastAsia"/>
                      <w:color w:val="auto"/>
                      <w:sz w:val="21"/>
                      <w:szCs w:val="21"/>
                      <w:vertAlign w:val="subscript"/>
                      <w:lang w:val="en-US" w:eastAsia="zh-CN"/>
                    </w:rPr>
                    <w:t>2</w:t>
                  </w:r>
                </w:p>
              </w:tc>
              <w:tc>
                <w:tcPr>
                  <w:tcW w:w="1455" w:type="dxa"/>
                  <w:tcBorders>
                    <w:tl2br w:val="nil"/>
                    <w:tr2bl w:val="nil"/>
                  </w:tcBorders>
                  <w:vAlign w:val="center"/>
                </w:tcPr>
                <w:p>
                  <w:pPr>
                    <w:pStyle w:val="42"/>
                    <w:spacing w:line="240" w:lineRule="auto"/>
                    <w:rPr>
                      <w:rFonts w:hint="default"/>
                      <w:color w:val="auto"/>
                      <w:sz w:val="21"/>
                      <w:szCs w:val="21"/>
                      <w:lang w:val="en-US" w:eastAsia="zh-CN"/>
                    </w:rPr>
                  </w:pPr>
                  <w:r>
                    <w:rPr>
                      <w:rFonts w:hint="default" w:ascii="Arial" w:hAnsi="Arial" w:cs="Arial"/>
                      <w:color w:val="auto"/>
                      <w:sz w:val="21"/>
                      <w:szCs w:val="21"/>
                      <w:lang w:val="en-US" w:eastAsia="zh-CN"/>
                    </w:rPr>
                    <w:t>&lt;</w:t>
                  </w:r>
                  <w:r>
                    <w:rPr>
                      <w:rFonts w:hint="eastAsia"/>
                      <w:color w:val="auto"/>
                      <w:sz w:val="21"/>
                      <w:szCs w:val="21"/>
                      <w:lang w:val="en-US" w:eastAsia="zh-CN"/>
                    </w:rPr>
                    <w:t>3</w:t>
                  </w:r>
                </w:p>
              </w:tc>
              <w:tc>
                <w:tcPr>
                  <w:tcW w:w="1440" w:type="dxa"/>
                  <w:tcBorders>
                    <w:tl2br w:val="nil"/>
                    <w:tr2bl w:val="nil"/>
                  </w:tcBorders>
                  <w:vAlign w:val="center"/>
                </w:tcPr>
                <w:p>
                  <w:pPr>
                    <w:pStyle w:val="42"/>
                    <w:spacing w:line="240" w:lineRule="auto"/>
                    <w:rPr>
                      <w:color w:val="auto"/>
                      <w:sz w:val="21"/>
                      <w:szCs w:val="21"/>
                    </w:rPr>
                  </w:pPr>
                  <w:r>
                    <w:rPr>
                      <w:rFonts w:hint="eastAsia"/>
                      <w:color w:val="auto"/>
                      <w:sz w:val="21"/>
                      <w:szCs w:val="21"/>
                      <w:lang w:val="en-US" w:eastAsia="zh-CN"/>
                    </w:rPr>
                    <w:t>/</w:t>
                  </w:r>
                </w:p>
              </w:tc>
              <w:tc>
                <w:tcPr>
                  <w:tcW w:w="1545" w:type="dxa"/>
                  <w:tcBorders>
                    <w:tl2br w:val="nil"/>
                    <w:tr2bl w:val="nil"/>
                  </w:tcBorders>
                  <w:vAlign w:val="center"/>
                </w:tcPr>
                <w:p>
                  <w:pPr>
                    <w:pStyle w:val="42"/>
                    <w:spacing w:line="240" w:lineRule="auto"/>
                    <w:rPr>
                      <w:rFonts w:hint="default"/>
                      <w:color w:val="auto"/>
                      <w:sz w:val="21"/>
                      <w:szCs w:val="21"/>
                      <w:lang w:val="en-US" w:eastAsia="zh-CN"/>
                    </w:rPr>
                  </w:pPr>
                  <w:r>
                    <w:rPr>
                      <w:rFonts w:hint="default" w:ascii="Arial" w:hAnsi="Arial" w:cs="Arial"/>
                      <w:color w:val="auto"/>
                      <w:sz w:val="21"/>
                      <w:szCs w:val="21"/>
                      <w:lang w:val="en-US" w:eastAsia="zh-CN"/>
                    </w:rPr>
                    <w:t>&lt;</w:t>
                  </w:r>
                  <w:r>
                    <w:rPr>
                      <w:rFonts w:hint="eastAsia"/>
                      <w:color w:val="auto"/>
                      <w:sz w:val="21"/>
                      <w:szCs w:val="21"/>
                      <w:lang w:val="en-US" w:eastAsia="zh-CN"/>
                    </w:rPr>
                    <w:t>0.020</w:t>
                  </w:r>
                </w:p>
              </w:tc>
              <w:tc>
                <w:tcPr>
                  <w:tcW w:w="1504" w:type="dxa"/>
                  <w:tcBorders>
                    <w:tl2br w:val="nil"/>
                    <w:tr2bl w:val="nil"/>
                  </w:tcBorders>
                  <w:vAlign w:val="center"/>
                </w:tcPr>
                <w:p>
                  <w:pPr>
                    <w:pStyle w:val="42"/>
                    <w:spacing w:line="240" w:lineRule="auto"/>
                    <w:rPr>
                      <w:rFonts w:hint="default"/>
                      <w:color w:val="auto"/>
                      <w:sz w:val="21"/>
                      <w:szCs w:val="21"/>
                      <w:lang w:val="en-US" w:eastAsia="zh-CN"/>
                    </w:rPr>
                  </w:pPr>
                  <w:r>
                    <w:rPr>
                      <w:rFonts w:hint="default" w:ascii="Arial" w:hAnsi="Arial" w:cs="Arial"/>
                      <w:color w:val="auto"/>
                      <w:sz w:val="21"/>
                      <w:szCs w:val="21"/>
                      <w:lang w:val="en-US" w:eastAsia="zh-CN"/>
                    </w:rPr>
                    <w:t>&lt;</w:t>
                  </w:r>
                  <w:r>
                    <w:rPr>
                      <w:rFonts w:hint="eastAsia"/>
                      <w:color w:val="auto"/>
                      <w:sz w:val="21"/>
                      <w:szCs w:val="21"/>
                      <w:lang w:val="en-US" w:eastAsia="zh-CN"/>
                    </w:rPr>
                    <w:t>0.086</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546" w:hRule="atLeast"/>
                <w:jc w:val="center"/>
              </w:trPr>
              <w:tc>
                <w:tcPr>
                  <w:tcW w:w="1191" w:type="dxa"/>
                  <w:tcBorders>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NOx</w:t>
                  </w:r>
                </w:p>
              </w:tc>
              <w:tc>
                <w:tcPr>
                  <w:tcW w:w="1455" w:type="dxa"/>
                  <w:tcBorders>
                    <w:tl2br w:val="nil"/>
                    <w:tr2bl w:val="nil"/>
                  </w:tcBorders>
                  <w:vAlign w:val="center"/>
                </w:tcPr>
                <w:p>
                  <w:pPr>
                    <w:pStyle w:val="42"/>
                    <w:spacing w:line="240" w:lineRule="auto"/>
                    <w:jc w:val="center"/>
                    <w:rPr>
                      <w:rFonts w:hint="default"/>
                      <w:color w:val="auto"/>
                      <w:sz w:val="21"/>
                      <w:szCs w:val="21"/>
                      <w:lang w:val="en-US" w:eastAsia="zh-CN"/>
                    </w:rPr>
                  </w:pPr>
                  <w:r>
                    <w:rPr>
                      <w:rFonts w:hint="eastAsia"/>
                      <w:color w:val="auto"/>
                      <w:sz w:val="21"/>
                      <w:szCs w:val="21"/>
                      <w:lang w:val="en-US" w:eastAsia="zh-CN"/>
                    </w:rPr>
                    <w:t>62.8</w:t>
                  </w:r>
                </w:p>
              </w:tc>
              <w:tc>
                <w:tcPr>
                  <w:tcW w:w="1440" w:type="dxa"/>
                  <w:tcBorders>
                    <w:tl2br w:val="nil"/>
                    <w:tr2bl w:val="nil"/>
                  </w:tcBorders>
                  <w:vAlign w:val="center"/>
                </w:tcPr>
                <w:p>
                  <w:pPr>
                    <w:pStyle w:val="42"/>
                    <w:spacing w:line="240" w:lineRule="auto"/>
                    <w:rPr>
                      <w:color w:val="auto"/>
                      <w:sz w:val="21"/>
                      <w:szCs w:val="21"/>
                    </w:rPr>
                  </w:pPr>
                  <w:r>
                    <w:rPr>
                      <w:rFonts w:hint="eastAsia"/>
                      <w:color w:val="auto"/>
                      <w:sz w:val="21"/>
                      <w:szCs w:val="21"/>
                      <w:lang w:val="en-US" w:eastAsia="zh-CN"/>
                    </w:rPr>
                    <w:t>63.4</w:t>
                  </w:r>
                </w:p>
              </w:tc>
              <w:tc>
                <w:tcPr>
                  <w:tcW w:w="1545" w:type="dxa"/>
                  <w:tcBorders>
                    <w:tl2br w:val="nil"/>
                    <w:tr2bl w:val="nil"/>
                  </w:tcBorders>
                  <w:vAlign w:val="center"/>
                </w:tcPr>
                <w:p>
                  <w:pPr>
                    <w:pStyle w:val="42"/>
                    <w:spacing w:line="240" w:lineRule="auto"/>
                    <w:jc w:val="center"/>
                    <w:rPr>
                      <w:rFonts w:hint="default"/>
                      <w:color w:val="auto"/>
                      <w:sz w:val="21"/>
                      <w:szCs w:val="21"/>
                      <w:lang w:val="en-US" w:eastAsia="zh-CN"/>
                    </w:rPr>
                  </w:pPr>
                  <w:r>
                    <w:rPr>
                      <w:rFonts w:hint="eastAsia"/>
                      <w:color w:val="auto"/>
                      <w:sz w:val="21"/>
                      <w:szCs w:val="21"/>
                      <w:lang w:val="en-US" w:eastAsia="zh-CN"/>
                    </w:rPr>
                    <w:t>0.419</w:t>
                  </w:r>
                </w:p>
              </w:tc>
              <w:tc>
                <w:tcPr>
                  <w:tcW w:w="1504" w:type="dxa"/>
                  <w:tcBorders>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1.81</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191" w:type="dxa"/>
                  <w:tcBorders>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颗粒物</w:t>
                  </w:r>
                </w:p>
              </w:tc>
              <w:tc>
                <w:tcPr>
                  <w:tcW w:w="1455" w:type="dxa"/>
                  <w:tcBorders>
                    <w:tl2br w:val="nil"/>
                    <w:tr2bl w:val="nil"/>
                  </w:tcBorders>
                  <w:vAlign w:val="center"/>
                </w:tcPr>
                <w:p>
                  <w:pPr>
                    <w:pStyle w:val="42"/>
                    <w:spacing w:line="240" w:lineRule="auto"/>
                    <w:rPr>
                      <w:rFonts w:hint="eastAsia"/>
                      <w:color w:val="auto"/>
                      <w:sz w:val="21"/>
                      <w:szCs w:val="21"/>
                      <w:lang w:val="en-US" w:eastAsia="zh-CN"/>
                    </w:rPr>
                  </w:pPr>
                  <w:r>
                    <w:rPr>
                      <w:rFonts w:hint="default" w:ascii="Arial" w:hAnsi="Arial" w:cs="Arial"/>
                      <w:color w:val="auto"/>
                      <w:sz w:val="21"/>
                      <w:szCs w:val="21"/>
                      <w:lang w:val="en-US" w:eastAsia="zh-CN"/>
                    </w:rPr>
                    <w:t>&lt;</w:t>
                  </w:r>
                  <w:r>
                    <w:rPr>
                      <w:rFonts w:hint="eastAsia"/>
                      <w:color w:val="auto"/>
                      <w:sz w:val="21"/>
                      <w:szCs w:val="21"/>
                      <w:lang w:val="en-US" w:eastAsia="zh-CN"/>
                    </w:rPr>
                    <w:t>20</w:t>
                  </w:r>
                </w:p>
              </w:tc>
              <w:tc>
                <w:tcPr>
                  <w:tcW w:w="1440" w:type="dxa"/>
                  <w:tcBorders>
                    <w:tl2br w:val="nil"/>
                    <w:tr2bl w:val="nil"/>
                  </w:tcBorders>
                  <w:vAlign w:val="center"/>
                </w:tcPr>
                <w:p>
                  <w:pPr>
                    <w:pStyle w:val="42"/>
                    <w:spacing w:line="240" w:lineRule="auto"/>
                    <w:rPr>
                      <w:color w:val="auto"/>
                      <w:sz w:val="21"/>
                      <w:szCs w:val="21"/>
                    </w:rPr>
                  </w:pPr>
                  <w:r>
                    <w:rPr>
                      <w:rFonts w:hint="eastAsia"/>
                      <w:color w:val="auto"/>
                      <w:sz w:val="21"/>
                      <w:szCs w:val="21"/>
                      <w:lang w:val="en-US" w:eastAsia="zh-CN"/>
                    </w:rPr>
                    <w:t>/</w:t>
                  </w:r>
                </w:p>
              </w:tc>
              <w:tc>
                <w:tcPr>
                  <w:tcW w:w="1545" w:type="dxa"/>
                  <w:tcBorders>
                    <w:tl2br w:val="nil"/>
                    <w:tr2bl w:val="nil"/>
                  </w:tcBorders>
                  <w:vAlign w:val="center"/>
                </w:tcPr>
                <w:p>
                  <w:pPr>
                    <w:pStyle w:val="42"/>
                    <w:spacing w:line="240" w:lineRule="auto"/>
                    <w:jc w:val="center"/>
                    <w:rPr>
                      <w:rFonts w:hint="default"/>
                      <w:color w:val="auto"/>
                      <w:sz w:val="21"/>
                      <w:szCs w:val="21"/>
                      <w:lang w:val="en-US" w:eastAsia="zh-CN"/>
                    </w:rPr>
                  </w:pPr>
                  <w:r>
                    <w:rPr>
                      <w:rFonts w:hint="default" w:ascii="Arial" w:hAnsi="Arial" w:cs="Arial"/>
                      <w:color w:val="auto"/>
                      <w:sz w:val="21"/>
                      <w:szCs w:val="21"/>
                      <w:lang w:val="en-US" w:eastAsia="zh-CN"/>
                    </w:rPr>
                    <w:t>&lt;</w:t>
                  </w:r>
                  <w:r>
                    <w:rPr>
                      <w:rFonts w:hint="eastAsia"/>
                      <w:color w:val="auto"/>
                      <w:sz w:val="21"/>
                      <w:szCs w:val="21"/>
                      <w:lang w:val="en-US" w:eastAsia="zh-CN"/>
                    </w:rPr>
                    <w:t>0.133</w:t>
                  </w:r>
                </w:p>
              </w:tc>
              <w:tc>
                <w:tcPr>
                  <w:tcW w:w="1504" w:type="dxa"/>
                  <w:tcBorders>
                    <w:tl2br w:val="nil"/>
                    <w:tr2bl w:val="nil"/>
                  </w:tcBorders>
                  <w:vAlign w:val="center"/>
                </w:tcPr>
                <w:p>
                  <w:pPr>
                    <w:pStyle w:val="42"/>
                    <w:spacing w:line="240" w:lineRule="auto"/>
                    <w:jc w:val="center"/>
                    <w:rPr>
                      <w:rFonts w:hint="eastAsia"/>
                      <w:color w:val="auto"/>
                      <w:sz w:val="21"/>
                      <w:szCs w:val="21"/>
                      <w:lang w:val="en-US" w:eastAsia="zh-CN"/>
                    </w:rPr>
                  </w:pPr>
                  <w:r>
                    <w:rPr>
                      <w:rFonts w:hint="default" w:ascii="Arial" w:hAnsi="Arial" w:cs="Arial"/>
                      <w:color w:val="auto"/>
                      <w:sz w:val="21"/>
                      <w:szCs w:val="21"/>
                      <w:lang w:val="en-US" w:eastAsia="zh-CN"/>
                    </w:rPr>
                    <w:t>&lt;</w:t>
                  </w:r>
                  <w:r>
                    <w:rPr>
                      <w:rFonts w:hint="eastAsia"/>
                      <w:color w:val="auto"/>
                      <w:sz w:val="21"/>
                      <w:szCs w:val="21"/>
                      <w:lang w:val="en-US" w:eastAsia="zh-CN"/>
                    </w:rPr>
                    <w:t>0.575</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191" w:type="dxa"/>
                  <w:tcBorders>
                    <w:tl2br w:val="nil"/>
                    <w:tr2bl w:val="nil"/>
                  </w:tcBorders>
                  <w:vAlign w:val="center"/>
                </w:tcPr>
                <w:p>
                  <w:pPr>
                    <w:pStyle w:val="42"/>
                    <w:spacing w:line="240" w:lineRule="auto"/>
                    <w:rPr>
                      <w:color w:val="auto"/>
                      <w:sz w:val="21"/>
                      <w:szCs w:val="21"/>
                    </w:rPr>
                  </w:pPr>
                  <w:r>
                    <w:rPr>
                      <w:rFonts w:hint="eastAsia"/>
                      <w:color w:val="auto"/>
                      <w:sz w:val="21"/>
                      <w:szCs w:val="21"/>
                      <w:lang w:val="en-US" w:eastAsia="zh-CN"/>
                    </w:rPr>
                    <w:t>废</w:t>
                  </w:r>
                  <w:r>
                    <w:rPr>
                      <w:rFonts w:hint="eastAsia"/>
                      <w:color w:val="auto"/>
                      <w:sz w:val="21"/>
                      <w:szCs w:val="21"/>
                    </w:rPr>
                    <w:t>气量</w:t>
                  </w:r>
                </w:p>
              </w:tc>
              <w:tc>
                <w:tcPr>
                  <w:tcW w:w="5944" w:type="dxa"/>
                  <w:gridSpan w:val="4"/>
                  <w:tcBorders>
                    <w:tl2br w:val="nil"/>
                    <w:tr2bl w:val="nil"/>
                  </w:tcBorders>
                  <w:vAlign w:val="center"/>
                </w:tcPr>
                <w:p>
                  <w:pPr>
                    <w:pStyle w:val="42"/>
                    <w:spacing w:line="240" w:lineRule="auto"/>
                    <w:rPr>
                      <w:color w:val="auto"/>
                      <w:sz w:val="21"/>
                      <w:szCs w:val="21"/>
                    </w:rPr>
                  </w:pPr>
                  <w:r>
                    <w:rPr>
                      <w:rFonts w:hint="eastAsia"/>
                      <w:color w:val="auto"/>
                      <w:sz w:val="21"/>
                      <w:szCs w:val="21"/>
                      <w:lang w:val="en-US" w:eastAsia="zh-CN"/>
                    </w:rPr>
                    <w:t>2880.58万</w:t>
                  </w:r>
                  <w:r>
                    <w:rPr>
                      <w:color w:val="auto"/>
                      <w:sz w:val="21"/>
                      <w:szCs w:val="21"/>
                    </w:rPr>
                    <w:t>Nm</w:t>
                  </w:r>
                  <w:r>
                    <w:rPr>
                      <w:color w:val="auto"/>
                      <w:sz w:val="21"/>
                      <w:szCs w:val="21"/>
                      <w:vertAlign w:val="superscript"/>
                    </w:rPr>
                    <w:t>3</w:t>
                  </w:r>
                  <w:r>
                    <w:rPr>
                      <w:color w:val="auto"/>
                      <w:sz w:val="21"/>
                      <w:szCs w:val="21"/>
                    </w:rPr>
                    <w:t>/a</w:t>
                  </w:r>
                  <w:r>
                    <w:rPr>
                      <w:rFonts w:hint="eastAsia"/>
                      <w:color w:val="auto"/>
                      <w:sz w:val="21"/>
                      <w:szCs w:val="21"/>
                      <w:vertAlign w:val="baseline"/>
                      <w:lang w:eastAsia="zh-CN"/>
                    </w:rPr>
                    <w:t>（</w:t>
                  </w:r>
                  <w:r>
                    <w:rPr>
                      <w:rFonts w:hint="eastAsia"/>
                      <w:color w:val="auto"/>
                      <w:sz w:val="21"/>
                      <w:szCs w:val="21"/>
                      <w:vertAlign w:val="baseline"/>
                      <w:lang w:val="en-US" w:eastAsia="zh-CN"/>
                    </w:rPr>
                    <w:t>6668</w:t>
                  </w:r>
                  <w:r>
                    <w:rPr>
                      <w:color w:val="auto"/>
                      <w:sz w:val="21"/>
                      <w:szCs w:val="21"/>
                    </w:rPr>
                    <w:t>Nm</w:t>
                  </w:r>
                  <w:r>
                    <w:rPr>
                      <w:color w:val="auto"/>
                      <w:sz w:val="21"/>
                      <w:szCs w:val="21"/>
                      <w:vertAlign w:val="superscript"/>
                    </w:rPr>
                    <w:t>3</w:t>
                  </w:r>
                  <w:r>
                    <w:rPr>
                      <w:color w:val="auto"/>
                      <w:sz w:val="21"/>
                      <w:szCs w:val="21"/>
                    </w:rPr>
                    <w:t>/</w:t>
                  </w:r>
                  <w:r>
                    <w:rPr>
                      <w:rFonts w:hint="eastAsia"/>
                      <w:color w:val="auto"/>
                      <w:sz w:val="21"/>
                      <w:szCs w:val="21"/>
                      <w:lang w:val="en-US" w:eastAsia="zh-CN"/>
                    </w:rPr>
                    <w:t>h</w:t>
                  </w:r>
                  <w:r>
                    <w:rPr>
                      <w:rFonts w:hint="eastAsia"/>
                      <w:color w:val="auto"/>
                      <w:sz w:val="21"/>
                      <w:szCs w:val="21"/>
                      <w:vertAlign w:val="baseline"/>
                      <w:lang w:eastAsia="zh-CN"/>
                    </w:rPr>
                    <w:t>）</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 xml:space="preserve">            </w:t>
            </w:r>
            <w:r>
              <w:rPr>
                <w:rFonts w:hint="default"/>
                <w:color w:val="auto"/>
              </w:rPr>
              <w:t>表</w:t>
            </w:r>
            <w:r>
              <w:rPr>
                <w:rFonts w:hint="eastAsia"/>
                <w:color w:val="auto"/>
                <w:lang w:val="en-US" w:eastAsia="zh-CN"/>
              </w:rPr>
              <w:t>6</w:t>
            </w:r>
            <w:r>
              <w:rPr>
                <w:rFonts w:hint="default"/>
                <w:color w:val="auto"/>
              </w:rPr>
              <w:t xml:space="preserve">          </w:t>
            </w:r>
            <w:r>
              <w:rPr>
                <w:rFonts w:hint="eastAsia"/>
                <w:color w:val="auto"/>
                <w:lang w:val="en-US" w:eastAsia="zh-CN"/>
              </w:rPr>
              <w:t xml:space="preserve">      原有锅炉房厂界噪声</w:t>
            </w:r>
          </w:p>
          <w:tbl>
            <w:tblPr>
              <w:tblStyle w:val="28"/>
              <w:tblW w:w="7180"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
            <w:tblGrid>
              <w:gridCol w:w="1272"/>
              <w:gridCol w:w="1536"/>
              <w:gridCol w:w="1111"/>
              <w:gridCol w:w="1094"/>
              <w:gridCol w:w="1096"/>
              <w:gridCol w:w="1071"/>
            </w:tblGrid>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477" w:hRule="atLeast"/>
                <w:jc w:val="center"/>
              </w:trPr>
              <w:tc>
                <w:tcPr>
                  <w:tcW w:w="1272" w:type="dxa"/>
                  <w:vMerge w:val="restart"/>
                  <w:tcBorders>
                    <w:tl2br w:val="nil"/>
                    <w:tr2bl w:val="nil"/>
                  </w:tcBorders>
                  <w:vAlign w:val="center"/>
                </w:tcPr>
                <w:p>
                  <w:pPr>
                    <w:snapToGrid w:val="0"/>
                    <w:jc w:val="center"/>
                    <w:rPr>
                      <w:rFonts w:hint="eastAsia" w:eastAsiaTheme="minorEastAsia"/>
                      <w:color w:val="auto"/>
                      <w:sz w:val="21"/>
                      <w:szCs w:val="21"/>
                      <w:lang w:eastAsia="zh-CN"/>
                    </w:rPr>
                  </w:pPr>
                  <w:r>
                    <w:rPr>
                      <w:rFonts w:hint="eastAsia"/>
                      <w:color w:val="auto"/>
                      <w:sz w:val="21"/>
                      <w:szCs w:val="21"/>
                      <w:lang w:val="en-US" w:eastAsia="zh-CN"/>
                    </w:rPr>
                    <w:t>测点位置</w:t>
                  </w:r>
                </w:p>
              </w:tc>
              <w:tc>
                <w:tcPr>
                  <w:tcW w:w="1536" w:type="dxa"/>
                  <w:vMerge w:val="restart"/>
                  <w:tcBorders>
                    <w:tl2br w:val="nil"/>
                    <w:tr2bl w:val="nil"/>
                  </w:tcBorders>
                  <w:vAlign w:val="center"/>
                </w:tcPr>
                <w:p>
                  <w:pPr>
                    <w:snapToGrid w:val="0"/>
                    <w:jc w:val="center"/>
                    <w:rPr>
                      <w:rFonts w:hint="eastAsia" w:eastAsiaTheme="minorEastAsia"/>
                      <w:color w:val="auto"/>
                      <w:sz w:val="21"/>
                      <w:szCs w:val="21"/>
                      <w:lang w:eastAsia="zh-CN"/>
                    </w:rPr>
                  </w:pPr>
                  <w:r>
                    <w:rPr>
                      <w:rFonts w:hint="eastAsia"/>
                      <w:color w:val="auto"/>
                      <w:sz w:val="21"/>
                      <w:szCs w:val="21"/>
                      <w:lang w:val="en-US" w:eastAsia="zh-CN"/>
                    </w:rPr>
                    <w:t>主要噪声源</w:t>
                  </w:r>
                </w:p>
              </w:tc>
              <w:tc>
                <w:tcPr>
                  <w:tcW w:w="2205" w:type="dxa"/>
                  <w:gridSpan w:val="2"/>
                  <w:tcBorders>
                    <w:bottom w:val="single" w:color="auto" w:sz="4" w:space="0"/>
                    <w:right w:val="single" w:color="auto" w:sz="4" w:space="0"/>
                    <w:tl2br w:val="nil"/>
                    <w:tr2bl w:val="nil"/>
                  </w:tcBorders>
                  <w:vAlign w:val="center"/>
                </w:tcPr>
                <w:p>
                  <w:pPr>
                    <w:snapToGrid w:val="0"/>
                    <w:jc w:val="center"/>
                    <w:rPr>
                      <w:rFonts w:hint="eastAsia" w:eastAsiaTheme="minorEastAsia"/>
                      <w:color w:val="auto"/>
                      <w:sz w:val="21"/>
                      <w:szCs w:val="21"/>
                      <w:lang w:val="en-US" w:eastAsia="zh-CN"/>
                    </w:rPr>
                  </w:pPr>
                  <w:r>
                    <w:rPr>
                      <w:rFonts w:hint="eastAsia"/>
                      <w:color w:val="auto"/>
                      <w:sz w:val="21"/>
                      <w:szCs w:val="21"/>
                      <w:lang w:val="en-US" w:eastAsia="zh-CN"/>
                    </w:rPr>
                    <w:t>2020.1.20-1.21</w:t>
                  </w:r>
                </w:p>
              </w:tc>
              <w:tc>
                <w:tcPr>
                  <w:tcW w:w="2167" w:type="dxa"/>
                  <w:gridSpan w:val="2"/>
                  <w:tcBorders>
                    <w:left w:val="single" w:color="auto" w:sz="4" w:space="0"/>
                    <w:bottom w:val="single" w:color="auto" w:sz="4" w:space="0"/>
                    <w:tl2br w:val="nil"/>
                    <w:tr2bl w:val="nil"/>
                  </w:tcBorders>
                  <w:vAlign w:val="center"/>
                </w:tcPr>
                <w:p>
                  <w:pPr>
                    <w:snapToGrid w:val="0"/>
                    <w:jc w:val="center"/>
                    <w:rPr>
                      <w:rFonts w:hint="eastAsia"/>
                      <w:color w:val="auto"/>
                      <w:sz w:val="21"/>
                      <w:szCs w:val="21"/>
                      <w:lang w:val="en-US" w:eastAsia="zh-CN"/>
                    </w:rPr>
                  </w:pPr>
                  <w:r>
                    <w:rPr>
                      <w:rFonts w:hint="eastAsia"/>
                      <w:color w:val="auto"/>
                      <w:sz w:val="21"/>
                      <w:szCs w:val="21"/>
                      <w:lang w:val="en-US" w:eastAsia="zh-CN"/>
                    </w:rPr>
                    <w:t>2020.1.21-1.22</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272" w:type="dxa"/>
                  <w:vMerge w:val="continue"/>
                  <w:tcBorders>
                    <w:tl2br w:val="nil"/>
                    <w:tr2bl w:val="nil"/>
                  </w:tcBorders>
                  <w:vAlign w:val="center"/>
                </w:tcPr>
                <w:p>
                  <w:pPr>
                    <w:snapToGrid w:val="0"/>
                    <w:jc w:val="center"/>
                    <w:rPr>
                      <w:rFonts w:hint="eastAsia"/>
                      <w:color w:val="auto"/>
                      <w:sz w:val="21"/>
                      <w:szCs w:val="21"/>
                      <w:lang w:val="en-US" w:eastAsia="zh-CN"/>
                    </w:rPr>
                  </w:pPr>
                </w:p>
              </w:tc>
              <w:tc>
                <w:tcPr>
                  <w:tcW w:w="1536" w:type="dxa"/>
                  <w:vMerge w:val="continue"/>
                  <w:tcBorders>
                    <w:tl2br w:val="nil"/>
                    <w:tr2bl w:val="nil"/>
                  </w:tcBorders>
                  <w:vAlign w:val="center"/>
                </w:tcPr>
                <w:p>
                  <w:pPr>
                    <w:snapToGrid w:val="0"/>
                    <w:jc w:val="center"/>
                    <w:rPr>
                      <w:rFonts w:hint="eastAsia"/>
                      <w:color w:val="auto"/>
                      <w:sz w:val="21"/>
                      <w:szCs w:val="21"/>
                      <w:lang w:val="en-US" w:eastAsia="zh-CN"/>
                    </w:rPr>
                  </w:pPr>
                </w:p>
              </w:tc>
              <w:tc>
                <w:tcPr>
                  <w:tcW w:w="1111" w:type="dxa"/>
                  <w:tcBorders>
                    <w:top w:val="single" w:color="auto" w:sz="4" w:space="0"/>
                    <w:tl2br w:val="nil"/>
                    <w:tr2bl w:val="nil"/>
                  </w:tcBorders>
                  <w:vAlign w:val="center"/>
                </w:tcPr>
                <w:p>
                  <w:pPr>
                    <w:adjustRightInd w:val="0"/>
                    <w:snapToGrid w:val="0"/>
                    <w:jc w:val="center"/>
                    <w:textAlignment w:val="baseline"/>
                    <w:rPr>
                      <w:rFonts w:hint="eastAsia"/>
                      <w:color w:val="auto"/>
                      <w:sz w:val="21"/>
                      <w:szCs w:val="21"/>
                      <w:lang w:val="en-US" w:eastAsia="zh-CN"/>
                    </w:rPr>
                  </w:pPr>
                  <w:r>
                    <w:rPr>
                      <w:rFonts w:hint="eastAsia"/>
                      <w:color w:val="auto"/>
                      <w:sz w:val="21"/>
                      <w:szCs w:val="21"/>
                      <w:lang w:val="en-US" w:eastAsia="zh-CN"/>
                    </w:rPr>
                    <w:t>昼间</w:t>
                  </w:r>
                </w:p>
              </w:tc>
              <w:tc>
                <w:tcPr>
                  <w:tcW w:w="1094" w:type="dxa"/>
                  <w:tcBorders>
                    <w:top w:val="single" w:color="auto" w:sz="4" w:space="0"/>
                    <w:right w:val="single" w:color="auto" w:sz="4" w:space="0"/>
                    <w:tl2br w:val="nil"/>
                    <w:tr2bl w:val="nil"/>
                  </w:tcBorders>
                  <w:vAlign w:val="center"/>
                </w:tcPr>
                <w:p>
                  <w:pPr>
                    <w:snapToGrid w:val="0"/>
                    <w:jc w:val="center"/>
                    <w:rPr>
                      <w:rFonts w:hint="eastAsia"/>
                      <w:color w:val="auto"/>
                      <w:sz w:val="21"/>
                      <w:szCs w:val="21"/>
                      <w:lang w:val="en-US" w:eastAsia="zh-CN"/>
                    </w:rPr>
                  </w:pPr>
                  <w:r>
                    <w:rPr>
                      <w:rFonts w:hint="eastAsia"/>
                      <w:color w:val="auto"/>
                      <w:sz w:val="21"/>
                      <w:szCs w:val="21"/>
                      <w:lang w:val="en-US" w:eastAsia="zh-CN"/>
                    </w:rPr>
                    <w:t>夜间</w:t>
                  </w:r>
                </w:p>
              </w:tc>
              <w:tc>
                <w:tcPr>
                  <w:tcW w:w="1096" w:type="dxa"/>
                  <w:tcBorders>
                    <w:top w:val="single" w:color="auto" w:sz="4" w:space="0"/>
                    <w:left w:val="single" w:color="auto" w:sz="4" w:space="0"/>
                    <w:right w:val="single" w:color="auto" w:sz="4" w:space="0"/>
                    <w:tl2br w:val="nil"/>
                    <w:tr2bl w:val="nil"/>
                  </w:tcBorders>
                  <w:vAlign w:val="center"/>
                </w:tcPr>
                <w:p>
                  <w:pPr>
                    <w:adjustRightInd w:val="0"/>
                    <w:snapToGrid w:val="0"/>
                    <w:jc w:val="center"/>
                    <w:textAlignment w:val="baseline"/>
                    <w:rPr>
                      <w:rFonts w:hint="eastAsia"/>
                      <w:color w:val="auto"/>
                      <w:sz w:val="21"/>
                      <w:szCs w:val="21"/>
                      <w:lang w:val="en-US" w:eastAsia="zh-CN"/>
                    </w:rPr>
                  </w:pPr>
                  <w:r>
                    <w:rPr>
                      <w:rFonts w:hint="eastAsia"/>
                      <w:color w:val="auto"/>
                      <w:sz w:val="21"/>
                      <w:szCs w:val="21"/>
                      <w:lang w:val="en-US" w:eastAsia="zh-CN"/>
                    </w:rPr>
                    <w:t>昼间</w:t>
                  </w:r>
                </w:p>
              </w:tc>
              <w:tc>
                <w:tcPr>
                  <w:tcW w:w="1071" w:type="dxa"/>
                  <w:tcBorders>
                    <w:top w:val="single" w:color="auto" w:sz="4" w:space="0"/>
                    <w:left w:val="single" w:color="auto" w:sz="4" w:space="0"/>
                    <w:tl2br w:val="nil"/>
                    <w:tr2bl w:val="nil"/>
                  </w:tcBorders>
                  <w:vAlign w:val="center"/>
                </w:tcPr>
                <w:p>
                  <w:pPr>
                    <w:snapToGrid w:val="0"/>
                    <w:jc w:val="center"/>
                    <w:rPr>
                      <w:rFonts w:hint="eastAsia"/>
                      <w:color w:val="auto"/>
                      <w:sz w:val="21"/>
                      <w:szCs w:val="21"/>
                      <w:lang w:val="en-US" w:eastAsia="zh-CN"/>
                    </w:rPr>
                  </w:pPr>
                  <w:r>
                    <w:rPr>
                      <w:rFonts w:hint="eastAsia"/>
                      <w:color w:val="auto"/>
                      <w:sz w:val="21"/>
                      <w:szCs w:val="21"/>
                      <w:lang w:val="en-US" w:eastAsia="zh-CN"/>
                    </w:rPr>
                    <w:t>夜间</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512" w:hRule="atLeast"/>
                <w:jc w:val="center"/>
              </w:trPr>
              <w:tc>
                <w:tcPr>
                  <w:tcW w:w="1272" w:type="dxa"/>
                  <w:tcBorders>
                    <w:tl2br w:val="nil"/>
                    <w:tr2bl w:val="nil"/>
                  </w:tcBorders>
                  <w:vAlign w:val="center"/>
                </w:tcPr>
                <w:p>
                  <w:pPr>
                    <w:pStyle w:val="42"/>
                    <w:spacing w:line="240" w:lineRule="auto"/>
                    <w:rPr>
                      <w:rFonts w:hint="eastAsia"/>
                      <w:color w:val="auto"/>
                      <w:sz w:val="21"/>
                      <w:szCs w:val="21"/>
                      <w:lang w:val="en-US" w:eastAsia="zh-CN"/>
                    </w:rPr>
                  </w:pPr>
                  <w:r>
                    <w:rPr>
                      <w:rFonts w:hint="eastAsia"/>
                      <w:color w:val="auto"/>
                      <w:sz w:val="21"/>
                      <w:szCs w:val="21"/>
                      <w:lang w:val="en-US" w:eastAsia="zh-CN"/>
                    </w:rPr>
                    <w:t>项目区东</w:t>
                  </w:r>
                </w:p>
              </w:tc>
              <w:tc>
                <w:tcPr>
                  <w:tcW w:w="1536" w:type="dxa"/>
                  <w:tcBorders>
                    <w:tl2br w:val="nil"/>
                    <w:tr2bl w:val="nil"/>
                  </w:tcBorders>
                  <w:vAlign w:val="center"/>
                </w:tcPr>
                <w:p>
                  <w:pPr>
                    <w:pStyle w:val="42"/>
                    <w:spacing w:line="240" w:lineRule="auto"/>
                    <w:rPr>
                      <w:rFonts w:hint="default"/>
                      <w:color w:val="auto"/>
                      <w:sz w:val="21"/>
                      <w:szCs w:val="21"/>
                      <w:lang w:val="en-US" w:eastAsia="zh-CN"/>
                    </w:rPr>
                  </w:pPr>
                  <w:r>
                    <w:rPr>
                      <w:rFonts w:hint="eastAsia"/>
                      <w:color w:val="auto"/>
                      <w:sz w:val="21"/>
                      <w:szCs w:val="21"/>
                      <w:lang w:val="en-US" w:eastAsia="zh-CN"/>
                    </w:rPr>
                    <w:t>交通</w:t>
                  </w:r>
                </w:p>
              </w:tc>
              <w:tc>
                <w:tcPr>
                  <w:tcW w:w="1111" w:type="dxa"/>
                  <w:tcBorders>
                    <w:tl2br w:val="nil"/>
                    <w:tr2bl w:val="nil"/>
                  </w:tcBorders>
                  <w:vAlign w:val="center"/>
                </w:tcPr>
                <w:p>
                  <w:pPr>
                    <w:pStyle w:val="42"/>
                    <w:spacing w:line="240" w:lineRule="auto"/>
                    <w:rPr>
                      <w:rFonts w:hint="default"/>
                      <w:color w:val="auto"/>
                      <w:sz w:val="21"/>
                      <w:szCs w:val="21"/>
                      <w:lang w:val="en-US" w:eastAsia="zh-CN"/>
                    </w:rPr>
                  </w:pPr>
                  <w:r>
                    <w:rPr>
                      <w:rFonts w:hint="eastAsia"/>
                      <w:color w:val="auto"/>
                      <w:sz w:val="21"/>
                      <w:szCs w:val="21"/>
                      <w:lang w:val="en-US" w:eastAsia="zh-CN"/>
                    </w:rPr>
                    <w:t>57.8</w:t>
                  </w:r>
                </w:p>
              </w:tc>
              <w:tc>
                <w:tcPr>
                  <w:tcW w:w="1094" w:type="dxa"/>
                  <w:tcBorders>
                    <w:right w:val="single" w:color="auto" w:sz="4" w:space="0"/>
                    <w:tl2br w:val="nil"/>
                    <w:tr2bl w:val="nil"/>
                  </w:tcBorders>
                  <w:vAlign w:val="center"/>
                </w:tcPr>
                <w:p>
                  <w:pPr>
                    <w:pStyle w:val="42"/>
                    <w:spacing w:line="240" w:lineRule="auto"/>
                    <w:rPr>
                      <w:rFonts w:hint="default"/>
                      <w:color w:val="auto"/>
                      <w:sz w:val="21"/>
                      <w:szCs w:val="21"/>
                      <w:lang w:val="en-US" w:eastAsia="zh-CN"/>
                    </w:rPr>
                  </w:pPr>
                  <w:r>
                    <w:rPr>
                      <w:rFonts w:hint="eastAsia"/>
                      <w:color w:val="auto"/>
                      <w:sz w:val="21"/>
                      <w:szCs w:val="21"/>
                      <w:lang w:val="en-US" w:eastAsia="zh-CN"/>
                    </w:rPr>
                    <w:t>45.1</w:t>
                  </w:r>
                </w:p>
              </w:tc>
              <w:tc>
                <w:tcPr>
                  <w:tcW w:w="1096" w:type="dxa"/>
                  <w:tcBorders>
                    <w:left w:val="single" w:color="auto" w:sz="4" w:space="0"/>
                    <w:right w:val="single" w:color="auto" w:sz="4" w:space="0"/>
                    <w:tl2br w:val="nil"/>
                    <w:tr2bl w:val="nil"/>
                  </w:tcBorders>
                  <w:vAlign w:val="center"/>
                </w:tcPr>
                <w:p>
                  <w:pPr>
                    <w:pStyle w:val="42"/>
                    <w:spacing w:line="240" w:lineRule="auto"/>
                    <w:rPr>
                      <w:rFonts w:hint="eastAsia"/>
                      <w:color w:val="auto"/>
                      <w:sz w:val="21"/>
                      <w:szCs w:val="21"/>
                      <w:lang w:val="en-US" w:eastAsia="zh-CN"/>
                    </w:rPr>
                  </w:pPr>
                  <w:r>
                    <w:rPr>
                      <w:rFonts w:hint="eastAsia"/>
                      <w:color w:val="auto"/>
                      <w:sz w:val="21"/>
                      <w:szCs w:val="21"/>
                      <w:lang w:val="en-US" w:eastAsia="zh-CN"/>
                    </w:rPr>
                    <w:t>56.7</w:t>
                  </w:r>
                </w:p>
              </w:tc>
              <w:tc>
                <w:tcPr>
                  <w:tcW w:w="1071" w:type="dxa"/>
                  <w:tcBorders>
                    <w:left w:val="single" w:color="auto" w:sz="4" w:space="0"/>
                    <w:tl2br w:val="nil"/>
                    <w:tr2bl w:val="nil"/>
                  </w:tcBorders>
                  <w:vAlign w:val="center"/>
                </w:tcPr>
                <w:p>
                  <w:pPr>
                    <w:pStyle w:val="42"/>
                    <w:spacing w:line="240" w:lineRule="auto"/>
                    <w:rPr>
                      <w:rFonts w:hint="eastAsia"/>
                      <w:color w:val="auto"/>
                      <w:sz w:val="21"/>
                      <w:szCs w:val="21"/>
                      <w:lang w:val="en-US" w:eastAsia="zh-CN"/>
                    </w:rPr>
                  </w:pPr>
                  <w:r>
                    <w:rPr>
                      <w:rFonts w:hint="eastAsia"/>
                      <w:color w:val="auto"/>
                      <w:sz w:val="21"/>
                      <w:szCs w:val="21"/>
                      <w:lang w:val="en-US" w:eastAsia="zh-CN"/>
                    </w:rPr>
                    <w:t>42.9</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272" w:type="dxa"/>
                  <w:tcBorders>
                    <w:bottom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项目区北</w:t>
                  </w:r>
                </w:p>
              </w:tc>
              <w:tc>
                <w:tcPr>
                  <w:tcW w:w="1536" w:type="dxa"/>
                  <w:tcBorders>
                    <w:bottom w:val="single" w:color="auto" w:sz="4" w:space="0"/>
                    <w:tl2br w:val="nil"/>
                    <w:tr2bl w:val="nil"/>
                  </w:tcBorders>
                  <w:vAlign w:val="center"/>
                </w:tcPr>
                <w:p>
                  <w:pPr>
                    <w:pStyle w:val="42"/>
                    <w:spacing w:line="240" w:lineRule="auto"/>
                    <w:jc w:val="center"/>
                    <w:rPr>
                      <w:rFonts w:hint="default"/>
                      <w:color w:val="auto"/>
                      <w:sz w:val="21"/>
                      <w:szCs w:val="21"/>
                      <w:lang w:val="en-US" w:eastAsia="zh-CN"/>
                    </w:rPr>
                  </w:pPr>
                  <w:r>
                    <w:rPr>
                      <w:rFonts w:hint="eastAsia"/>
                      <w:color w:val="auto"/>
                      <w:sz w:val="21"/>
                      <w:szCs w:val="21"/>
                      <w:lang w:val="en-US" w:eastAsia="zh-CN"/>
                    </w:rPr>
                    <w:t>生产</w:t>
                  </w:r>
                </w:p>
              </w:tc>
              <w:tc>
                <w:tcPr>
                  <w:tcW w:w="1111" w:type="dxa"/>
                  <w:tcBorders>
                    <w:bottom w:val="single" w:color="auto" w:sz="4" w:space="0"/>
                    <w:tl2br w:val="nil"/>
                    <w:tr2bl w:val="nil"/>
                  </w:tcBorders>
                  <w:vAlign w:val="center"/>
                </w:tcPr>
                <w:p>
                  <w:pPr>
                    <w:pStyle w:val="42"/>
                    <w:spacing w:line="240" w:lineRule="auto"/>
                    <w:jc w:val="center"/>
                    <w:rPr>
                      <w:rFonts w:hint="default"/>
                      <w:color w:val="auto"/>
                      <w:sz w:val="21"/>
                      <w:szCs w:val="21"/>
                      <w:lang w:val="en-US" w:eastAsia="zh-CN"/>
                    </w:rPr>
                  </w:pPr>
                  <w:r>
                    <w:rPr>
                      <w:rFonts w:hint="eastAsia"/>
                      <w:color w:val="auto"/>
                      <w:sz w:val="21"/>
                      <w:szCs w:val="21"/>
                      <w:lang w:val="en-US" w:eastAsia="zh-CN"/>
                    </w:rPr>
                    <w:t>53.6</w:t>
                  </w:r>
                </w:p>
              </w:tc>
              <w:tc>
                <w:tcPr>
                  <w:tcW w:w="1094" w:type="dxa"/>
                  <w:tcBorders>
                    <w:bottom w:val="single" w:color="auto" w:sz="4" w:space="0"/>
                    <w:right w:val="single" w:color="auto" w:sz="4" w:space="0"/>
                    <w:tl2br w:val="nil"/>
                    <w:tr2bl w:val="nil"/>
                  </w:tcBorders>
                  <w:vAlign w:val="center"/>
                </w:tcPr>
                <w:p>
                  <w:pPr>
                    <w:pStyle w:val="42"/>
                    <w:spacing w:line="240" w:lineRule="auto"/>
                    <w:jc w:val="center"/>
                    <w:rPr>
                      <w:rFonts w:hint="default"/>
                      <w:color w:val="auto"/>
                      <w:sz w:val="21"/>
                      <w:szCs w:val="21"/>
                      <w:lang w:val="en-US" w:eastAsia="zh-CN"/>
                    </w:rPr>
                  </w:pPr>
                  <w:r>
                    <w:rPr>
                      <w:rFonts w:hint="eastAsia"/>
                      <w:color w:val="auto"/>
                      <w:sz w:val="21"/>
                      <w:szCs w:val="21"/>
                      <w:lang w:val="en-US" w:eastAsia="zh-CN"/>
                    </w:rPr>
                    <w:t>42.9</w:t>
                  </w:r>
                </w:p>
              </w:tc>
              <w:tc>
                <w:tcPr>
                  <w:tcW w:w="1096" w:type="dxa"/>
                  <w:tcBorders>
                    <w:left w:val="single" w:color="auto" w:sz="4" w:space="0"/>
                    <w:bottom w:val="single" w:color="auto" w:sz="4" w:space="0"/>
                    <w:right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51.4</w:t>
                  </w:r>
                </w:p>
              </w:tc>
              <w:tc>
                <w:tcPr>
                  <w:tcW w:w="1071" w:type="dxa"/>
                  <w:tcBorders>
                    <w:left w:val="single" w:color="auto" w:sz="4" w:space="0"/>
                    <w:bottom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41.7</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485" w:hRule="atLeast"/>
                <w:jc w:val="center"/>
              </w:trPr>
              <w:tc>
                <w:tcPr>
                  <w:tcW w:w="1272" w:type="dxa"/>
                  <w:tcBorders>
                    <w:top w:val="single" w:color="auto" w:sz="4" w:space="0"/>
                    <w:bottom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项目区西</w:t>
                  </w:r>
                </w:p>
              </w:tc>
              <w:tc>
                <w:tcPr>
                  <w:tcW w:w="1536" w:type="dxa"/>
                  <w:tcBorders>
                    <w:top w:val="single" w:color="auto" w:sz="4" w:space="0"/>
                    <w:bottom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生产</w:t>
                  </w:r>
                </w:p>
              </w:tc>
              <w:tc>
                <w:tcPr>
                  <w:tcW w:w="1111" w:type="dxa"/>
                  <w:tcBorders>
                    <w:top w:val="single" w:color="auto" w:sz="4" w:space="0"/>
                    <w:bottom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51.7</w:t>
                  </w:r>
                </w:p>
              </w:tc>
              <w:tc>
                <w:tcPr>
                  <w:tcW w:w="1094" w:type="dxa"/>
                  <w:tcBorders>
                    <w:top w:val="single" w:color="auto" w:sz="4" w:space="0"/>
                    <w:bottom w:val="single" w:color="auto" w:sz="4" w:space="0"/>
                    <w:right w:val="single" w:color="auto" w:sz="4" w:space="0"/>
                    <w:tl2br w:val="nil"/>
                    <w:tr2bl w:val="nil"/>
                  </w:tcBorders>
                  <w:vAlign w:val="center"/>
                </w:tcPr>
                <w:p>
                  <w:pPr>
                    <w:pStyle w:val="42"/>
                    <w:spacing w:line="240" w:lineRule="auto"/>
                    <w:jc w:val="center"/>
                    <w:rPr>
                      <w:rFonts w:hint="default"/>
                      <w:color w:val="auto"/>
                      <w:sz w:val="21"/>
                      <w:szCs w:val="21"/>
                      <w:lang w:val="en-US" w:eastAsia="zh-CN"/>
                    </w:rPr>
                  </w:pPr>
                  <w:r>
                    <w:rPr>
                      <w:rFonts w:hint="eastAsia"/>
                      <w:color w:val="auto"/>
                      <w:sz w:val="21"/>
                      <w:szCs w:val="21"/>
                      <w:lang w:val="en-US" w:eastAsia="zh-CN"/>
                    </w:rPr>
                    <w:t>41.9</w:t>
                  </w:r>
                </w:p>
              </w:tc>
              <w:tc>
                <w:tcPr>
                  <w:tcW w:w="1096" w:type="dxa"/>
                  <w:tcBorders>
                    <w:top w:val="single" w:color="auto" w:sz="4" w:space="0"/>
                    <w:left w:val="single" w:color="auto" w:sz="4" w:space="0"/>
                    <w:bottom w:val="single" w:color="auto" w:sz="4" w:space="0"/>
                    <w:right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50.4</w:t>
                  </w:r>
                </w:p>
              </w:tc>
              <w:tc>
                <w:tcPr>
                  <w:tcW w:w="1071" w:type="dxa"/>
                  <w:tcBorders>
                    <w:top w:val="single" w:color="auto" w:sz="4" w:space="0"/>
                    <w:left w:val="single" w:color="auto" w:sz="4" w:space="0"/>
                    <w:bottom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41.7</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555" w:hRule="atLeast"/>
                <w:jc w:val="center"/>
              </w:trPr>
              <w:tc>
                <w:tcPr>
                  <w:tcW w:w="1272" w:type="dxa"/>
                  <w:tcBorders>
                    <w:top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项目区南</w:t>
                  </w:r>
                </w:p>
              </w:tc>
              <w:tc>
                <w:tcPr>
                  <w:tcW w:w="1536" w:type="dxa"/>
                  <w:tcBorders>
                    <w:top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生产</w:t>
                  </w:r>
                </w:p>
              </w:tc>
              <w:tc>
                <w:tcPr>
                  <w:tcW w:w="1111" w:type="dxa"/>
                  <w:tcBorders>
                    <w:top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53.8</w:t>
                  </w:r>
                </w:p>
              </w:tc>
              <w:tc>
                <w:tcPr>
                  <w:tcW w:w="1094" w:type="dxa"/>
                  <w:tcBorders>
                    <w:top w:val="single" w:color="auto" w:sz="4" w:space="0"/>
                    <w:right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42.5</w:t>
                  </w:r>
                </w:p>
              </w:tc>
              <w:tc>
                <w:tcPr>
                  <w:tcW w:w="1096" w:type="dxa"/>
                  <w:tcBorders>
                    <w:top w:val="single" w:color="auto" w:sz="4" w:space="0"/>
                    <w:left w:val="single" w:color="auto" w:sz="4" w:space="0"/>
                    <w:right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51.4</w:t>
                  </w:r>
                </w:p>
              </w:tc>
              <w:tc>
                <w:tcPr>
                  <w:tcW w:w="1071" w:type="dxa"/>
                  <w:tcBorders>
                    <w:top w:val="single" w:color="auto" w:sz="4" w:space="0"/>
                    <w:left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41.5</w:t>
                  </w:r>
                </w:p>
              </w:tc>
            </w:tr>
          </w:tbl>
          <w:p>
            <w:pPr>
              <w:widowControl/>
              <w:spacing w:line="360" w:lineRule="auto"/>
              <w:ind w:firstLine="420" w:firstLineChars="200"/>
              <w:rPr>
                <w:rFonts w:hint="eastAsia" w:hAnsi="宋体" w:eastAsia="宋体"/>
                <w:color w:val="auto"/>
                <w:sz w:val="21"/>
                <w:szCs w:val="21"/>
                <w:lang w:val="en-US" w:eastAsia="zh-CN"/>
              </w:rPr>
            </w:pPr>
            <w:r>
              <w:rPr>
                <w:rFonts w:hint="eastAsia" w:ascii="宋体" w:hAnsi="宋体" w:eastAsia="宋体" w:cs="宋体"/>
                <w:color w:val="auto"/>
                <w:sz w:val="21"/>
                <w:szCs w:val="21"/>
                <w:u w:val="none"/>
              </w:rPr>
              <w:t>丁香园北区</w:t>
            </w:r>
            <w:r>
              <w:rPr>
                <w:rFonts w:hint="eastAsia" w:ascii="宋体" w:hAnsi="宋体" w:eastAsia="宋体" w:cs="宋体"/>
                <w:color w:val="auto"/>
                <w:sz w:val="21"/>
                <w:szCs w:val="21"/>
                <w:u w:val="none"/>
                <w:lang w:val="en-US" w:eastAsia="zh-CN"/>
              </w:rPr>
              <w:t>锅炉房劳动定员6人，</w:t>
            </w:r>
            <w:r>
              <w:rPr>
                <w:rFonts w:hint="default" w:ascii="Times New Roman" w:hAnsi="Times New Roman" w:cs="Times New Roman"/>
                <w:color w:val="auto"/>
                <w:sz w:val="21"/>
                <w:szCs w:val="21"/>
              </w:rPr>
              <w:t>员工用水按每人每天</w:t>
            </w:r>
            <w:r>
              <w:rPr>
                <w:rFonts w:hint="eastAsia" w:cs="Times New Roman"/>
                <w:color w:val="auto"/>
                <w:sz w:val="21"/>
                <w:szCs w:val="21"/>
                <w:lang w:val="en-US" w:eastAsia="zh-CN"/>
              </w:rPr>
              <w:t>10</w:t>
            </w:r>
            <w:r>
              <w:rPr>
                <w:rFonts w:hint="default" w:ascii="Times New Roman" w:hAnsi="Times New Roman" w:cs="Times New Roman"/>
                <w:color w:val="auto"/>
                <w:sz w:val="21"/>
                <w:szCs w:val="21"/>
              </w:rPr>
              <w:t>0L计，用水量为</w:t>
            </w:r>
            <w:r>
              <w:rPr>
                <w:rFonts w:hint="eastAsia" w:ascii="Times New Roman" w:hAnsi="Times New Roman" w:cs="Times New Roman"/>
                <w:color w:val="auto"/>
                <w:sz w:val="21"/>
                <w:szCs w:val="21"/>
                <w:lang w:val="en-US" w:eastAsia="zh-CN"/>
              </w:rPr>
              <w:t>0.6</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/d（</w:t>
            </w:r>
            <w:r>
              <w:rPr>
                <w:rFonts w:hint="eastAsia" w:ascii="Times New Roman" w:hAnsi="Times New Roman" w:cs="Times New Roman"/>
                <w:color w:val="auto"/>
                <w:sz w:val="21"/>
                <w:szCs w:val="21"/>
                <w:lang w:val="en-US" w:eastAsia="zh-CN"/>
              </w:rPr>
              <w:t>108</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kern w:val="0"/>
                <w:sz w:val="21"/>
                <w:szCs w:val="21"/>
              </w:rPr>
              <w:t>排放量按用水量80%计算，则污水排放量为</w:t>
            </w:r>
            <w:r>
              <w:rPr>
                <w:rFonts w:hint="eastAsia" w:cs="Times New Roman"/>
                <w:color w:val="auto"/>
                <w:kern w:val="0"/>
                <w:sz w:val="21"/>
                <w:szCs w:val="21"/>
                <w:lang w:val="en-US" w:eastAsia="zh-CN"/>
              </w:rPr>
              <w:t>0.48</w:t>
            </w: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/d（</w:t>
            </w:r>
            <w:r>
              <w:rPr>
                <w:rFonts w:hint="eastAsia" w:cs="Times New Roman"/>
                <w:color w:val="auto"/>
                <w:kern w:val="0"/>
                <w:sz w:val="21"/>
                <w:szCs w:val="21"/>
                <w:lang w:val="en-US" w:eastAsia="zh-CN"/>
              </w:rPr>
              <w:t>86.4</w:t>
            </w: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/a）</w:t>
            </w:r>
            <w:r>
              <w:rPr>
                <w:rFonts w:hint="eastAsia" w:ascii="Times New Roman" w:hAnsi="Times New Roman" w:cs="Times New Roman"/>
                <w:color w:val="auto"/>
                <w:kern w:val="0"/>
                <w:sz w:val="21"/>
                <w:szCs w:val="21"/>
                <w:lang w:eastAsia="zh-CN"/>
              </w:rPr>
              <w:t>；</w:t>
            </w:r>
            <w:r>
              <w:rPr>
                <w:rFonts w:hint="eastAsia" w:hAnsi="宋体" w:eastAsia="宋体"/>
                <w:color w:val="auto"/>
                <w:sz w:val="21"/>
                <w:szCs w:val="21"/>
              </w:rPr>
              <w:t>锅炉</w:t>
            </w:r>
            <w:r>
              <w:rPr>
                <w:rFonts w:hint="eastAsia" w:hAnsi="宋体" w:eastAsia="宋体"/>
                <w:color w:val="auto"/>
                <w:sz w:val="21"/>
                <w:szCs w:val="21"/>
                <w:lang w:val="en-US" w:eastAsia="zh-CN"/>
              </w:rPr>
              <w:t>排污</w:t>
            </w:r>
            <w:r>
              <w:rPr>
                <w:rFonts w:hint="eastAsia" w:hAnsi="宋体" w:eastAsia="宋体"/>
                <w:color w:val="auto"/>
                <w:sz w:val="21"/>
                <w:szCs w:val="21"/>
              </w:rPr>
              <w:t>水</w:t>
            </w:r>
            <w:r>
              <w:rPr>
                <w:rFonts w:hint="eastAsia" w:hAnsi="宋体" w:eastAsia="宋体"/>
                <w:color w:val="auto"/>
                <w:sz w:val="21"/>
                <w:szCs w:val="21"/>
                <w:lang w:eastAsia="zh-CN"/>
              </w:rPr>
              <w:t>、</w:t>
            </w:r>
            <w:r>
              <w:rPr>
                <w:rFonts w:hint="eastAsia" w:hAnsi="宋体" w:eastAsia="宋体"/>
                <w:color w:val="auto"/>
                <w:sz w:val="21"/>
                <w:szCs w:val="21"/>
                <w:lang w:val="en-US" w:eastAsia="zh-CN"/>
              </w:rPr>
              <w:t>软水制备废水</w:t>
            </w:r>
            <w:r>
              <w:rPr>
                <w:rFonts w:hint="eastAsia"/>
                <w:color w:val="auto"/>
                <w:lang w:val="en-US" w:eastAsia="zh-CN"/>
              </w:rPr>
              <w:t>产生量为</w:t>
            </w:r>
            <w:r>
              <w:rPr>
                <w:rFonts w:hint="eastAsia" w:ascii="Times New Roman" w:hAnsi="Times New Roman" w:cs="Times New Roman"/>
                <w:snapToGrid w:val="0"/>
                <w:color w:val="auto"/>
                <w:kern w:val="21"/>
                <w:szCs w:val="21"/>
                <w:lang w:val="en-US" w:eastAsia="zh-CN"/>
              </w:rPr>
              <w:t>13145.31</w:t>
            </w:r>
            <w:r>
              <w:rPr>
                <w:rFonts w:hint="eastAsia"/>
                <w:color w:val="auto"/>
                <w:lang w:val="en-US" w:eastAsia="zh-CN"/>
              </w:rPr>
              <w:t>t</w:t>
            </w:r>
            <w:r>
              <w:rPr>
                <w:rFonts w:hint="default"/>
                <w:color w:val="auto"/>
              </w:rPr>
              <w:t>/a</w:t>
            </w:r>
            <w:r>
              <w:rPr>
                <w:rFonts w:hint="eastAsia"/>
                <w:color w:val="auto"/>
                <w:lang w:eastAsia="zh-CN"/>
              </w:rPr>
              <w:t>，</w:t>
            </w:r>
            <w:r>
              <w:rPr>
                <w:rFonts w:hint="eastAsia"/>
                <w:color w:val="auto"/>
                <w:lang w:val="en-US" w:eastAsia="zh-CN"/>
              </w:rPr>
              <w:t>均排入市政污水管网，最终进入</w:t>
            </w:r>
            <w:r>
              <w:rPr>
                <w:rFonts w:hint="eastAsia" w:hAnsi="宋体" w:eastAsia="宋体"/>
                <w:color w:val="auto"/>
                <w:sz w:val="21"/>
                <w:szCs w:val="21"/>
                <w:lang w:val="en-US" w:eastAsia="zh-CN"/>
              </w:rPr>
              <w:t>昌吉市第二污水处理厂。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ascii="宋体" w:hAnsi="宋体" w:eastAsia="宋体" w:cs="宋体"/>
                <w:color w:val="auto"/>
                <w:sz w:val="21"/>
                <w:szCs w:val="21"/>
                <w:u w:val="none"/>
              </w:rPr>
              <w:t>丁香园北区</w:t>
            </w:r>
            <w:r>
              <w:rPr>
                <w:rFonts w:hint="eastAsia" w:ascii="宋体" w:hAnsi="宋体" w:eastAsia="宋体" w:cs="宋体"/>
                <w:color w:val="auto"/>
                <w:sz w:val="21"/>
                <w:szCs w:val="21"/>
                <w:u w:val="none"/>
                <w:lang w:val="en-US" w:eastAsia="zh-CN"/>
              </w:rPr>
              <w:t>锅炉房</w:t>
            </w:r>
            <w:r>
              <w:rPr>
                <w:rFonts w:hint="eastAsia"/>
                <w:color w:val="auto"/>
                <w:lang w:val="en-US" w:eastAsia="zh-CN"/>
              </w:rPr>
              <w:t>职工</w:t>
            </w:r>
            <w:r>
              <w:rPr>
                <w:rFonts w:hint="default"/>
                <w:color w:val="auto"/>
              </w:rPr>
              <w:t>生活垃圾按0.5kg/人.d计，日产生量</w:t>
            </w:r>
            <w:r>
              <w:rPr>
                <w:rFonts w:hint="eastAsia"/>
                <w:color w:val="auto"/>
                <w:lang w:val="en-US" w:eastAsia="zh-CN"/>
              </w:rPr>
              <w:t>3</w:t>
            </w:r>
            <w:r>
              <w:rPr>
                <w:rFonts w:hint="default"/>
                <w:color w:val="auto"/>
              </w:rPr>
              <w:t>kg/d，年产生量为</w:t>
            </w:r>
            <w:r>
              <w:rPr>
                <w:rFonts w:hint="eastAsia"/>
                <w:color w:val="auto"/>
                <w:lang w:val="en-US" w:eastAsia="zh-CN"/>
              </w:rPr>
              <w:t>0.54t</w:t>
            </w:r>
            <w:r>
              <w:rPr>
                <w:rFonts w:hint="default"/>
                <w:color w:val="auto"/>
              </w:rPr>
              <w:t>/a</w:t>
            </w:r>
            <w:r>
              <w:rPr>
                <w:rFonts w:hint="eastAsia"/>
                <w:color w:val="auto"/>
                <w:lang w:val="en-US" w:eastAsia="zh-CN"/>
              </w:rPr>
              <w:t>，集中收集后委托环卫部门定期清运。</w:t>
            </w:r>
            <w:r>
              <w:rPr>
                <w:rFonts w:hint="eastAsia" w:ascii="宋体" w:hAnsi="宋体" w:eastAsia="宋体" w:cs="宋体"/>
                <w:color w:val="auto"/>
                <w:sz w:val="21"/>
                <w:szCs w:val="21"/>
                <w:u w:val="none"/>
                <w:lang w:val="en-US" w:eastAsia="zh-CN"/>
              </w:rPr>
              <w:t>锅炉房</w:t>
            </w:r>
            <w:r>
              <w:rPr>
                <w:rFonts w:hint="eastAsia"/>
                <w:color w:val="auto"/>
                <w:lang w:val="en-US" w:eastAsia="zh-CN"/>
              </w:rPr>
              <w:t>自运营以来无生产性固废产生。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color w:val="auto"/>
                <w:lang w:val="en-US" w:eastAsia="zh-CN"/>
              </w:rPr>
            </w:pPr>
            <w:r>
              <w:rPr>
                <w:rFonts w:hint="eastAsia"/>
                <w:color w:val="auto"/>
                <w:lang w:val="en-US" w:eastAsia="zh-CN"/>
              </w:rPr>
              <w:t>原有工程存在的环境问题</w:t>
            </w:r>
          </w:p>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right="0" w:rightChars="0" w:firstLine="420"/>
              <w:jc w:val="both"/>
              <w:textAlignment w:val="auto"/>
              <w:outlineLvl w:val="9"/>
              <w:rPr>
                <w:rFonts w:hint="eastAsia"/>
                <w:color w:val="auto"/>
                <w:lang w:val="en-US" w:eastAsia="zh-CN"/>
              </w:rPr>
            </w:pPr>
            <w:r>
              <w:rPr>
                <w:rFonts w:hint="default"/>
                <w:color w:val="auto"/>
                <w:lang w:val="en-US" w:eastAsia="zh-CN"/>
              </w:rPr>
              <w:t>根据《关于开展自治区2021年度夏秋季大气污染防治“</w:t>
            </w:r>
            <w:r>
              <w:rPr>
                <w:rFonts w:hint="eastAsia"/>
                <w:color w:val="auto"/>
                <w:lang w:val="en-US" w:eastAsia="zh-CN"/>
              </w:rPr>
              <w:t>冬</w:t>
            </w:r>
            <w:r>
              <w:rPr>
                <w:rFonts w:hint="default"/>
                <w:color w:val="auto"/>
                <w:lang w:val="en-US" w:eastAsia="zh-CN"/>
              </w:rPr>
              <w:t>病夏治”工作的通知》</w:t>
            </w:r>
            <w:r>
              <w:rPr>
                <w:rFonts w:hint="eastAsia"/>
                <w:color w:val="auto"/>
                <w:lang w:val="en-US" w:eastAsia="zh-CN"/>
              </w:rPr>
              <w:t>：</w:t>
            </w:r>
            <w:r>
              <w:rPr>
                <w:rFonts w:hint="default"/>
                <w:color w:val="auto"/>
                <w:lang w:val="en-US" w:eastAsia="zh-CN"/>
              </w:rPr>
              <w:t>开展锅炉综合整治</w:t>
            </w:r>
            <w:r>
              <w:rPr>
                <w:rFonts w:hint="eastAsia"/>
                <w:color w:val="auto"/>
                <w:lang w:val="en-US" w:eastAsia="zh-CN"/>
              </w:rPr>
              <w:t>——</w:t>
            </w:r>
            <w:r>
              <w:rPr>
                <w:rFonts w:hint="default"/>
                <w:color w:val="auto"/>
                <w:lang w:val="en-US" w:eastAsia="zh-CN"/>
              </w:rPr>
              <w:t>“实施燃气锅炉低氮改造，重点区域内未实施燃气锅炉低氮改造的城市，按照氮氧化物排放浓度不高于</w:t>
            </w:r>
            <w:r>
              <w:rPr>
                <w:rFonts w:hint="eastAsia"/>
                <w:color w:val="auto"/>
                <w:lang w:val="en-US" w:eastAsia="zh-CN"/>
              </w:rPr>
              <w:t>50</w:t>
            </w:r>
            <w:r>
              <w:rPr>
                <w:rFonts w:hint="default"/>
                <w:color w:val="auto"/>
                <w:lang w:val="en-US" w:eastAsia="zh-CN"/>
              </w:rPr>
              <w:t>毫克/立方米的要求，力争2021年夏</w:t>
            </w:r>
            <w:r>
              <w:rPr>
                <w:rFonts w:hint="eastAsia"/>
                <w:color w:val="auto"/>
                <w:lang w:val="en-US" w:eastAsia="zh-CN"/>
              </w:rPr>
              <w:t>秋季</w:t>
            </w:r>
            <w:r>
              <w:rPr>
                <w:rFonts w:hint="default"/>
                <w:color w:val="auto"/>
                <w:lang w:val="en-US" w:eastAsia="zh-CN"/>
              </w:rPr>
              <w:t>完成30%以上燃气锅炉低氮改造”</w:t>
            </w:r>
            <w:r>
              <w:rPr>
                <w:rFonts w:hint="eastAsia"/>
                <w:color w:val="auto"/>
                <w:lang w:val="en-US" w:eastAsia="zh-CN"/>
              </w:rPr>
              <w:t>。</w:t>
            </w:r>
            <w:r>
              <w:rPr>
                <w:rFonts w:hint="default"/>
                <w:color w:val="auto"/>
                <w:lang w:val="en-US" w:eastAsia="zh-CN"/>
              </w:rPr>
              <w:t>本项目位于重点区域，锅炉氮氧化物排放标准</w:t>
            </w:r>
            <w:r>
              <w:rPr>
                <w:rFonts w:hint="eastAsia"/>
                <w:color w:val="auto"/>
                <w:lang w:val="en-US" w:eastAsia="zh-CN"/>
              </w:rPr>
              <w:t>按</w:t>
            </w:r>
            <w:r>
              <w:rPr>
                <w:rFonts w:hint="default"/>
                <w:color w:val="auto"/>
                <w:lang w:val="en-US" w:eastAsia="zh-CN"/>
              </w:rPr>
              <w:t>50毫克/立方米的要求执行</w:t>
            </w:r>
            <w:r>
              <w:rPr>
                <w:rFonts w:hint="eastAsia"/>
                <w:color w:val="auto"/>
                <w:lang w:val="en-US" w:eastAsia="zh-CN"/>
              </w:rPr>
              <w:t>。根据原有锅炉房竣工环境保护验收意见和例行检测报告，原有锅炉</w:t>
            </w:r>
            <w:r>
              <w:rPr>
                <w:rFonts w:hint="default"/>
                <w:color w:val="auto"/>
                <w:lang w:val="en-US" w:eastAsia="zh-CN"/>
              </w:rPr>
              <w:t>氮氧化物排放</w:t>
            </w:r>
            <w:r>
              <w:rPr>
                <w:rFonts w:hint="eastAsia"/>
                <w:color w:val="auto"/>
                <w:lang w:val="en-US" w:eastAsia="zh-CN"/>
              </w:rPr>
              <w:t>不达标，因此本环评</w:t>
            </w:r>
            <w:r>
              <w:rPr>
                <w:rFonts w:hint="eastAsia" w:ascii="宋体" w:hAnsi="宋体" w:eastAsia="宋体" w:cs="宋体"/>
                <w:color w:val="auto"/>
                <w:kern w:val="0"/>
                <w:sz w:val="21"/>
                <w:szCs w:val="21"/>
                <w:lang w:val="en-US" w:eastAsia="zh-CN" w:bidi="ar"/>
              </w:rPr>
              <w:t>对现有锅炉提出改造要求，采用</w:t>
            </w:r>
            <w:r>
              <w:rPr>
                <w:rFonts w:hint="default" w:ascii="Times New Roman" w:hAnsi="Times New Roman" w:cs="Times New Roman"/>
                <w:color w:val="auto"/>
                <w:sz w:val="21"/>
              </w:rPr>
              <w:t>加装低氮燃烧器</w:t>
            </w:r>
            <w:r>
              <w:rPr>
                <w:rFonts w:hint="default" w:ascii="Times New Roman" w:hAnsi="Times New Roman" w:cs="Times New Roman"/>
                <w:color w:val="auto"/>
                <w:sz w:val="21"/>
                <w:lang w:val="en-US" w:eastAsia="zh-CN"/>
              </w:rPr>
              <w:t>+烟气</w:t>
            </w:r>
            <w:r>
              <w:rPr>
                <w:rFonts w:hint="eastAsia" w:ascii="Times New Roman" w:hAnsi="Times New Roman" w:cs="Times New Roman"/>
                <w:color w:val="auto"/>
                <w:sz w:val="21"/>
                <w:lang w:val="en-US" w:eastAsia="zh-CN"/>
              </w:rPr>
              <w:t>再</w:t>
            </w:r>
            <w:r>
              <w:rPr>
                <w:rFonts w:hint="default" w:ascii="Times New Roman" w:hAnsi="Times New Roman" w:cs="Times New Roman"/>
                <w:color w:val="auto"/>
                <w:sz w:val="21"/>
                <w:lang w:val="en-US" w:eastAsia="zh-CN"/>
              </w:rPr>
              <w:t>循环</w:t>
            </w:r>
            <w:r>
              <w:rPr>
                <w:rFonts w:hint="eastAsia" w:ascii="Times New Roman" w:hAnsi="Times New Roman" w:cs="Times New Roman"/>
                <w:color w:val="auto"/>
                <w:sz w:val="21"/>
                <w:lang w:val="en-US" w:eastAsia="zh-CN"/>
              </w:rPr>
              <w:t>，使</w:t>
            </w:r>
            <w:r>
              <w:rPr>
                <w:rFonts w:hint="default"/>
                <w:color w:val="auto"/>
                <w:lang w:val="en-US" w:eastAsia="zh-CN"/>
              </w:rPr>
              <w:t>氮氧化物排放</w:t>
            </w:r>
            <w:r>
              <w:rPr>
                <w:rFonts w:hint="eastAsia"/>
                <w:color w:val="auto"/>
                <w:lang w:val="en-US" w:eastAsia="zh-CN"/>
              </w:rPr>
              <w:t>达到</w:t>
            </w:r>
            <w:r>
              <w:rPr>
                <w:rFonts w:hint="default"/>
                <w:color w:val="auto"/>
                <w:lang w:val="en-US" w:eastAsia="zh-CN"/>
              </w:rPr>
              <w:t>50毫克/立方米的</w:t>
            </w:r>
            <w:r>
              <w:rPr>
                <w:rFonts w:hint="eastAsia"/>
                <w:color w:val="auto"/>
                <w:lang w:val="en-US" w:eastAsia="zh-CN"/>
              </w:rPr>
              <w:t>标准</w:t>
            </w:r>
            <w:r>
              <w:rPr>
                <w:rFonts w:hint="default"/>
                <w:color w:val="auto"/>
                <w:lang w:val="en-US" w:eastAsia="zh-CN"/>
              </w:rPr>
              <w:t>要求</w:t>
            </w:r>
            <w:r>
              <w:rPr>
                <w:rFonts w:hint="eastAsia"/>
                <w:color w:val="auto"/>
                <w:lang w:val="en-US" w:eastAsia="zh-CN"/>
              </w:rPr>
              <w:t>。</w:t>
            </w: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70" w:firstLineChars="700"/>
              <w:jc w:val="both"/>
              <w:textAlignment w:val="auto"/>
              <w:outlineLvl w:val="9"/>
              <w:rPr>
                <w:rFonts w:hint="eastAsia"/>
                <w:color w:val="auto"/>
                <w:lang w:val="en-US" w:eastAsia="zh-CN"/>
              </w:rPr>
            </w:pPr>
            <w:r>
              <w:rPr>
                <w:rFonts w:hint="default"/>
                <w:color w:val="auto"/>
              </w:rPr>
              <w:t>表</w:t>
            </w:r>
            <w:r>
              <w:rPr>
                <w:rFonts w:hint="eastAsia"/>
                <w:color w:val="auto"/>
                <w:lang w:val="en-US" w:eastAsia="zh-CN"/>
              </w:rPr>
              <w:t>7</w:t>
            </w:r>
            <w:r>
              <w:rPr>
                <w:rFonts w:hint="default"/>
                <w:color w:val="auto"/>
              </w:rPr>
              <w:t xml:space="preserve">          </w:t>
            </w:r>
            <w:r>
              <w:rPr>
                <w:rFonts w:hint="eastAsia"/>
                <w:color w:val="auto"/>
                <w:lang w:val="en-US" w:eastAsia="zh-CN"/>
              </w:rPr>
              <w:t xml:space="preserve">  原有锅炉改造后</w:t>
            </w:r>
            <w:r>
              <w:rPr>
                <w:rFonts w:hint="default"/>
                <w:color w:val="auto"/>
                <w:lang w:val="en-US" w:eastAsia="zh-CN"/>
              </w:rPr>
              <w:t>氮氧化物</w:t>
            </w:r>
            <w:r>
              <w:rPr>
                <w:rFonts w:hint="eastAsia"/>
                <w:color w:val="auto"/>
                <w:lang w:val="en-US" w:eastAsia="zh-CN"/>
              </w:rPr>
              <w:t>排放量</w:t>
            </w:r>
          </w:p>
          <w:tbl>
            <w:tblPr>
              <w:tblStyle w:val="28"/>
              <w:tblW w:w="7620"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
            <w:tblGrid>
              <w:gridCol w:w="485"/>
              <w:gridCol w:w="1037"/>
              <w:gridCol w:w="1005"/>
              <w:gridCol w:w="1125"/>
              <w:gridCol w:w="1860"/>
              <w:gridCol w:w="945"/>
              <w:gridCol w:w="1163"/>
            </w:tblGrid>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395" w:hRule="atLeast"/>
                <w:jc w:val="center"/>
              </w:trPr>
              <w:tc>
                <w:tcPr>
                  <w:tcW w:w="485" w:type="dxa"/>
                  <w:tcBorders>
                    <w:tl2br w:val="nil"/>
                    <w:tr2bl w:val="nil"/>
                  </w:tcBorders>
                  <w:vAlign w:val="center"/>
                </w:tcPr>
                <w:p>
                  <w:pPr>
                    <w:snapToGrid w:val="0"/>
                    <w:jc w:val="center"/>
                    <w:rPr>
                      <w:color w:val="auto"/>
                      <w:sz w:val="21"/>
                      <w:szCs w:val="21"/>
                    </w:rPr>
                  </w:pPr>
                  <w:r>
                    <w:rPr>
                      <w:rFonts w:hint="eastAsia"/>
                      <w:color w:val="auto"/>
                      <w:sz w:val="21"/>
                      <w:szCs w:val="21"/>
                    </w:rPr>
                    <w:t>类型</w:t>
                  </w:r>
                </w:p>
              </w:tc>
              <w:tc>
                <w:tcPr>
                  <w:tcW w:w="1037" w:type="dxa"/>
                  <w:vMerge w:val="restart"/>
                  <w:tcBorders>
                    <w:tl2br w:val="nil"/>
                    <w:tr2bl w:val="nil"/>
                  </w:tcBorders>
                  <w:vAlign w:val="center"/>
                </w:tcPr>
                <w:p>
                  <w:pPr>
                    <w:snapToGrid w:val="0"/>
                    <w:jc w:val="center"/>
                    <w:rPr>
                      <w:color w:val="auto"/>
                      <w:sz w:val="21"/>
                      <w:szCs w:val="21"/>
                    </w:rPr>
                  </w:pPr>
                  <w:r>
                    <w:rPr>
                      <w:rFonts w:hint="eastAsia"/>
                      <w:color w:val="auto"/>
                      <w:sz w:val="21"/>
                      <w:szCs w:val="21"/>
                    </w:rPr>
                    <w:t>污染物</w:t>
                  </w:r>
                </w:p>
              </w:tc>
              <w:tc>
                <w:tcPr>
                  <w:tcW w:w="2130" w:type="dxa"/>
                  <w:gridSpan w:val="2"/>
                  <w:tcBorders>
                    <w:tl2br w:val="nil"/>
                    <w:tr2bl w:val="nil"/>
                  </w:tcBorders>
                  <w:vAlign w:val="center"/>
                </w:tcPr>
                <w:p>
                  <w:pPr>
                    <w:adjustRightInd w:val="0"/>
                    <w:snapToGrid w:val="0"/>
                    <w:jc w:val="center"/>
                    <w:textAlignment w:val="baseline"/>
                    <w:rPr>
                      <w:rFonts w:hint="default" w:eastAsiaTheme="minorEastAsia"/>
                      <w:color w:val="auto"/>
                      <w:sz w:val="21"/>
                      <w:szCs w:val="21"/>
                      <w:lang w:val="en-US" w:eastAsia="zh-CN"/>
                    </w:rPr>
                  </w:pPr>
                  <w:r>
                    <w:rPr>
                      <w:rFonts w:hint="eastAsia"/>
                      <w:color w:val="auto"/>
                      <w:sz w:val="21"/>
                      <w:szCs w:val="21"/>
                      <w:lang w:val="en-US" w:eastAsia="zh-CN"/>
                    </w:rPr>
                    <w:t>改造前</w:t>
                  </w:r>
                </w:p>
              </w:tc>
              <w:tc>
                <w:tcPr>
                  <w:tcW w:w="1860" w:type="dxa"/>
                  <w:tcBorders>
                    <w:tl2br w:val="nil"/>
                    <w:tr2bl w:val="nil"/>
                  </w:tcBorders>
                  <w:vAlign w:val="center"/>
                </w:tcPr>
                <w:p>
                  <w:pPr>
                    <w:adjustRightInd w:val="0"/>
                    <w:snapToGrid w:val="0"/>
                    <w:jc w:val="center"/>
                    <w:textAlignment w:val="baseline"/>
                    <w:rPr>
                      <w:color w:val="auto"/>
                      <w:sz w:val="21"/>
                      <w:szCs w:val="21"/>
                    </w:rPr>
                  </w:pPr>
                  <w:r>
                    <w:rPr>
                      <w:rFonts w:hint="eastAsia"/>
                      <w:color w:val="auto"/>
                      <w:sz w:val="21"/>
                      <w:szCs w:val="21"/>
                    </w:rPr>
                    <w:t>治理措施</w:t>
                  </w:r>
                </w:p>
              </w:tc>
              <w:tc>
                <w:tcPr>
                  <w:tcW w:w="2108" w:type="dxa"/>
                  <w:gridSpan w:val="2"/>
                  <w:tcBorders>
                    <w:tl2br w:val="nil"/>
                    <w:tr2bl w:val="nil"/>
                  </w:tcBorders>
                  <w:vAlign w:val="center"/>
                </w:tcPr>
                <w:p>
                  <w:pPr>
                    <w:adjustRightInd w:val="0"/>
                    <w:snapToGrid w:val="0"/>
                    <w:jc w:val="center"/>
                    <w:textAlignment w:val="baseline"/>
                    <w:rPr>
                      <w:color w:val="auto"/>
                      <w:sz w:val="21"/>
                      <w:szCs w:val="21"/>
                    </w:rPr>
                  </w:pPr>
                  <w:r>
                    <w:rPr>
                      <w:rFonts w:hint="eastAsia"/>
                      <w:color w:val="auto"/>
                      <w:sz w:val="21"/>
                      <w:szCs w:val="21"/>
                      <w:lang w:val="en-US" w:eastAsia="zh-CN"/>
                    </w:rPr>
                    <w:t>改造后</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508" w:hRule="atLeast"/>
                <w:jc w:val="center"/>
              </w:trPr>
              <w:tc>
                <w:tcPr>
                  <w:tcW w:w="485" w:type="dxa"/>
                  <w:vMerge w:val="restart"/>
                  <w:tcBorders>
                    <w:tl2br w:val="nil"/>
                    <w:tr2bl w:val="nil"/>
                  </w:tcBorders>
                  <w:vAlign w:val="center"/>
                </w:tcPr>
                <w:p>
                  <w:pPr>
                    <w:pStyle w:val="42"/>
                    <w:spacing w:line="240" w:lineRule="auto"/>
                    <w:rPr>
                      <w:color w:val="auto"/>
                      <w:sz w:val="21"/>
                      <w:szCs w:val="21"/>
                    </w:rPr>
                  </w:pPr>
                  <w:r>
                    <w:rPr>
                      <w:rFonts w:hint="eastAsia"/>
                      <w:color w:val="auto"/>
                      <w:sz w:val="21"/>
                      <w:szCs w:val="21"/>
                      <w:lang w:val="en-US" w:eastAsia="zh-CN"/>
                    </w:rPr>
                    <w:t>锅炉废气</w:t>
                  </w:r>
                </w:p>
              </w:tc>
              <w:tc>
                <w:tcPr>
                  <w:tcW w:w="1037" w:type="dxa"/>
                  <w:vMerge w:val="continue"/>
                  <w:tcBorders>
                    <w:tl2br w:val="nil"/>
                    <w:tr2bl w:val="nil"/>
                  </w:tcBorders>
                  <w:vAlign w:val="center"/>
                </w:tcPr>
                <w:p>
                  <w:pPr>
                    <w:pStyle w:val="42"/>
                    <w:spacing w:line="240" w:lineRule="auto"/>
                    <w:rPr>
                      <w:rFonts w:hint="eastAsia"/>
                      <w:color w:val="auto"/>
                      <w:sz w:val="21"/>
                      <w:szCs w:val="21"/>
                      <w:lang w:val="en-US" w:eastAsia="zh-CN"/>
                    </w:rPr>
                  </w:pPr>
                </w:p>
              </w:tc>
              <w:tc>
                <w:tcPr>
                  <w:tcW w:w="1005" w:type="dxa"/>
                  <w:tcBorders>
                    <w:tl2br w:val="nil"/>
                    <w:tr2bl w:val="nil"/>
                  </w:tcBorders>
                  <w:vAlign w:val="center"/>
                </w:tcPr>
                <w:p>
                  <w:pPr>
                    <w:snapToGrid w:val="0"/>
                    <w:jc w:val="center"/>
                    <w:rPr>
                      <w:rFonts w:hint="default"/>
                      <w:color w:val="auto"/>
                      <w:sz w:val="21"/>
                      <w:szCs w:val="21"/>
                      <w:lang w:val="en-US" w:eastAsia="zh-CN"/>
                    </w:rPr>
                  </w:pPr>
                  <w:r>
                    <w:rPr>
                      <w:rFonts w:hint="eastAsia"/>
                      <w:color w:val="auto"/>
                      <w:sz w:val="21"/>
                      <w:szCs w:val="21"/>
                    </w:rPr>
                    <w:t>排放量（</w:t>
                  </w:r>
                  <w:r>
                    <w:rPr>
                      <w:color w:val="auto"/>
                      <w:sz w:val="21"/>
                      <w:szCs w:val="21"/>
                    </w:rPr>
                    <w:t>t/a</w:t>
                  </w:r>
                  <w:r>
                    <w:rPr>
                      <w:rFonts w:hint="eastAsia"/>
                      <w:color w:val="auto"/>
                      <w:sz w:val="21"/>
                      <w:szCs w:val="21"/>
                    </w:rPr>
                    <w:t>）</w:t>
                  </w:r>
                </w:p>
              </w:tc>
              <w:tc>
                <w:tcPr>
                  <w:tcW w:w="1125" w:type="dxa"/>
                  <w:tcBorders>
                    <w:tl2br w:val="nil"/>
                    <w:tr2bl w:val="nil"/>
                  </w:tcBorders>
                  <w:vAlign w:val="center"/>
                </w:tcPr>
                <w:p>
                  <w:pPr>
                    <w:adjustRightInd w:val="0"/>
                    <w:snapToGrid w:val="0"/>
                    <w:jc w:val="center"/>
                    <w:textAlignment w:val="baseline"/>
                    <w:rPr>
                      <w:rFonts w:hint="default"/>
                      <w:color w:val="auto"/>
                      <w:sz w:val="21"/>
                      <w:szCs w:val="21"/>
                      <w:lang w:val="en-US" w:eastAsia="zh-CN"/>
                    </w:rPr>
                  </w:pPr>
                  <w:r>
                    <w:rPr>
                      <w:rFonts w:hint="eastAsia"/>
                      <w:color w:val="auto"/>
                      <w:sz w:val="21"/>
                      <w:szCs w:val="21"/>
                    </w:rPr>
                    <w:t>排放浓度（</w:t>
                  </w:r>
                  <w:r>
                    <w:rPr>
                      <w:color w:val="auto"/>
                      <w:sz w:val="21"/>
                      <w:szCs w:val="21"/>
                    </w:rPr>
                    <w:t>mg/m</w:t>
                  </w:r>
                  <w:r>
                    <w:rPr>
                      <w:color w:val="auto"/>
                      <w:sz w:val="21"/>
                      <w:szCs w:val="21"/>
                      <w:vertAlign w:val="superscript"/>
                    </w:rPr>
                    <w:t>3</w:t>
                  </w:r>
                  <w:r>
                    <w:rPr>
                      <w:rFonts w:hint="eastAsia"/>
                      <w:color w:val="auto"/>
                      <w:sz w:val="21"/>
                      <w:szCs w:val="21"/>
                    </w:rPr>
                    <w:t>）</w:t>
                  </w:r>
                </w:p>
              </w:tc>
              <w:tc>
                <w:tcPr>
                  <w:tcW w:w="1860" w:type="dxa"/>
                  <w:vMerge w:val="restart"/>
                  <w:tcBorders>
                    <w:tl2br w:val="nil"/>
                    <w:tr2bl w:val="nil"/>
                  </w:tcBorders>
                  <w:vAlign w:val="center"/>
                </w:tcPr>
                <w:p>
                  <w:pPr>
                    <w:pStyle w:val="42"/>
                    <w:spacing w:line="240" w:lineRule="auto"/>
                    <w:rPr>
                      <w:color w:val="auto"/>
                      <w:sz w:val="21"/>
                      <w:szCs w:val="21"/>
                    </w:rPr>
                  </w:pPr>
                  <w:r>
                    <w:rPr>
                      <w:rFonts w:hint="default" w:ascii="Times New Roman" w:hAnsi="Times New Roman" w:cs="Times New Roman"/>
                      <w:color w:val="auto"/>
                      <w:sz w:val="21"/>
                    </w:rPr>
                    <w:t>加装低氮燃烧器</w:t>
                  </w:r>
                  <w:r>
                    <w:rPr>
                      <w:rFonts w:hint="default" w:ascii="Times New Roman" w:hAnsi="Times New Roman" w:cs="Times New Roman"/>
                      <w:color w:val="auto"/>
                      <w:sz w:val="21"/>
                      <w:lang w:val="en-US" w:eastAsia="zh-CN"/>
                    </w:rPr>
                    <w:t>+烟气</w:t>
                  </w:r>
                  <w:r>
                    <w:rPr>
                      <w:rFonts w:hint="eastAsia" w:ascii="Times New Roman" w:hAnsi="Times New Roman" w:cs="Times New Roman"/>
                      <w:color w:val="auto"/>
                      <w:sz w:val="21"/>
                      <w:lang w:val="en-US" w:eastAsia="zh-CN"/>
                    </w:rPr>
                    <w:t>再</w:t>
                  </w:r>
                  <w:r>
                    <w:rPr>
                      <w:rFonts w:hint="default" w:ascii="Times New Roman" w:hAnsi="Times New Roman" w:cs="Times New Roman"/>
                      <w:color w:val="auto"/>
                      <w:sz w:val="21"/>
                      <w:lang w:val="en-US" w:eastAsia="zh-CN"/>
                    </w:rPr>
                    <w:t>循环</w:t>
                  </w:r>
                  <w:r>
                    <w:rPr>
                      <w:rFonts w:hint="eastAsia"/>
                      <w:color w:val="auto"/>
                      <w:sz w:val="21"/>
                      <w:szCs w:val="21"/>
                      <w:lang w:val="en-US" w:eastAsia="zh-CN"/>
                    </w:rPr>
                    <w:t>，锅炉烟气通过一根10m高烟囱排放</w:t>
                  </w:r>
                </w:p>
              </w:tc>
              <w:tc>
                <w:tcPr>
                  <w:tcW w:w="945" w:type="dxa"/>
                  <w:tcBorders>
                    <w:tl2br w:val="nil"/>
                    <w:tr2bl w:val="nil"/>
                  </w:tcBorders>
                  <w:vAlign w:val="center"/>
                </w:tcPr>
                <w:p>
                  <w:pPr>
                    <w:snapToGrid w:val="0"/>
                    <w:jc w:val="center"/>
                    <w:rPr>
                      <w:rFonts w:hint="default"/>
                      <w:color w:val="auto"/>
                      <w:sz w:val="21"/>
                      <w:szCs w:val="21"/>
                      <w:lang w:val="en-US" w:eastAsia="zh-CN"/>
                    </w:rPr>
                  </w:pPr>
                  <w:r>
                    <w:rPr>
                      <w:rFonts w:hint="eastAsia"/>
                      <w:color w:val="auto"/>
                      <w:sz w:val="21"/>
                      <w:szCs w:val="21"/>
                    </w:rPr>
                    <w:t>排放量（</w:t>
                  </w:r>
                  <w:r>
                    <w:rPr>
                      <w:color w:val="auto"/>
                      <w:sz w:val="21"/>
                      <w:szCs w:val="21"/>
                    </w:rPr>
                    <w:t>t/a</w:t>
                  </w:r>
                  <w:r>
                    <w:rPr>
                      <w:rFonts w:hint="eastAsia"/>
                      <w:color w:val="auto"/>
                      <w:sz w:val="21"/>
                      <w:szCs w:val="21"/>
                    </w:rPr>
                    <w:t>）</w:t>
                  </w:r>
                </w:p>
              </w:tc>
              <w:tc>
                <w:tcPr>
                  <w:tcW w:w="1163" w:type="dxa"/>
                  <w:tcBorders>
                    <w:tl2br w:val="nil"/>
                    <w:tr2bl w:val="nil"/>
                  </w:tcBorders>
                  <w:vAlign w:val="center"/>
                </w:tcPr>
                <w:p>
                  <w:pPr>
                    <w:adjustRightInd w:val="0"/>
                    <w:snapToGrid w:val="0"/>
                    <w:jc w:val="center"/>
                    <w:textAlignment w:val="baseline"/>
                    <w:rPr>
                      <w:rFonts w:hint="default"/>
                      <w:color w:val="auto"/>
                      <w:sz w:val="21"/>
                      <w:szCs w:val="21"/>
                      <w:lang w:val="en-US" w:eastAsia="zh-CN"/>
                    </w:rPr>
                  </w:pPr>
                  <w:r>
                    <w:rPr>
                      <w:rFonts w:hint="eastAsia"/>
                      <w:color w:val="auto"/>
                      <w:sz w:val="21"/>
                      <w:szCs w:val="21"/>
                    </w:rPr>
                    <w:t>排放浓度（</w:t>
                  </w:r>
                  <w:r>
                    <w:rPr>
                      <w:color w:val="auto"/>
                      <w:sz w:val="21"/>
                      <w:szCs w:val="21"/>
                    </w:rPr>
                    <w:t>mg/m</w:t>
                  </w:r>
                  <w:r>
                    <w:rPr>
                      <w:color w:val="auto"/>
                      <w:sz w:val="21"/>
                      <w:szCs w:val="21"/>
                      <w:vertAlign w:val="superscript"/>
                    </w:rPr>
                    <w:t>3</w:t>
                  </w:r>
                  <w:r>
                    <w:rPr>
                      <w:rFonts w:hint="eastAsia"/>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941" w:hRule="atLeast"/>
                <w:jc w:val="center"/>
              </w:trPr>
              <w:tc>
                <w:tcPr>
                  <w:tcW w:w="485" w:type="dxa"/>
                  <w:vMerge w:val="continue"/>
                  <w:tcBorders>
                    <w:tl2br w:val="nil"/>
                    <w:tr2bl w:val="nil"/>
                  </w:tcBorders>
                  <w:vAlign w:val="center"/>
                </w:tcPr>
                <w:p>
                  <w:pPr>
                    <w:pStyle w:val="42"/>
                    <w:spacing w:line="240" w:lineRule="auto"/>
                    <w:rPr>
                      <w:color w:val="auto"/>
                      <w:sz w:val="21"/>
                      <w:szCs w:val="21"/>
                    </w:rPr>
                  </w:pPr>
                </w:p>
              </w:tc>
              <w:tc>
                <w:tcPr>
                  <w:tcW w:w="1037" w:type="dxa"/>
                  <w:tcBorders>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NOx</w:t>
                  </w:r>
                </w:p>
              </w:tc>
              <w:tc>
                <w:tcPr>
                  <w:tcW w:w="1005" w:type="dxa"/>
                  <w:tcBorders>
                    <w:tl2br w:val="nil"/>
                    <w:tr2bl w:val="nil"/>
                  </w:tcBorders>
                  <w:vAlign w:val="center"/>
                </w:tcPr>
                <w:p>
                  <w:pPr>
                    <w:pStyle w:val="42"/>
                    <w:spacing w:line="240" w:lineRule="auto"/>
                    <w:jc w:val="center"/>
                    <w:rPr>
                      <w:rFonts w:hint="default"/>
                      <w:color w:val="auto"/>
                      <w:sz w:val="21"/>
                      <w:szCs w:val="21"/>
                      <w:lang w:val="en-US" w:eastAsia="zh-CN"/>
                    </w:rPr>
                  </w:pPr>
                  <w:r>
                    <w:rPr>
                      <w:rFonts w:hint="eastAsia" w:ascii="Arial" w:hAnsi="Arial" w:cs="Arial"/>
                      <w:color w:val="auto"/>
                      <w:sz w:val="21"/>
                      <w:szCs w:val="21"/>
                      <w:lang w:val="en-US" w:eastAsia="zh-CN"/>
                    </w:rPr>
                    <w:t>1.81</w:t>
                  </w:r>
                </w:p>
              </w:tc>
              <w:tc>
                <w:tcPr>
                  <w:tcW w:w="1125" w:type="dxa"/>
                  <w:tcBorders>
                    <w:tl2br w:val="nil"/>
                    <w:tr2bl w:val="nil"/>
                  </w:tcBorders>
                  <w:vAlign w:val="center"/>
                </w:tcPr>
                <w:p>
                  <w:pPr>
                    <w:pStyle w:val="42"/>
                    <w:spacing w:line="240" w:lineRule="auto"/>
                    <w:jc w:val="center"/>
                    <w:rPr>
                      <w:rFonts w:hint="default"/>
                      <w:color w:val="auto"/>
                      <w:sz w:val="21"/>
                      <w:szCs w:val="21"/>
                      <w:lang w:val="en-US" w:eastAsia="zh-CN"/>
                    </w:rPr>
                  </w:pPr>
                  <w:r>
                    <w:rPr>
                      <w:rFonts w:hint="eastAsia"/>
                      <w:color w:val="auto"/>
                      <w:sz w:val="21"/>
                      <w:szCs w:val="21"/>
                      <w:lang w:val="en-US" w:eastAsia="zh-CN"/>
                    </w:rPr>
                    <w:t>63.4</w:t>
                  </w:r>
                </w:p>
              </w:tc>
              <w:tc>
                <w:tcPr>
                  <w:tcW w:w="1860" w:type="dxa"/>
                  <w:vMerge w:val="continue"/>
                  <w:tcBorders>
                    <w:tl2br w:val="nil"/>
                    <w:tr2bl w:val="nil"/>
                  </w:tcBorders>
                  <w:vAlign w:val="center"/>
                </w:tcPr>
                <w:p>
                  <w:pPr>
                    <w:pStyle w:val="42"/>
                    <w:spacing w:line="240" w:lineRule="auto"/>
                    <w:rPr>
                      <w:color w:val="auto"/>
                      <w:sz w:val="21"/>
                      <w:szCs w:val="21"/>
                    </w:rPr>
                  </w:pPr>
                </w:p>
              </w:tc>
              <w:tc>
                <w:tcPr>
                  <w:tcW w:w="945" w:type="dxa"/>
                  <w:tcBorders>
                    <w:tl2br w:val="nil"/>
                    <w:tr2bl w:val="nil"/>
                  </w:tcBorders>
                  <w:vAlign w:val="center"/>
                </w:tcPr>
                <w:p>
                  <w:pPr>
                    <w:pStyle w:val="42"/>
                    <w:spacing w:line="240" w:lineRule="auto"/>
                    <w:jc w:val="center"/>
                    <w:rPr>
                      <w:rFonts w:hint="default"/>
                      <w:color w:val="auto"/>
                      <w:sz w:val="21"/>
                      <w:szCs w:val="21"/>
                      <w:lang w:val="en-US" w:eastAsia="zh-CN"/>
                    </w:rPr>
                  </w:pPr>
                  <w:r>
                    <w:rPr>
                      <w:rFonts w:hint="default"/>
                      <w:color w:val="auto"/>
                      <w:sz w:val="21"/>
                      <w:szCs w:val="21"/>
                      <w:lang w:val="en-US" w:eastAsia="zh-CN"/>
                    </w:rPr>
                    <w:t>&lt;</w:t>
                  </w:r>
                  <w:r>
                    <w:rPr>
                      <w:rFonts w:hint="eastAsia"/>
                      <w:color w:val="auto"/>
                      <w:sz w:val="21"/>
                      <w:szCs w:val="21"/>
                      <w:lang w:val="en-US" w:eastAsia="zh-CN"/>
                    </w:rPr>
                    <w:t>1.43</w:t>
                  </w:r>
                </w:p>
              </w:tc>
              <w:tc>
                <w:tcPr>
                  <w:tcW w:w="1163" w:type="dxa"/>
                  <w:tcBorders>
                    <w:tl2br w:val="nil"/>
                    <w:tr2bl w:val="nil"/>
                  </w:tcBorders>
                  <w:vAlign w:val="center"/>
                </w:tcPr>
                <w:p>
                  <w:pPr>
                    <w:pStyle w:val="42"/>
                    <w:spacing w:line="240" w:lineRule="auto"/>
                    <w:jc w:val="center"/>
                    <w:rPr>
                      <w:rFonts w:hint="eastAsia"/>
                      <w:color w:val="auto"/>
                      <w:sz w:val="21"/>
                      <w:szCs w:val="21"/>
                      <w:lang w:val="en-US" w:eastAsia="zh-CN"/>
                    </w:rPr>
                  </w:pPr>
                  <w:r>
                    <w:rPr>
                      <w:rFonts w:hint="default"/>
                      <w:color w:val="auto"/>
                      <w:sz w:val="21"/>
                      <w:szCs w:val="21"/>
                      <w:lang w:val="en-US" w:eastAsia="zh-CN"/>
                    </w:rPr>
                    <w:t>&lt;</w:t>
                  </w:r>
                  <w:r>
                    <w:rPr>
                      <w:rFonts w:hint="eastAsia"/>
                      <w:color w:val="auto"/>
                      <w:sz w:val="21"/>
                      <w:szCs w:val="21"/>
                      <w:lang w:val="en-US" w:eastAsia="zh-CN"/>
                    </w:rPr>
                    <w:t>50</w:t>
                  </w:r>
                </w:p>
              </w:tc>
            </w:tr>
          </w:tbl>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right="0" w:rightChars="0" w:firstLine="420"/>
              <w:jc w:val="both"/>
              <w:textAlignment w:val="auto"/>
              <w:outlineLvl w:val="9"/>
              <w:rPr>
                <w:rFonts w:hint="default"/>
                <w:color w:val="auto"/>
                <w:lang w:val="en-US" w:eastAsia="zh-CN"/>
              </w:rPr>
            </w:pPr>
            <w:r>
              <w:rPr>
                <w:rFonts w:hint="eastAsia"/>
                <w:color w:val="auto"/>
                <w:lang w:val="en-US" w:eastAsia="zh-CN"/>
              </w:rPr>
              <w:t>根据《固定污染源排污许可分类管理名录（2019 年版）》96</w:t>
            </w:r>
            <w:r>
              <w:rPr>
                <w:rFonts w:hint="default"/>
                <w:color w:val="auto"/>
                <w:lang w:val="en-US" w:eastAsia="zh-CN"/>
              </w:rPr>
              <w:t>-</w:t>
            </w:r>
            <w:r>
              <w:rPr>
                <w:rFonts w:hint="eastAsia"/>
                <w:color w:val="auto"/>
                <w:lang w:val="en-US" w:eastAsia="zh-CN"/>
              </w:rPr>
              <w:t>热力生产和供应“单台或者合计出力</w:t>
            </w:r>
            <w:r>
              <w:rPr>
                <w:rFonts w:hint="default"/>
                <w:color w:val="auto"/>
                <w:lang w:val="en-US" w:eastAsia="zh-CN"/>
              </w:rPr>
              <w:t>20</w:t>
            </w:r>
            <w:r>
              <w:rPr>
                <w:rFonts w:hint="eastAsia"/>
                <w:color w:val="auto"/>
                <w:lang w:val="en-US" w:eastAsia="zh-CN"/>
              </w:rPr>
              <w:t>吨/小时（14兆瓦）及以上的锅炉（不含电热锅炉）”应纳入重点管理。现有工程建设有3台7MW 燃气锅炉，应尽快办理排污许可证，纳入重点管理。</w:t>
            </w:r>
          </w:p>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right="0" w:rightChars="0" w:firstLine="420"/>
              <w:jc w:val="both"/>
              <w:textAlignment w:val="auto"/>
              <w:outlineLvl w:val="9"/>
              <w:rPr>
                <w:rFonts w:hint="default" w:ascii="Times New Roman" w:hAnsi="Times New Roman" w:cs="Times New Roman"/>
                <w:color w:val="auto"/>
                <w:sz w:val="21"/>
                <w:szCs w:val="21"/>
              </w:rPr>
            </w:pPr>
            <w:r>
              <w:rPr>
                <w:rFonts w:hint="eastAsia"/>
                <w:color w:val="auto"/>
                <w:lang w:val="en-US" w:eastAsia="zh-CN"/>
              </w:rPr>
              <w:t>根据《排污单位自行监测技术指南 火力发电及锅炉》规定“14MW或20t/h及以上”的燃气锅炉排气筒应安装氮氧化物自动监测设施，现有锅炉房没有落实此要求，因此本环评</w:t>
            </w:r>
            <w:r>
              <w:rPr>
                <w:rFonts w:hint="eastAsia" w:ascii="宋体" w:hAnsi="宋体" w:eastAsia="宋体" w:cs="宋体"/>
                <w:color w:val="auto"/>
                <w:kern w:val="0"/>
                <w:sz w:val="21"/>
                <w:szCs w:val="21"/>
                <w:lang w:val="en-US" w:eastAsia="zh-CN" w:bidi="ar"/>
              </w:rPr>
              <w:t>对现有锅炉房提出改造要求，</w:t>
            </w:r>
            <w:r>
              <w:rPr>
                <w:rFonts w:hint="eastAsia"/>
                <w:color w:val="auto"/>
                <w:lang w:val="en-US" w:eastAsia="zh-CN"/>
              </w:rPr>
              <w:t>锅炉排气筒安装氮氧化物自动监测设施。</w:t>
            </w: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default"/>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default"/>
                <w:color w:val="auto"/>
                <w:lang w:val="en-US" w:eastAsia="zh-CN"/>
              </w:rPr>
            </w:pP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28"/>
        <w:tblW w:w="899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58" w:hRule="atLeast"/>
          <w:jc w:val="center"/>
        </w:trPr>
        <w:tc>
          <w:tcPr>
            <w:tcW w:w="800" w:type="dxa"/>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区域</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环境</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质量</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现状</w:t>
            </w:r>
          </w:p>
        </w:tc>
        <w:tc>
          <w:tcPr>
            <w:tcW w:w="8190" w:type="dxa"/>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大气环境质量现状</w:t>
            </w:r>
          </w:p>
          <w:p>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本次大气环境质量评价引用生态环境部环境工程评估中心国家环境保护环境影响评价数值模拟重点实验室</w:t>
            </w:r>
            <w:r>
              <w:rPr>
                <w:rFonts w:hint="default" w:ascii="Times New Roman" w:hAnsi="Times New Roman" w:eastAsia="宋体" w:cs="Times New Roman"/>
                <w:color w:val="auto"/>
                <w:sz w:val="21"/>
                <w:szCs w:val="21"/>
                <w:lang w:eastAsia="zh-CN"/>
              </w:rPr>
              <w:t>环境空气质量</w:t>
            </w:r>
            <w:r>
              <w:rPr>
                <w:rFonts w:hint="default" w:ascii="Times New Roman" w:hAnsi="Times New Roman" w:eastAsia="宋体" w:cs="Times New Roman"/>
                <w:color w:val="auto"/>
                <w:sz w:val="21"/>
                <w:szCs w:val="21"/>
                <w:lang w:val="en-US" w:eastAsia="zh-CN"/>
              </w:rPr>
              <w:t>模型技术支持服务系统中</w:t>
            </w:r>
            <w:r>
              <w:rPr>
                <w:rFonts w:hint="eastAsia" w:ascii="Times New Roman" w:hAnsi="Times New Roman" w:eastAsia="宋体" w:cs="Times New Roman"/>
                <w:color w:val="auto"/>
                <w:sz w:val="21"/>
                <w:szCs w:val="21"/>
                <w:lang w:val="en-US" w:eastAsia="zh-CN"/>
              </w:rPr>
              <w:t>昌吉州</w:t>
            </w:r>
            <w:r>
              <w:rPr>
                <w:rFonts w:hint="default" w:ascii="Times New Roman" w:hAnsi="Times New Roman" w:eastAsia="宋体" w:cs="Times New Roman"/>
                <w:color w:val="auto"/>
                <w:sz w:val="21"/>
                <w:szCs w:val="21"/>
                <w:lang w:val="en-US" w:eastAsia="zh-CN"/>
              </w:rPr>
              <w:t>20</w:t>
            </w:r>
            <w:r>
              <w:rPr>
                <w:rFonts w:hint="eastAsia"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lang w:val="en-US" w:eastAsia="zh-CN"/>
              </w:rPr>
              <w:t>年达标区判定</w:t>
            </w:r>
            <w:r>
              <w:rPr>
                <w:rFonts w:hint="default" w:ascii="Times New Roman" w:hAnsi="Times New Roman" w:eastAsia="宋体" w:cs="Times New Roman"/>
                <w:color w:val="auto"/>
                <w:sz w:val="21"/>
                <w:szCs w:val="21"/>
                <w:lang w:eastAsia="zh-CN"/>
              </w:rPr>
              <w:t>数据</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数据统计见下</w:t>
            </w:r>
            <w:r>
              <w:rPr>
                <w:rFonts w:hint="default" w:ascii="Times New Roman" w:hAnsi="Times New Roman" w:eastAsia="宋体" w:cs="Times New Roman"/>
                <w:color w:val="auto"/>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kern w:val="2"/>
                <w:sz w:val="21"/>
                <w:szCs w:val="21"/>
                <w:lang w:val="en-US" w:eastAsia="zh-CN" w:bidi="ar-SA"/>
              </w:rPr>
              <w:t>表</w:t>
            </w:r>
            <w:r>
              <w:rPr>
                <w:rFonts w:hint="eastAsia" w:ascii="Times New Roman" w:hAnsi="Times New Roman" w:eastAsia="宋体" w:cs="Times New Roman"/>
                <w:b w:val="0"/>
                <w:bCs w:val="0"/>
                <w:color w:val="auto"/>
                <w:kern w:val="2"/>
                <w:sz w:val="21"/>
                <w:szCs w:val="21"/>
                <w:lang w:val="en-US" w:eastAsia="zh-CN" w:bidi="ar-SA"/>
              </w:rPr>
              <w:t>8</w:t>
            </w:r>
            <w:r>
              <w:rPr>
                <w:rFonts w:hint="default" w:ascii="Times New Roman" w:hAnsi="Times New Roman" w:eastAsia="宋体" w:cs="Times New Roman"/>
                <w:b w:val="0"/>
                <w:bCs w:val="0"/>
                <w:color w:val="auto"/>
                <w:kern w:val="2"/>
                <w:sz w:val="21"/>
                <w:szCs w:val="21"/>
                <w:lang w:val="en-US" w:eastAsia="zh-CN" w:bidi="ar-SA"/>
              </w:rPr>
              <w:t xml:space="preserve">     20</w:t>
            </w:r>
            <w:r>
              <w:rPr>
                <w:rFonts w:hint="eastAsia" w:ascii="Times New Roman" w:hAnsi="Times New Roman" w:eastAsia="宋体" w:cs="Times New Roman"/>
                <w:b w:val="0"/>
                <w:bCs w:val="0"/>
                <w:color w:val="auto"/>
                <w:kern w:val="2"/>
                <w:sz w:val="21"/>
                <w:szCs w:val="21"/>
                <w:lang w:val="en-US" w:eastAsia="zh-CN" w:bidi="ar-SA"/>
              </w:rPr>
              <w:t>20</w:t>
            </w:r>
            <w:r>
              <w:rPr>
                <w:rFonts w:hint="default" w:ascii="Times New Roman" w:hAnsi="Times New Roman" w:eastAsia="宋体" w:cs="Times New Roman"/>
                <w:b w:val="0"/>
                <w:bCs w:val="0"/>
                <w:color w:val="auto"/>
                <w:kern w:val="2"/>
                <w:sz w:val="21"/>
                <w:szCs w:val="21"/>
                <w:lang w:val="en-US" w:eastAsia="zh-CN" w:bidi="ar-SA"/>
              </w:rPr>
              <w:t>年</w:t>
            </w:r>
            <w:r>
              <w:rPr>
                <w:rFonts w:hint="eastAsia" w:ascii="Times New Roman" w:hAnsi="Times New Roman" w:eastAsia="宋体" w:cs="Times New Roman"/>
                <w:color w:val="auto"/>
                <w:sz w:val="21"/>
                <w:szCs w:val="21"/>
                <w:lang w:val="en-US" w:eastAsia="zh-CN"/>
              </w:rPr>
              <w:t>昌吉州</w:t>
            </w:r>
            <w:r>
              <w:rPr>
                <w:rFonts w:hint="eastAsia" w:ascii="宋体" w:hAnsi="宋体"/>
                <w:color w:val="auto"/>
                <w:sz w:val="21"/>
              </w:rPr>
              <w:t>区域空气质量现状评价表</w:t>
            </w:r>
            <w:r>
              <w:rPr>
                <w:rFonts w:hint="eastAsia" w:ascii="宋体" w:hAnsi="宋体"/>
                <w:color w:val="auto"/>
                <w:sz w:val="21"/>
                <w:lang w:val="en-US" w:eastAsia="zh-CN"/>
              </w:rPr>
              <w:t xml:space="preserve">   </w:t>
            </w:r>
            <w:r>
              <w:rPr>
                <w:rFonts w:hint="eastAsia" w:ascii="Times New Roman" w:hAnsi="Times New Roman" w:eastAsia="宋体" w:cs="Times New Roman"/>
                <w:b w:val="0"/>
                <w:bCs w:val="0"/>
                <w:color w:val="auto"/>
                <w:kern w:val="2"/>
                <w:sz w:val="21"/>
                <w:szCs w:val="21"/>
                <w:lang w:val="en-US" w:eastAsia="zh-CN" w:bidi="ar-SA"/>
              </w:rPr>
              <w:t>单位：ug/m</w:t>
            </w:r>
            <w:r>
              <w:rPr>
                <w:rFonts w:hint="eastAsia" w:ascii="Times New Roman" w:hAnsi="Times New Roman" w:eastAsia="宋体" w:cs="Times New Roman"/>
                <w:b w:val="0"/>
                <w:bCs w:val="0"/>
                <w:color w:val="auto"/>
                <w:kern w:val="2"/>
                <w:sz w:val="21"/>
                <w:szCs w:val="21"/>
                <w:vertAlign w:val="superscript"/>
                <w:lang w:val="en-US" w:eastAsia="zh-CN" w:bidi="ar-SA"/>
              </w:rPr>
              <w:t>3</w:t>
            </w:r>
            <w:r>
              <w:rPr>
                <w:rFonts w:hint="eastAsia" w:ascii="Times New Roman" w:hAnsi="Times New Roman" w:eastAsia="宋体" w:cs="Times New Roman"/>
                <w:b w:val="0"/>
                <w:bCs w:val="0"/>
                <w:color w:val="auto"/>
                <w:kern w:val="2"/>
                <w:sz w:val="21"/>
                <w:szCs w:val="21"/>
                <w:lang w:val="en-US" w:eastAsia="zh-CN" w:bidi="ar-SA"/>
              </w:rPr>
              <w:t>（除CO外）</w:t>
            </w:r>
          </w:p>
          <w:tbl>
            <w:tblPr>
              <w:tblStyle w:val="28"/>
              <w:tblW w:w="797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41"/>
              <w:gridCol w:w="2446"/>
              <w:gridCol w:w="1200"/>
              <w:gridCol w:w="1403"/>
              <w:gridCol w:w="1211"/>
              <w:gridCol w:w="8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41" w:type="dxa"/>
                  <w:tcBorders>
                    <w:tl2br w:val="nil"/>
                    <w:tr2bl w:val="nil"/>
                  </w:tcBorders>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污染物</w:t>
                  </w:r>
                </w:p>
              </w:tc>
              <w:tc>
                <w:tcPr>
                  <w:tcW w:w="2446" w:type="dxa"/>
                  <w:tcBorders>
                    <w:tl2br w:val="nil"/>
                    <w:tr2bl w:val="nil"/>
                  </w:tcBorders>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年评价指标</w:t>
                  </w:r>
                </w:p>
              </w:tc>
              <w:tc>
                <w:tcPr>
                  <w:tcW w:w="1200" w:type="dxa"/>
                  <w:tcBorders>
                    <w:tl2br w:val="nil"/>
                    <w:tr2bl w:val="nil"/>
                  </w:tcBorders>
                  <w:vAlign w:val="center"/>
                </w:tcPr>
                <w:p>
                  <w:pPr>
                    <w:jc w:val="center"/>
                    <w:rPr>
                      <w:rFonts w:hint="eastAsia" w:ascii="Times New Roman" w:hAnsi="Times New Roman" w:eastAsia="宋体" w:cs="Times New Roman"/>
                      <w:b w:val="0"/>
                      <w:bCs w:val="0"/>
                      <w:color w:val="FF0000"/>
                      <w:sz w:val="21"/>
                      <w:szCs w:val="21"/>
                      <w:lang w:val="en-US" w:eastAsia="zh-CN"/>
                    </w:rPr>
                  </w:pPr>
                  <w:r>
                    <w:rPr>
                      <w:rFonts w:hint="eastAsia" w:ascii="Times New Roman" w:hAnsi="Times New Roman" w:eastAsia="宋体" w:cs="Times New Roman"/>
                      <w:b w:val="0"/>
                      <w:bCs w:val="0"/>
                      <w:color w:val="FF0000"/>
                      <w:sz w:val="21"/>
                      <w:szCs w:val="21"/>
                      <w:lang w:val="en-US" w:eastAsia="zh-CN"/>
                    </w:rPr>
                    <w:t>现状浓度</w:t>
                  </w:r>
                </w:p>
              </w:tc>
              <w:tc>
                <w:tcPr>
                  <w:tcW w:w="1403" w:type="dxa"/>
                  <w:tcBorders>
                    <w:tl2br w:val="nil"/>
                    <w:tr2bl w:val="nil"/>
                  </w:tcBorders>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标准</w:t>
                  </w:r>
                  <w:r>
                    <w:rPr>
                      <w:rFonts w:hint="eastAsia" w:ascii="Times New Roman" w:hAnsi="Times New Roman" w:eastAsia="宋体" w:cs="Times New Roman"/>
                      <w:b w:val="0"/>
                      <w:bCs w:val="0"/>
                      <w:color w:val="FF0000"/>
                      <w:sz w:val="21"/>
                      <w:szCs w:val="21"/>
                      <w:lang w:val="en-US" w:eastAsia="zh-CN"/>
                    </w:rPr>
                    <w:t>值</w:t>
                  </w:r>
                </w:p>
              </w:tc>
              <w:tc>
                <w:tcPr>
                  <w:tcW w:w="1211" w:type="dxa"/>
                  <w:tcBorders>
                    <w:tl2br w:val="nil"/>
                    <w:tr2bl w:val="nil"/>
                  </w:tcBorders>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占标率%</w:t>
                  </w:r>
                </w:p>
              </w:tc>
              <w:tc>
                <w:tcPr>
                  <w:tcW w:w="873" w:type="dxa"/>
                  <w:tcBorders>
                    <w:tl2br w:val="nil"/>
                    <w:tr2bl w:val="nil"/>
                  </w:tcBorders>
                  <w:vAlign w:val="center"/>
                </w:tcPr>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达标</w:t>
                  </w:r>
                </w:p>
                <w:p>
                  <w:pPr>
                    <w:jc w:val="center"/>
                    <w:rPr>
                      <w:rFonts w:hint="default" w:ascii="Times New Roman" w:hAnsi="Times New Roman" w:eastAsia="宋体" w:cs="Times New Roman"/>
                      <w:b w:val="0"/>
                      <w:bCs w:val="0"/>
                      <w:color w:val="FF0000"/>
                      <w:sz w:val="21"/>
                      <w:szCs w:val="21"/>
                    </w:rPr>
                  </w:pPr>
                  <w:r>
                    <w:rPr>
                      <w:rFonts w:hint="default" w:ascii="Times New Roman" w:hAnsi="Times New Roman" w:eastAsia="宋体" w:cs="Times New Roman"/>
                      <w:b w:val="0"/>
                      <w:bCs w:val="0"/>
                      <w:color w:val="FF0000"/>
                      <w:sz w:val="21"/>
                      <w:szCs w:val="21"/>
                    </w:rPr>
                    <w:t>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41"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SO</w:t>
                  </w:r>
                  <w:r>
                    <w:rPr>
                      <w:rFonts w:hint="default" w:ascii="Times New Roman" w:hAnsi="Times New Roman" w:eastAsia="宋体" w:cs="Times New Roman"/>
                      <w:color w:val="FF0000"/>
                      <w:sz w:val="21"/>
                      <w:szCs w:val="21"/>
                      <w:vertAlign w:val="subscript"/>
                      <w:lang w:val="en-US" w:eastAsia="zh-CN"/>
                    </w:rPr>
                    <w:t>2</w:t>
                  </w:r>
                </w:p>
              </w:tc>
              <w:tc>
                <w:tcPr>
                  <w:tcW w:w="2446"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年平均质量浓度</w:t>
                  </w:r>
                </w:p>
              </w:tc>
              <w:tc>
                <w:tcPr>
                  <w:tcW w:w="1200" w:type="dxa"/>
                  <w:tcBorders>
                    <w:tl2br w:val="nil"/>
                    <w:tr2bl w:val="nil"/>
                  </w:tcBorders>
                  <w:vAlign w:val="center"/>
                </w:tcPr>
                <w:p>
                  <w:pPr>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8</w:t>
                  </w:r>
                </w:p>
              </w:tc>
              <w:tc>
                <w:tcPr>
                  <w:tcW w:w="1403" w:type="dxa"/>
                  <w:tcBorders>
                    <w:tl2br w:val="nil"/>
                    <w:tr2bl w:val="nil"/>
                  </w:tcBorders>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rPr>
                    <w:t>60</w:t>
                  </w:r>
                </w:p>
              </w:tc>
              <w:tc>
                <w:tcPr>
                  <w:tcW w:w="1211" w:type="dxa"/>
                  <w:tcBorders>
                    <w:tl2br w:val="nil"/>
                    <w:tr2bl w:val="nil"/>
                  </w:tcBorders>
                  <w:vAlign w:val="center"/>
                </w:tcPr>
                <w:p>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13.3</w:t>
                  </w:r>
                </w:p>
              </w:tc>
              <w:tc>
                <w:tcPr>
                  <w:tcW w:w="873"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41"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NO</w:t>
                  </w:r>
                  <w:r>
                    <w:rPr>
                      <w:rFonts w:hint="default" w:ascii="Times New Roman" w:hAnsi="Times New Roman" w:eastAsia="宋体" w:cs="Times New Roman"/>
                      <w:color w:val="FF0000"/>
                      <w:sz w:val="21"/>
                      <w:szCs w:val="21"/>
                      <w:vertAlign w:val="subscript"/>
                      <w:lang w:val="en-US" w:eastAsia="zh-CN"/>
                    </w:rPr>
                    <w:t>2</w:t>
                  </w:r>
                </w:p>
              </w:tc>
              <w:tc>
                <w:tcPr>
                  <w:tcW w:w="2446"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年平均质量浓度</w:t>
                  </w:r>
                </w:p>
              </w:tc>
              <w:tc>
                <w:tcPr>
                  <w:tcW w:w="1200" w:type="dxa"/>
                  <w:tcBorders>
                    <w:tl2br w:val="nil"/>
                    <w:tr2bl w:val="nil"/>
                  </w:tcBorders>
                  <w:vAlign w:val="center"/>
                </w:tcPr>
                <w:p>
                  <w:pPr>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33</w:t>
                  </w:r>
                </w:p>
              </w:tc>
              <w:tc>
                <w:tcPr>
                  <w:tcW w:w="1403" w:type="dxa"/>
                  <w:tcBorders>
                    <w:tl2br w:val="nil"/>
                    <w:tr2bl w:val="nil"/>
                  </w:tcBorders>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rPr>
                    <w:t>40</w:t>
                  </w:r>
                </w:p>
              </w:tc>
              <w:tc>
                <w:tcPr>
                  <w:tcW w:w="1211" w:type="dxa"/>
                  <w:tcBorders>
                    <w:tl2br w:val="nil"/>
                    <w:tr2bl w:val="nil"/>
                  </w:tcBorders>
                  <w:vAlign w:val="center"/>
                </w:tcPr>
                <w:p>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82.5</w:t>
                  </w:r>
                </w:p>
              </w:tc>
              <w:tc>
                <w:tcPr>
                  <w:tcW w:w="873"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41"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PM</w:t>
                  </w:r>
                  <w:r>
                    <w:rPr>
                      <w:rFonts w:hint="default" w:ascii="Times New Roman" w:hAnsi="Times New Roman" w:eastAsia="宋体" w:cs="Times New Roman"/>
                      <w:color w:val="FF0000"/>
                      <w:sz w:val="21"/>
                      <w:szCs w:val="21"/>
                      <w:vertAlign w:val="subscript"/>
                      <w:lang w:val="en-US" w:eastAsia="zh-CN"/>
                    </w:rPr>
                    <w:t>10</w:t>
                  </w:r>
                </w:p>
              </w:tc>
              <w:tc>
                <w:tcPr>
                  <w:tcW w:w="2446"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年平均质量浓度</w:t>
                  </w:r>
                </w:p>
              </w:tc>
              <w:tc>
                <w:tcPr>
                  <w:tcW w:w="1200" w:type="dxa"/>
                  <w:tcBorders>
                    <w:tl2br w:val="nil"/>
                    <w:tr2bl w:val="nil"/>
                  </w:tcBorders>
                  <w:vAlign w:val="center"/>
                </w:tcPr>
                <w:p>
                  <w:pPr>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88</w:t>
                  </w:r>
                </w:p>
              </w:tc>
              <w:tc>
                <w:tcPr>
                  <w:tcW w:w="1403" w:type="dxa"/>
                  <w:tcBorders>
                    <w:tl2br w:val="nil"/>
                    <w:tr2bl w:val="nil"/>
                  </w:tcBorders>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rPr>
                    <w:t>70</w:t>
                  </w:r>
                </w:p>
              </w:tc>
              <w:tc>
                <w:tcPr>
                  <w:tcW w:w="1211" w:type="dxa"/>
                  <w:tcBorders>
                    <w:tl2br w:val="nil"/>
                    <w:tr2bl w:val="nil"/>
                  </w:tcBorders>
                  <w:vAlign w:val="center"/>
                </w:tcPr>
                <w:p>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125.7</w:t>
                  </w:r>
                </w:p>
              </w:tc>
              <w:tc>
                <w:tcPr>
                  <w:tcW w:w="873"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不</w:t>
                  </w:r>
                  <w:r>
                    <w:rPr>
                      <w:rFonts w:hint="default" w:ascii="Times New Roman" w:hAnsi="Times New Roman" w:eastAsia="宋体" w:cs="Times New Roman"/>
                      <w:color w:val="FF0000"/>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41"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PM</w:t>
                  </w:r>
                  <w:r>
                    <w:rPr>
                      <w:rFonts w:hint="default" w:ascii="Times New Roman" w:hAnsi="Times New Roman" w:eastAsia="宋体" w:cs="Times New Roman"/>
                      <w:color w:val="FF0000"/>
                      <w:sz w:val="21"/>
                      <w:szCs w:val="21"/>
                      <w:vertAlign w:val="subscript"/>
                      <w:lang w:val="en-US" w:eastAsia="zh-CN"/>
                    </w:rPr>
                    <w:t>2.5</w:t>
                  </w:r>
                </w:p>
              </w:tc>
              <w:tc>
                <w:tcPr>
                  <w:tcW w:w="2446"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年平均质量浓度</w:t>
                  </w:r>
                </w:p>
              </w:tc>
              <w:tc>
                <w:tcPr>
                  <w:tcW w:w="1200" w:type="dxa"/>
                  <w:tcBorders>
                    <w:tl2br w:val="nil"/>
                    <w:tr2bl w:val="nil"/>
                  </w:tcBorders>
                  <w:vAlign w:val="center"/>
                </w:tcPr>
                <w:p>
                  <w:pPr>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53</w:t>
                  </w:r>
                </w:p>
              </w:tc>
              <w:tc>
                <w:tcPr>
                  <w:tcW w:w="1403" w:type="dxa"/>
                  <w:tcBorders>
                    <w:tl2br w:val="nil"/>
                    <w:tr2bl w:val="nil"/>
                  </w:tcBorders>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rPr>
                    <w:t>35</w:t>
                  </w:r>
                </w:p>
              </w:tc>
              <w:tc>
                <w:tcPr>
                  <w:tcW w:w="1211" w:type="dxa"/>
                  <w:tcBorders>
                    <w:tl2br w:val="nil"/>
                    <w:tr2bl w:val="nil"/>
                  </w:tcBorders>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1</w:t>
                  </w:r>
                  <w:r>
                    <w:rPr>
                      <w:rFonts w:hint="eastAsia" w:ascii="Times New Roman" w:hAnsi="Times New Roman" w:eastAsia="宋体" w:cs="Times New Roman"/>
                      <w:color w:val="FF0000"/>
                      <w:sz w:val="21"/>
                      <w:szCs w:val="21"/>
                      <w:lang w:val="en-US" w:eastAsia="zh-CN"/>
                    </w:rPr>
                    <w:t>51.4</w:t>
                  </w:r>
                </w:p>
              </w:tc>
              <w:tc>
                <w:tcPr>
                  <w:tcW w:w="873"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不</w:t>
                  </w:r>
                  <w:r>
                    <w:rPr>
                      <w:rFonts w:hint="default" w:ascii="Times New Roman" w:hAnsi="Times New Roman" w:eastAsia="宋体" w:cs="Times New Roman"/>
                      <w:color w:val="FF0000"/>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41"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CO</w:t>
                  </w:r>
                </w:p>
              </w:tc>
              <w:tc>
                <w:tcPr>
                  <w:tcW w:w="2446"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24h</w:t>
                  </w:r>
                  <w:r>
                    <w:rPr>
                      <w:rFonts w:hint="default" w:ascii="Times New Roman" w:hAnsi="Times New Roman" w:eastAsia="宋体" w:cs="Times New Roman"/>
                      <w:color w:val="FF0000"/>
                      <w:sz w:val="21"/>
                      <w:szCs w:val="21"/>
                    </w:rPr>
                    <w:t>平均95百分位数</w:t>
                  </w:r>
                </w:p>
              </w:tc>
              <w:tc>
                <w:tcPr>
                  <w:tcW w:w="1200" w:type="dxa"/>
                  <w:tcBorders>
                    <w:tl2br w:val="nil"/>
                    <w:tr2bl w:val="nil"/>
                  </w:tcBorders>
                  <w:vAlign w:val="center"/>
                </w:tcPr>
                <w:p>
                  <w:pPr>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2.5</w:t>
                  </w:r>
                  <w:r>
                    <w:rPr>
                      <w:rFonts w:hint="eastAsia" w:ascii="Times New Roman" w:hAnsi="Times New Roman" w:eastAsia="宋体" w:cs="Times New Roman"/>
                      <w:b w:val="0"/>
                      <w:bCs w:val="0"/>
                      <w:color w:val="FF0000"/>
                      <w:kern w:val="2"/>
                      <w:sz w:val="21"/>
                      <w:szCs w:val="21"/>
                      <w:lang w:val="en-US" w:eastAsia="zh-CN" w:bidi="ar-SA"/>
                    </w:rPr>
                    <w:t>mg/m</w:t>
                  </w:r>
                  <w:r>
                    <w:rPr>
                      <w:rFonts w:hint="eastAsia" w:ascii="Times New Roman" w:hAnsi="Times New Roman" w:eastAsia="宋体" w:cs="Times New Roman"/>
                      <w:b w:val="0"/>
                      <w:bCs w:val="0"/>
                      <w:color w:val="FF0000"/>
                      <w:kern w:val="2"/>
                      <w:sz w:val="21"/>
                      <w:szCs w:val="21"/>
                      <w:vertAlign w:val="superscript"/>
                      <w:lang w:val="en-US" w:eastAsia="zh-CN" w:bidi="ar-SA"/>
                    </w:rPr>
                    <w:t>3</w:t>
                  </w:r>
                </w:p>
              </w:tc>
              <w:tc>
                <w:tcPr>
                  <w:tcW w:w="1403"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4</w:t>
                  </w:r>
                  <w:r>
                    <w:rPr>
                      <w:rFonts w:hint="eastAsia" w:ascii="Times New Roman" w:hAnsi="Times New Roman" w:eastAsia="宋体" w:cs="Times New Roman"/>
                      <w:b w:val="0"/>
                      <w:bCs w:val="0"/>
                      <w:color w:val="FF0000"/>
                      <w:kern w:val="2"/>
                      <w:sz w:val="21"/>
                      <w:szCs w:val="21"/>
                      <w:lang w:val="en-US" w:eastAsia="zh-CN" w:bidi="ar-SA"/>
                    </w:rPr>
                    <w:t>mg/m</w:t>
                  </w:r>
                  <w:r>
                    <w:rPr>
                      <w:rFonts w:hint="eastAsia" w:ascii="Times New Roman" w:hAnsi="Times New Roman" w:eastAsia="宋体" w:cs="Times New Roman"/>
                      <w:b w:val="0"/>
                      <w:bCs w:val="0"/>
                      <w:color w:val="FF0000"/>
                      <w:kern w:val="2"/>
                      <w:sz w:val="21"/>
                      <w:szCs w:val="21"/>
                      <w:vertAlign w:val="superscript"/>
                      <w:lang w:val="en-US" w:eastAsia="zh-CN" w:bidi="ar-SA"/>
                    </w:rPr>
                    <w:t>3</w:t>
                  </w:r>
                </w:p>
              </w:tc>
              <w:tc>
                <w:tcPr>
                  <w:tcW w:w="1211" w:type="dxa"/>
                  <w:tcBorders>
                    <w:tl2br w:val="nil"/>
                    <w:tr2bl w:val="nil"/>
                  </w:tcBorders>
                  <w:vAlign w:val="center"/>
                </w:tcPr>
                <w:p>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62.5</w:t>
                  </w:r>
                </w:p>
              </w:tc>
              <w:tc>
                <w:tcPr>
                  <w:tcW w:w="873" w:type="dxa"/>
                  <w:tcBorders>
                    <w:tl2br w:val="nil"/>
                    <w:tr2bl w:val="nil"/>
                  </w:tcBorders>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41"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O</w:t>
                  </w:r>
                  <w:r>
                    <w:rPr>
                      <w:rFonts w:hint="default" w:ascii="Times New Roman" w:hAnsi="Times New Roman" w:eastAsia="宋体" w:cs="Times New Roman"/>
                      <w:color w:val="FF0000"/>
                      <w:sz w:val="21"/>
                      <w:szCs w:val="21"/>
                      <w:vertAlign w:val="subscript"/>
                    </w:rPr>
                    <w:t>3</w:t>
                  </w:r>
                </w:p>
              </w:tc>
              <w:tc>
                <w:tcPr>
                  <w:tcW w:w="2446"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最大8h第90百分位数</w:t>
                  </w:r>
                </w:p>
              </w:tc>
              <w:tc>
                <w:tcPr>
                  <w:tcW w:w="1200" w:type="dxa"/>
                  <w:tcBorders>
                    <w:tl2br w:val="nil"/>
                    <w:tr2bl w:val="nil"/>
                  </w:tcBorders>
                  <w:vAlign w:val="center"/>
                </w:tcPr>
                <w:p>
                  <w:pPr>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131</w:t>
                  </w:r>
                </w:p>
              </w:tc>
              <w:tc>
                <w:tcPr>
                  <w:tcW w:w="1403" w:type="dxa"/>
                  <w:tcBorders>
                    <w:tl2br w:val="nil"/>
                    <w:tr2bl w:val="nil"/>
                  </w:tcBorders>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rPr>
                    <w:t>160</w:t>
                  </w:r>
                </w:p>
              </w:tc>
              <w:tc>
                <w:tcPr>
                  <w:tcW w:w="1211" w:type="dxa"/>
                  <w:tcBorders>
                    <w:tl2br w:val="nil"/>
                    <w:tr2bl w:val="nil"/>
                  </w:tcBorders>
                  <w:vAlign w:val="center"/>
                </w:tcPr>
                <w:p>
                  <w:pPr>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81.8</w:t>
                  </w:r>
                </w:p>
              </w:tc>
              <w:tc>
                <w:tcPr>
                  <w:tcW w:w="873" w:type="dxa"/>
                  <w:tcBorders>
                    <w:tl2br w:val="nil"/>
                    <w:tr2bl w:val="nil"/>
                  </w:tcBorders>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达标</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imes New Roman" w:hAnsi="Times New Roman" w:eastAsia="宋体"/>
                <w:color w:val="auto"/>
                <w:sz w:val="21"/>
                <w:szCs w:val="21"/>
                <w:lang w:val="en-US" w:eastAsia="zh-CN"/>
              </w:rPr>
            </w:pPr>
            <w:r>
              <w:rPr>
                <w:rFonts w:hint="eastAsia"/>
                <w:color w:val="auto"/>
                <w:lang w:val="en-US" w:eastAsia="zh-CN"/>
              </w:rPr>
              <w:t>根据上表可知，</w:t>
            </w:r>
            <w:r>
              <w:rPr>
                <w:rFonts w:hint="default" w:ascii="Times New Roman" w:hAnsi="Times New Roman" w:cs="Times New Roman"/>
                <w:color w:val="auto"/>
                <w:kern w:val="0"/>
                <w:szCs w:val="21"/>
              </w:rPr>
              <w:t>区域</w:t>
            </w:r>
            <w:r>
              <w:rPr>
                <w:rFonts w:hint="eastAsia" w:ascii="Times New Roman" w:hAnsi="Times New Roman" w:cs="Times New Roman"/>
                <w:color w:val="auto"/>
                <w:kern w:val="0"/>
                <w:szCs w:val="21"/>
                <w:lang w:val="en-US" w:eastAsia="zh-CN"/>
              </w:rPr>
              <w:t>污染物中</w:t>
            </w:r>
            <w:r>
              <w:rPr>
                <w:rFonts w:hint="default" w:ascii="Times New Roman" w:hAnsi="Times New Roman" w:cs="Times New Roman"/>
                <w:color w:val="auto"/>
                <w:kern w:val="0"/>
                <w:szCs w:val="21"/>
              </w:rPr>
              <w:t>PM</w:t>
            </w:r>
            <w:r>
              <w:rPr>
                <w:rFonts w:hint="default" w:ascii="Times New Roman" w:hAnsi="Times New Roman" w:cs="Times New Roman"/>
                <w:color w:val="auto"/>
                <w:kern w:val="0"/>
                <w:szCs w:val="21"/>
                <w:vertAlign w:val="subscript"/>
              </w:rPr>
              <w:t>10</w:t>
            </w:r>
            <w:r>
              <w:rPr>
                <w:rFonts w:hint="default" w:ascii="Times New Roman" w:hAnsi="Times New Roman" w:cs="Times New Roman"/>
                <w:color w:val="auto"/>
                <w:kern w:val="0"/>
                <w:szCs w:val="21"/>
              </w:rPr>
              <w:t>、PM</w:t>
            </w:r>
            <w:r>
              <w:rPr>
                <w:rFonts w:hint="default" w:ascii="Times New Roman" w:hAnsi="Times New Roman" w:cs="Times New Roman"/>
                <w:color w:val="auto"/>
                <w:kern w:val="0"/>
                <w:szCs w:val="21"/>
                <w:vertAlign w:val="subscript"/>
              </w:rPr>
              <w:t>2.5</w:t>
            </w:r>
            <w:r>
              <w:rPr>
                <w:rFonts w:hint="default" w:ascii="Times New Roman" w:hAnsi="Times New Roman" w:cs="Times New Roman"/>
                <w:color w:val="auto"/>
                <w:kern w:val="0"/>
                <w:szCs w:val="21"/>
              </w:rPr>
              <w:t>年平均质量浓度超过《环境空气质量标准》（GB3095-2012）中二级标准限值</w:t>
            </w:r>
            <w:r>
              <w:rPr>
                <w:rFonts w:hint="eastAsia" w:ascii="Times New Roman" w:hAnsi="Times New Roman" w:cs="Times New Roman"/>
                <w:color w:val="auto"/>
                <w:kern w:val="0"/>
                <w:szCs w:val="21"/>
                <w:lang w:val="en-US" w:eastAsia="zh-CN"/>
              </w:rPr>
              <w:t>要求</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因此</w:t>
            </w:r>
            <w:r>
              <w:rPr>
                <w:rFonts w:hint="eastAsia" w:ascii="Times New Roman" w:hAnsi="Times New Roman" w:cs="Times New Roman"/>
                <w:color w:val="auto"/>
                <w:kern w:val="0"/>
                <w:szCs w:val="21"/>
                <w:lang w:eastAsia="zh-CN"/>
              </w:rPr>
              <w:t>，</w:t>
            </w:r>
            <w:r>
              <w:rPr>
                <w:rFonts w:hint="default" w:ascii="Times New Roman" w:hAnsi="Times New Roman" w:cs="Times New Roman"/>
                <w:color w:val="auto"/>
                <w:kern w:val="0"/>
                <w:szCs w:val="21"/>
              </w:rPr>
              <w:t>项目所在区域为不达标区。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2、地表水环境质量现状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bCs/>
                <w:color w:val="auto"/>
                <w:spacing w:val="0"/>
                <w:sz w:val="21"/>
                <w:szCs w:val="21"/>
              </w:rPr>
            </w:pPr>
            <w:r>
              <w:rPr>
                <w:rFonts w:hint="eastAsia" w:ascii="Times New Roman" w:hAnsi="Times New Roman" w:eastAsia="宋体" w:cs="Times New Roman"/>
                <w:bCs/>
                <w:color w:val="auto"/>
                <w:spacing w:val="0"/>
                <w:kern w:val="0"/>
                <w:sz w:val="21"/>
                <w:szCs w:val="21"/>
                <w:lang w:val="en-US" w:eastAsia="zh-CN"/>
              </w:rPr>
              <w:t>本项目地表水环境质量引用昌吉州生态环境局发布的《</w:t>
            </w:r>
            <w:r>
              <w:rPr>
                <w:rFonts w:hint="default" w:ascii="Times New Roman" w:hAnsi="Times New Roman" w:eastAsia="宋体" w:cs="Times New Roman"/>
                <w:bCs/>
                <w:color w:val="auto"/>
                <w:spacing w:val="0"/>
                <w:kern w:val="0"/>
                <w:sz w:val="21"/>
                <w:szCs w:val="21"/>
              </w:rPr>
              <w:t>202</w:t>
            </w:r>
            <w:r>
              <w:rPr>
                <w:rFonts w:hint="eastAsia" w:ascii="Times New Roman" w:hAnsi="Times New Roman" w:eastAsia="宋体" w:cs="Times New Roman"/>
                <w:bCs/>
                <w:color w:val="auto"/>
                <w:spacing w:val="0"/>
                <w:kern w:val="0"/>
                <w:sz w:val="21"/>
                <w:szCs w:val="21"/>
                <w:lang w:val="en-US" w:eastAsia="zh-CN"/>
              </w:rPr>
              <w:t>1</w:t>
            </w:r>
            <w:r>
              <w:rPr>
                <w:rFonts w:hint="default" w:ascii="Times New Roman" w:hAnsi="Times New Roman" w:eastAsia="宋体" w:cs="Times New Roman"/>
                <w:bCs/>
                <w:color w:val="auto"/>
                <w:spacing w:val="0"/>
                <w:kern w:val="0"/>
                <w:sz w:val="21"/>
                <w:szCs w:val="21"/>
              </w:rPr>
              <w:t>年</w:t>
            </w:r>
            <w:r>
              <w:rPr>
                <w:rFonts w:hint="eastAsia" w:ascii="Times New Roman" w:hAnsi="Times New Roman" w:eastAsia="宋体" w:cs="Times New Roman"/>
                <w:bCs/>
                <w:color w:val="auto"/>
                <w:spacing w:val="0"/>
                <w:kern w:val="0"/>
                <w:sz w:val="21"/>
                <w:szCs w:val="21"/>
                <w:lang w:val="en-US" w:eastAsia="zh-CN"/>
              </w:rPr>
              <w:t>6月</w:t>
            </w:r>
            <w:r>
              <w:rPr>
                <w:rFonts w:hint="default" w:ascii="Times New Roman" w:hAnsi="Times New Roman" w:eastAsia="宋体" w:cs="Times New Roman"/>
                <w:bCs/>
                <w:color w:val="auto"/>
                <w:spacing w:val="0"/>
                <w:kern w:val="0"/>
                <w:sz w:val="21"/>
                <w:szCs w:val="21"/>
              </w:rPr>
              <w:t>水质</w:t>
            </w:r>
            <w:r>
              <w:rPr>
                <w:rFonts w:hint="eastAsia" w:ascii="Times New Roman" w:hAnsi="Times New Roman" w:eastAsia="宋体" w:cs="Times New Roman"/>
                <w:bCs/>
                <w:color w:val="auto"/>
                <w:spacing w:val="0"/>
                <w:sz w:val="21"/>
                <w:szCs w:val="21"/>
                <w:lang w:val="en-US" w:eastAsia="zh-CN"/>
              </w:rPr>
              <w:t>监测</w:t>
            </w:r>
            <w:r>
              <w:rPr>
                <w:rFonts w:hint="default" w:ascii="Times New Roman" w:hAnsi="Times New Roman" w:eastAsia="宋体" w:cs="Times New Roman"/>
                <w:bCs/>
                <w:color w:val="auto"/>
                <w:spacing w:val="0"/>
                <w:sz w:val="21"/>
                <w:szCs w:val="21"/>
              </w:rPr>
              <w:t>报告</w:t>
            </w:r>
            <w:r>
              <w:rPr>
                <w:rFonts w:hint="eastAsia" w:ascii="Times New Roman" w:hAnsi="Times New Roman" w:eastAsia="宋体" w:cs="Times New Roman"/>
                <w:bCs/>
                <w:color w:val="auto"/>
                <w:spacing w:val="0"/>
                <w:kern w:val="0"/>
                <w:sz w:val="21"/>
                <w:szCs w:val="21"/>
                <w:lang w:val="en-US" w:eastAsia="zh-CN"/>
              </w:rPr>
              <w:t>》中地表水评价结果，头屯河监测断面名称为</w:t>
            </w:r>
            <w:r>
              <w:rPr>
                <w:rFonts w:hint="eastAsia" w:ascii="Times New Roman" w:hAnsi="Times New Roman" w:eastAsia="宋体" w:cs="Times New Roman"/>
                <w:color w:val="auto"/>
                <w:spacing w:val="0"/>
                <w:kern w:val="0"/>
                <w:sz w:val="21"/>
                <w:szCs w:val="21"/>
                <w:lang w:val="en-US" w:eastAsia="zh-CN"/>
              </w:rPr>
              <w:t>八钢</w:t>
            </w:r>
            <w:r>
              <w:rPr>
                <w:rFonts w:hint="eastAsia" w:ascii="Times New Roman" w:hAnsi="Times New Roman" w:eastAsia="宋体" w:cs="Times New Roman"/>
                <w:color w:val="auto"/>
                <w:spacing w:val="0"/>
                <w:kern w:val="0"/>
                <w:sz w:val="21"/>
                <w:szCs w:val="21"/>
                <w:lang w:eastAsia="zh-CN"/>
              </w:rPr>
              <w:t>、</w:t>
            </w:r>
            <w:r>
              <w:rPr>
                <w:rFonts w:hint="eastAsia" w:ascii="Times New Roman" w:hAnsi="Times New Roman" w:eastAsia="宋体" w:cs="Times New Roman"/>
                <w:color w:val="auto"/>
                <w:spacing w:val="0"/>
                <w:kern w:val="0"/>
                <w:sz w:val="21"/>
                <w:szCs w:val="21"/>
                <w:lang w:val="en-US" w:eastAsia="zh-CN"/>
              </w:rPr>
              <w:t>电线厂</w:t>
            </w:r>
            <w:r>
              <w:rPr>
                <w:rFonts w:hint="eastAsia" w:ascii="Times New Roman" w:hAnsi="Times New Roman" w:eastAsia="宋体" w:cs="Times New Roman"/>
                <w:color w:val="auto"/>
                <w:spacing w:val="0"/>
                <w:kern w:val="0"/>
                <w:sz w:val="21"/>
                <w:szCs w:val="21"/>
                <w:lang w:eastAsia="zh-CN"/>
              </w:rPr>
              <w:t>、</w:t>
            </w:r>
            <w:r>
              <w:rPr>
                <w:rFonts w:hint="eastAsia" w:ascii="Times New Roman" w:hAnsi="Times New Roman" w:eastAsia="宋体" w:cs="Times New Roman"/>
                <w:color w:val="auto"/>
                <w:spacing w:val="0"/>
                <w:kern w:val="0"/>
                <w:sz w:val="21"/>
                <w:szCs w:val="21"/>
                <w:lang w:val="en-US" w:eastAsia="zh-CN"/>
              </w:rPr>
              <w:t>皮革厂、化工厂共计4个断面，</w:t>
            </w:r>
            <w:r>
              <w:rPr>
                <w:rFonts w:hint="eastAsia" w:ascii="Times New Roman" w:hAnsi="Times New Roman" w:eastAsia="宋体" w:cs="Times New Roman"/>
                <w:bCs/>
                <w:color w:val="auto"/>
                <w:spacing w:val="0"/>
                <w:kern w:val="0"/>
                <w:sz w:val="21"/>
                <w:szCs w:val="21"/>
                <w:lang w:val="en-US" w:eastAsia="zh-CN"/>
              </w:rPr>
              <w:t>三屯河监测断面名称为三屯河首</w:t>
            </w:r>
            <w:r>
              <w:rPr>
                <w:rFonts w:hint="eastAsia" w:ascii="Times New Roman" w:hAnsi="Times New Roman" w:eastAsia="宋体" w:cs="Times New Roman"/>
                <w:color w:val="auto"/>
                <w:spacing w:val="0"/>
                <w:kern w:val="0"/>
                <w:sz w:val="21"/>
                <w:szCs w:val="21"/>
                <w:lang w:eastAsia="zh-CN"/>
              </w:rPr>
              <w:t>、</w:t>
            </w:r>
            <w:r>
              <w:rPr>
                <w:rFonts w:hint="eastAsia" w:ascii="Times New Roman" w:hAnsi="Times New Roman" w:eastAsia="宋体" w:cs="Times New Roman"/>
                <w:bCs/>
                <w:color w:val="auto"/>
                <w:spacing w:val="0"/>
                <w:kern w:val="0"/>
                <w:sz w:val="21"/>
                <w:szCs w:val="21"/>
                <w:lang w:val="en-US" w:eastAsia="zh-CN"/>
              </w:rPr>
              <w:t>三屯河尾</w:t>
            </w:r>
            <w:r>
              <w:rPr>
                <w:rFonts w:hint="eastAsia" w:ascii="Times New Roman" w:hAnsi="Times New Roman" w:eastAsia="宋体" w:cs="Times New Roman"/>
                <w:color w:val="auto"/>
                <w:spacing w:val="0"/>
                <w:kern w:val="0"/>
                <w:sz w:val="21"/>
                <w:szCs w:val="21"/>
                <w:lang w:val="en-US" w:eastAsia="zh-CN"/>
              </w:rPr>
              <w:t>共计2个断面</w:t>
            </w:r>
            <w:r>
              <w:rPr>
                <w:rFonts w:hint="eastAsia" w:ascii="Times New Roman" w:hAnsi="Times New Roman" w:eastAsia="宋体" w:cs="Times New Roman"/>
                <w:bCs/>
                <w:color w:val="auto"/>
                <w:spacing w:val="0"/>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bCs/>
                <w:color w:val="auto"/>
                <w:spacing w:val="0"/>
                <w:kern w:val="0"/>
                <w:sz w:val="21"/>
                <w:szCs w:val="21"/>
                <w:lang w:val="zh-CN" w:eastAsia="zh-CN"/>
              </w:rPr>
            </w:pPr>
            <w:r>
              <w:rPr>
                <w:rFonts w:hint="eastAsia" w:ascii="Times New Roman" w:hAnsi="Times New Roman" w:eastAsia="宋体" w:cs="Times New Roman"/>
                <w:bCs/>
                <w:color w:val="auto"/>
                <w:spacing w:val="0"/>
                <w:kern w:val="0"/>
                <w:sz w:val="21"/>
                <w:szCs w:val="21"/>
                <w:lang w:val="en-US" w:eastAsia="zh-CN"/>
              </w:rPr>
              <w:t>根据报告可知，头屯河、三屯河各监测断面水质全部达到《地表水环境质量标准》（</w:t>
            </w:r>
            <w:r>
              <w:rPr>
                <w:rFonts w:hint="default" w:ascii="Times New Roman" w:hAnsi="Times New Roman" w:eastAsia="宋体" w:cs="Times New Roman"/>
                <w:bCs/>
                <w:color w:val="auto"/>
                <w:spacing w:val="0"/>
                <w:kern w:val="0"/>
                <w:sz w:val="21"/>
                <w:szCs w:val="21"/>
                <w:lang w:val="en-US" w:eastAsia="zh-CN"/>
              </w:rPr>
              <w:t>GB3838-2002）</w:t>
            </w:r>
            <w:r>
              <w:rPr>
                <w:rFonts w:hint="eastAsia" w:ascii="Times New Roman" w:hAnsi="Times New Roman" w:eastAsia="宋体" w:cs="Times New Roman"/>
                <w:color w:val="auto"/>
                <w:sz w:val="21"/>
                <w:szCs w:val="21"/>
                <w:lang w:val="en-US" w:eastAsia="zh-CN"/>
              </w:rPr>
              <w:t>Ⅱ</w:t>
            </w:r>
            <w:r>
              <w:rPr>
                <w:rFonts w:hint="eastAsia" w:ascii="Times New Roman" w:hAnsi="Times New Roman" w:eastAsia="宋体" w:cs="Times New Roman"/>
                <w:bCs/>
                <w:color w:val="auto"/>
                <w:spacing w:val="0"/>
                <w:kern w:val="0"/>
                <w:sz w:val="21"/>
                <w:szCs w:val="21"/>
                <w:lang w:val="en-US" w:eastAsia="zh-CN"/>
              </w:rPr>
              <w:t>类标准</w:t>
            </w:r>
            <w:r>
              <w:rPr>
                <w:rFonts w:hint="default" w:ascii="Times New Roman" w:hAnsi="Times New Roman" w:eastAsia="宋体" w:cs="Times New Roman"/>
                <w:bCs/>
                <w:color w:val="auto"/>
                <w:spacing w:val="0"/>
                <w:kern w:val="0"/>
                <w:sz w:val="21"/>
                <w:szCs w:val="21"/>
                <w:lang w:val="zh-CN" w:eastAsia="zh-CN"/>
              </w:rPr>
              <w:t>。</w:t>
            </w:r>
          </w:p>
          <w:p>
            <w:pPr>
              <w:pStyle w:val="13"/>
              <w:keepNext w:val="0"/>
              <w:keepLines w:val="0"/>
              <w:pageBreakBefore w:val="0"/>
              <w:widowControl w:val="0"/>
              <w:numPr>
                <w:ilvl w:val="0"/>
                <w:numId w:val="5"/>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声环境质量现状</w:t>
            </w:r>
          </w:p>
          <w:p>
            <w:pPr>
              <w:pStyle w:val="13"/>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color w:val="auto"/>
                <w:lang w:val="en-US" w:eastAsia="zh-CN"/>
              </w:rPr>
            </w:pPr>
            <w:r>
              <w:rPr>
                <w:rFonts w:hint="eastAsia"/>
                <w:color w:val="auto"/>
                <w:lang w:val="en-US" w:eastAsia="zh-CN"/>
              </w:rPr>
              <w:t xml:space="preserve">   </w:t>
            </w:r>
            <w:r>
              <w:rPr>
                <w:rFonts w:hint="default"/>
                <w:color w:val="auto"/>
                <w:lang w:val="en-US" w:eastAsia="zh-CN"/>
              </w:rPr>
              <w:t>（1）监测方法及监测点位布设</w:t>
            </w:r>
          </w:p>
          <w:p>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color w:val="auto"/>
                <w:lang w:val="en-US" w:eastAsia="zh-CN"/>
              </w:rPr>
            </w:pPr>
            <w:r>
              <w:rPr>
                <w:rFonts w:hint="default"/>
                <w:color w:val="auto"/>
                <w:lang w:val="en-US" w:eastAsia="zh-CN"/>
              </w:rPr>
              <w:t>依照《声环境质量标准》（GB3096-2008）进行噪声监测，监测前用声级校准器进行校准，测量时传声器距地面1.2m，传声器戴风罩。</w:t>
            </w:r>
          </w:p>
          <w:p>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color w:val="auto"/>
                <w:lang w:val="en-US" w:eastAsia="zh-CN"/>
              </w:rPr>
            </w:pPr>
            <w:r>
              <w:rPr>
                <w:rFonts w:hint="default"/>
                <w:color w:val="auto"/>
                <w:lang w:val="en-US" w:eastAsia="zh-CN"/>
              </w:rPr>
              <w:t>根据本项目所在位置、所在区域声环境功能及当地气象、地形等因素，委托</w:t>
            </w:r>
            <w:r>
              <w:rPr>
                <w:rFonts w:hint="eastAsia"/>
                <w:color w:val="auto"/>
                <w:lang w:val="en-US" w:eastAsia="zh-CN"/>
              </w:rPr>
              <w:t>新疆锡水金山环境科技有限公司</w:t>
            </w:r>
            <w:r>
              <w:rPr>
                <w:rFonts w:hint="default"/>
                <w:color w:val="auto"/>
                <w:lang w:val="en-US" w:eastAsia="zh-CN"/>
              </w:rPr>
              <w:t>于2021年</w:t>
            </w:r>
            <w:r>
              <w:rPr>
                <w:rFonts w:hint="eastAsia"/>
                <w:color w:val="auto"/>
                <w:lang w:val="en-US" w:eastAsia="zh-CN"/>
              </w:rPr>
              <w:t>7</w:t>
            </w:r>
            <w:r>
              <w:rPr>
                <w:rFonts w:hint="default"/>
                <w:color w:val="auto"/>
                <w:lang w:val="en-US" w:eastAsia="zh-CN"/>
              </w:rPr>
              <w:t>月29日分别在本项目</w:t>
            </w:r>
            <w:r>
              <w:rPr>
                <w:rFonts w:hint="eastAsia"/>
                <w:color w:val="auto"/>
                <w:lang w:val="en-US" w:eastAsia="zh-CN"/>
              </w:rPr>
              <w:t>周边布</w:t>
            </w:r>
            <w:r>
              <w:rPr>
                <w:rFonts w:hint="default"/>
                <w:color w:val="auto"/>
                <w:lang w:val="en-US" w:eastAsia="zh-CN"/>
              </w:rPr>
              <w:t>设</w:t>
            </w:r>
            <w:r>
              <w:rPr>
                <w:rFonts w:hint="eastAsia"/>
                <w:color w:val="auto"/>
                <w:lang w:val="en-US" w:eastAsia="zh-CN"/>
              </w:rPr>
              <w:t>4</w:t>
            </w:r>
            <w:r>
              <w:rPr>
                <w:rFonts w:hint="default"/>
                <w:color w:val="auto"/>
                <w:lang w:val="en-US" w:eastAsia="zh-CN"/>
              </w:rPr>
              <w:t>个监测点，分昼、夜两时段监测</w:t>
            </w:r>
            <w:r>
              <w:rPr>
                <w:rFonts w:hint="eastAsia"/>
                <w:color w:val="auto"/>
                <w:lang w:val="en-US" w:eastAsia="zh-CN"/>
              </w:rPr>
              <w:t>，详见附件噪声监测报告-监测布点示意图</w:t>
            </w:r>
            <w:r>
              <w:rPr>
                <w:rFonts w:hint="default"/>
                <w:color w:val="auto"/>
                <w:lang w:val="en-US" w:eastAsia="zh-CN"/>
              </w:rPr>
              <w:t>。</w:t>
            </w:r>
          </w:p>
          <w:p>
            <w:pPr>
              <w:pStyle w:val="13"/>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color w:val="auto"/>
                <w:lang w:val="en-US" w:eastAsia="zh-CN"/>
              </w:rPr>
            </w:pPr>
            <w:r>
              <w:rPr>
                <w:rFonts w:hint="eastAsia"/>
                <w:color w:val="auto"/>
                <w:lang w:val="en-US" w:eastAsia="zh-CN"/>
              </w:rPr>
              <w:t xml:space="preserve">   </w:t>
            </w:r>
            <w:r>
              <w:rPr>
                <w:rFonts w:hint="default"/>
                <w:color w:val="auto"/>
                <w:lang w:val="en-US" w:eastAsia="zh-CN"/>
              </w:rPr>
              <w:t>（2）评价标准</w:t>
            </w:r>
          </w:p>
          <w:p>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color w:val="auto"/>
                <w:lang w:val="en-US" w:eastAsia="zh-CN"/>
              </w:rPr>
            </w:pPr>
            <w:r>
              <w:rPr>
                <w:rFonts w:hint="default"/>
                <w:color w:val="auto"/>
                <w:lang w:val="en-US" w:eastAsia="zh-CN"/>
              </w:rPr>
              <w:t>本项目属于2类声环境功能区，执行《声环境质量标准》（GB3096-2008）中2类区标准，即昼间60dB（A），夜间50dB（A）。</w:t>
            </w:r>
          </w:p>
          <w:p>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color w:val="auto"/>
                <w:lang w:val="en-US" w:eastAsia="zh-CN"/>
              </w:rPr>
            </w:pPr>
            <w:r>
              <w:rPr>
                <w:rFonts w:hint="default"/>
                <w:color w:val="auto"/>
                <w:lang w:val="en-US" w:eastAsia="zh-CN"/>
              </w:rPr>
              <w:t>（3）监测数据及评价结果</w:t>
            </w:r>
          </w:p>
          <w:p>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color w:val="auto"/>
                <w:lang w:val="en-US" w:eastAsia="zh-CN"/>
              </w:rPr>
            </w:pPr>
            <w:r>
              <w:rPr>
                <w:rFonts w:hint="default"/>
                <w:color w:val="auto"/>
                <w:lang w:val="en-US" w:eastAsia="zh-CN"/>
              </w:rPr>
              <w:t>项目区噪声监测结果见表</w:t>
            </w:r>
            <w:r>
              <w:rPr>
                <w:rFonts w:hint="eastAsia"/>
                <w:color w:val="auto"/>
                <w:lang w:val="en-US" w:eastAsia="zh-CN"/>
              </w:rPr>
              <w:t>9</w:t>
            </w:r>
            <w:r>
              <w:rPr>
                <w:rFonts w:hint="default"/>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lang w:val="en-US" w:eastAsia="zh-CN"/>
              </w:rPr>
            </w:pPr>
            <w:r>
              <w:rPr>
                <w:rFonts w:hint="eastAsia"/>
                <w:color w:val="auto"/>
                <w:lang w:val="en-US" w:eastAsia="zh-CN"/>
              </w:rPr>
              <w:t xml:space="preserve">        </w:t>
            </w:r>
            <w:r>
              <w:rPr>
                <w:rFonts w:hint="default"/>
                <w:color w:val="auto"/>
                <w:lang w:val="en-US" w:eastAsia="zh-CN"/>
              </w:rPr>
              <w:t>表</w:t>
            </w:r>
            <w:r>
              <w:rPr>
                <w:rFonts w:hint="eastAsia"/>
                <w:color w:val="auto"/>
                <w:lang w:val="en-US" w:eastAsia="zh-CN"/>
              </w:rPr>
              <w:t>9</w:t>
            </w:r>
            <w:r>
              <w:rPr>
                <w:rFonts w:hint="default"/>
                <w:color w:val="auto"/>
                <w:lang w:val="en-US" w:eastAsia="zh-CN"/>
              </w:rPr>
              <w:t xml:space="preserve">    </w:t>
            </w:r>
            <w:r>
              <w:rPr>
                <w:rFonts w:hint="eastAsia"/>
                <w:color w:val="auto"/>
                <w:lang w:val="en-US" w:eastAsia="zh-CN"/>
              </w:rPr>
              <w:t xml:space="preserve">  </w:t>
            </w:r>
            <w:r>
              <w:rPr>
                <w:rFonts w:hint="default"/>
                <w:color w:val="auto"/>
                <w:lang w:val="en-US" w:eastAsia="zh-CN"/>
              </w:rPr>
              <w:t>评价区环境噪声现状及评价结果  单位：dB（A）</w:t>
            </w:r>
          </w:p>
          <w:tbl>
            <w:tblPr>
              <w:tblStyle w:val="28"/>
              <w:tblW w:w="800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941"/>
              <w:gridCol w:w="927"/>
              <w:gridCol w:w="1118"/>
              <w:gridCol w:w="941"/>
              <w:gridCol w:w="900"/>
              <w:gridCol w:w="10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082" w:type="dxa"/>
                  <w:vMerge w:val="restart"/>
                  <w:tcBorders>
                    <w:tl2br w:val="nil"/>
                    <w:tr2bl w:val="nil"/>
                  </w:tcBorders>
                  <w:vAlign w:val="center"/>
                </w:tcPr>
                <w:p>
                  <w:pPr>
                    <w:jc w:val="center"/>
                    <w:rPr>
                      <w:rFonts w:hint="default"/>
                      <w:color w:val="auto"/>
                    </w:rPr>
                  </w:pPr>
                  <w:r>
                    <w:rPr>
                      <w:rFonts w:hint="default"/>
                      <w:color w:val="auto"/>
                    </w:rPr>
                    <w:t>监测位置</w:t>
                  </w:r>
                </w:p>
              </w:tc>
              <w:tc>
                <w:tcPr>
                  <w:tcW w:w="2986" w:type="dxa"/>
                  <w:gridSpan w:val="3"/>
                  <w:tcBorders>
                    <w:tl2br w:val="nil"/>
                    <w:tr2bl w:val="nil"/>
                  </w:tcBorders>
                  <w:vAlign w:val="center"/>
                </w:tcPr>
                <w:p>
                  <w:pPr>
                    <w:jc w:val="center"/>
                    <w:rPr>
                      <w:rFonts w:hint="default"/>
                      <w:color w:val="auto"/>
                    </w:rPr>
                  </w:pPr>
                  <w:r>
                    <w:rPr>
                      <w:rFonts w:hint="default"/>
                      <w:color w:val="auto"/>
                    </w:rPr>
                    <w:t>昼间</w:t>
                  </w:r>
                </w:p>
              </w:tc>
              <w:tc>
                <w:tcPr>
                  <w:tcW w:w="2932" w:type="dxa"/>
                  <w:gridSpan w:val="3"/>
                  <w:tcBorders>
                    <w:tl2br w:val="nil"/>
                    <w:tr2bl w:val="nil"/>
                  </w:tcBorders>
                  <w:vAlign w:val="center"/>
                </w:tcPr>
                <w:p>
                  <w:pPr>
                    <w:jc w:val="center"/>
                    <w:rPr>
                      <w:rFonts w:hint="default"/>
                      <w:color w:val="auto"/>
                    </w:rPr>
                  </w:pPr>
                  <w:r>
                    <w:rPr>
                      <w:rFonts w:hint="default"/>
                      <w:color w:val="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082" w:type="dxa"/>
                  <w:vMerge w:val="continue"/>
                  <w:tcBorders>
                    <w:tl2br w:val="nil"/>
                    <w:tr2bl w:val="nil"/>
                  </w:tcBorders>
                  <w:vAlign w:val="center"/>
                </w:tcPr>
                <w:p>
                  <w:pPr>
                    <w:jc w:val="center"/>
                    <w:rPr>
                      <w:rFonts w:hint="default"/>
                      <w:color w:val="auto"/>
                    </w:rPr>
                  </w:pPr>
                </w:p>
              </w:tc>
              <w:tc>
                <w:tcPr>
                  <w:tcW w:w="941" w:type="dxa"/>
                  <w:tcBorders>
                    <w:tl2br w:val="nil"/>
                    <w:tr2bl w:val="nil"/>
                  </w:tcBorders>
                  <w:vAlign w:val="center"/>
                </w:tcPr>
                <w:p>
                  <w:pPr>
                    <w:jc w:val="center"/>
                    <w:rPr>
                      <w:rFonts w:hint="default"/>
                      <w:color w:val="auto"/>
                    </w:rPr>
                  </w:pPr>
                  <w:r>
                    <w:rPr>
                      <w:rFonts w:hint="default"/>
                      <w:color w:val="auto"/>
                    </w:rPr>
                    <w:t>监测值</w:t>
                  </w:r>
                </w:p>
              </w:tc>
              <w:tc>
                <w:tcPr>
                  <w:tcW w:w="927" w:type="dxa"/>
                  <w:tcBorders>
                    <w:tl2br w:val="nil"/>
                    <w:tr2bl w:val="nil"/>
                  </w:tcBorders>
                  <w:vAlign w:val="center"/>
                </w:tcPr>
                <w:p>
                  <w:pPr>
                    <w:jc w:val="center"/>
                    <w:rPr>
                      <w:rFonts w:hint="default"/>
                      <w:color w:val="auto"/>
                    </w:rPr>
                  </w:pPr>
                  <w:r>
                    <w:rPr>
                      <w:rFonts w:hint="default"/>
                      <w:color w:val="auto"/>
                    </w:rPr>
                    <w:t>标准值</w:t>
                  </w:r>
                </w:p>
              </w:tc>
              <w:tc>
                <w:tcPr>
                  <w:tcW w:w="1118" w:type="dxa"/>
                  <w:tcBorders>
                    <w:tl2br w:val="nil"/>
                    <w:tr2bl w:val="nil"/>
                  </w:tcBorders>
                  <w:vAlign w:val="center"/>
                </w:tcPr>
                <w:p>
                  <w:pPr>
                    <w:jc w:val="center"/>
                    <w:rPr>
                      <w:rFonts w:hint="default"/>
                      <w:color w:val="auto"/>
                    </w:rPr>
                  </w:pPr>
                  <w:r>
                    <w:rPr>
                      <w:rFonts w:hint="default"/>
                      <w:color w:val="auto"/>
                    </w:rPr>
                    <w:t>评价结果</w:t>
                  </w:r>
                </w:p>
              </w:tc>
              <w:tc>
                <w:tcPr>
                  <w:tcW w:w="941" w:type="dxa"/>
                  <w:tcBorders>
                    <w:tl2br w:val="nil"/>
                    <w:tr2bl w:val="nil"/>
                  </w:tcBorders>
                  <w:vAlign w:val="center"/>
                </w:tcPr>
                <w:p>
                  <w:pPr>
                    <w:jc w:val="center"/>
                    <w:rPr>
                      <w:rFonts w:hint="default"/>
                      <w:color w:val="auto"/>
                    </w:rPr>
                  </w:pPr>
                  <w:r>
                    <w:rPr>
                      <w:rFonts w:hint="default"/>
                      <w:color w:val="auto"/>
                    </w:rPr>
                    <w:t>监测值</w:t>
                  </w:r>
                </w:p>
              </w:tc>
              <w:tc>
                <w:tcPr>
                  <w:tcW w:w="900" w:type="dxa"/>
                  <w:tcBorders>
                    <w:tl2br w:val="nil"/>
                    <w:tr2bl w:val="nil"/>
                  </w:tcBorders>
                  <w:vAlign w:val="center"/>
                </w:tcPr>
                <w:p>
                  <w:pPr>
                    <w:jc w:val="center"/>
                    <w:rPr>
                      <w:rFonts w:hint="default"/>
                      <w:color w:val="auto"/>
                    </w:rPr>
                  </w:pPr>
                  <w:r>
                    <w:rPr>
                      <w:rFonts w:hint="default"/>
                      <w:color w:val="auto"/>
                    </w:rPr>
                    <w:t>标准值</w:t>
                  </w:r>
                </w:p>
              </w:tc>
              <w:tc>
                <w:tcPr>
                  <w:tcW w:w="1091" w:type="dxa"/>
                  <w:tcBorders>
                    <w:tl2br w:val="nil"/>
                    <w:tr2bl w:val="nil"/>
                  </w:tcBorders>
                  <w:vAlign w:val="center"/>
                </w:tcPr>
                <w:p>
                  <w:pPr>
                    <w:jc w:val="center"/>
                    <w:rPr>
                      <w:rFonts w:hint="default"/>
                      <w:color w:val="auto"/>
                    </w:rPr>
                  </w:pPr>
                  <w:r>
                    <w:rPr>
                      <w:rFonts w:hint="default"/>
                      <w:color w:val="auto"/>
                    </w:rPr>
                    <w:t>评价结果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082" w:type="dxa"/>
                  <w:tcBorders>
                    <w:tl2br w:val="nil"/>
                    <w:tr2bl w:val="nil"/>
                  </w:tcBorders>
                  <w:vAlign w:val="center"/>
                </w:tcPr>
                <w:p>
                  <w:pPr>
                    <w:jc w:val="center"/>
                    <w:rPr>
                      <w:rFonts w:hint="default"/>
                      <w:color w:val="auto"/>
                    </w:rPr>
                  </w:pPr>
                  <w:r>
                    <w:rPr>
                      <w:rFonts w:hint="default"/>
                      <w:color w:val="auto"/>
                      <w:lang w:val="en-US" w:eastAsia="zh-CN"/>
                    </w:rPr>
                    <w:t>项目</w:t>
                  </w:r>
                  <w:r>
                    <w:rPr>
                      <w:rFonts w:hint="eastAsia"/>
                      <w:color w:val="auto"/>
                      <w:lang w:val="en-US" w:eastAsia="zh-CN"/>
                    </w:rPr>
                    <w:t>区</w:t>
                  </w:r>
                  <w:r>
                    <w:rPr>
                      <w:rFonts w:hint="default"/>
                      <w:color w:val="auto"/>
                      <w:lang w:val="en-US" w:eastAsia="zh-CN"/>
                    </w:rPr>
                    <w:t>北侧</w:t>
                  </w:r>
                  <w:r>
                    <w:rPr>
                      <w:rFonts w:hint="eastAsia"/>
                      <w:color w:val="auto"/>
                      <w:lang w:val="en-US" w:eastAsia="zh-CN"/>
                    </w:rPr>
                    <w:t>7号楼</w:t>
                  </w:r>
                </w:p>
              </w:tc>
              <w:tc>
                <w:tcPr>
                  <w:tcW w:w="941" w:type="dxa"/>
                  <w:tcBorders>
                    <w:tl2br w:val="nil"/>
                    <w:tr2bl w:val="nil"/>
                  </w:tcBorders>
                  <w:vAlign w:val="center"/>
                </w:tcPr>
                <w:p>
                  <w:pPr>
                    <w:jc w:val="center"/>
                    <w:rPr>
                      <w:rFonts w:hint="default"/>
                      <w:color w:val="auto"/>
                      <w:lang w:val="en-US"/>
                    </w:rPr>
                  </w:pPr>
                  <w:r>
                    <w:rPr>
                      <w:rFonts w:hint="eastAsia"/>
                      <w:color w:val="auto"/>
                      <w:lang w:val="en-US" w:eastAsia="zh-CN"/>
                    </w:rPr>
                    <w:t>49</w:t>
                  </w:r>
                </w:p>
              </w:tc>
              <w:tc>
                <w:tcPr>
                  <w:tcW w:w="927" w:type="dxa"/>
                  <w:vMerge w:val="restart"/>
                  <w:tcBorders>
                    <w:tl2br w:val="nil"/>
                    <w:tr2bl w:val="nil"/>
                  </w:tcBorders>
                  <w:vAlign w:val="center"/>
                </w:tcPr>
                <w:p>
                  <w:pPr>
                    <w:jc w:val="center"/>
                    <w:rPr>
                      <w:rFonts w:hint="default"/>
                      <w:color w:val="auto"/>
                      <w:lang w:val="en-US" w:eastAsia="zh-CN"/>
                    </w:rPr>
                  </w:pPr>
                  <w:r>
                    <w:rPr>
                      <w:rFonts w:hint="default"/>
                      <w:color w:val="auto"/>
                      <w:lang w:val="en-US" w:eastAsia="zh-CN"/>
                    </w:rPr>
                    <w:t>60</w:t>
                  </w:r>
                </w:p>
              </w:tc>
              <w:tc>
                <w:tcPr>
                  <w:tcW w:w="1118" w:type="dxa"/>
                  <w:tcBorders>
                    <w:tl2br w:val="nil"/>
                    <w:tr2bl w:val="nil"/>
                  </w:tcBorders>
                  <w:vAlign w:val="center"/>
                </w:tcPr>
                <w:p>
                  <w:pPr>
                    <w:jc w:val="center"/>
                    <w:rPr>
                      <w:rFonts w:hint="default"/>
                      <w:color w:val="auto"/>
                    </w:rPr>
                  </w:pPr>
                  <w:r>
                    <w:rPr>
                      <w:rFonts w:hint="default"/>
                      <w:color w:val="auto"/>
                    </w:rPr>
                    <w:t>达标</w:t>
                  </w:r>
                </w:p>
              </w:tc>
              <w:tc>
                <w:tcPr>
                  <w:tcW w:w="941" w:type="dxa"/>
                  <w:tcBorders>
                    <w:tl2br w:val="nil"/>
                    <w:tr2bl w:val="nil"/>
                  </w:tcBorders>
                  <w:vAlign w:val="center"/>
                </w:tcPr>
                <w:p>
                  <w:pPr>
                    <w:jc w:val="center"/>
                    <w:rPr>
                      <w:rFonts w:hint="default"/>
                      <w:color w:val="auto"/>
                      <w:lang w:val="en-US"/>
                    </w:rPr>
                  </w:pPr>
                  <w:r>
                    <w:rPr>
                      <w:rFonts w:hint="eastAsia"/>
                      <w:color w:val="auto"/>
                      <w:lang w:val="en-US" w:eastAsia="zh-CN"/>
                    </w:rPr>
                    <w:t>39</w:t>
                  </w:r>
                </w:p>
              </w:tc>
              <w:tc>
                <w:tcPr>
                  <w:tcW w:w="900" w:type="dxa"/>
                  <w:vMerge w:val="restart"/>
                  <w:tcBorders>
                    <w:tl2br w:val="nil"/>
                    <w:tr2bl w:val="nil"/>
                  </w:tcBorders>
                  <w:vAlign w:val="center"/>
                </w:tcPr>
                <w:p>
                  <w:pPr>
                    <w:jc w:val="center"/>
                    <w:rPr>
                      <w:rFonts w:hint="default"/>
                      <w:color w:val="auto"/>
                      <w:lang w:val="en-US" w:eastAsia="zh-CN"/>
                    </w:rPr>
                  </w:pPr>
                  <w:r>
                    <w:rPr>
                      <w:rFonts w:hint="default"/>
                      <w:color w:val="auto"/>
                      <w:lang w:val="en-US" w:eastAsia="zh-CN"/>
                    </w:rPr>
                    <w:t>50</w:t>
                  </w:r>
                </w:p>
              </w:tc>
              <w:tc>
                <w:tcPr>
                  <w:tcW w:w="1091" w:type="dxa"/>
                  <w:tcBorders>
                    <w:tl2br w:val="nil"/>
                    <w:tr2bl w:val="nil"/>
                  </w:tcBorders>
                  <w:vAlign w:val="center"/>
                </w:tcPr>
                <w:p>
                  <w:pPr>
                    <w:jc w:val="center"/>
                    <w:rPr>
                      <w:rFonts w:hint="default"/>
                      <w:color w:val="auto"/>
                    </w:rPr>
                  </w:pPr>
                  <w:r>
                    <w:rPr>
                      <w:rFonts w:hint="default"/>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082" w:type="dxa"/>
                  <w:tcBorders>
                    <w:tl2br w:val="nil"/>
                    <w:tr2bl w:val="nil"/>
                  </w:tcBorders>
                  <w:vAlign w:val="center"/>
                </w:tcPr>
                <w:p>
                  <w:pPr>
                    <w:jc w:val="center"/>
                    <w:rPr>
                      <w:rFonts w:hint="default"/>
                      <w:color w:val="auto"/>
                    </w:rPr>
                  </w:pPr>
                  <w:r>
                    <w:rPr>
                      <w:rFonts w:hint="default"/>
                      <w:color w:val="auto"/>
                      <w:lang w:val="en-US" w:eastAsia="zh-CN"/>
                    </w:rPr>
                    <w:t>项目</w:t>
                  </w:r>
                  <w:r>
                    <w:rPr>
                      <w:rFonts w:hint="eastAsia"/>
                      <w:color w:val="auto"/>
                      <w:lang w:val="en-US" w:eastAsia="zh-CN"/>
                    </w:rPr>
                    <w:t>区</w:t>
                  </w:r>
                  <w:r>
                    <w:rPr>
                      <w:rFonts w:hint="default"/>
                      <w:color w:val="auto"/>
                      <w:lang w:val="en-US" w:eastAsia="zh-CN"/>
                    </w:rPr>
                    <w:t>东侧</w:t>
                  </w:r>
                </w:p>
              </w:tc>
              <w:tc>
                <w:tcPr>
                  <w:tcW w:w="941" w:type="dxa"/>
                  <w:tcBorders>
                    <w:tl2br w:val="nil"/>
                    <w:tr2bl w:val="nil"/>
                  </w:tcBorders>
                  <w:vAlign w:val="center"/>
                </w:tcPr>
                <w:p>
                  <w:pPr>
                    <w:jc w:val="center"/>
                    <w:rPr>
                      <w:rFonts w:hint="default"/>
                      <w:color w:val="auto"/>
                      <w:lang w:val="en-US"/>
                    </w:rPr>
                  </w:pPr>
                  <w:r>
                    <w:rPr>
                      <w:rFonts w:hint="eastAsia"/>
                      <w:color w:val="auto"/>
                      <w:lang w:val="en-US" w:eastAsia="zh-CN"/>
                    </w:rPr>
                    <w:t>48</w:t>
                  </w:r>
                </w:p>
              </w:tc>
              <w:tc>
                <w:tcPr>
                  <w:tcW w:w="927" w:type="dxa"/>
                  <w:vMerge w:val="continue"/>
                  <w:tcBorders>
                    <w:tl2br w:val="nil"/>
                    <w:tr2bl w:val="nil"/>
                  </w:tcBorders>
                  <w:vAlign w:val="center"/>
                </w:tcPr>
                <w:p>
                  <w:pPr>
                    <w:jc w:val="center"/>
                    <w:rPr>
                      <w:rFonts w:hint="default"/>
                      <w:color w:val="auto"/>
                    </w:rPr>
                  </w:pPr>
                </w:p>
              </w:tc>
              <w:tc>
                <w:tcPr>
                  <w:tcW w:w="1118" w:type="dxa"/>
                  <w:tcBorders>
                    <w:tl2br w:val="nil"/>
                    <w:tr2bl w:val="nil"/>
                  </w:tcBorders>
                  <w:vAlign w:val="center"/>
                </w:tcPr>
                <w:p>
                  <w:pPr>
                    <w:jc w:val="center"/>
                    <w:rPr>
                      <w:rFonts w:hint="default"/>
                      <w:color w:val="auto"/>
                    </w:rPr>
                  </w:pPr>
                  <w:r>
                    <w:rPr>
                      <w:rFonts w:hint="default"/>
                      <w:color w:val="auto"/>
                    </w:rPr>
                    <w:t>达标</w:t>
                  </w:r>
                </w:p>
              </w:tc>
              <w:tc>
                <w:tcPr>
                  <w:tcW w:w="941" w:type="dxa"/>
                  <w:tcBorders>
                    <w:tl2br w:val="nil"/>
                    <w:tr2bl w:val="nil"/>
                  </w:tcBorders>
                  <w:vAlign w:val="center"/>
                </w:tcPr>
                <w:p>
                  <w:pPr>
                    <w:jc w:val="center"/>
                    <w:rPr>
                      <w:rFonts w:hint="default"/>
                      <w:color w:val="auto"/>
                      <w:lang w:val="en-US"/>
                    </w:rPr>
                  </w:pPr>
                  <w:r>
                    <w:rPr>
                      <w:rFonts w:hint="default"/>
                      <w:color w:val="auto"/>
                      <w:lang w:val="en-US" w:eastAsia="zh-CN"/>
                    </w:rPr>
                    <w:t>4</w:t>
                  </w:r>
                  <w:r>
                    <w:rPr>
                      <w:rFonts w:hint="eastAsia"/>
                      <w:color w:val="auto"/>
                      <w:lang w:val="en-US" w:eastAsia="zh-CN"/>
                    </w:rPr>
                    <w:t>0</w:t>
                  </w:r>
                </w:p>
              </w:tc>
              <w:tc>
                <w:tcPr>
                  <w:tcW w:w="900" w:type="dxa"/>
                  <w:vMerge w:val="continue"/>
                  <w:tcBorders>
                    <w:tl2br w:val="nil"/>
                    <w:tr2bl w:val="nil"/>
                  </w:tcBorders>
                  <w:vAlign w:val="center"/>
                </w:tcPr>
                <w:p>
                  <w:pPr>
                    <w:jc w:val="center"/>
                    <w:rPr>
                      <w:rFonts w:hint="default"/>
                      <w:color w:val="auto"/>
                    </w:rPr>
                  </w:pPr>
                </w:p>
              </w:tc>
              <w:tc>
                <w:tcPr>
                  <w:tcW w:w="1091" w:type="dxa"/>
                  <w:tcBorders>
                    <w:tl2br w:val="nil"/>
                    <w:tr2bl w:val="nil"/>
                  </w:tcBorders>
                  <w:vAlign w:val="center"/>
                </w:tcPr>
                <w:p>
                  <w:pPr>
                    <w:jc w:val="center"/>
                    <w:rPr>
                      <w:rFonts w:hint="default"/>
                      <w:color w:val="auto"/>
                    </w:rPr>
                  </w:pPr>
                  <w:r>
                    <w:rPr>
                      <w:rFonts w:hint="default"/>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082" w:type="dxa"/>
                  <w:tcBorders>
                    <w:tl2br w:val="nil"/>
                    <w:tr2bl w:val="nil"/>
                  </w:tcBorders>
                  <w:vAlign w:val="center"/>
                </w:tcPr>
                <w:p>
                  <w:pPr>
                    <w:jc w:val="center"/>
                    <w:rPr>
                      <w:rFonts w:hint="default"/>
                      <w:color w:val="auto"/>
                    </w:rPr>
                  </w:pPr>
                  <w:r>
                    <w:rPr>
                      <w:rFonts w:hint="default"/>
                      <w:color w:val="auto"/>
                      <w:lang w:val="en-US" w:eastAsia="zh-CN"/>
                    </w:rPr>
                    <w:t>项目</w:t>
                  </w:r>
                  <w:r>
                    <w:rPr>
                      <w:rFonts w:hint="eastAsia"/>
                      <w:color w:val="auto"/>
                      <w:lang w:val="en-US" w:eastAsia="zh-CN"/>
                    </w:rPr>
                    <w:t>区</w:t>
                  </w:r>
                  <w:r>
                    <w:rPr>
                      <w:rFonts w:hint="default"/>
                      <w:color w:val="auto"/>
                      <w:lang w:val="en-US" w:eastAsia="zh-CN"/>
                    </w:rPr>
                    <w:t>南侧</w:t>
                  </w:r>
                  <w:r>
                    <w:rPr>
                      <w:rFonts w:hint="eastAsia"/>
                      <w:color w:val="auto"/>
                      <w:lang w:val="en-US" w:eastAsia="zh-CN"/>
                    </w:rPr>
                    <w:t>1号楼</w:t>
                  </w:r>
                </w:p>
              </w:tc>
              <w:tc>
                <w:tcPr>
                  <w:tcW w:w="941" w:type="dxa"/>
                  <w:tcBorders>
                    <w:tl2br w:val="nil"/>
                    <w:tr2bl w:val="nil"/>
                  </w:tcBorders>
                  <w:vAlign w:val="center"/>
                </w:tcPr>
                <w:p>
                  <w:pPr>
                    <w:jc w:val="center"/>
                    <w:rPr>
                      <w:rFonts w:hint="default"/>
                      <w:color w:val="auto"/>
                      <w:lang w:val="en-US"/>
                    </w:rPr>
                  </w:pPr>
                  <w:r>
                    <w:rPr>
                      <w:rFonts w:hint="eastAsia"/>
                      <w:color w:val="auto"/>
                      <w:lang w:val="en-US" w:eastAsia="zh-CN"/>
                    </w:rPr>
                    <w:t>49</w:t>
                  </w:r>
                </w:p>
              </w:tc>
              <w:tc>
                <w:tcPr>
                  <w:tcW w:w="927" w:type="dxa"/>
                  <w:vMerge w:val="continue"/>
                  <w:tcBorders>
                    <w:tl2br w:val="nil"/>
                    <w:tr2bl w:val="nil"/>
                  </w:tcBorders>
                  <w:vAlign w:val="center"/>
                </w:tcPr>
                <w:p>
                  <w:pPr>
                    <w:jc w:val="center"/>
                    <w:rPr>
                      <w:rFonts w:hint="default"/>
                      <w:color w:val="auto"/>
                    </w:rPr>
                  </w:pPr>
                </w:p>
              </w:tc>
              <w:tc>
                <w:tcPr>
                  <w:tcW w:w="1118" w:type="dxa"/>
                  <w:tcBorders>
                    <w:tl2br w:val="nil"/>
                    <w:tr2bl w:val="nil"/>
                  </w:tcBorders>
                  <w:vAlign w:val="center"/>
                </w:tcPr>
                <w:p>
                  <w:pPr>
                    <w:jc w:val="center"/>
                    <w:rPr>
                      <w:rFonts w:hint="default"/>
                      <w:color w:val="auto"/>
                    </w:rPr>
                  </w:pPr>
                  <w:r>
                    <w:rPr>
                      <w:rFonts w:hint="default"/>
                      <w:color w:val="auto"/>
                    </w:rPr>
                    <w:t>达标</w:t>
                  </w:r>
                </w:p>
              </w:tc>
              <w:tc>
                <w:tcPr>
                  <w:tcW w:w="941" w:type="dxa"/>
                  <w:tcBorders>
                    <w:tl2br w:val="nil"/>
                    <w:tr2bl w:val="nil"/>
                  </w:tcBorders>
                  <w:vAlign w:val="center"/>
                </w:tcPr>
                <w:p>
                  <w:pPr>
                    <w:jc w:val="center"/>
                    <w:rPr>
                      <w:rFonts w:hint="default"/>
                      <w:color w:val="auto"/>
                      <w:lang w:val="en-US"/>
                    </w:rPr>
                  </w:pPr>
                  <w:r>
                    <w:rPr>
                      <w:rFonts w:hint="eastAsia"/>
                      <w:color w:val="auto"/>
                      <w:lang w:val="en-US" w:eastAsia="zh-CN"/>
                    </w:rPr>
                    <w:t>40</w:t>
                  </w:r>
                </w:p>
              </w:tc>
              <w:tc>
                <w:tcPr>
                  <w:tcW w:w="900" w:type="dxa"/>
                  <w:vMerge w:val="continue"/>
                  <w:tcBorders>
                    <w:tl2br w:val="nil"/>
                    <w:tr2bl w:val="nil"/>
                  </w:tcBorders>
                  <w:vAlign w:val="center"/>
                </w:tcPr>
                <w:p>
                  <w:pPr>
                    <w:jc w:val="center"/>
                    <w:rPr>
                      <w:rFonts w:hint="default"/>
                      <w:color w:val="auto"/>
                    </w:rPr>
                  </w:pPr>
                </w:p>
              </w:tc>
              <w:tc>
                <w:tcPr>
                  <w:tcW w:w="1091" w:type="dxa"/>
                  <w:tcBorders>
                    <w:tl2br w:val="nil"/>
                    <w:tr2bl w:val="nil"/>
                  </w:tcBorders>
                  <w:vAlign w:val="center"/>
                </w:tcPr>
                <w:p>
                  <w:pPr>
                    <w:jc w:val="center"/>
                    <w:rPr>
                      <w:rFonts w:hint="default"/>
                      <w:color w:val="auto"/>
                    </w:rPr>
                  </w:pPr>
                  <w:r>
                    <w:rPr>
                      <w:rFonts w:hint="default"/>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2082" w:type="dxa"/>
                  <w:tcBorders>
                    <w:tl2br w:val="nil"/>
                    <w:tr2bl w:val="nil"/>
                  </w:tcBorders>
                  <w:vAlign w:val="center"/>
                </w:tcPr>
                <w:p>
                  <w:pPr>
                    <w:jc w:val="center"/>
                    <w:rPr>
                      <w:rFonts w:hint="default"/>
                      <w:color w:val="auto"/>
                    </w:rPr>
                  </w:pPr>
                  <w:r>
                    <w:rPr>
                      <w:rFonts w:hint="default"/>
                      <w:color w:val="auto"/>
                      <w:lang w:val="en-US" w:eastAsia="zh-CN"/>
                    </w:rPr>
                    <w:t>项目</w:t>
                  </w:r>
                  <w:r>
                    <w:rPr>
                      <w:rFonts w:hint="eastAsia"/>
                      <w:color w:val="auto"/>
                      <w:lang w:val="en-US" w:eastAsia="zh-CN"/>
                    </w:rPr>
                    <w:t>区</w:t>
                  </w:r>
                  <w:r>
                    <w:rPr>
                      <w:rFonts w:hint="default"/>
                      <w:color w:val="auto"/>
                      <w:lang w:val="en-US" w:eastAsia="zh-CN"/>
                    </w:rPr>
                    <w:t>西侧</w:t>
                  </w:r>
                </w:p>
              </w:tc>
              <w:tc>
                <w:tcPr>
                  <w:tcW w:w="941" w:type="dxa"/>
                  <w:tcBorders>
                    <w:tl2br w:val="nil"/>
                    <w:tr2bl w:val="nil"/>
                  </w:tcBorders>
                  <w:vAlign w:val="center"/>
                </w:tcPr>
                <w:p>
                  <w:pPr>
                    <w:jc w:val="center"/>
                    <w:rPr>
                      <w:rFonts w:hint="default"/>
                      <w:color w:val="auto"/>
                      <w:lang w:val="en-US"/>
                    </w:rPr>
                  </w:pPr>
                  <w:r>
                    <w:rPr>
                      <w:rFonts w:hint="eastAsia"/>
                      <w:color w:val="auto"/>
                      <w:lang w:val="en-US" w:eastAsia="zh-CN"/>
                    </w:rPr>
                    <w:t>48</w:t>
                  </w:r>
                </w:p>
              </w:tc>
              <w:tc>
                <w:tcPr>
                  <w:tcW w:w="927" w:type="dxa"/>
                  <w:vMerge w:val="continue"/>
                  <w:tcBorders>
                    <w:tl2br w:val="nil"/>
                    <w:tr2bl w:val="nil"/>
                  </w:tcBorders>
                  <w:vAlign w:val="center"/>
                </w:tcPr>
                <w:p>
                  <w:pPr>
                    <w:jc w:val="center"/>
                    <w:rPr>
                      <w:rFonts w:hint="default"/>
                      <w:color w:val="auto"/>
                    </w:rPr>
                  </w:pPr>
                </w:p>
              </w:tc>
              <w:tc>
                <w:tcPr>
                  <w:tcW w:w="1118" w:type="dxa"/>
                  <w:tcBorders>
                    <w:tl2br w:val="nil"/>
                    <w:tr2bl w:val="nil"/>
                  </w:tcBorders>
                  <w:vAlign w:val="center"/>
                </w:tcPr>
                <w:p>
                  <w:pPr>
                    <w:jc w:val="center"/>
                    <w:rPr>
                      <w:rFonts w:hint="default"/>
                      <w:color w:val="auto"/>
                    </w:rPr>
                  </w:pPr>
                  <w:r>
                    <w:rPr>
                      <w:rFonts w:hint="default"/>
                      <w:color w:val="auto"/>
                    </w:rPr>
                    <w:t>达标</w:t>
                  </w:r>
                </w:p>
              </w:tc>
              <w:tc>
                <w:tcPr>
                  <w:tcW w:w="941" w:type="dxa"/>
                  <w:tcBorders>
                    <w:tl2br w:val="nil"/>
                    <w:tr2bl w:val="nil"/>
                  </w:tcBorders>
                  <w:vAlign w:val="center"/>
                </w:tcPr>
                <w:p>
                  <w:pPr>
                    <w:jc w:val="center"/>
                    <w:rPr>
                      <w:rFonts w:hint="default"/>
                      <w:color w:val="auto"/>
                    </w:rPr>
                  </w:pPr>
                  <w:r>
                    <w:rPr>
                      <w:rFonts w:hint="default"/>
                      <w:color w:val="auto"/>
                      <w:lang w:val="en-US" w:eastAsia="zh-CN"/>
                    </w:rPr>
                    <w:t>4</w:t>
                  </w:r>
                  <w:r>
                    <w:rPr>
                      <w:rFonts w:hint="eastAsia"/>
                      <w:color w:val="auto"/>
                      <w:lang w:val="en-US" w:eastAsia="zh-CN"/>
                    </w:rPr>
                    <w:t>0</w:t>
                  </w:r>
                </w:p>
              </w:tc>
              <w:tc>
                <w:tcPr>
                  <w:tcW w:w="900" w:type="dxa"/>
                  <w:vMerge w:val="continue"/>
                  <w:tcBorders>
                    <w:tl2br w:val="nil"/>
                    <w:tr2bl w:val="nil"/>
                  </w:tcBorders>
                  <w:vAlign w:val="center"/>
                </w:tcPr>
                <w:p>
                  <w:pPr>
                    <w:jc w:val="center"/>
                    <w:rPr>
                      <w:rFonts w:hint="default"/>
                      <w:color w:val="auto"/>
                    </w:rPr>
                  </w:pPr>
                </w:p>
              </w:tc>
              <w:tc>
                <w:tcPr>
                  <w:tcW w:w="1091" w:type="dxa"/>
                  <w:tcBorders>
                    <w:tl2br w:val="nil"/>
                    <w:tr2bl w:val="nil"/>
                  </w:tcBorders>
                  <w:vAlign w:val="center"/>
                </w:tcPr>
                <w:p>
                  <w:pPr>
                    <w:jc w:val="center"/>
                    <w:rPr>
                      <w:rFonts w:hint="default"/>
                      <w:color w:val="auto"/>
                    </w:rPr>
                  </w:pPr>
                  <w:r>
                    <w:rPr>
                      <w:rFonts w:hint="default"/>
                      <w:color w:val="auto"/>
                    </w:rPr>
                    <w:t>达标</w:t>
                  </w:r>
                </w:p>
              </w:tc>
            </w:tr>
          </w:tbl>
          <w:p>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color w:val="auto"/>
                <w:lang w:val="en-US" w:eastAsia="zh-CN"/>
              </w:rPr>
            </w:pPr>
            <w:r>
              <w:rPr>
                <w:rFonts w:hint="default"/>
                <w:color w:val="auto"/>
                <w:lang w:val="en-US" w:eastAsia="zh-CN"/>
              </w:rPr>
              <w:t>根据噪声监测结果可知：项目区</w:t>
            </w:r>
            <w:r>
              <w:rPr>
                <w:rFonts w:hint="eastAsia"/>
                <w:color w:val="auto"/>
                <w:lang w:val="en-US" w:eastAsia="zh-CN"/>
              </w:rPr>
              <w:t>地上周边</w:t>
            </w:r>
            <w:r>
              <w:rPr>
                <w:rFonts w:hint="default"/>
                <w:color w:val="auto"/>
                <w:lang w:val="en-US" w:eastAsia="zh-CN"/>
              </w:rPr>
              <w:t>环境噪声均未超过《声环境质量标准》（GB3096-2008）中2类标准的限值</w:t>
            </w:r>
            <w:r>
              <w:rPr>
                <w:rFonts w:hint="eastAsia"/>
                <w:color w:val="auto"/>
                <w:lang w:val="en-US" w:eastAsia="zh-CN"/>
              </w:rPr>
              <w:t>，</w:t>
            </w:r>
            <w:r>
              <w:rPr>
                <w:rFonts w:hint="default"/>
                <w:color w:val="auto"/>
                <w:lang w:val="en-US" w:eastAsia="zh-CN"/>
              </w:rPr>
              <w:t>项目区声环境</w:t>
            </w:r>
            <w:r>
              <w:rPr>
                <w:rFonts w:hint="eastAsia"/>
                <w:color w:val="auto"/>
                <w:lang w:val="en-US" w:eastAsia="zh-CN"/>
              </w:rPr>
              <w:t>质量较好</w:t>
            </w:r>
            <w:r>
              <w:rPr>
                <w:rFonts w:hint="default"/>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imes New Roman" w:hAnsi="Times New Roman" w:eastAsia="宋体" w:cs="Times New Roman"/>
                <w:bCs/>
                <w:color w:val="auto"/>
                <w:spacing w:val="0"/>
                <w:kern w:val="0"/>
                <w:sz w:val="21"/>
                <w:szCs w:val="21"/>
                <w:lang w:val="en-US" w:eastAsia="zh-CN"/>
              </w:rPr>
            </w:pPr>
            <w:r>
              <w:rPr>
                <w:rFonts w:hint="eastAsia" w:ascii="Times New Roman" w:hAnsi="Times New Roman" w:eastAsia="宋体" w:cs="Times New Roman"/>
                <w:bCs/>
                <w:color w:val="auto"/>
                <w:spacing w:val="0"/>
                <w:kern w:val="0"/>
                <w:sz w:val="21"/>
                <w:szCs w:val="21"/>
                <w:lang w:val="en-US" w:eastAsia="zh-CN"/>
              </w:rPr>
              <w:t>4、生态环境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Times New Roman" w:hAnsi="Times New Roman" w:eastAsia="宋体" w:cs="Times New Roman"/>
                <w:bCs/>
                <w:color w:val="auto"/>
                <w:spacing w:val="0"/>
                <w:kern w:val="0"/>
                <w:sz w:val="21"/>
                <w:szCs w:val="21"/>
                <w:lang w:val="en-US" w:eastAsia="zh-CN"/>
              </w:rPr>
            </w:pPr>
            <w:r>
              <w:rPr>
                <w:rFonts w:hint="eastAsia" w:ascii="Times New Roman" w:hAnsi="Times New Roman" w:eastAsia="宋体" w:cs="Times New Roman"/>
                <w:color w:val="auto"/>
                <w:lang w:val="en-US" w:eastAsia="zh-CN"/>
              </w:rPr>
              <w:t>本项目位于</w:t>
            </w:r>
            <w:r>
              <w:rPr>
                <w:rFonts w:hint="eastAsia" w:ascii="宋体" w:hAnsi="宋体" w:eastAsia="宋体" w:cs="宋体"/>
                <w:color w:val="auto"/>
                <w:sz w:val="21"/>
                <w:szCs w:val="21"/>
                <w:u w:val="none"/>
              </w:rPr>
              <w:t>丁香园北区</w:t>
            </w:r>
            <w:r>
              <w:rPr>
                <w:rFonts w:hint="eastAsia" w:ascii="宋体" w:hAnsi="宋体" w:eastAsia="宋体" w:cs="宋体"/>
                <w:color w:val="auto"/>
                <w:sz w:val="21"/>
                <w:szCs w:val="21"/>
                <w:u w:val="none"/>
                <w:lang w:val="en-US" w:eastAsia="zh-CN"/>
              </w:rPr>
              <w:t>地下车库</w:t>
            </w:r>
            <w:r>
              <w:rPr>
                <w:rFonts w:hint="eastAsia" w:ascii="Times New Roman" w:hAnsi="Times New Roman" w:eastAsia="宋体" w:cs="Times New Roman"/>
                <w:bCs/>
                <w:color w:val="auto"/>
                <w:spacing w:val="0"/>
                <w:kern w:val="0"/>
                <w:sz w:val="21"/>
                <w:szCs w:val="21"/>
                <w:lang w:val="en-US" w:eastAsia="zh-CN"/>
              </w:rPr>
              <w:t>，</w:t>
            </w:r>
            <w:r>
              <w:rPr>
                <w:rFonts w:hint="eastAsia" w:ascii="Times New Roman" w:hAnsi="Times New Roman" w:eastAsia="宋体" w:cs="Times New Roman"/>
                <w:color w:val="auto"/>
                <w:spacing w:val="0"/>
                <w:kern w:val="0"/>
                <w:sz w:val="21"/>
                <w:szCs w:val="21"/>
                <w:lang w:val="en-US" w:eastAsia="zh-CN"/>
              </w:rPr>
              <w:t>根据《建设项目环境影响报告表编制技术指南》（污染影响类）（试行）</w:t>
            </w:r>
            <w:r>
              <w:rPr>
                <w:rFonts w:hint="eastAsia" w:ascii="Times New Roman" w:hAnsi="Times New Roman" w:eastAsia="宋体" w:cs="Times New Roman"/>
                <w:bCs/>
                <w:color w:val="auto"/>
                <w:spacing w:val="0"/>
                <w:kern w:val="0"/>
                <w:sz w:val="21"/>
                <w:szCs w:val="21"/>
                <w:lang w:val="en-US" w:eastAsia="zh-CN"/>
              </w:rPr>
              <w:t>，本项目不进行生态现状调查。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eastAsia="宋体" w:cs="Times New Roman"/>
                <w:bCs/>
                <w:color w:val="auto"/>
                <w:spacing w:val="0"/>
                <w:kern w:val="0"/>
                <w:sz w:val="21"/>
                <w:szCs w:val="21"/>
                <w:lang w:val="en-US" w:eastAsia="zh-CN"/>
              </w:rPr>
            </w:pPr>
            <w:r>
              <w:rPr>
                <w:rFonts w:hint="eastAsia" w:ascii="Times New Roman" w:hAnsi="Times New Roman" w:eastAsia="宋体" w:cs="Times New Roman"/>
                <w:bCs/>
                <w:color w:val="auto"/>
                <w:spacing w:val="0"/>
                <w:kern w:val="0"/>
                <w:sz w:val="21"/>
                <w:szCs w:val="21"/>
                <w:lang w:val="en-US" w:eastAsia="zh-CN"/>
              </w:rPr>
              <w:t>5、地下水、土壤环境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imes New Roman" w:hAnsi="Times New Roman" w:eastAsia="宋体" w:cs="Times New Roman"/>
                <w:bCs/>
                <w:color w:val="auto"/>
                <w:spacing w:val="0"/>
                <w:kern w:val="0"/>
                <w:sz w:val="21"/>
                <w:szCs w:val="21"/>
                <w:lang w:val="en-US" w:eastAsia="zh-CN"/>
              </w:rPr>
            </w:pPr>
            <w:r>
              <w:rPr>
                <w:rFonts w:hint="eastAsia" w:ascii="Times New Roman" w:hAnsi="Times New Roman" w:eastAsia="宋体" w:cs="Times New Roman"/>
                <w:bCs/>
                <w:color w:val="auto"/>
                <w:spacing w:val="0"/>
                <w:kern w:val="0"/>
                <w:sz w:val="21"/>
                <w:szCs w:val="21"/>
                <w:lang w:val="en-US" w:eastAsia="zh-CN"/>
              </w:rPr>
              <w:t>本项目产生的生产废水主要为</w:t>
            </w:r>
            <w:r>
              <w:rPr>
                <w:rFonts w:hint="eastAsia"/>
                <w:color w:val="auto"/>
                <w:lang w:val="en-US" w:eastAsia="zh-CN"/>
              </w:rPr>
              <w:t>锅炉排水、软化水系统排水</w:t>
            </w:r>
            <w:r>
              <w:rPr>
                <w:rFonts w:hint="eastAsia" w:ascii="Times New Roman" w:hAnsi="Times New Roman" w:eastAsia="宋体" w:cs="Times New Roman"/>
                <w:bCs/>
                <w:color w:val="auto"/>
                <w:spacing w:val="0"/>
                <w:kern w:val="0"/>
                <w:sz w:val="21"/>
                <w:szCs w:val="21"/>
                <w:lang w:val="en-US" w:eastAsia="zh-CN"/>
              </w:rPr>
              <w:t>，</w:t>
            </w:r>
            <w:r>
              <w:rPr>
                <w:rFonts w:hint="eastAsia"/>
                <w:color w:val="auto"/>
                <w:lang w:val="en-US" w:eastAsia="zh-CN"/>
              </w:rPr>
              <w:t>排入市政污水管网</w:t>
            </w:r>
            <w:r>
              <w:rPr>
                <w:rFonts w:hint="eastAsia" w:ascii="Times New Roman" w:hAnsi="Times New Roman" w:eastAsia="宋体" w:cs="Times New Roman"/>
                <w:bCs/>
                <w:color w:val="auto"/>
                <w:spacing w:val="0"/>
                <w:kern w:val="0"/>
                <w:sz w:val="21"/>
                <w:szCs w:val="21"/>
                <w:lang w:val="en-US" w:eastAsia="zh-CN"/>
              </w:rPr>
              <w:t>。故本项目</w:t>
            </w:r>
            <w:r>
              <w:rPr>
                <w:rFonts w:hint="eastAsia" w:ascii="Times New Roman" w:hAnsi="Times New Roman" w:eastAsia="宋体" w:cs="Times New Roman"/>
                <w:color w:val="auto"/>
                <w:kern w:val="2"/>
                <w:sz w:val="21"/>
                <w:szCs w:val="21"/>
                <w:lang w:val="en-US" w:eastAsia="zh-CN" w:bidi="ar-SA"/>
              </w:rPr>
              <w:t>无</w:t>
            </w:r>
            <w:r>
              <w:rPr>
                <w:rFonts w:hint="eastAsia" w:ascii="Times New Roman" w:hAnsi="Times New Roman" w:eastAsia="宋体" w:cs="Times New Roman"/>
                <w:bCs/>
                <w:color w:val="auto"/>
                <w:spacing w:val="0"/>
                <w:kern w:val="0"/>
                <w:sz w:val="21"/>
                <w:szCs w:val="21"/>
                <w:lang w:val="en-US" w:eastAsia="zh-CN"/>
              </w:rPr>
              <w:t>地下水、土壤环境污染途径，且项目周边无地下水集中式饮用水水源和热水、矿泉水、温泉等特殊地下水保护目标。因此，本次评价不进行地下水、土壤环境质量现状调查。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imes New Roman" w:hAnsi="Times New Roman" w:eastAsia="宋体" w:cs="Times New Roman"/>
                <w:bCs/>
                <w:color w:val="auto"/>
                <w:spacing w:val="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eastAsia="宋体" w:cs="Times New Roman"/>
                <w:bCs/>
                <w:color w:val="auto"/>
                <w:spacing w:val="0"/>
                <w:kern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0" w:type="dxa"/>
            <w:vAlign w:val="center"/>
          </w:tcPr>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w:t>
            </w:r>
          </w:p>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保护</w:t>
            </w:r>
          </w:p>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目标</w:t>
            </w:r>
          </w:p>
        </w:tc>
        <w:tc>
          <w:tcPr>
            <w:tcW w:w="81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cs="Times New Roman"/>
                <w:color w:val="auto"/>
                <w:kern w:val="0"/>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color w:val="auto"/>
                <w:lang w:val="en-US" w:eastAsia="zh-CN"/>
              </w:rPr>
            </w:pPr>
            <w:r>
              <w:rPr>
                <w:rFonts w:hint="default" w:ascii="Times New Roman" w:hAnsi="Times New Roman" w:cs="Times New Roman"/>
                <w:color w:val="auto"/>
                <w:kern w:val="0"/>
                <w:szCs w:val="21"/>
                <w:lang w:val="en-US" w:eastAsia="zh-CN"/>
              </w:rPr>
              <w:t>1、大气环境</w:t>
            </w:r>
            <w:r>
              <w:rPr>
                <w:rFonts w:hint="eastAsia" w:ascii="Times New Roman" w:hAnsi="Times New Roman" w:cs="Times New Roman"/>
                <w:color w:val="auto"/>
                <w:kern w:val="0"/>
                <w:szCs w:val="21"/>
                <w:lang w:val="en-US" w:eastAsia="zh-CN"/>
              </w:rPr>
              <w:t>保护</w:t>
            </w:r>
            <w:r>
              <w:rPr>
                <w:rFonts w:hint="default" w:ascii="Times New Roman" w:hAnsi="Times New Roman" w:cs="Times New Roman"/>
                <w:color w:val="auto"/>
                <w:kern w:val="0"/>
                <w:szCs w:val="21"/>
                <w:lang w:val="en-US" w:eastAsia="zh-CN"/>
              </w:rPr>
              <w:t>目标：</w:t>
            </w:r>
            <w:r>
              <w:rPr>
                <w:rFonts w:hint="eastAsia" w:ascii="Times New Roman" w:hAnsi="Times New Roman" w:cs="Times New Roman"/>
                <w:color w:val="auto"/>
                <w:kern w:val="0"/>
                <w:szCs w:val="21"/>
                <w:lang w:val="en-US" w:eastAsia="zh-CN"/>
              </w:rPr>
              <w:t>项目位于</w:t>
            </w:r>
            <w:r>
              <w:rPr>
                <w:rFonts w:hint="eastAsia" w:ascii="Times New Roman" w:hAnsi="Times New Roman" w:cs="Times New Roman"/>
                <w:color w:val="auto"/>
                <w:szCs w:val="21"/>
                <w:lang w:val="en-US" w:eastAsia="zh-CN"/>
              </w:rPr>
              <w:t>昌吉市</w:t>
            </w:r>
            <w:r>
              <w:rPr>
                <w:rFonts w:hint="eastAsia" w:ascii="宋体" w:hAnsi="宋体" w:eastAsia="宋体" w:cs="宋体"/>
                <w:color w:val="auto"/>
                <w:sz w:val="21"/>
                <w:szCs w:val="21"/>
                <w:u w:val="none"/>
              </w:rPr>
              <w:t>丁香园北区</w:t>
            </w:r>
            <w:r>
              <w:rPr>
                <w:rFonts w:hint="eastAsia" w:ascii="宋体" w:hAnsi="宋体" w:eastAsia="宋体" w:cs="宋体"/>
                <w:color w:val="auto"/>
                <w:sz w:val="21"/>
                <w:szCs w:val="21"/>
                <w:u w:val="none"/>
                <w:lang w:val="en-US" w:eastAsia="zh-CN"/>
              </w:rPr>
              <w:t>地下车库</w:t>
            </w:r>
            <w:r>
              <w:rPr>
                <w:rFonts w:hint="eastAsia" w:ascii="Times New Roman" w:hAnsi="Times New Roman" w:cs="Times New Roman"/>
                <w:color w:val="auto"/>
                <w:kern w:val="0"/>
                <w:szCs w:val="21"/>
                <w:lang w:val="en-US" w:eastAsia="zh-CN"/>
              </w:rPr>
              <w:t>，</w:t>
            </w:r>
            <w:r>
              <w:rPr>
                <w:rFonts w:hint="eastAsia"/>
                <w:color w:val="auto"/>
                <w:lang w:val="en-US" w:eastAsia="zh-CN"/>
              </w:rPr>
              <w:t>地上</w:t>
            </w:r>
            <w:r>
              <w:rPr>
                <w:rFonts w:hint="default"/>
                <w:color w:val="auto"/>
                <w:lang w:val="en-US" w:eastAsia="zh-CN"/>
              </w:rPr>
              <w:t>500m范围内的</w:t>
            </w:r>
            <w:r>
              <w:rPr>
                <w:rFonts w:hint="eastAsia"/>
                <w:color w:val="auto"/>
                <w:lang w:val="en-US" w:eastAsia="zh-CN"/>
              </w:rPr>
              <w:t xml:space="preserve">大气环境敏感目标主要为周边的住宅小区，详见表9。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2</w:t>
            </w:r>
            <w:r>
              <w:rPr>
                <w:rFonts w:hint="eastAsia" w:ascii="Times New Roman" w:hAnsi="Times New Roman" w:cs="Times New Roman"/>
                <w:color w:val="auto"/>
                <w:kern w:val="0"/>
                <w:szCs w:val="21"/>
                <w:lang w:val="en-US" w:eastAsia="zh-CN"/>
              </w:rPr>
              <w:t>、</w:t>
            </w:r>
            <w:r>
              <w:rPr>
                <w:rFonts w:hint="default" w:ascii="Times New Roman" w:hAnsi="Times New Roman" w:cs="Times New Roman"/>
                <w:color w:val="auto"/>
                <w:kern w:val="0"/>
                <w:szCs w:val="21"/>
                <w:lang w:val="en-US" w:eastAsia="zh-CN"/>
              </w:rPr>
              <w:t>声环境</w:t>
            </w:r>
            <w:r>
              <w:rPr>
                <w:rFonts w:hint="eastAsia" w:ascii="Times New Roman" w:hAnsi="Times New Roman" w:cs="Times New Roman"/>
                <w:color w:val="auto"/>
                <w:kern w:val="0"/>
                <w:szCs w:val="21"/>
                <w:lang w:val="en-US" w:eastAsia="zh-CN"/>
              </w:rPr>
              <w:t>保护目标：项目位于</w:t>
            </w:r>
            <w:r>
              <w:rPr>
                <w:rFonts w:hint="eastAsia" w:ascii="Times New Roman" w:hAnsi="Times New Roman" w:cs="Times New Roman"/>
                <w:color w:val="auto"/>
                <w:szCs w:val="21"/>
                <w:lang w:val="en-US" w:eastAsia="zh-CN"/>
              </w:rPr>
              <w:t>昌吉市</w:t>
            </w:r>
            <w:r>
              <w:rPr>
                <w:rFonts w:hint="eastAsia" w:ascii="宋体" w:hAnsi="宋体" w:eastAsia="宋体" w:cs="宋体"/>
                <w:color w:val="auto"/>
                <w:sz w:val="21"/>
                <w:szCs w:val="21"/>
                <w:u w:val="none"/>
              </w:rPr>
              <w:t>丁香园北区</w:t>
            </w:r>
            <w:r>
              <w:rPr>
                <w:rFonts w:hint="eastAsia" w:ascii="宋体" w:hAnsi="宋体" w:eastAsia="宋体" w:cs="宋体"/>
                <w:color w:val="auto"/>
                <w:sz w:val="21"/>
                <w:szCs w:val="21"/>
                <w:u w:val="none"/>
                <w:lang w:val="en-US" w:eastAsia="zh-CN"/>
              </w:rPr>
              <w:t>地下车库</w:t>
            </w:r>
            <w:r>
              <w:rPr>
                <w:rFonts w:hint="eastAsia" w:ascii="Times New Roman" w:hAnsi="Times New Roman" w:cs="Times New Roman"/>
                <w:color w:val="auto"/>
                <w:kern w:val="0"/>
                <w:szCs w:val="21"/>
                <w:lang w:val="en-US" w:eastAsia="zh-CN"/>
              </w:rPr>
              <w:t>，地上</w:t>
            </w:r>
            <w:r>
              <w:rPr>
                <w:rFonts w:hint="default" w:ascii="Times New Roman" w:hAnsi="Times New Roman" w:cs="Times New Roman"/>
                <w:color w:val="auto"/>
                <w:kern w:val="0"/>
                <w:szCs w:val="21"/>
                <w:lang w:val="en-US" w:eastAsia="zh-CN"/>
              </w:rPr>
              <w:t>50</w:t>
            </w:r>
            <w:r>
              <w:rPr>
                <w:rFonts w:hint="eastAsia" w:ascii="Times New Roman" w:hAnsi="Times New Roman" w:cs="Times New Roman"/>
                <w:color w:val="auto"/>
                <w:kern w:val="0"/>
                <w:szCs w:val="21"/>
                <w:lang w:val="en-US" w:eastAsia="zh-CN"/>
              </w:rPr>
              <w:t>m</w:t>
            </w:r>
            <w:r>
              <w:rPr>
                <w:rFonts w:hint="default" w:ascii="Times New Roman" w:hAnsi="Times New Roman" w:cs="Times New Roman"/>
                <w:color w:val="auto"/>
                <w:kern w:val="0"/>
                <w:szCs w:val="21"/>
                <w:lang w:val="en-US" w:eastAsia="zh-CN"/>
              </w:rPr>
              <w:t>范围内声环境</w:t>
            </w:r>
            <w:r>
              <w:rPr>
                <w:rFonts w:hint="eastAsia" w:ascii="Times New Roman" w:hAnsi="Times New Roman" w:cs="Times New Roman"/>
                <w:color w:val="auto"/>
                <w:kern w:val="0"/>
                <w:szCs w:val="21"/>
                <w:lang w:val="en-US" w:eastAsia="zh-CN"/>
              </w:rPr>
              <w:t>敏感</w:t>
            </w:r>
            <w:r>
              <w:rPr>
                <w:rFonts w:hint="default" w:ascii="Times New Roman" w:hAnsi="Times New Roman" w:cs="Times New Roman"/>
                <w:color w:val="auto"/>
                <w:kern w:val="0"/>
                <w:szCs w:val="21"/>
                <w:lang w:val="en-US" w:eastAsia="zh-CN"/>
              </w:rPr>
              <w:t>保护目标</w:t>
            </w:r>
            <w:r>
              <w:rPr>
                <w:rFonts w:hint="eastAsia" w:ascii="Times New Roman" w:hAnsi="Times New Roman" w:cs="Times New Roman"/>
                <w:color w:val="auto"/>
                <w:kern w:val="0"/>
                <w:szCs w:val="21"/>
                <w:lang w:val="en-US" w:eastAsia="zh-CN"/>
              </w:rPr>
              <w:t>主要为小区内住宅楼</w:t>
            </w:r>
            <w:r>
              <w:rPr>
                <w:rFonts w:hint="default" w:ascii="Times New Roman" w:hAnsi="Times New Roman" w:cs="Times New Roman"/>
                <w:color w:val="auto"/>
                <w:kern w:val="0"/>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3</w:t>
            </w:r>
            <w:r>
              <w:rPr>
                <w:rFonts w:hint="eastAsia" w:ascii="Times New Roman" w:hAnsi="Times New Roman" w:cs="Times New Roman"/>
                <w:color w:val="auto"/>
                <w:kern w:val="0"/>
                <w:szCs w:val="21"/>
                <w:lang w:val="en-US" w:eastAsia="zh-CN"/>
              </w:rPr>
              <w:t>、</w:t>
            </w:r>
            <w:r>
              <w:rPr>
                <w:rFonts w:hint="default" w:ascii="Times New Roman" w:hAnsi="Times New Roman" w:cs="Times New Roman"/>
                <w:color w:val="auto"/>
                <w:kern w:val="0"/>
                <w:szCs w:val="21"/>
                <w:lang w:val="en-US" w:eastAsia="zh-CN"/>
              </w:rPr>
              <w:t>地下水环境</w:t>
            </w:r>
            <w:r>
              <w:rPr>
                <w:rFonts w:hint="eastAsia" w:ascii="Times New Roman" w:hAnsi="Times New Roman" w:cs="Times New Roman"/>
                <w:color w:val="auto"/>
                <w:kern w:val="0"/>
                <w:szCs w:val="21"/>
                <w:lang w:val="en-US" w:eastAsia="zh-CN"/>
              </w:rPr>
              <w:t>保护目标：项目位于</w:t>
            </w:r>
            <w:r>
              <w:rPr>
                <w:rFonts w:hint="eastAsia" w:ascii="Times New Roman" w:hAnsi="Times New Roman" w:cs="Times New Roman"/>
                <w:color w:val="auto"/>
                <w:szCs w:val="21"/>
                <w:lang w:val="en-US" w:eastAsia="zh-CN"/>
              </w:rPr>
              <w:t>昌吉市</w:t>
            </w:r>
            <w:r>
              <w:rPr>
                <w:rFonts w:hint="eastAsia" w:ascii="宋体" w:hAnsi="宋体" w:eastAsia="宋体" w:cs="宋体"/>
                <w:color w:val="auto"/>
                <w:sz w:val="21"/>
                <w:szCs w:val="21"/>
                <w:u w:val="none"/>
              </w:rPr>
              <w:t>丁香园北区</w:t>
            </w:r>
            <w:r>
              <w:rPr>
                <w:rFonts w:hint="eastAsia" w:ascii="宋体" w:hAnsi="宋体" w:eastAsia="宋体" w:cs="宋体"/>
                <w:color w:val="auto"/>
                <w:sz w:val="21"/>
                <w:szCs w:val="21"/>
                <w:u w:val="none"/>
                <w:lang w:val="en-US" w:eastAsia="zh-CN"/>
              </w:rPr>
              <w:t>地下车库</w:t>
            </w:r>
            <w:r>
              <w:rPr>
                <w:rFonts w:hint="eastAsia" w:ascii="Times New Roman" w:hAnsi="Times New Roman" w:cs="Times New Roman"/>
                <w:color w:val="auto"/>
                <w:kern w:val="0"/>
                <w:szCs w:val="21"/>
                <w:lang w:val="en-US" w:eastAsia="zh-CN"/>
              </w:rPr>
              <w:t>，</w:t>
            </w:r>
            <w:r>
              <w:rPr>
                <w:rFonts w:hint="default" w:ascii="Times New Roman" w:hAnsi="Times New Roman" w:cs="Times New Roman"/>
                <w:color w:val="auto"/>
                <w:kern w:val="0"/>
                <w:szCs w:val="21"/>
                <w:lang w:val="en-US" w:eastAsia="zh-CN"/>
              </w:rPr>
              <w:t>厂界外500</w:t>
            </w:r>
            <w:r>
              <w:rPr>
                <w:rFonts w:hint="eastAsia" w:ascii="Times New Roman" w:hAnsi="Times New Roman" w:cs="Times New Roman"/>
                <w:color w:val="auto"/>
                <w:kern w:val="0"/>
                <w:szCs w:val="21"/>
                <w:lang w:val="en-US" w:eastAsia="zh-CN"/>
              </w:rPr>
              <w:t>m</w:t>
            </w:r>
            <w:r>
              <w:rPr>
                <w:rFonts w:hint="default" w:ascii="Times New Roman" w:hAnsi="Times New Roman" w:cs="Times New Roman"/>
                <w:color w:val="auto"/>
                <w:kern w:val="0"/>
                <w:szCs w:val="21"/>
                <w:lang w:val="en-US" w:eastAsia="zh-CN"/>
              </w:rPr>
              <w:t>范围内的</w:t>
            </w:r>
            <w:r>
              <w:rPr>
                <w:rFonts w:hint="eastAsia" w:ascii="Times New Roman" w:hAnsi="Times New Roman" w:cs="Times New Roman"/>
                <w:color w:val="auto"/>
                <w:kern w:val="0"/>
                <w:szCs w:val="21"/>
                <w:lang w:val="en-US" w:eastAsia="zh-CN"/>
              </w:rPr>
              <w:t>无</w:t>
            </w:r>
            <w:r>
              <w:rPr>
                <w:rFonts w:hint="default" w:ascii="Times New Roman" w:hAnsi="Times New Roman" w:cs="Times New Roman"/>
                <w:color w:val="auto"/>
                <w:kern w:val="0"/>
                <w:szCs w:val="21"/>
                <w:lang w:val="en-US" w:eastAsia="zh-CN"/>
              </w:rPr>
              <w:t>地下水集中式饮用水水源和</w:t>
            </w:r>
            <w:r>
              <w:rPr>
                <w:rFonts w:hint="eastAsia" w:ascii="Times New Roman" w:hAnsi="Times New Roman" w:cs="Times New Roman"/>
                <w:color w:val="auto"/>
                <w:kern w:val="0"/>
                <w:szCs w:val="21"/>
                <w:lang w:val="en-US" w:eastAsia="zh-CN"/>
              </w:rPr>
              <w:t>其他地下水敏感目标</w:t>
            </w:r>
            <w:r>
              <w:rPr>
                <w:rFonts w:hint="default" w:ascii="Times New Roman" w:hAnsi="Times New Roman" w:cs="Times New Roman"/>
                <w:color w:val="auto"/>
                <w:kern w:val="0"/>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4</w:t>
            </w:r>
            <w:r>
              <w:rPr>
                <w:rFonts w:hint="eastAsia" w:ascii="Times New Roman" w:hAnsi="Times New Roman" w:cs="Times New Roman"/>
                <w:color w:val="auto"/>
                <w:kern w:val="0"/>
                <w:szCs w:val="21"/>
                <w:lang w:val="en-US" w:eastAsia="zh-CN"/>
              </w:rPr>
              <w:t>、</w:t>
            </w:r>
            <w:r>
              <w:rPr>
                <w:rFonts w:hint="default" w:ascii="Times New Roman" w:hAnsi="Times New Roman" w:cs="Times New Roman"/>
                <w:color w:val="auto"/>
                <w:kern w:val="0"/>
                <w:szCs w:val="21"/>
                <w:lang w:val="en-US" w:eastAsia="zh-CN"/>
              </w:rPr>
              <w:t>生态环境</w:t>
            </w:r>
            <w:r>
              <w:rPr>
                <w:rFonts w:hint="eastAsia" w:ascii="Times New Roman" w:hAnsi="Times New Roman" w:cs="Times New Roman"/>
                <w:color w:val="auto"/>
                <w:kern w:val="0"/>
                <w:szCs w:val="21"/>
                <w:lang w:val="en-US" w:eastAsia="zh-CN"/>
              </w:rPr>
              <w:t>敏感目标：项目选址位于</w:t>
            </w:r>
            <w:r>
              <w:rPr>
                <w:rFonts w:hint="eastAsia" w:ascii="Times New Roman" w:hAnsi="Times New Roman" w:cs="Times New Roman"/>
                <w:color w:val="auto"/>
                <w:szCs w:val="21"/>
                <w:lang w:val="en-US" w:eastAsia="zh-CN"/>
              </w:rPr>
              <w:t>昌吉市</w:t>
            </w:r>
            <w:r>
              <w:rPr>
                <w:rFonts w:hint="eastAsia" w:ascii="宋体" w:hAnsi="宋体" w:eastAsia="宋体" w:cs="宋体"/>
                <w:color w:val="auto"/>
                <w:sz w:val="21"/>
                <w:szCs w:val="21"/>
                <w:u w:val="none"/>
              </w:rPr>
              <w:t>丁香园北区</w:t>
            </w:r>
            <w:r>
              <w:rPr>
                <w:rFonts w:hint="eastAsia" w:ascii="宋体" w:hAnsi="宋体" w:eastAsia="宋体" w:cs="宋体"/>
                <w:color w:val="auto"/>
                <w:sz w:val="21"/>
                <w:szCs w:val="21"/>
                <w:u w:val="none"/>
                <w:lang w:val="en-US" w:eastAsia="zh-CN"/>
              </w:rPr>
              <w:t>地下车库</w:t>
            </w:r>
            <w:r>
              <w:rPr>
                <w:rFonts w:hint="eastAsia" w:ascii="Times New Roman" w:hAnsi="Times New Roman" w:cs="Times New Roman"/>
                <w:color w:val="auto"/>
                <w:kern w:val="0"/>
                <w:szCs w:val="21"/>
                <w:lang w:val="en-US" w:eastAsia="zh-CN"/>
              </w:rPr>
              <w:t>，无生态环境保护目标。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color w:val="auto"/>
                <w:lang w:val="en-US" w:eastAsia="zh-CN"/>
              </w:rPr>
            </w:pPr>
            <w:r>
              <w:rPr>
                <w:rFonts w:hint="default"/>
                <w:color w:val="auto"/>
                <w:lang w:val="zh-CN" w:eastAsia="zh-CN"/>
              </w:rPr>
              <w:t>表</w:t>
            </w:r>
            <w:r>
              <w:rPr>
                <w:rFonts w:hint="eastAsia"/>
                <w:color w:val="auto"/>
                <w:lang w:val="en-US" w:eastAsia="zh-CN"/>
              </w:rPr>
              <w:t>10</w:t>
            </w:r>
            <w:r>
              <w:rPr>
                <w:rFonts w:hint="default"/>
                <w:color w:val="auto"/>
                <w:lang w:val="en-US" w:eastAsia="zh-CN"/>
              </w:rPr>
              <w:t xml:space="preserve">       </w:t>
            </w:r>
            <w:r>
              <w:rPr>
                <w:rFonts w:hint="default"/>
                <w:color w:val="auto"/>
                <w:lang w:val="zh-CN" w:eastAsia="zh-CN"/>
              </w:rPr>
              <w:t xml:space="preserve"> </w:t>
            </w:r>
            <w:r>
              <w:rPr>
                <w:rFonts w:hint="eastAsia"/>
                <w:color w:val="auto"/>
                <w:lang w:val="en-US" w:eastAsia="zh-CN"/>
              </w:rPr>
              <w:t xml:space="preserve">  </w:t>
            </w:r>
            <w:r>
              <w:rPr>
                <w:rFonts w:hint="default"/>
                <w:color w:val="auto"/>
                <w:lang w:val="zh-CN" w:eastAsia="zh-CN"/>
              </w:rPr>
              <w:t xml:space="preserve"> </w:t>
            </w:r>
            <w:r>
              <w:rPr>
                <w:rFonts w:hint="eastAsia"/>
                <w:color w:val="auto"/>
                <w:lang w:val="en-US" w:eastAsia="zh-CN"/>
              </w:rPr>
              <w:t xml:space="preserve">      </w:t>
            </w:r>
            <w:r>
              <w:rPr>
                <w:rFonts w:hint="default"/>
                <w:color w:val="auto"/>
                <w:lang w:val="en-US" w:eastAsia="zh-CN"/>
              </w:rPr>
              <w:t>环境敏感保护目标</w:t>
            </w:r>
          </w:p>
          <w:tbl>
            <w:tblPr>
              <w:tblStyle w:val="28"/>
              <w:tblW w:w="790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72"/>
              <w:gridCol w:w="1705"/>
              <w:gridCol w:w="1193"/>
              <w:gridCol w:w="1296"/>
              <w:gridCol w:w="253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6" w:hRule="atLeast"/>
                <w:jc w:val="center"/>
              </w:trPr>
              <w:tc>
                <w:tcPr>
                  <w:tcW w:w="1172" w:type="dxa"/>
                  <w:vAlign w:val="center"/>
                </w:tcPr>
                <w:p>
                  <w:pPr>
                    <w:jc w:val="center"/>
                    <w:rPr>
                      <w:rFonts w:hint="default"/>
                      <w:color w:val="auto"/>
                      <w:lang w:val="en-US" w:eastAsia="zh-CN"/>
                    </w:rPr>
                  </w:pPr>
                  <w:r>
                    <w:rPr>
                      <w:rFonts w:hint="default"/>
                      <w:color w:val="auto"/>
                      <w:lang w:val="en-US" w:eastAsia="zh-CN"/>
                    </w:rPr>
                    <w:t>环境要素</w:t>
                  </w:r>
                </w:p>
              </w:tc>
              <w:tc>
                <w:tcPr>
                  <w:tcW w:w="1705" w:type="dxa"/>
                  <w:tcBorders>
                    <w:right w:val="single" w:color="auto" w:sz="4" w:space="0"/>
                  </w:tcBorders>
                  <w:vAlign w:val="center"/>
                </w:tcPr>
                <w:p>
                  <w:pPr>
                    <w:jc w:val="center"/>
                    <w:rPr>
                      <w:rFonts w:hint="default"/>
                      <w:color w:val="auto"/>
                      <w:lang w:val="en-US" w:eastAsia="zh-CN"/>
                    </w:rPr>
                  </w:pPr>
                  <w:r>
                    <w:rPr>
                      <w:rFonts w:hint="default"/>
                      <w:color w:val="auto"/>
                      <w:lang w:val="en-US" w:eastAsia="zh-CN"/>
                    </w:rPr>
                    <w:t>环境保护目标</w:t>
                  </w:r>
                </w:p>
              </w:tc>
              <w:tc>
                <w:tcPr>
                  <w:tcW w:w="1193" w:type="dxa"/>
                  <w:tcBorders>
                    <w:right w:val="single" w:color="auto" w:sz="4" w:space="0"/>
                  </w:tcBorders>
                  <w:vAlign w:val="center"/>
                </w:tcPr>
                <w:p>
                  <w:pPr>
                    <w:jc w:val="center"/>
                    <w:rPr>
                      <w:rFonts w:hint="default"/>
                      <w:color w:val="auto"/>
                      <w:lang w:val="en-US" w:eastAsia="zh-CN"/>
                    </w:rPr>
                  </w:pPr>
                  <w:r>
                    <w:rPr>
                      <w:rFonts w:hint="eastAsia"/>
                      <w:color w:val="auto"/>
                      <w:lang w:val="en-US" w:eastAsia="zh-CN"/>
                    </w:rPr>
                    <w:t>方位</w:t>
                  </w:r>
                </w:p>
              </w:tc>
              <w:tc>
                <w:tcPr>
                  <w:tcW w:w="1296" w:type="dxa"/>
                  <w:tcBorders>
                    <w:left w:val="single" w:color="auto" w:sz="4" w:space="0"/>
                    <w:right w:val="single" w:color="auto" w:sz="4" w:space="0"/>
                  </w:tcBorders>
                  <w:textDirection w:val="lrTb"/>
                  <w:vAlign w:val="center"/>
                </w:tcPr>
                <w:p>
                  <w:pPr>
                    <w:jc w:val="center"/>
                    <w:rPr>
                      <w:rFonts w:hint="default"/>
                      <w:color w:val="auto"/>
                      <w:lang w:val="en-US" w:eastAsia="zh-CN"/>
                    </w:rPr>
                  </w:pPr>
                  <w:r>
                    <w:rPr>
                      <w:rFonts w:hint="default"/>
                      <w:color w:val="auto"/>
                      <w:lang w:val="en-US" w:eastAsia="zh-CN"/>
                    </w:rPr>
                    <w:t>相对距离</w:t>
                  </w:r>
                </w:p>
              </w:tc>
              <w:tc>
                <w:tcPr>
                  <w:tcW w:w="2534" w:type="dxa"/>
                  <w:tcBorders>
                    <w:left w:val="single" w:color="auto" w:sz="4" w:space="0"/>
                  </w:tcBorders>
                  <w:vAlign w:val="center"/>
                </w:tcPr>
                <w:p>
                  <w:pPr>
                    <w:jc w:val="center"/>
                    <w:rPr>
                      <w:rFonts w:hint="default"/>
                      <w:color w:val="auto"/>
                      <w:lang w:val="en-US" w:eastAsia="zh-CN"/>
                    </w:rPr>
                  </w:pPr>
                  <w:r>
                    <w:rPr>
                      <w:rFonts w:hint="default"/>
                      <w:color w:val="auto"/>
                      <w:lang w:val="en-US" w:eastAsia="zh-CN"/>
                    </w:rPr>
                    <w:t>保护级别</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6" w:hRule="atLeast"/>
                <w:jc w:val="center"/>
              </w:trPr>
              <w:tc>
                <w:tcPr>
                  <w:tcW w:w="1172" w:type="dxa"/>
                  <w:vMerge w:val="restart"/>
                  <w:vAlign w:val="center"/>
                </w:tcPr>
                <w:p>
                  <w:pPr>
                    <w:jc w:val="center"/>
                    <w:rPr>
                      <w:rFonts w:hint="default"/>
                      <w:color w:val="auto"/>
                      <w:lang w:val="en-US" w:eastAsia="zh-CN"/>
                    </w:rPr>
                  </w:pPr>
                  <w:r>
                    <w:rPr>
                      <w:rFonts w:hint="default"/>
                      <w:color w:val="auto"/>
                      <w:lang w:val="en-US" w:eastAsia="zh-CN"/>
                    </w:rPr>
                    <w:t>环境空气</w:t>
                  </w:r>
                </w:p>
              </w:tc>
              <w:tc>
                <w:tcPr>
                  <w:tcW w:w="1705" w:type="dxa"/>
                  <w:tcBorders>
                    <w:right w:val="single" w:color="auto" w:sz="4" w:space="0"/>
                  </w:tcBorders>
                  <w:vAlign w:val="center"/>
                </w:tcPr>
                <w:p>
                  <w:pPr>
                    <w:jc w:val="center"/>
                    <w:rPr>
                      <w:rFonts w:hint="default"/>
                      <w:color w:val="auto"/>
                      <w:lang w:val="en-US" w:eastAsia="zh-CN"/>
                    </w:rPr>
                  </w:pPr>
                  <w:r>
                    <w:rPr>
                      <w:rFonts w:hint="eastAsia"/>
                      <w:color w:val="auto"/>
                      <w:lang w:val="en-US" w:eastAsia="zh-CN"/>
                    </w:rPr>
                    <w:t>天缘嘉和小区</w:t>
                  </w:r>
                </w:p>
              </w:tc>
              <w:tc>
                <w:tcPr>
                  <w:tcW w:w="1193" w:type="dxa"/>
                  <w:tcBorders>
                    <w:right w:val="single" w:color="auto" w:sz="4" w:space="0"/>
                  </w:tcBorders>
                  <w:vAlign w:val="center"/>
                </w:tcPr>
                <w:p>
                  <w:pPr>
                    <w:jc w:val="center"/>
                    <w:rPr>
                      <w:rFonts w:hint="default"/>
                      <w:color w:val="auto"/>
                      <w:lang w:val="en-US" w:eastAsia="zh-CN"/>
                    </w:rPr>
                  </w:pPr>
                  <w:r>
                    <w:rPr>
                      <w:rFonts w:hint="eastAsia"/>
                      <w:color w:val="auto"/>
                      <w:lang w:val="en-US" w:eastAsia="zh-CN"/>
                    </w:rPr>
                    <w:t>东南侧</w:t>
                  </w:r>
                </w:p>
              </w:tc>
              <w:tc>
                <w:tcPr>
                  <w:tcW w:w="1296" w:type="dxa"/>
                  <w:tcBorders>
                    <w:left w:val="single" w:color="auto" w:sz="4" w:space="0"/>
                    <w:right w:val="single" w:color="auto" w:sz="4" w:space="0"/>
                  </w:tcBorders>
                  <w:textDirection w:val="lrTb"/>
                  <w:vAlign w:val="center"/>
                </w:tcPr>
                <w:p>
                  <w:pPr>
                    <w:jc w:val="center"/>
                    <w:rPr>
                      <w:rFonts w:hint="eastAsia"/>
                      <w:color w:val="auto"/>
                      <w:lang w:val="en-US" w:eastAsia="zh-CN"/>
                    </w:rPr>
                  </w:pPr>
                  <w:r>
                    <w:rPr>
                      <w:rFonts w:hint="eastAsia"/>
                      <w:color w:val="auto"/>
                      <w:lang w:val="en-US" w:eastAsia="zh-CN"/>
                    </w:rPr>
                    <w:t>310m</w:t>
                  </w:r>
                </w:p>
              </w:tc>
              <w:tc>
                <w:tcPr>
                  <w:tcW w:w="2534" w:type="dxa"/>
                  <w:vMerge w:val="restart"/>
                  <w:tcBorders>
                    <w:left w:val="single" w:color="auto" w:sz="4" w:space="0"/>
                  </w:tcBorders>
                  <w:vAlign w:val="center"/>
                </w:tcPr>
                <w:p>
                  <w:pPr>
                    <w:jc w:val="center"/>
                    <w:rPr>
                      <w:rFonts w:hint="default"/>
                      <w:color w:val="auto"/>
                      <w:lang w:val="en-US" w:eastAsia="zh-CN"/>
                    </w:rPr>
                  </w:pPr>
                  <w:r>
                    <w:rPr>
                      <w:rFonts w:hint="default"/>
                      <w:color w:val="auto"/>
                      <w:lang w:val="en-US" w:eastAsia="zh-CN"/>
                    </w:rPr>
                    <w:t>《环境空气质量标准》（GB3095-2012）中的二级标准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6" w:hRule="atLeast"/>
                <w:jc w:val="center"/>
              </w:trPr>
              <w:tc>
                <w:tcPr>
                  <w:tcW w:w="1172" w:type="dxa"/>
                  <w:vMerge w:val="continue"/>
                  <w:vAlign w:val="center"/>
                </w:tcPr>
                <w:p>
                  <w:pPr>
                    <w:jc w:val="center"/>
                    <w:rPr>
                      <w:rFonts w:hint="default"/>
                      <w:color w:val="auto"/>
                      <w:lang w:val="en-US" w:eastAsia="zh-CN"/>
                    </w:rPr>
                  </w:pPr>
                </w:p>
              </w:tc>
              <w:tc>
                <w:tcPr>
                  <w:tcW w:w="1705" w:type="dxa"/>
                  <w:tcBorders>
                    <w:right w:val="single" w:color="auto" w:sz="4" w:space="0"/>
                  </w:tcBorders>
                  <w:vAlign w:val="center"/>
                </w:tcPr>
                <w:p>
                  <w:pPr>
                    <w:jc w:val="center"/>
                    <w:rPr>
                      <w:rFonts w:hint="default"/>
                      <w:color w:val="auto"/>
                      <w:lang w:val="en-US" w:eastAsia="zh-CN"/>
                    </w:rPr>
                  </w:pPr>
                  <w:r>
                    <w:rPr>
                      <w:rFonts w:hint="eastAsia"/>
                      <w:color w:val="auto"/>
                      <w:lang w:val="en-US" w:eastAsia="zh-CN"/>
                    </w:rPr>
                    <w:t>中山路北沟一村卫生室</w:t>
                  </w:r>
                </w:p>
              </w:tc>
              <w:tc>
                <w:tcPr>
                  <w:tcW w:w="1193" w:type="dxa"/>
                  <w:tcBorders>
                    <w:right w:val="single" w:color="auto" w:sz="4" w:space="0"/>
                  </w:tcBorders>
                  <w:vAlign w:val="center"/>
                </w:tcPr>
                <w:p>
                  <w:pPr>
                    <w:jc w:val="center"/>
                    <w:rPr>
                      <w:rFonts w:hint="default"/>
                      <w:color w:val="auto"/>
                      <w:lang w:val="en-US" w:eastAsia="zh-CN"/>
                    </w:rPr>
                  </w:pPr>
                  <w:r>
                    <w:rPr>
                      <w:rFonts w:hint="eastAsia"/>
                      <w:color w:val="auto"/>
                      <w:lang w:val="en-US" w:eastAsia="zh-CN"/>
                    </w:rPr>
                    <w:t>西南侧</w:t>
                  </w:r>
                </w:p>
              </w:tc>
              <w:tc>
                <w:tcPr>
                  <w:tcW w:w="1296" w:type="dxa"/>
                  <w:tcBorders>
                    <w:left w:val="single" w:color="auto" w:sz="4" w:space="0"/>
                    <w:right w:val="single" w:color="auto" w:sz="4" w:space="0"/>
                  </w:tcBorders>
                  <w:textDirection w:val="lrTb"/>
                  <w:vAlign w:val="center"/>
                </w:tcPr>
                <w:p>
                  <w:pPr>
                    <w:jc w:val="center"/>
                    <w:rPr>
                      <w:rFonts w:hint="eastAsia"/>
                      <w:color w:val="auto"/>
                      <w:lang w:val="en-US" w:eastAsia="zh-CN"/>
                    </w:rPr>
                  </w:pPr>
                  <w:r>
                    <w:rPr>
                      <w:rFonts w:hint="eastAsia"/>
                      <w:color w:val="auto"/>
                      <w:lang w:val="en-US" w:eastAsia="zh-CN"/>
                    </w:rPr>
                    <w:t>90m</w:t>
                  </w:r>
                </w:p>
              </w:tc>
              <w:tc>
                <w:tcPr>
                  <w:tcW w:w="2534" w:type="dxa"/>
                  <w:vMerge w:val="continue"/>
                  <w:tcBorders>
                    <w:left w:val="single" w:color="auto" w:sz="4" w:space="0"/>
                  </w:tcBorders>
                  <w:vAlign w:val="center"/>
                </w:tcPr>
                <w:p>
                  <w:pPr>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6" w:hRule="atLeast"/>
                <w:jc w:val="center"/>
              </w:trPr>
              <w:tc>
                <w:tcPr>
                  <w:tcW w:w="1172" w:type="dxa"/>
                  <w:vMerge w:val="continue"/>
                  <w:vAlign w:val="center"/>
                </w:tcPr>
                <w:p>
                  <w:pPr>
                    <w:jc w:val="center"/>
                    <w:rPr>
                      <w:rFonts w:hint="default"/>
                      <w:color w:val="auto"/>
                      <w:lang w:val="en-US" w:eastAsia="zh-CN"/>
                    </w:rPr>
                  </w:pPr>
                </w:p>
              </w:tc>
              <w:tc>
                <w:tcPr>
                  <w:tcW w:w="1705" w:type="dxa"/>
                  <w:tcBorders>
                    <w:right w:val="single" w:color="auto" w:sz="4" w:space="0"/>
                  </w:tcBorders>
                  <w:vAlign w:val="center"/>
                </w:tcPr>
                <w:p>
                  <w:pPr>
                    <w:jc w:val="center"/>
                    <w:rPr>
                      <w:rFonts w:hint="default"/>
                      <w:color w:val="auto"/>
                      <w:lang w:val="en-US" w:eastAsia="zh-CN"/>
                    </w:rPr>
                  </w:pPr>
                  <w:r>
                    <w:rPr>
                      <w:rFonts w:hint="eastAsia" w:ascii="宋体" w:hAnsi="宋体" w:eastAsia="宋体" w:cs="宋体"/>
                      <w:color w:val="auto"/>
                      <w:sz w:val="21"/>
                      <w:szCs w:val="21"/>
                      <w:u w:val="none"/>
                      <w:lang w:val="en-US" w:eastAsia="zh-CN"/>
                    </w:rPr>
                    <w:t>华电小</w:t>
                  </w:r>
                  <w:r>
                    <w:rPr>
                      <w:rFonts w:hint="eastAsia" w:ascii="宋体" w:hAnsi="宋体" w:eastAsia="宋体" w:cs="宋体"/>
                      <w:color w:val="auto"/>
                      <w:sz w:val="21"/>
                      <w:szCs w:val="21"/>
                      <w:u w:val="none"/>
                    </w:rPr>
                    <w:t>区</w:t>
                  </w:r>
                </w:p>
              </w:tc>
              <w:tc>
                <w:tcPr>
                  <w:tcW w:w="1193" w:type="dxa"/>
                  <w:tcBorders>
                    <w:right w:val="single" w:color="auto" w:sz="4" w:space="0"/>
                  </w:tcBorders>
                  <w:vAlign w:val="center"/>
                </w:tcPr>
                <w:p>
                  <w:pPr>
                    <w:jc w:val="center"/>
                    <w:rPr>
                      <w:rFonts w:hint="default"/>
                      <w:color w:val="auto"/>
                      <w:lang w:val="en-US" w:eastAsia="zh-CN"/>
                    </w:rPr>
                  </w:pPr>
                  <w:r>
                    <w:rPr>
                      <w:rFonts w:hint="eastAsia"/>
                      <w:color w:val="auto"/>
                      <w:lang w:val="en-US" w:eastAsia="zh-CN"/>
                    </w:rPr>
                    <w:t>东侧</w:t>
                  </w:r>
                </w:p>
              </w:tc>
              <w:tc>
                <w:tcPr>
                  <w:tcW w:w="1296" w:type="dxa"/>
                  <w:tcBorders>
                    <w:left w:val="single" w:color="auto" w:sz="4" w:space="0"/>
                    <w:right w:val="single" w:color="auto" w:sz="4" w:space="0"/>
                  </w:tcBorders>
                  <w:textDirection w:val="lrTb"/>
                  <w:vAlign w:val="center"/>
                </w:tcPr>
                <w:p>
                  <w:pPr>
                    <w:jc w:val="center"/>
                    <w:rPr>
                      <w:rFonts w:hint="eastAsia"/>
                      <w:color w:val="auto"/>
                      <w:lang w:val="en-US" w:eastAsia="zh-CN"/>
                    </w:rPr>
                  </w:pPr>
                  <w:r>
                    <w:rPr>
                      <w:rFonts w:hint="eastAsia"/>
                      <w:color w:val="auto"/>
                      <w:lang w:val="en-US" w:eastAsia="zh-CN"/>
                    </w:rPr>
                    <w:t>380m</w:t>
                  </w:r>
                </w:p>
              </w:tc>
              <w:tc>
                <w:tcPr>
                  <w:tcW w:w="2534" w:type="dxa"/>
                  <w:vMerge w:val="continue"/>
                  <w:tcBorders>
                    <w:left w:val="single" w:color="auto" w:sz="4" w:space="0"/>
                  </w:tcBorders>
                  <w:vAlign w:val="center"/>
                </w:tcPr>
                <w:p>
                  <w:pPr>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76" w:hRule="atLeast"/>
                <w:jc w:val="center"/>
              </w:trPr>
              <w:tc>
                <w:tcPr>
                  <w:tcW w:w="1172" w:type="dxa"/>
                  <w:vMerge w:val="continue"/>
                  <w:vAlign w:val="center"/>
                </w:tcPr>
                <w:p>
                  <w:pPr>
                    <w:jc w:val="center"/>
                    <w:rPr>
                      <w:rFonts w:hint="default"/>
                      <w:color w:val="auto"/>
                      <w:lang w:val="en-US" w:eastAsia="zh-CN"/>
                    </w:rPr>
                  </w:pPr>
                </w:p>
              </w:tc>
              <w:tc>
                <w:tcPr>
                  <w:tcW w:w="1705" w:type="dxa"/>
                  <w:tcBorders>
                    <w:right w:val="single" w:color="auto" w:sz="4" w:space="0"/>
                  </w:tcBorders>
                  <w:vAlign w:val="center"/>
                </w:tcPr>
                <w:p>
                  <w:pPr>
                    <w:jc w:val="center"/>
                    <w:rPr>
                      <w:rFonts w:hint="default"/>
                      <w:color w:val="auto"/>
                      <w:lang w:val="en-US" w:eastAsia="zh-CN"/>
                    </w:rPr>
                  </w:pPr>
                  <w:r>
                    <w:rPr>
                      <w:rFonts w:hint="eastAsia" w:ascii="宋体" w:hAnsi="宋体" w:eastAsia="宋体" w:cs="宋体"/>
                      <w:color w:val="auto"/>
                      <w:sz w:val="21"/>
                      <w:szCs w:val="21"/>
                      <w:u w:val="none"/>
                    </w:rPr>
                    <w:t>丁香园</w:t>
                  </w:r>
                  <w:r>
                    <w:rPr>
                      <w:rFonts w:hint="eastAsia" w:ascii="宋体" w:hAnsi="宋体" w:eastAsia="宋体" w:cs="宋体"/>
                      <w:color w:val="auto"/>
                      <w:sz w:val="21"/>
                      <w:szCs w:val="21"/>
                      <w:u w:val="none"/>
                      <w:lang w:val="en-US" w:eastAsia="zh-CN"/>
                    </w:rPr>
                    <w:t>东</w:t>
                  </w:r>
                  <w:r>
                    <w:rPr>
                      <w:rFonts w:hint="eastAsia" w:ascii="宋体" w:hAnsi="宋体" w:eastAsia="宋体" w:cs="宋体"/>
                      <w:color w:val="auto"/>
                      <w:sz w:val="21"/>
                      <w:szCs w:val="21"/>
                      <w:u w:val="none"/>
                    </w:rPr>
                    <w:t>区</w:t>
                  </w:r>
                </w:p>
              </w:tc>
              <w:tc>
                <w:tcPr>
                  <w:tcW w:w="1193" w:type="dxa"/>
                  <w:tcBorders>
                    <w:right w:val="single" w:color="auto" w:sz="4" w:space="0"/>
                  </w:tcBorders>
                  <w:vAlign w:val="center"/>
                </w:tcPr>
                <w:p>
                  <w:pPr>
                    <w:jc w:val="center"/>
                    <w:rPr>
                      <w:rFonts w:hint="default"/>
                      <w:color w:val="auto"/>
                      <w:lang w:val="en-US" w:eastAsia="zh-CN"/>
                    </w:rPr>
                  </w:pPr>
                  <w:r>
                    <w:rPr>
                      <w:rFonts w:hint="eastAsia"/>
                      <w:color w:val="auto"/>
                      <w:lang w:val="en-US" w:eastAsia="zh-CN"/>
                    </w:rPr>
                    <w:t>南侧</w:t>
                  </w:r>
                </w:p>
              </w:tc>
              <w:tc>
                <w:tcPr>
                  <w:tcW w:w="1296" w:type="dxa"/>
                  <w:tcBorders>
                    <w:left w:val="single" w:color="auto" w:sz="4" w:space="0"/>
                    <w:right w:val="single" w:color="auto" w:sz="4" w:space="0"/>
                  </w:tcBorders>
                  <w:textDirection w:val="lrTb"/>
                  <w:vAlign w:val="center"/>
                </w:tcPr>
                <w:p>
                  <w:pPr>
                    <w:jc w:val="center"/>
                    <w:rPr>
                      <w:rFonts w:hint="eastAsia"/>
                      <w:color w:val="auto"/>
                      <w:lang w:val="en-US" w:eastAsia="zh-CN"/>
                    </w:rPr>
                  </w:pPr>
                  <w:r>
                    <w:rPr>
                      <w:rFonts w:hint="eastAsia"/>
                      <w:color w:val="auto"/>
                      <w:lang w:val="en-US" w:eastAsia="zh-CN"/>
                    </w:rPr>
                    <w:t>280</w:t>
                  </w:r>
                  <w:r>
                    <w:rPr>
                      <w:rFonts w:hint="default"/>
                      <w:color w:val="auto"/>
                      <w:lang w:val="en-US" w:eastAsia="zh-CN"/>
                    </w:rPr>
                    <w:t>m</w:t>
                  </w:r>
                </w:p>
              </w:tc>
              <w:tc>
                <w:tcPr>
                  <w:tcW w:w="2534" w:type="dxa"/>
                  <w:vMerge w:val="continue"/>
                  <w:tcBorders>
                    <w:left w:val="single" w:color="auto" w:sz="4" w:space="0"/>
                  </w:tcBorders>
                  <w:vAlign w:val="center"/>
                </w:tcPr>
                <w:p>
                  <w:pPr>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jc w:val="center"/>
              </w:trPr>
              <w:tc>
                <w:tcPr>
                  <w:tcW w:w="1172" w:type="dxa"/>
                  <w:vMerge w:val="continue"/>
                  <w:vAlign w:val="center"/>
                </w:tcPr>
                <w:p>
                  <w:pPr>
                    <w:jc w:val="center"/>
                    <w:rPr>
                      <w:rFonts w:hint="default"/>
                      <w:color w:val="auto"/>
                      <w:lang w:val="en-US" w:eastAsia="zh-CN"/>
                    </w:rPr>
                  </w:pPr>
                </w:p>
              </w:tc>
              <w:tc>
                <w:tcPr>
                  <w:tcW w:w="1705" w:type="dxa"/>
                  <w:tcBorders>
                    <w:right w:val="single" w:color="auto" w:sz="4" w:space="0"/>
                  </w:tcBorders>
                  <w:vAlign w:val="center"/>
                </w:tcPr>
                <w:p>
                  <w:pPr>
                    <w:jc w:val="center"/>
                    <w:rPr>
                      <w:rFonts w:hint="default"/>
                      <w:color w:val="auto"/>
                      <w:lang w:val="en-US" w:eastAsia="zh-CN"/>
                    </w:rPr>
                  </w:pPr>
                  <w:r>
                    <w:rPr>
                      <w:rFonts w:hint="eastAsia"/>
                      <w:color w:val="auto"/>
                      <w:lang w:val="en-US" w:eastAsia="zh-CN"/>
                    </w:rPr>
                    <w:t>昌盛花园</w:t>
                  </w:r>
                </w:p>
              </w:tc>
              <w:tc>
                <w:tcPr>
                  <w:tcW w:w="1193" w:type="dxa"/>
                  <w:tcBorders>
                    <w:right w:val="single" w:color="auto" w:sz="4" w:space="0"/>
                  </w:tcBorders>
                  <w:vAlign w:val="center"/>
                </w:tcPr>
                <w:p>
                  <w:pPr>
                    <w:jc w:val="center"/>
                    <w:rPr>
                      <w:rFonts w:hint="default"/>
                      <w:color w:val="auto"/>
                      <w:lang w:val="en-US" w:eastAsia="zh-CN"/>
                    </w:rPr>
                  </w:pPr>
                  <w:r>
                    <w:rPr>
                      <w:rFonts w:hint="eastAsia"/>
                      <w:color w:val="auto"/>
                      <w:lang w:val="en-US" w:eastAsia="zh-CN"/>
                    </w:rPr>
                    <w:t>西侧</w:t>
                  </w:r>
                </w:p>
              </w:tc>
              <w:tc>
                <w:tcPr>
                  <w:tcW w:w="1296" w:type="dxa"/>
                  <w:tcBorders>
                    <w:left w:val="single" w:color="auto" w:sz="4" w:space="0"/>
                    <w:right w:val="single" w:color="auto" w:sz="4" w:space="0"/>
                  </w:tcBorders>
                  <w:textDirection w:val="lrTb"/>
                  <w:vAlign w:val="center"/>
                </w:tcPr>
                <w:p>
                  <w:pPr>
                    <w:jc w:val="center"/>
                    <w:rPr>
                      <w:rFonts w:hint="eastAsia"/>
                      <w:color w:val="auto"/>
                      <w:lang w:val="en-US" w:eastAsia="zh-CN"/>
                    </w:rPr>
                  </w:pPr>
                  <w:r>
                    <w:rPr>
                      <w:rFonts w:hint="eastAsia"/>
                      <w:color w:val="auto"/>
                      <w:lang w:val="en-US" w:eastAsia="zh-CN"/>
                    </w:rPr>
                    <w:t>430</w:t>
                  </w:r>
                  <w:r>
                    <w:rPr>
                      <w:rFonts w:hint="default"/>
                      <w:color w:val="auto"/>
                      <w:lang w:val="en-US" w:eastAsia="zh-CN"/>
                    </w:rPr>
                    <w:t>m</w:t>
                  </w:r>
                </w:p>
              </w:tc>
              <w:tc>
                <w:tcPr>
                  <w:tcW w:w="2534" w:type="dxa"/>
                  <w:vMerge w:val="continue"/>
                  <w:tcBorders>
                    <w:left w:val="single" w:color="auto" w:sz="4" w:space="0"/>
                  </w:tcBorders>
                  <w:vAlign w:val="center"/>
                </w:tcPr>
                <w:p>
                  <w:pPr>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jc w:val="center"/>
              </w:trPr>
              <w:tc>
                <w:tcPr>
                  <w:tcW w:w="1172" w:type="dxa"/>
                  <w:vMerge w:val="continue"/>
                  <w:vAlign w:val="center"/>
                </w:tcPr>
                <w:p>
                  <w:pPr>
                    <w:jc w:val="center"/>
                    <w:rPr>
                      <w:rFonts w:hint="default"/>
                      <w:color w:val="auto"/>
                      <w:lang w:val="en-US" w:eastAsia="zh-CN"/>
                    </w:rPr>
                  </w:pPr>
                </w:p>
              </w:tc>
              <w:tc>
                <w:tcPr>
                  <w:tcW w:w="1705" w:type="dxa"/>
                  <w:tcBorders>
                    <w:right w:val="single" w:color="auto" w:sz="4" w:space="0"/>
                  </w:tcBorders>
                  <w:vAlign w:val="center"/>
                </w:tcPr>
                <w:p>
                  <w:pPr>
                    <w:jc w:val="center"/>
                    <w:rPr>
                      <w:rFonts w:hint="eastAsia"/>
                      <w:color w:val="auto"/>
                      <w:lang w:val="en-US" w:eastAsia="zh-CN"/>
                    </w:rPr>
                  </w:pPr>
                  <w:r>
                    <w:rPr>
                      <w:rFonts w:hint="eastAsia"/>
                      <w:color w:val="auto"/>
                      <w:lang w:val="en-US" w:eastAsia="zh-CN"/>
                    </w:rPr>
                    <w:t>宜化绿洲新城</w:t>
                  </w:r>
                </w:p>
              </w:tc>
              <w:tc>
                <w:tcPr>
                  <w:tcW w:w="1193" w:type="dxa"/>
                  <w:tcBorders>
                    <w:right w:val="single" w:color="auto" w:sz="4" w:space="0"/>
                  </w:tcBorders>
                  <w:vAlign w:val="center"/>
                </w:tcPr>
                <w:p>
                  <w:pPr>
                    <w:jc w:val="center"/>
                    <w:rPr>
                      <w:rFonts w:hint="eastAsia"/>
                      <w:color w:val="auto"/>
                      <w:lang w:val="en-US" w:eastAsia="zh-CN"/>
                    </w:rPr>
                  </w:pPr>
                  <w:r>
                    <w:rPr>
                      <w:rFonts w:hint="eastAsia"/>
                      <w:color w:val="auto"/>
                      <w:lang w:val="en-US" w:eastAsia="zh-CN"/>
                    </w:rPr>
                    <w:t>东北</w:t>
                  </w:r>
                  <w:r>
                    <w:rPr>
                      <w:rFonts w:hint="default"/>
                      <w:color w:val="auto"/>
                      <w:lang w:val="en-US" w:eastAsia="zh-CN"/>
                    </w:rPr>
                    <w:t>侧</w:t>
                  </w:r>
                </w:p>
              </w:tc>
              <w:tc>
                <w:tcPr>
                  <w:tcW w:w="1296" w:type="dxa"/>
                  <w:tcBorders>
                    <w:left w:val="single" w:color="auto" w:sz="4" w:space="0"/>
                    <w:right w:val="single" w:color="auto" w:sz="4" w:space="0"/>
                  </w:tcBorders>
                  <w:textDirection w:val="lrTb"/>
                  <w:vAlign w:val="center"/>
                </w:tcPr>
                <w:p>
                  <w:pPr>
                    <w:jc w:val="center"/>
                    <w:rPr>
                      <w:rFonts w:hint="eastAsia"/>
                      <w:color w:val="auto"/>
                      <w:lang w:val="en-US" w:eastAsia="zh-CN"/>
                    </w:rPr>
                  </w:pPr>
                  <w:r>
                    <w:rPr>
                      <w:rFonts w:hint="eastAsia"/>
                      <w:color w:val="auto"/>
                      <w:lang w:val="en-US" w:eastAsia="zh-CN"/>
                    </w:rPr>
                    <w:t>16</w:t>
                  </w:r>
                  <w:r>
                    <w:rPr>
                      <w:rFonts w:hint="default"/>
                      <w:color w:val="auto"/>
                      <w:lang w:val="en-US" w:eastAsia="zh-CN"/>
                    </w:rPr>
                    <w:t>0m</w:t>
                  </w:r>
                </w:p>
              </w:tc>
              <w:tc>
                <w:tcPr>
                  <w:tcW w:w="2534" w:type="dxa"/>
                  <w:vMerge w:val="continue"/>
                  <w:tcBorders>
                    <w:left w:val="single" w:color="auto" w:sz="4" w:space="0"/>
                  </w:tcBorders>
                  <w:vAlign w:val="center"/>
                </w:tcPr>
                <w:p>
                  <w:pPr>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jc w:val="center"/>
              </w:trPr>
              <w:tc>
                <w:tcPr>
                  <w:tcW w:w="1172" w:type="dxa"/>
                  <w:vMerge w:val="continue"/>
                  <w:tcBorders>
                    <w:bottom w:val="single" w:color="auto" w:sz="4" w:space="0"/>
                  </w:tcBorders>
                  <w:vAlign w:val="center"/>
                </w:tcPr>
                <w:p>
                  <w:pPr>
                    <w:jc w:val="center"/>
                    <w:rPr>
                      <w:rFonts w:hint="default"/>
                      <w:color w:val="auto"/>
                      <w:lang w:val="en-US" w:eastAsia="zh-CN"/>
                    </w:rPr>
                  </w:pPr>
                </w:p>
              </w:tc>
              <w:tc>
                <w:tcPr>
                  <w:tcW w:w="1705" w:type="dxa"/>
                  <w:tcBorders>
                    <w:bottom w:val="single" w:color="auto" w:sz="4" w:space="0"/>
                    <w:right w:val="single" w:color="auto" w:sz="4" w:space="0"/>
                  </w:tcBorders>
                  <w:vAlign w:val="center"/>
                </w:tcPr>
                <w:p>
                  <w:pPr>
                    <w:jc w:val="center"/>
                    <w:rPr>
                      <w:rFonts w:hint="default"/>
                      <w:color w:val="auto"/>
                      <w:lang w:val="en-US" w:eastAsia="zh-CN"/>
                    </w:rPr>
                  </w:pPr>
                  <w:r>
                    <w:rPr>
                      <w:rFonts w:hint="eastAsia"/>
                      <w:color w:val="auto"/>
                      <w:lang w:val="en-US" w:eastAsia="zh-CN"/>
                    </w:rPr>
                    <w:t>昌吉市广电局</w:t>
                  </w:r>
                </w:p>
              </w:tc>
              <w:tc>
                <w:tcPr>
                  <w:tcW w:w="1193" w:type="dxa"/>
                  <w:tcBorders>
                    <w:bottom w:val="single" w:color="auto" w:sz="4" w:space="0"/>
                    <w:right w:val="single" w:color="auto" w:sz="4" w:space="0"/>
                  </w:tcBorders>
                  <w:vAlign w:val="center"/>
                </w:tcPr>
                <w:p>
                  <w:pPr>
                    <w:jc w:val="center"/>
                    <w:rPr>
                      <w:rFonts w:hint="default"/>
                      <w:color w:val="auto"/>
                      <w:lang w:val="en-US" w:eastAsia="zh-CN"/>
                    </w:rPr>
                  </w:pPr>
                  <w:r>
                    <w:rPr>
                      <w:rFonts w:hint="eastAsia"/>
                      <w:color w:val="auto"/>
                      <w:lang w:val="en-US" w:eastAsia="zh-CN"/>
                    </w:rPr>
                    <w:t>西侧</w:t>
                  </w:r>
                </w:p>
              </w:tc>
              <w:tc>
                <w:tcPr>
                  <w:tcW w:w="1296" w:type="dxa"/>
                  <w:tcBorders>
                    <w:left w:val="single" w:color="auto" w:sz="4" w:space="0"/>
                    <w:bottom w:val="single" w:color="auto" w:sz="4" w:space="0"/>
                    <w:right w:val="single" w:color="auto" w:sz="4" w:space="0"/>
                  </w:tcBorders>
                  <w:textDirection w:val="lrTb"/>
                  <w:vAlign w:val="center"/>
                </w:tcPr>
                <w:p>
                  <w:pPr>
                    <w:jc w:val="center"/>
                    <w:rPr>
                      <w:rFonts w:hint="eastAsia"/>
                      <w:color w:val="auto"/>
                      <w:lang w:val="en-US" w:eastAsia="zh-CN"/>
                    </w:rPr>
                  </w:pPr>
                  <w:r>
                    <w:rPr>
                      <w:rFonts w:hint="eastAsia"/>
                      <w:color w:val="auto"/>
                      <w:lang w:val="en-US" w:eastAsia="zh-CN"/>
                    </w:rPr>
                    <w:t>490</w:t>
                  </w:r>
                </w:p>
              </w:tc>
              <w:tc>
                <w:tcPr>
                  <w:tcW w:w="2534" w:type="dxa"/>
                  <w:vMerge w:val="continue"/>
                  <w:tcBorders>
                    <w:left w:val="single" w:color="auto" w:sz="4" w:space="0"/>
                    <w:bottom w:val="single" w:color="auto" w:sz="4" w:space="0"/>
                  </w:tcBorders>
                  <w:vAlign w:val="center"/>
                </w:tcPr>
                <w:p>
                  <w:pPr>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73" w:hRule="atLeast"/>
                <w:jc w:val="center"/>
              </w:trPr>
              <w:tc>
                <w:tcPr>
                  <w:tcW w:w="1172" w:type="dxa"/>
                  <w:vAlign w:val="center"/>
                </w:tcPr>
                <w:p>
                  <w:pPr>
                    <w:jc w:val="center"/>
                    <w:rPr>
                      <w:rFonts w:hint="default"/>
                      <w:color w:val="auto"/>
                      <w:lang w:val="en-US" w:eastAsia="zh-CN"/>
                    </w:rPr>
                  </w:pPr>
                  <w:r>
                    <w:rPr>
                      <w:rFonts w:hint="default"/>
                      <w:color w:val="auto"/>
                      <w:lang w:val="en-US" w:eastAsia="zh-CN"/>
                    </w:rPr>
                    <w:t>声环境</w:t>
                  </w:r>
                </w:p>
              </w:tc>
              <w:tc>
                <w:tcPr>
                  <w:tcW w:w="1705" w:type="dxa"/>
                  <w:tcBorders>
                    <w:top w:val="single" w:color="auto" w:sz="4" w:space="0"/>
                    <w:right w:val="single" w:color="auto" w:sz="4" w:space="0"/>
                  </w:tcBorders>
                  <w:vAlign w:val="center"/>
                </w:tcPr>
                <w:p>
                  <w:pPr>
                    <w:jc w:val="center"/>
                    <w:rPr>
                      <w:rFonts w:hint="default"/>
                      <w:color w:val="auto"/>
                      <w:lang w:val="en-US" w:eastAsia="zh-CN"/>
                    </w:rPr>
                  </w:pPr>
                  <w:r>
                    <w:rPr>
                      <w:rFonts w:hint="eastAsia"/>
                      <w:color w:val="auto"/>
                      <w:lang w:val="en-US" w:eastAsia="zh-CN"/>
                    </w:rPr>
                    <w:t>1号楼、7号楼</w:t>
                  </w:r>
                </w:p>
              </w:tc>
              <w:tc>
                <w:tcPr>
                  <w:tcW w:w="2489" w:type="dxa"/>
                  <w:gridSpan w:val="2"/>
                  <w:tcBorders>
                    <w:right w:val="single" w:color="auto" w:sz="4" w:space="0"/>
                  </w:tcBorders>
                  <w:vAlign w:val="center"/>
                </w:tcPr>
                <w:p>
                  <w:pPr>
                    <w:jc w:val="center"/>
                    <w:rPr>
                      <w:rFonts w:hint="eastAsia"/>
                      <w:lang w:val="en-US" w:eastAsia="zh-CN"/>
                    </w:rPr>
                  </w:pPr>
                  <w:r>
                    <w:rPr>
                      <w:rFonts w:hint="eastAsia"/>
                      <w:lang w:val="en-US" w:eastAsia="zh-CN"/>
                    </w:rPr>
                    <w:t>项目区地上50m范围内</w:t>
                  </w:r>
                </w:p>
                <w:p>
                  <w:pPr>
                    <w:pStyle w:val="2"/>
                    <w:jc w:val="center"/>
                    <w:rPr>
                      <w:rFonts w:hint="default"/>
                      <w:lang w:val="en-US" w:eastAsia="zh-CN"/>
                    </w:rPr>
                  </w:pPr>
                  <w:r>
                    <w:rPr>
                      <w:rFonts w:hint="eastAsia"/>
                      <w:b w:val="0"/>
                      <w:bCs w:val="0"/>
                      <w:color w:val="FF0000"/>
                      <w:sz w:val="21"/>
                      <w:szCs w:val="21"/>
                      <w:lang w:val="en-US" w:eastAsia="zh-CN"/>
                    </w:rPr>
                    <w:t>（不在锅炉房正上方）</w:t>
                  </w:r>
                </w:p>
              </w:tc>
              <w:tc>
                <w:tcPr>
                  <w:tcW w:w="2534" w:type="dxa"/>
                  <w:tcBorders>
                    <w:left w:val="single" w:color="auto" w:sz="4" w:space="0"/>
                  </w:tcBorders>
                  <w:vAlign w:val="center"/>
                </w:tcPr>
                <w:p>
                  <w:pPr>
                    <w:jc w:val="center"/>
                    <w:rPr>
                      <w:rFonts w:hint="default"/>
                      <w:color w:val="auto"/>
                      <w:lang w:val="en-US" w:eastAsia="zh-CN"/>
                    </w:rPr>
                  </w:pPr>
                  <w:r>
                    <w:rPr>
                      <w:rFonts w:hint="default"/>
                      <w:color w:val="auto"/>
                      <w:lang w:val="en-US" w:eastAsia="zh-CN"/>
                    </w:rPr>
                    <w:t>《声环境质量标准》（GB3096-2008）中的2类标准</w:t>
                  </w:r>
                </w:p>
              </w:tc>
            </w:tr>
          </w:tbl>
          <w:p>
            <w:pPr>
              <w:pStyle w:val="8"/>
              <w:jc w:val="both"/>
              <w:rPr>
                <w:rFonts w:hint="eastAsia"/>
                <w:color w:val="auto"/>
                <w:lang w:val="en-US" w:eastAsia="zh-CN"/>
              </w:rPr>
            </w:pPr>
            <w:r>
              <w:rPr>
                <w:rFonts w:hint="eastAsia"/>
                <w:color w:val="auto"/>
                <w:lang w:val="en-US" w:eastAsia="zh-CN"/>
              </w:rPr>
              <w:t xml:space="preserve">     详见附图6敏感目标分布图。</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cs="Times New Roman"/>
                <w:color w:val="auto"/>
                <w:kern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cs="Times New Roman"/>
                <w:color w:val="auto"/>
                <w:kern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cs="Times New Roman"/>
                <w:color w:val="auto"/>
                <w:kern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cs="Times New Roman"/>
                <w:color w:val="auto"/>
                <w:kern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cs="Times New Roman"/>
                <w:color w:val="auto"/>
                <w:kern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imes New Roman" w:hAnsi="Times New Roman" w:cs="Times New Roman"/>
                <w:color w:val="auto"/>
                <w:kern w:val="0"/>
                <w:szCs w:val="21"/>
                <w:lang w:val="en-US" w:eastAsia="zh-CN"/>
              </w:rPr>
            </w:pPr>
          </w:p>
          <w:p>
            <w:pPr>
              <w:pStyle w:val="2"/>
              <w:rPr>
                <w:rFonts w:hint="eastAsia" w:ascii="Times New Roman" w:hAnsi="Times New Roman" w:cs="Times New Roman"/>
                <w:color w:val="auto"/>
                <w:kern w:val="0"/>
                <w:szCs w:val="21"/>
                <w:lang w:val="en-US" w:eastAsia="zh-CN"/>
              </w:rPr>
            </w:pPr>
          </w:p>
          <w:p>
            <w:pPr>
              <w:pStyle w:val="2"/>
              <w:rPr>
                <w:rFonts w:hint="eastAsia" w:ascii="Times New Roman" w:hAnsi="Times New Roman" w:cs="Times New Roman"/>
                <w:color w:val="auto"/>
                <w:kern w:val="0"/>
                <w:szCs w:val="21"/>
                <w:lang w:val="en-US" w:eastAsia="zh-CN"/>
              </w:rPr>
            </w:pPr>
          </w:p>
          <w:p>
            <w:pPr>
              <w:pStyle w:val="2"/>
              <w:rPr>
                <w:rFonts w:hint="eastAsia" w:ascii="Times New Roman" w:hAnsi="Times New Roman" w:cs="Times New Roman"/>
                <w:color w:val="auto"/>
                <w:kern w:val="0"/>
                <w:szCs w:val="21"/>
                <w:lang w:val="en-US" w:eastAsia="zh-CN"/>
              </w:rPr>
            </w:pPr>
          </w:p>
          <w:p>
            <w:pPr>
              <w:pStyle w:val="2"/>
              <w:rPr>
                <w:rFonts w:hint="eastAsia" w:ascii="Times New Roman" w:hAnsi="Times New Roman" w:cs="Times New Roman"/>
                <w:color w:val="auto"/>
                <w:kern w:val="0"/>
                <w:szCs w:val="21"/>
                <w:lang w:val="en-US" w:eastAsia="zh-CN"/>
              </w:rPr>
            </w:pPr>
          </w:p>
          <w:p>
            <w:pPr>
              <w:pStyle w:val="2"/>
              <w:rPr>
                <w:rFonts w:hint="eastAsia" w:ascii="Times New Roman" w:hAnsi="Times New Roman" w:cs="Times New Roman"/>
                <w:color w:val="auto"/>
                <w:kern w:val="0"/>
                <w:szCs w:val="21"/>
                <w:lang w:val="en-US" w:eastAsia="zh-CN"/>
              </w:rPr>
            </w:pPr>
          </w:p>
          <w:p>
            <w:pPr>
              <w:pStyle w:val="2"/>
              <w:rPr>
                <w:rFonts w:hint="eastAsia" w:ascii="Times New Roman" w:hAnsi="Times New Roman" w:cs="Times New Roman"/>
                <w:color w:val="auto"/>
                <w:kern w:val="0"/>
                <w:szCs w:val="21"/>
                <w:lang w:val="en-US" w:eastAsia="zh-CN"/>
              </w:rPr>
            </w:pPr>
          </w:p>
          <w:p>
            <w:pPr>
              <w:pStyle w:val="2"/>
              <w:rPr>
                <w:rFonts w:hint="eastAsia" w:ascii="Times New Roman" w:hAnsi="Times New Roman" w:cs="Times New Roman"/>
                <w:color w:val="auto"/>
                <w:kern w:val="0"/>
                <w:szCs w:val="21"/>
                <w:lang w:val="en-US" w:eastAsia="zh-CN"/>
              </w:rPr>
            </w:pPr>
          </w:p>
          <w:p>
            <w:pPr>
              <w:pStyle w:val="2"/>
              <w:rPr>
                <w:rFonts w:hint="eastAsia" w:ascii="Times New Roman" w:hAnsi="Times New Roman" w:cs="Times New Roman"/>
                <w:color w:val="auto"/>
                <w:kern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default" w:ascii="Times New Roman" w:hAnsi="Times New Roman" w:cs="Times New Roman"/>
                <w:color w:val="auto"/>
                <w:kern w:val="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27" w:hRule="atLeast"/>
          <w:jc w:val="center"/>
        </w:trPr>
        <w:tc>
          <w:tcPr>
            <w:tcW w:w="800" w:type="dxa"/>
            <w:tcMar>
              <w:left w:w="28" w:type="dxa"/>
              <w:right w:w="28" w:type="dxa"/>
            </w:tcMar>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污染</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物排</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放控</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制标</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准</w:t>
            </w:r>
          </w:p>
        </w:tc>
        <w:tc>
          <w:tcPr>
            <w:tcW w:w="8190" w:type="dxa"/>
            <w:vAlign w:val="center"/>
          </w:tcPr>
          <w:p>
            <w:pPr>
              <w:pStyle w:val="13"/>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color w:val="auto"/>
              </w:rPr>
            </w:pPr>
            <w:r>
              <w:rPr>
                <w:rFonts w:hint="eastAsia"/>
                <w:color w:val="auto"/>
                <w:lang w:val="en-US" w:eastAsia="zh-CN"/>
              </w:rPr>
              <w:t>1、根据《</w:t>
            </w:r>
            <w:r>
              <w:rPr>
                <w:rFonts w:hint="default"/>
                <w:color w:val="auto"/>
                <w:lang w:val="en-US" w:eastAsia="zh-CN"/>
              </w:rPr>
              <w:t>关于重点区域执行大气污染物特别排放限值的公告</w:t>
            </w:r>
            <w:r>
              <w:rPr>
                <w:rFonts w:hint="eastAsia"/>
                <w:color w:val="auto"/>
                <w:lang w:val="en-US" w:eastAsia="zh-CN"/>
              </w:rPr>
              <w:t>》</w:t>
            </w:r>
            <w:r>
              <w:rPr>
                <w:rFonts w:hint="default"/>
                <w:color w:val="auto"/>
                <w:lang w:val="en-US" w:eastAsia="zh-CN"/>
              </w:rPr>
              <w:t>2016年第45号</w:t>
            </w:r>
            <w:r>
              <w:rPr>
                <w:rFonts w:hint="eastAsia"/>
                <w:color w:val="auto"/>
                <w:lang w:val="en-US" w:eastAsia="zh-CN"/>
              </w:rPr>
              <w:t>，本项目燃气锅</w:t>
            </w:r>
            <w:r>
              <w:rPr>
                <w:rFonts w:hint="eastAsia"/>
                <w:color w:val="auto"/>
                <w:lang w:eastAsia="zh-CN"/>
              </w:rPr>
              <w:t>炉</w:t>
            </w:r>
            <w:r>
              <w:rPr>
                <w:rFonts w:hint="eastAsia"/>
                <w:color w:val="auto"/>
                <w:lang w:val="en-US" w:eastAsia="zh-CN"/>
              </w:rPr>
              <w:t>颗粒物、二氧化硫</w:t>
            </w:r>
            <w:r>
              <w:rPr>
                <w:rFonts w:hint="eastAsia"/>
                <w:color w:val="auto"/>
                <w:lang w:eastAsia="zh-CN"/>
              </w:rPr>
              <w:t>执行</w:t>
            </w:r>
            <w:r>
              <w:rPr>
                <w:rFonts w:hint="eastAsia"/>
                <w:color w:val="auto"/>
              </w:rPr>
              <w:t>《锅炉大气污染物排放标准》（GB13271-2014）</w:t>
            </w:r>
            <w:r>
              <w:rPr>
                <w:rFonts w:hint="eastAsia"/>
                <w:color w:val="auto"/>
                <w:lang w:val="en-US" w:eastAsia="zh-CN"/>
              </w:rPr>
              <w:t>表3大气污染物特别排放限值，氮氧化物</w:t>
            </w:r>
            <w:r>
              <w:rPr>
                <w:rFonts w:hint="eastAsia"/>
                <w:color w:val="auto"/>
                <w:lang w:eastAsia="zh-CN"/>
              </w:rPr>
              <w:t>执行</w:t>
            </w:r>
            <w:r>
              <w:rPr>
                <w:rFonts w:hint="default"/>
                <w:color w:val="auto"/>
                <w:lang w:val="en-US" w:eastAsia="zh-CN"/>
              </w:rPr>
              <w:t>《关于开展自治区2021年度夏秋季大气污染防治“</w:t>
            </w:r>
            <w:r>
              <w:rPr>
                <w:rFonts w:hint="eastAsia"/>
                <w:color w:val="auto"/>
                <w:lang w:val="en-US" w:eastAsia="zh-CN"/>
              </w:rPr>
              <w:t>冬</w:t>
            </w:r>
            <w:r>
              <w:rPr>
                <w:rFonts w:hint="default"/>
                <w:color w:val="auto"/>
                <w:lang w:val="en-US" w:eastAsia="zh-CN"/>
              </w:rPr>
              <w:t>病夏治”工作的通知</w:t>
            </w:r>
            <w:r>
              <w:rPr>
                <w:rFonts w:hint="eastAsia"/>
                <w:color w:val="auto"/>
                <w:lang w:val="en-US" w:eastAsia="zh-CN"/>
              </w:rPr>
              <w:t>》中要求，</w:t>
            </w:r>
            <w:r>
              <w:rPr>
                <w:rFonts w:hint="default"/>
                <w:color w:val="auto"/>
                <w:lang w:val="en-US" w:eastAsia="zh-CN"/>
              </w:rPr>
              <w:t>具体详见下表</w:t>
            </w:r>
            <w:r>
              <w:rPr>
                <w:rFonts w:hint="eastAsia"/>
                <w:color w:val="auto"/>
              </w:rPr>
              <w:t>。</w:t>
            </w:r>
            <w:r>
              <w:rPr>
                <w:rFonts w:hint="eastAsia"/>
                <w:color w:val="auto"/>
              </w:rPr>
              <w:br w:type="textWrapping"/>
            </w:r>
            <w:r>
              <w:rPr>
                <w:rFonts w:hint="eastAsia"/>
                <w:color w:val="auto"/>
                <w:lang w:val="en-US" w:eastAsia="zh-CN"/>
              </w:rPr>
              <w:t xml:space="preserve">                 </w:t>
            </w:r>
            <w:r>
              <w:rPr>
                <w:rFonts w:hint="default"/>
                <w:color w:val="auto"/>
                <w:lang w:val="zh-CN" w:eastAsia="zh-CN"/>
              </w:rPr>
              <w:t>表</w:t>
            </w:r>
            <w:r>
              <w:rPr>
                <w:rFonts w:hint="eastAsia"/>
                <w:color w:val="auto"/>
                <w:lang w:val="en-US" w:eastAsia="zh-CN"/>
              </w:rPr>
              <w:t>11</w:t>
            </w:r>
            <w:r>
              <w:rPr>
                <w:rFonts w:hint="default"/>
                <w:color w:val="auto"/>
                <w:lang w:val="zh-CN" w:eastAsia="zh-CN"/>
              </w:rPr>
              <w:t xml:space="preserve">        </w:t>
            </w:r>
            <w:r>
              <w:rPr>
                <w:rFonts w:hint="eastAsia"/>
                <w:color w:val="auto"/>
                <w:lang w:val="en-US" w:eastAsia="zh-CN"/>
              </w:rPr>
              <w:t xml:space="preserve">       锅炉大气污染物执行排放标准</w:t>
            </w:r>
            <w:r>
              <w:rPr>
                <w:rFonts w:hint="default"/>
                <w:color w:val="auto"/>
                <w:lang w:val="zh-CN" w:eastAsia="zh-CN"/>
              </w:rPr>
              <w:t xml:space="preserve">      </w:t>
            </w:r>
            <w:r>
              <w:rPr>
                <w:rFonts w:hint="default"/>
                <w:color w:val="auto"/>
              </w:rPr>
              <w:t xml:space="preserve">              </w:t>
            </w:r>
          </w:p>
          <w:tbl>
            <w:tblPr>
              <w:tblStyle w:val="28"/>
              <w:tblW w:w="7840"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
            <w:tblGrid>
              <w:gridCol w:w="1731"/>
              <w:gridCol w:w="1500"/>
              <w:gridCol w:w="4609"/>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492" w:hRule="atLeast"/>
                <w:jc w:val="center"/>
              </w:trPr>
              <w:tc>
                <w:tcPr>
                  <w:tcW w:w="1731" w:type="dxa"/>
                  <w:tcBorders>
                    <w:tl2br w:val="nil"/>
                    <w:tr2bl w:val="nil"/>
                  </w:tcBorders>
                  <w:vAlign w:val="center"/>
                </w:tcPr>
                <w:p>
                  <w:pPr>
                    <w:jc w:val="center"/>
                    <w:rPr>
                      <w:rFonts w:hint="default"/>
                      <w:color w:val="auto"/>
                      <w:lang w:val="en-US" w:eastAsia="zh-CN"/>
                    </w:rPr>
                  </w:pPr>
                  <w:r>
                    <w:rPr>
                      <w:rFonts w:hint="default"/>
                      <w:color w:val="auto"/>
                      <w:lang w:val="en-US" w:eastAsia="zh-CN"/>
                    </w:rPr>
                    <w:t>污染物</w:t>
                  </w:r>
                </w:p>
              </w:tc>
              <w:tc>
                <w:tcPr>
                  <w:tcW w:w="1500" w:type="dxa"/>
                  <w:tcBorders>
                    <w:tl2br w:val="nil"/>
                    <w:tr2bl w:val="nil"/>
                  </w:tcBorders>
                  <w:vAlign w:val="center"/>
                </w:tcPr>
                <w:p>
                  <w:pPr>
                    <w:jc w:val="center"/>
                    <w:rPr>
                      <w:rFonts w:hint="default"/>
                      <w:color w:val="auto"/>
                      <w:lang w:val="en-US" w:eastAsia="zh-CN"/>
                    </w:rPr>
                  </w:pPr>
                  <w:r>
                    <w:rPr>
                      <w:rFonts w:hint="eastAsia"/>
                      <w:color w:val="auto"/>
                      <w:lang w:val="en-US" w:eastAsia="zh-CN"/>
                    </w:rPr>
                    <w:t>燃气锅炉</w:t>
                  </w:r>
                </w:p>
              </w:tc>
              <w:tc>
                <w:tcPr>
                  <w:tcW w:w="4609" w:type="dxa"/>
                  <w:tcBorders>
                    <w:tl2br w:val="nil"/>
                    <w:tr2bl w:val="nil"/>
                  </w:tcBorders>
                  <w:vAlign w:val="center"/>
                </w:tcPr>
                <w:p>
                  <w:pPr>
                    <w:jc w:val="center"/>
                    <w:rPr>
                      <w:rFonts w:hint="default"/>
                      <w:color w:val="auto"/>
                      <w:lang w:val="en-US" w:eastAsia="zh-CN"/>
                    </w:rPr>
                  </w:pPr>
                  <w:r>
                    <w:rPr>
                      <w:rFonts w:hint="default"/>
                      <w:color w:val="auto"/>
                      <w:lang w:val="en-US" w:eastAsia="zh-CN"/>
                    </w:rPr>
                    <w:t>标准来源</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489" w:hRule="atLeast"/>
                <w:jc w:val="center"/>
              </w:trPr>
              <w:tc>
                <w:tcPr>
                  <w:tcW w:w="1731" w:type="dxa"/>
                  <w:tcBorders>
                    <w:tl2br w:val="nil"/>
                    <w:tr2bl w:val="nil"/>
                  </w:tcBorders>
                  <w:vAlign w:val="center"/>
                </w:tcPr>
                <w:p>
                  <w:pPr>
                    <w:jc w:val="center"/>
                    <w:rPr>
                      <w:rFonts w:hint="default"/>
                      <w:color w:val="auto"/>
                      <w:lang w:val="en-US" w:eastAsia="zh-CN"/>
                    </w:rPr>
                  </w:pPr>
                  <w:r>
                    <w:rPr>
                      <w:rFonts w:hint="eastAsia"/>
                      <w:color w:val="auto"/>
                      <w:lang w:val="en-US" w:eastAsia="zh-CN"/>
                    </w:rPr>
                    <w:t>颗粒物</w:t>
                  </w:r>
                </w:p>
              </w:tc>
              <w:tc>
                <w:tcPr>
                  <w:tcW w:w="1500" w:type="dxa"/>
                  <w:tcBorders>
                    <w:tl2br w:val="nil"/>
                    <w:tr2bl w:val="nil"/>
                  </w:tcBorders>
                  <w:vAlign w:val="center"/>
                </w:tcPr>
                <w:p>
                  <w:pPr>
                    <w:jc w:val="center"/>
                    <w:rPr>
                      <w:rFonts w:hint="default"/>
                      <w:color w:val="auto"/>
                      <w:lang w:val="en-US" w:eastAsia="zh-CN"/>
                    </w:rPr>
                  </w:pPr>
                  <w:r>
                    <w:rPr>
                      <w:rFonts w:hint="eastAsia"/>
                      <w:color w:val="auto"/>
                      <w:lang w:val="en-US" w:eastAsia="zh-CN"/>
                    </w:rPr>
                    <w:t>20mg/m</w:t>
                  </w:r>
                  <w:r>
                    <w:rPr>
                      <w:rFonts w:hint="eastAsia"/>
                      <w:color w:val="auto"/>
                      <w:vertAlign w:val="superscript"/>
                      <w:lang w:val="en-US" w:eastAsia="zh-CN"/>
                    </w:rPr>
                    <w:t>3</w:t>
                  </w:r>
                </w:p>
              </w:tc>
              <w:tc>
                <w:tcPr>
                  <w:tcW w:w="4609" w:type="dxa"/>
                  <w:vMerge w:val="restart"/>
                  <w:tcBorders>
                    <w:tl2br w:val="nil"/>
                    <w:tr2bl w:val="nil"/>
                  </w:tcBorders>
                  <w:vAlign w:val="center"/>
                </w:tcPr>
                <w:p>
                  <w:pPr>
                    <w:jc w:val="center"/>
                    <w:rPr>
                      <w:rFonts w:hint="default"/>
                      <w:color w:val="auto"/>
                      <w:lang w:val="en-US" w:eastAsia="zh-CN"/>
                    </w:rPr>
                  </w:pPr>
                  <w:r>
                    <w:rPr>
                      <w:rFonts w:hint="eastAsia"/>
                      <w:color w:val="auto"/>
                    </w:rPr>
                    <w:t>《锅炉大气污染物排放标准》（GB13271-2014）</w:t>
                  </w:r>
                  <w:r>
                    <w:rPr>
                      <w:rFonts w:hint="eastAsia"/>
                      <w:color w:val="auto"/>
                      <w:lang w:val="en-US" w:eastAsia="zh-CN"/>
                    </w:rPr>
                    <w:t>表3大气污染物特别排放限值</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478" w:hRule="atLeast"/>
                <w:jc w:val="center"/>
              </w:trPr>
              <w:tc>
                <w:tcPr>
                  <w:tcW w:w="1731" w:type="dxa"/>
                  <w:tcBorders>
                    <w:tl2br w:val="nil"/>
                    <w:tr2bl w:val="nil"/>
                  </w:tcBorders>
                  <w:vAlign w:val="center"/>
                </w:tcPr>
                <w:p>
                  <w:pPr>
                    <w:jc w:val="center"/>
                    <w:rPr>
                      <w:rFonts w:hint="default"/>
                      <w:color w:val="auto"/>
                      <w:lang w:val="en-US" w:eastAsia="zh-CN"/>
                    </w:rPr>
                  </w:pPr>
                  <w:r>
                    <w:rPr>
                      <w:rFonts w:hint="eastAsia"/>
                      <w:color w:val="auto"/>
                      <w:lang w:val="en-US" w:eastAsia="zh-CN"/>
                    </w:rPr>
                    <w:t>二氧化硫</w:t>
                  </w:r>
                </w:p>
              </w:tc>
              <w:tc>
                <w:tcPr>
                  <w:tcW w:w="1500" w:type="dxa"/>
                  <w:tcBorders>
                    <w:bottom w:val="single" w:color="auto" w:sz="4" w:space="0"/>
                    <w:tl2br w:val="nil"/>
                    <w:tr2bl w:val="nil"/>
                  </w:tcBorders>
                  <w:vAlign w:val="center"/>
                </w:tcPr>
                <w:p>
                  <w:pPr>
                    <w:jc w:val="center"/>
                    <w:rPr>
                      <w:rFonts w:hint="default"/>
                      <w:color w:val="auto"/>
                      <w:lang w:val="en-US" w:eastAsia="zh-CN"/>
                    </w:rPr>
                  </w:pPr>
                  <w:r>
                    <w:rPr>
                      <w:rFonts w:hint="eastAsia"/>
                      <w:color w:val="auto"/>
                      <w:lang w:val="en-US" w:eastAsia="zh-CN"/>
                    </w:rPr>
                    <w:t>5</w:t>
                  </w:r>
                  <w:r>
                    <w:rPr>
                      <w:rFonts w:hint="default"/>
                      <w:color w:val="auto"/>
                      <w:lang w:val="en-US" w:eastAsia="zh-CN"/>
                    </w:rPr>
                    <w:t>0</w:t>
                  </w:r>
                  <w:r>
                    <w:rPr>
                      <w:rFonts w:hint="eastAsia"/>
                      <w:color w:val="auto"/>
                      <w:lang w:val="en-US" w:eastAsia="zh-CN"/>
                    </w:rPr>
                    <w:t>mg/m</w:t>
                  </w:r>
                  <w:r>
                    <w:rPr>
                      <w:rFonts w:hint="eastAsia"/>
                      <w:color w:val="auto"/>
                      <w:vertAlign w:val="superscript"/>
                      <w:lang w:val="en-US" w:eastAsia="zh-CN"/>
                    </w:rPr>
                    <w:t>3</w:t>
                  </w:r>
                </w:p>
              </w:tc>
              <w:tc>
                <w:tcPr>
                  <w:tcW w:w="4609" w:type="dxa"/>
                  <w:vMerge w:val="continue"/>
                  <w:tcBorders>
                    <w:bottom w:val="single" w:color="auto" w:sz="4" w:space="0"/>
                    <w:tl2br w:val="nil"/>
                    <w:tr2bl w:val="nil"/>
                  </w:tcBorders>
                  <w:vAlign w:val="center"/>
                </w:tcPr>
                <w:p>
                  <w:pPr>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504" w:hRule="atLeast"/>
                <w:jc w:val="center"/>
              </w:trPr>
              <w:tc>
                <w:tcPr>
                  <w:tcW w:w="1731" w:type="dxa"/>
                  <w:tcBorders>
                    <w:tl2br w:val="nil"/>
                    <w:tr2bl w:val="nil"/>
                  </w:tcBorders>
                  <w:vAlign w:val="center"/>
                </w:tcPr>
                <w:p>
                  <w:pPr>
                    <w:jc w:val="center"/>
                    <w:rPr>
                      <w:rFonts w:hint="default"/>
                      <w:color w:val="auto"/>
                      <w:lang w:val="en-US" w:eastAsia="zh-CN"/>
                    </w:rPr>
                  </w:pPr>
                  <w:r>
                    <w:rPr>
                      <w:rFonts w:hint="eastAsia"/>
                      <w:color w:val="auto"/>
                      <w:lang w:val="en-US" w:eastAsia="zh-CN"/>
                    </w:rPr>
                    <w:t>氮氧化物</w:t>
                  </w:r>
                </w:p>
              </w:tc>
              <w:tc>
                <w:tcPr>
                  <w:tcW w:w="1500" w:type="dxa"/>
                  <w:tcBorders>
                    <w:top w:val="single" w:color="auto" w:sz="4" w:space="0"/>
                    <w:tl2br w:val="nil"/>
                    <w:tr2bl w:val="nil"/>
                  </w:tcBorders>
                  <w:vAlign w:val="center"/>
                </w:tcPr>
                <w:p>
                  <w:pPr>
                    <w:jc w:val="center"/>
                    <w:rPr>
                      <w:rFonts w:hint="default"/>
                      <w:color w:val="auto"/>
                      <w:lang w:val="en-US" w:eastAsia="zh-CN"/>
                    </w:rPr>
                  </w:pPr>
                  <w:r>
                    <w:rPr>
                      <w:rFonts w:hint="eastAsia"/>
                      <w:color w:val="auto"/>
                      <w:lang w:val="en-US" w:eastAsia="zh-CN"/>
                    </w:rPr>
                    <w:t>5</w:t>
                  </w:r>
                  <w:r>
                    <w:rPr>
                      <w:rFonts w:hint="default"/>
                      <w:color w:val="auto"/>
                      <w:lang w:val="en-US" w:eastAsia="zh-CN"/>
                    </w:rPr>
                    <w:t>0</w:t>
                  </w:r>
                  <w:r>
                    <w:rPr>
                      <w:rFonts w:hint="eastAsia"/>
                      <w:color w:val="auto"/>
                      <w:lang w:val="en-US" w:eastAsia="zh-CN"/>
                    </w:rPr>
                    <w:t>mg/m</w:t>
                  </w:r>
                  <w:r>
                    <w:rPr>
                      <w:rFonts w:hint="eastAsia"/>
                      <w:color w:val="auto"/>
                      <w:vertAlign w:val="superscript"/>
                      <w:lang w:val="en-US" w:eastAsia="zh-CN"/>
                    </w:rPr>
                    <w:t>3</w:t>
                  </w:r>
                </w:p>
              </w:tc>
              <w:tc>
                <w:tcPr>
                  <w:tcW w:w="4609" w:type="dxa"/>
                  <w:tcBorders>
                    <w:top w:val="single" w:color="auto" w:sz="4" w:space="0"/>
                    <w:tl2br w:val="nil"/>
                    <w:tr2bl w:val="nil"/>
                  </w:tcBorders>
                  <w:vAlign w:val="center"/>
                </w:tcPr>
                <w:p>
                  <w:pPr>
                    <w:jc w:val="center"/>
                    <w:rPr>
                      <w:rFonts w:hint="default"/>
                      <w:color w:val="auto"/>
                      <w:lang w:val="en-US" w:eastAsia="zh-CN"/>
                    </w:rPr>
                  </w:pPr>
                  <w:r>
                    <w:rPr>
                      <w:rFonts w:hint="default"/>
                      <w:color w:val="auto"/>
                      <w:lang w:val="en-US" w:eastAsia="zh-CN"/>
                    </w:rPr>
                    <w:t>《关于开展自治区2021年度夏秋季大气污染防治“</w:t>
                  </w:r>
                  <w:r>
                    <w:rPr>
                      <w:rFonts w:hint="eastAsia"/>
                      <w:color w:val="auto"/>
                      <w:lang w:val="en-US" w:eastAsia="zh-CN"/>
                    </w:rPr>
                    <w:t>冬</w:t>
                  </w:r>
                  <w:r>
                    <w:rPr>
                      <w:rFonts w:hint="default"/>
                      <w:color w:val="auto"/>
                      <w:lang w:val="en-US" w:eastAsia="zh-CN"/>
                    </w:rPr>
                    <w:t>病夏治”工作的通知</w:t>
                  </w:r>
                  <w:r>
                    <w:rPr>
                      <w:rFonts w:hint="eastAsia"/>
                      <w:color w:val="auto"/>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bookmarkStart w:id="4" w:name="OLE_LINK18"/>
            <w:r>
              <w:rPr>
                <w:rFonts w:hint="eastAsia" w:ascii="Times New Roman" w:hAnsi="Times New Roman" w:eastAsia="宋体" w:cs="Times New Roman"/>
                <w:color w:val="auto"/>
                <w:sz w:val="21"/>
                <w:szCs w:val="21"/>
                <w:lang w:val="en-US" w:eastAsia="zh-CN"/>
              </w:rPr>
              <w:t>生活污水、生产废水执行</w:t>
            </w:r>
            <w:r>
              <w:rPr>
                <w:rFonts w:hint="default" w:ascii="Times New Roman" w:hAnsi="Times New Roman" w:eastAsia="宋体" w:cs="Times New Roman"/>
                <w:color w:val="auto"/>
                <w:sz w:val="21"/>
                <w:szCs w:val="21"/>
                <w:lang w:val="en-US" w:eastAsia="zh-CN"/>
              </w:rPr>
              <w:t>《污水综合排放标准》(GB8978-1996)三级标准</w:t>
            </w:r>
            <w:bookmarkEnd w:id="4"/>
            <w:r>
              <w:rPr>
                <w:rFonts w:hint="default" w:ascii="Times New Roman" w:hAnsi="Times New Roman" w:eastAsia="宋体" w:cs="Times New Roman"/>
                <w:color w:val="auto"/>
                <w:sz w:val="21"/>
                <w:szCs w:val="21"/>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 w:val="0"/>
                <w:bCs/>
                <w:color w:val="auto"/>
                <w:kern w:val="0"/>
                <w:szCs w:val="21"/>
                <w:lang w:val="en-US" w:eastAsia="zh-CN"/>
              </w:rPr>
            </w:pPr>
            <w:bookmarkStart w:id="5" w:name="OLE_LINK17"/>
            <w:r>
              <w:rPr>
                <w:rFonts w:hint="eastAsia" w:ascii="Times New Roman" w:hAnsi="Times New Roman" w:cs="Times New Roman"/>
                <w:b w:val="0"/>
                <w:bCs/>
                <w:color w:val="auto"/>
                <w:kern w:val="0"/>
                <w:szCs w:val="21"/>
                <w:lang w:val="en-US" w:eastAsia="zh-CN"/>
              </w:rPr>
              <w:t xml:space="preserve">      </w:t>
            </w:r>
            <w:r>
              <w:rPr>
                <w:rFonts w:hint="default" w:ascii="Times New Roman" w:hAnsi="Times New Roman" w:cs="Times New Roman"/>
                <w:b w:val="0"/>
                <w:bCs/>
                <w:color w:val="auto"/>
                <w:kern w:val="0"/>
                <w:szCs w:val="21"/>
                <w:lang w:val="en-US" w:eastAsia="zh-CN"/>
              </w:rPr>
              <w:t>表</w:t>
            </w:r>
            <w:r>
              <w:rPr>
                <w:rFonts w:hint="eastAsia" w:ascii="Times New Roman" w:hAnsi="Times New Roman" w:cs="Times New Roman"/>
                <w:b w:val="0"/>
                <w:bCs/>
                <w:color w:val="auto"/>
                <w:kern w:val="0"/>
                <w:szCs w:val="21"/>
                <w:lang w:val="en-US" w:eastAsia="zh-CN"/>
              </w:rPr>
              <w:t>12</w:t>
            </w:r>
            <w:r>
              <w:rPr>
                <w:rFonts w:hint="default" w:ascii="Times New Roman" w:hAnsi="Times New Roman" w:cs="Times New Roman"/>
                <w:b w:val="0"/>
                <w:bCs/>
                <w:color w:val="auto"/>
                <w:kern w:val="0"/>
                <w:szCs w:val="21"/>
                <w:lang w:val="en-US" w:eastAsia="zh-CN"/>
              </w:rPr>
              <w:t xml:space="preserve">    </w:t>
            </w:r>
            <w:r>
              <w:rPr>
                <w:rFonts w:hint="eastAsia" w:ascii="Times New Roman" w:hAnsi="Times New Roman" w:cs="Times New Roman"/>
                <w:b w:val="0"/>
                <w:bCs/>
                <w:color w:val="auto"/>
                <w:kern w:val="0"/>
                <w:szCs w:val="21"/>
                <w:lang w:val="en-US" w:eastAsia="zh-CN"/>
              </w:rPr>
              <w:t xml:space="preserve">             </w:t>
            </w:r>
            <w:r>
              <w:rPr>
                <w:rFonts w:hint="default" w:ascii="Times New Roman" w:hAnsi="Times New Roman" w:cs="Times New Roman"/>
                <w:b w:val="0"/>
                <w:bCs/>
                <w:color w:val="auto"/>
                <w:kern w:val="0"/>
                <w:szCs w:val="21"/>
                <w:lang w:val="en-US" w:eastAsia="zh-CN"/>
              </w:rPr>
              <w:t xml:space="preserve"> </w:t>
            </w:r>
            <w:r>
              <w:rPr>
                <w:rFonts w:hint="eastAsia" w:ascii="Times New Roman" w:hAnsi="Times New Roman" w:cs="Times New Roman"/>
                <w:b w:val="0"/>
                <w:bCs/>
                <w:color w:val="auto"/>
                <w:kern w:val="0"/>
                <w:szCs w:val="21"/>
                <w:lang w:val="en-US" w:eastAsia="zh-CN"/>
              </w:rPr>
              <w:t>污水综合排放标准</w:t>
            </w:r>
            <w:r>
              <w:rPr>
                <w:rFonts w:hint="default" w:ascii="Times New Roman" w:hAnsi="Times New Roman" w:cs="Times New Roman"/>
                <w:b w:val="0"/>
                <w:bCs/>
                <w:color w:val="auto"/>
                <w:kern w:val="0"/>
                <w:szCs w:val="21"/>
                <w:lang w:val="en-US" w:eastAsia="zh-CN"/>
              </w:rPr>
              <w:t>浓度限值</w:t>
            </w:r>
          </w:p>
          <w:bookmarkEnd w:id="5"/>
          <w:tbl>
            <w:tblPr>
              <w:tblStyle w:val="29"/>
              <w:tblW w:w="7880"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769"/>
              <w:gridCol w:w="1730"/>
              <w:gridCol w:w="23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995" w:type="dxa"/>
                  <w:tcBorders>
                    <w:tl2br w:val="nil"/>
                    <w:tr2bl w:val="nil"/>
                  </w:tcBorders>
                  <w:vAlign w:val="center"/>
                </w:tcPr>
                <w:p>
                  <w:pPr>
                    <w:widowControl/>
                    <w:spacing w:line="240" w:lineRule="auto"/>
                    <w:jc w:val="center"/>
                    <w:rPr>
                      <w:rFonts w:hint="eastAsia" w:ascii="Times New Roman" w:hAnsi="Times New Roman" w:eastAsia="宋体" w:cs="Times New Roman"/>
                      <w:b w:val="0"/>
                      <w:bCs/>
                      <w:color w:val="auto"/>
                      <w:kern w:val="0"/>
                      <w:szCs w:val="21"/>
                      <w:vertAlign w:val="baseline"/>
                      <w:lang w:eastAsia="zh-CN"/>
                    </w:rPr>
                  </w:pPr>
                  <w:r>
                    <w:rPr>
                      <w:rFonts w:hint="eastAsia" w:ascii="Times New Roman" w:hAnsi="Times New Roman" w:cs="Times New Roman"/>
                      <w:b w:val="0"/>
                      <w:bCs/>
                      <w:color w:val="auto"/>
                      <w:kern w:val="0"/>
                      <w:szCs w:val="21"/>
                      <w:vertAlign w:val="baseline"/>
                      <w:lang w:eastAsia="zh-CN"/>
                    </w:rPr>
                    <w:t>序号</w:t>
                  </w:r>
                </w:p>
              </w:tc>
              <w:tc>
                <w:tcPr>
                  <w:tcW w:w="2769" w:type="dxa"/>
                  <w:tcBorders>
                    <w:tl2br w:val="nil"/>
                    <w:tr2bl w:val="nil"/>
                  </w:tcBorders>
                  <w:vAlign w:val="center"/>
                </w:tcPr>
                <w:p>
                  <w:pPr>
                    <w:widowControl/>
                    <w:spacing w:line="240" w:lineRule="auto"/>
                    <w:jc w:val="center"/>
                    <w:rPr>
                      <w:rFonts w:hint="eastAsia" w:ascii="Times New Roman" w:hAnsi="Times New Roman" w:eastAsia="宋体" w:cs="Times New Roman"/>
                      <w:b w:val="0"/>
                      <w:bCs/>
                      <w:color w:val="auto"/>
                      <w:kern w:val="0"/>
                      <w:szCs w:val="21"/>
                      <w:vertAlign w:val="baseline"/>
                      <w:lang w:eastAsia="zh-CN"/>
                    </w:rPr>
                  </w:pPr>
                  <w:r>
                    <w:rPr>
                      <w:rFonts w:hint="eastAsia" w:ascii="Times New Roman" w:hAnsi="Times New Roman" w:cs="Times New Roman"/>
                      <w:b w:val="0"/>
                      <w:bCs/>
                      <w:color w:val="auto"/>
                      <w:kern w:val="0"/>
                      <w:szCs w:val="21"/>
                      <w:vertAlign w:val="baseline"/>
                      <w:lang w:eastAsia="zh-CN"/>
                    </w:rPr>
                    <w:t>项目</w:t>
                  </w:r>
                </w:p>
              </w:tc>
              <w:tc>
                <w:tcPr>
                  <w:tcW w:w="4116" w:type="dxa"/>
                  <w:gridSpan w:val="2"/>
                  <w:tcBorders>
                    <w:tl2br w:val="nil"/>
                    <w:tr2bl w:val="nil"/>
                  </w:tcBorders>
                  <w:vAlign w:val="center"/>
                </w:tcPr>
                <w:p>
                  <w:pPr>
                    <w:widowControl/>
                    <w:spacing w:line="240" w:lineRule="auto"/>
                    <w:jc w:val="center"/>
                    <w:rPr>
                      <w:rFonts w:hint="eastAsia" w:ascii="Times New Roman" w:hAnsi="Times New Roman" w:eastAsia="宋体" w:cs="Times New Roman"/>
                      <w:b w:val="0"/>
                      <w:bCs/>
                      <w:color w:val="auto"/>
                      <w:kern w:val="0"/>
                      <w:szCs w:val="21"/>
                      <w:vertAlign w:val="baseline"/>
                      <w:lang w:eastAsia="zh-CN"/>
                    </w:rPr>
                  </w:pPr>
                  <w:r>
                    <w:rPr>
                      <w:rFonts w:hint="eastAsia" w:ascii="Times New Roman" w:hAnsi="Times New Roman" w:cs="Times New Roman"/>
                      <w:b w:val="0"/>
                      <w:bCs/>
                      <w:color w:val="auto"/>
                      <w:kern w:val="0"/>
                      <w:szCs w:val="21"/>
                      <w:vertAlign w:val="baseline"/>
                      <w:lang w:eastAsia="zh-CN"/>
                    </w:rPr>
                    <w:t>三级标准限值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995" w:type="dxa"/>
                  <w:tcBorders>
                    <w:tl2br w:val="nil"/>
                    <w:tr2bl w:val="nil"/>
                  </w:tcBorders>
                  <w:vAlign w:val="center"/>
                </w:tcPr>
                <w:p>
                  <w:pPr>
                    <w:widowControl/>
                    <w:spacing w:line="240" w:lineRule="auto"/>
                    <w:jc w:val="center"/>
                    <w:rPr>
                      <w:rFonts w:hint="eastAsia" w:ascii="Times New Roman" w:hAnsi="Times New Roman" w:eastAsia="宋体" w:cs="Times New Roman"/>
                      <w:b w:val="0"/>
                      <w:bCs/>
                      <w:color w:val="auto"/>
                      <w:kern w:val="0"/>
                      <w:szCs w:val="21"/>
                      <w:vertAlign w:val="baseline"/>
                      <w:lang w:val="en-US" w:eastAsia="zh-CN"/>
                    </w:rPr>
                  </w:pPr>
                  <w:r>
                    <w:rPr>
                      <w:rFonts w:hint="eastAsia" w:ascii="Times New Roman" w:hAnsi="Times New Roman" w:cs="Times New Roman"/>
                      <w:b w:val="0"/>
                      <w:bCs/>
                      <w:color w:val="auto"/>
                      <w:kern w:val="0"/>
                      <w:szCs w:val="21"/>
                      <w:vertAlign w:val="baseline"/>
                      <w:lang w:val="en-US" w:eastAsia="zh-CN"/>
                    </w:rPr>
                    <w:t>1</w:t>
                  </w:r>
                </w:p>
              </w:tc>
              <w:tc>
                <w:tcPr>
                  <w:tcW w:w="2769" w:type="dxa"/>
                  <w:tcBorders>
                    <w:tl2br w:val="nil"/>
                    <w:tr2bl w:val="nil"/>
                  </w:tcBorders>
                  <w:vAlign w:val="center"/>
                </w:tcPr>
                <w:p>
                  <w:pPr>
                    <w:widowControl/>
                    <w:spacing w:line="240" w:lineRule="auto"/>
                    <w:jc w:val="center"/>
                    <w:rPr>
                      <w:rFonts w:hint="eastAsia" w:ascii="Times New Roman" w:hAnsi="Times New Roman" w:cs="Times New Roman" w:eastAsiaTheme="minorEastAsia"/>
                      <w:b w:val="0"/>
                      <w:bCs/>
                      <w:color w:val="auto"/>
                      <w:kern w:val="0"/>
                      <w:szCs w:val="21"/>
                      <w:vertAlign w:val="baseline"/>
                      <w:lang w:val="en-US" w:eastAsia="zh-CN"/>
                    </w:rPr>
                  </w:pPr>
                  <w:r>
                    <w:rPr>
                      <w:rFonts w:hint="eastAsia" w:ascii="Times New Roman" w:hAnsi="Times New Roman" w:cs="Times New Roman"/>
                      <w:b w:val="0"/>
                      <w:bCs/>
                      <w:color w:val="auto"/>
                      <w:kern w:val="0"/>
                      <w:szCs w:val="21"/>
                      <w:vertAlign w:val="baseline"/>
                      <w:lang w:val="en-US" w:eastAsia="zh-CN"/>
                    </w:rPr>
                    <w:t>pH</w:t>
                  </w:r>
                </w:p>
              </w:tc>
              <w:tc>
                <w:tcPr>
                  <w:tcW w:w="4116" w:type="dxa"/>
                  <w:gridSpan w:val="2"/>
                  <w:tcBorders>
                    <w:tl2br w:val="nil"/>
                    <w:tr2bl w:val="nil"/>
                  </w:tcBorders>
                  <w:vAlign w:val="center"/>
                </w:tcPr>
                <w:p>
                  <w:pPr>
                    <w:widowControl/>
                    <w:spacing w:line="240" w:lineRule="auto"/>
                    <w:jc w:val="center"/>
                    <w:rPr>
                      <w:rFonts w:hint="eastAsia" w:ascii="Times New Roman" w:hAnsi="Times New Roman" w:eastAsia="宋体" w:cs="Times New Roman"/>
                      <w:b w:val="0"/>
                      <w:bCs/>
                      <w:color w:val="auto"/>
                      <w:kern w:val="0"/>
                      <w:szCs w:val="21"/>
                      <w:vertAlign w:val="baseline"/>
                      <w:lang w:val="en-US" w:eastAsia="zh-CN"/>
                    </w:rPr>
                  </w:pPr>
                  <w:r>
                    <w:rPr>
                      <w:rFonts w:hint="eastAsia" w:ascii="Times New Roman" w:hAnsi="Times New Roman" w:eastAsia="宋体" w:cs="Times New Roman"/>
                      <w:b w:val="0"/>
                      <w:bCs/>
                      <w:color w:val="auto"/>
                      <w:kern w:val="0"/>
                      <w:szCs w:val="21"/>
                      <w:vertAlign w:val="baseline"/>
                      <w:lang w:val="en-US" w:eastAsia="zh-CN"/>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417" w:hRule="atLeast"/>
              </w:trPr>
              <w:tc>
                <w:tcPr>
                  <w:tcW w:w="995" w:type="dxa"/>
                  <w:tcBorders>
                    <w:tl2br w:val="nil"/>
                    <w:tr2bl w:val="nil"/>
                  </w:tcBorders>
                  <w:vAlign w:val="center"/>
                </w:tcPr>
                <w:p>
                  <w:pPr>
                    <w:widowControl/>
                    <w:spacing w:line="240" w:lineRule="auto"/>
                    <w:jc w:val="center"/>
                    <w:rPr>
                      <w:rFonts w:hint="eastAsia" w:ascii="Times New Roman" w:hAnsi="Times New Roman" w:eastAsia="宋体" w:cs="Times New Roman"/>
                      <w:b w:val="0"/>
                      <w:bCs/>
                      <w:color w:val="auto"/>
                      <w:kern w:val="0"/>
                      <w:szCs w:val="21"/>
                      <w:vertAlign w:val="baseline"/>
                      <w:lang w:val="en-US" w:eastAsia="zh-CN"/>
                    </w:rPr>
                  </w:pPr>
                  <w:r>
                    <w:rPr>
                      <w:rFonts w:hint="eastAsia" w:ascii="Times New Roman" w:hAnsi="Times New Roman" w:cs="Times New Roman"/>
                      <w:b w:val="0"/>
                      <w:bCs/>
                      <w:color w:val="auto"/>
                      <w:kern w:val="0"/>
                      <w:szCs w:val="21"/>
                      <w:vertAlign w:val="baseline"/>
                      <w:lang w:val="en-US" w:eastAsia="zh-CN"/>
                    </w:rPr>
                    <w:t>2</w:t>
                  </w:r>
                </w:p>
              </w:tc>
              <w:tc>
                <w:tcPr>
                  <w:tcW w:w="2769" w:type="dxa"/>
                  <w:tcBorders>
                    <w:tl2br w:val="nil"/>
                    <w:tr2bl w:val="nil"/>
                  </w:tcBorders>
                  <w:vAlign w:val="center"/>
                </w:tcPr>
                <w:p>
                  <w:pPr>
                    <w:widowControl/>
                    <w:spacing w:line="240" w:lineRule="auto"/>
                    <w:jc w:val="center"/>
                    <w:rPr>
                      <w:rFonts w:hint="default" w:ascii="Times New Roman" w:hAnsi="Times New Roman" w:cs="Times New Roman"/>
                      <w:b w:val="0"/>
                      <w:bCs/>
                      <w:color w:val="auto"/>
                      <w:kern w:val="0"/>
                      <w:szCs w:val="21"/>
                      <w:vertAlign w:val="baseline"/>
                    </w:rPr>
                  </w:pPr>
                  <w:r>
                    <w:rPr>
                      <w:rFonts w:hint="default" w:ascii="Times New Roman" w:hAnsi="Times New Roman" w:cs="Times New Roman"/>
                      <w:b w:val="0"/>
                      <w:bCs/>
                      <w:color w:val="auto"/>
                      <w:kern w:val="0"/>
                      <w:szCs w:val="21"/>
                      <w:vertAlign w:val="baseline"/>
                    </w:rPr>
                    <w:t>COD</w:t>
                  </w:r>
                  <w:r>
                    <w:rPr>
                      <w:rFonts w:hint="default" w:ascii="Times New Roman" w:hAnsi="Times New Roman" w:cs="Times New Roman"/>
                      <w:b w:val="0"/>
                      <w:bCs/>
                      <w:color w:val="auto"/>
                      <w:kern w:val="0"/>
                      <w:szCs w:val="21"/>
                      <w:vertAlign w:val="subscript"/>
                    </w:rPr>
                    <w:t>cr</w:t>
                  </w:r>
                  <w:r>
                    <w:rPr>
                      <w:rFonts w:hint="default" w:ascii="Times New Roman" w:hAnsi="Times New Roman" w:cs="Times New Roman"/>
                      <w:b w:val="0"/>
                      <w:bCs/>
                      <w:color w:val="auto"/>
                      <w:kern w:val="0"/>
                      <w:szCs w:val="21"/>
                      <w:vertAlign w:val="baseline"/>
                    </w:rPr>
                    <w:t>（mg/L）</w:t>
                  </w:r>
                </w:p>
              </w:tc>
              <w:tc>
                <w:tcPr>
                  <w:tcW w:w="4116" w:type="dxa"/>
                  <w:gridSpan w:val="2"/>
                  <w:tcBorders>
                    <w:tl2br w:val="nil"/>
                    <w:tr2bl w:val="nil"/>
                  </w:tcBorders>
                  <w:vAlign w:val="center"/>
                </w:tcPr>
                <w:p>
                  <w:pPr>
                    <w:widowControl/>
                    <w:spacing w:line="240" w:lineRule="auto"/>
                    <w:jc w:val="center"/>
                    <w:rPr>
                      <w:rFonts w:hint="eastAsia" w:ascii="Times New Roman" w:hAnsi="Times New Roman" w:eastAsia="宋体" w:cs="Times New Roman"/>
                      <w:b w:val="0"/>
                      <w:bCs/>
                      <w:color w:val="auto"/>
                      <w:kern w:val="0"/>
                      <w:szCs w:val="21"/>
                      <w:vertAlign w:val="baseline"/>
                      <w:lang w:val="en-US" w:eastAsia="zh-CN"/>
                    </w:rPr>
                  </w:pPr>
                  <w:r>
                    <w:rPr>
                      <w:rFonts w:hint="eastAsia" w:ascii="Times New Roman" w:hAnsi="Times New Roman" w:cs="Times New Roman"/>
                      <w:b w:val="0"/>
                      <w:bCs/>
                      <w:color w:val="auto"/>
                      <w:kern w:val="0"/>
                      <w:szCs w:val="21"/>
                      <w:vertAlign w:val="baseline"/>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995" w:type="dxa"/>
                  <w:tcBorders>
                    <w:tl2br w:val="nil"/>
                    <w:tr2bl w:val="nil"/>
                  </w:tcBorders>
                  <w:vAlign w:val="center"/>
                </w:tcPr>
                <w:p>
                  <w:pPr>
                    <w:widowControl/>
                    <w:spacing w:line="240" w:lineRule="auto"/>
                    <w:jc w:val="center"/>
                    <w:rPr>
                      <w:rFonts w:hint="eastAsia" w:ascii="Times New Roman" w:hAnsi="Times New Roman" w:eastAsia="宋体" w:cs="Times New Roman"/>
                      <w:b w:val="0"/>
                      <w:bCs/>
                      <w:color w:val="auto"/>
                      <w:kern w:val="0"/>
                      <w:szCs w:val="21"/>
                      <w:vertAlign w:val="baseline"/>
                      <w:lang w:val="en-US" w:eastAsia="zh-CN"/>
                    </w:rPr>
                  </w:pPr>
                  <w:r>
                    <w:rPr>
                      <w:rFonts w:hint="eastAsia" w:ascii="Times New Roman" w:hAnsi="Times New Roman" w:cs="Times New Roman"/>
                      <w:b w:val="0"/>
                      <w:bCs/>
                      <w:color w:val="auto"/>
                      <w:kern w:val="0"/>
                      <w:szCs w:val="21"/>
                      <w:vertAlign w:val="baseline"/>
                      <w:lang w:val="en-US" w:eastAsia="zh-CN"/>
                    </w:rPr>
                    <w:t>3</w:t>
                  </w:r>
                </w:p>
              </w:tc>
              <w:tc>
                <w:tcPr>
                  <w:tcW w:w="2769" w:type="dxa"/>
                  <w:tcBorders>
                    <w:tl2br w:val="nil"/>
                    <w:tr2bl w:val="nil"/>
                  </w:tcBorders>
                  <w:vAlign w:val="center"/>
                </w:tcPr>
                <w:p>
                  <w:pPr>
                    <w:widowControl/>
                    <w:spacing w:line="240" w:lineRule="auto"/>
                    <w:jc w:val="center"/>
                    <w:rPr>
                      <w:rFonts w:hint="default" w:ascii="Times New Roman" w:hAnsi="Times New Roman" w:cs="Times New Roman"/>
                      <w:b w:val="0"/>
                      <w:bCs/>
                      <w:color w:val="auto"/>
                      <w:kern w:val="0"/>
                      <w:szCs w:val="21"/>
                      <w:vertAlign w:val="baseline"/>
                    </w:rPr>
                  </w:pPr>
                  <w:r>
                    <w:rPr>
                      <w:rFonts w:hint="default" w:ascii="Times New Roman" w:hAnsi="Times New Roman" w:cs="Times New Roman"/>
                      <w:b w:val="0"/>
                      <w:bCs/>
                      <w:color w:val="auto"/>
                      <w:kern w:val="0"/>
                      <w:szCs w:val="21"/>
                      <w:vertAlign w:val="baseline"/>
                    </w:rPr>
                    <w:t>BOD</w:t>
                  </w:r>
                  <w:r>
                    <w:rPr>
                      <w:rFonts w:hint="default" w:ascii="Times New Roman" w:hAnsi="Times New Roman" w:cs="Times New Roman"/>
                      <w:b w:val="0"/>
                      <w:bCs/>
                      <w:color w:val="auto"/>
                      <w:kern w:val="0"/>
                      <w:szCs w:val="21"/>
                      <w:vertAlign w:val="subscript"/>
                    </w:rPr>
                    <w:t>5</w:t>
                  </w:r>
                  <w:r>
                    <w:rPr>
                      <w:rFonts w:hint="default" w:ascii="Times New Roman" w:hAnsi="Times New Roman" w:cs="Times New Roman"/>
                      <w:b w:val="0"/>
                      <w:bCs/>
                      <w:color w:val="auto"/>
                      <w:kern w:val="0"/>
                      <w:szCs w:val="21"/>
                      <w:vertAlign w:val="baseline"/>
                    </w:rPr>
                    <w:t>（mg/L）</w:t>
                  </w:r>
                </w:p>
              </w:tc>
              <w:tc>
                <w:tcPr>
                  <w:tcW w:w="4116" w:type="dxa"/>
                  <w:gridSpan w:val="2"/>
                  <w:tcBorders>
                    <w:tl2br w:val="nil"/>
                    <w:tr2bl w:val="nil"/>
                  </w:tcBorders>
                  <w:vAlign w:val="center"/>
                </w:tcPr>
                <w:p>
                  <w:pPr>
                    <w:widowControl/>
                    <w:spacing w:line="240" w:lineRule="auto"/>
                    <w:jc w:val="center"/>
                    <w:rPr>
                      <w:rFonts w:hint="eastAsia" w:ascii="Times New Roman" w:hAnsi="Times New Roman" w:eastAsia="宋体" w:cs="Times New Roman"/>
                      <w:b w:val="0"/>
                      <w:bCs/>
                      <w:color w:val="auto"/>
                      <w:kern w:val="0"/>
                      <w:szCs w:val="21"/>
                      <w:vertAlign w:val="baseline"/>
                      <w:lang w:val="en-US" w:eastAsia="zh-CN"/>
                    </w:rPr>
                  </w:pPr>
                  <w:r>
                    <w:rPr>
                      <w:rFonts w:hint="eastAsia" w:ascii="Times New Roman" w:hAnsi="Times New Roman" w:cs="Times New Roman"/>
                      <w:b w:val="0"/>
                      <w:bCs/>
                      <w:color w:val="auto"/>
                      <w:kern w:val="0"/>
                      <w:szCs w:val="21"/>
                      <w:vertAlign w:val="baseline"/>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995" w:type="dxa"/>
                  <w:tcBorders>
                    <w:tl2br w:val="nil"/>
                    <w:tr2bl w:val="nil"/>
                  </w:tcBorders>
                  <w:vAlign w:val="center"/>
                </w:tcPr>
                <w:p>
                  <w:pPr>
                    <w:widowControl/>
                    <w:spacing w:line="240" w:lineRule="auto"/>
                    <w:jc w:val="center"/>
                    <w:rPr>
                      <w:rFonts w:hint="eastAsia" w:ascii="Times New Roman" w:hAnsi="Times New Roman" w:eastAsia="宋体" w:cs="Times New Roman"/>
                      <w:b w:val="0"/>
                      <w:bCs/>
                      <w:color w:val="auto"/>
                      <w:kern w:val="0"/>
                      <w:szCs w:val="21"/>
                      <w:vertAlign w:val="baseline"/>
                      <w:lang w:val="en-US" w:eastAsia="zh-CN"/>
                    </w:rPr>
                  </w:pPr>
                  <w:r>
                    <w:rPr>
                      <w:rFonts w:hint="eastAsia" w:ascii="Times New Roman" w:hAnsi="Times New Roman" w:cs="Times New Roman"/>
                      <w:b w:val="0"/>
                      <w:bCs/>
                      <w:color w:val="auto"/>
                      <w:kern w:val="0"/>
                      <w:szCs w:val="21"/>
                      <w:vertAlign w:val="baseline"/>
                      <w:lang w:val="en-US" w:eastAsia="zh-CN"/>
                    </w:rPr>
                    <w:t>4</w:t>
                  </w:r>
                </w:p>
              </w:tc>
              <w:tc>
                <w:tcPr>
                  <w:tcW w:w="2769" w:type="dxa"/>
                  <w:tcBorders>
                    <w:tl2br w:val="nil"/>
                    <w:tr2bl w:val="nil"/>
                  </w:tcBorders>
                  <w:vAlign w:val="center"/>
                </w:tcPr>
                <w:p>
                  <w:pPr>
                    <w:widowControl/>
                    <w:spacing w:line="240" w:lineRule="auto"/>
                    <w:jc w:val="center"/>
                    <w:rPr>
                      <w:rFonts w:hint="default" w:ascii="Times New Roman" w:hAnsi="Times New Roman" w:cs="Times New Roman"/>
                      <w:b w:val="0"/>
                      <w:bCs/>
                      <w:color w:val="auto"/>
                      <w:kern w:val="0"/>
                      <w:szCs w:val="21"/>
                      <w:vertAlign w:val="baseline"/>
                    </w:rPr>
                  </w:pPr>
                  <w:r>
                    <w:rPr>
                      <w:rFonts w:hint="default" w:ascii="Times New Roman" w:hAnsi="Times New Roman" w:cs="Times New Roman"/>
                      <w:b w:val="0"/>
                      <w:bCs/>
                      <w:color w:val="auto"/>
                      <w:kern w:val="0"/>
                      <w:szCs w:val="21"/>
                      <w:vertAlign w:val="baseline"/>
                    </w:rPr>
                    <w:t>SS（mg/L）</w:t>
                  </w:r>
                </w:p>
              </w:tc>
              <w:tc>
                <w:tcPr>
                  <w:tcW w:w="4116" w:type="dxa"/>
                  <w:gridSpan w:val="2"/>
                  <w:tcBorders>
                    <w:tl2br w:val="nil"/>
                    <w:tr2bl w:val="nil"/>
                  </w:tcBorders>
                  <w:vAlign w:val="center"/>
                </w:tcPr>
                <w:p>
                  <w:pPr>
                    <w:widowControl/>
                    <w:spacing w:line="240" w:lineRule="auto"/>
                    <w:jc w:val="center"/>
                    <w:rPr>
                      <w:rFonts w:hint="eastAsia" w:ascii="Times New Roman" w:hAnsi="Times New Roman" w:eastAsia="宋体" w:cs="Times New Roman"/>
                      <w:b w:val="0"/>
                      <w:bCs/>
                      <w:color w:val="auto"/>
                      <w:kern w:val="0"/>
                      <w:szCs w:val="21"/>
                      <w:vertAlign w:val="baseline"/>
                      <w:lang w:val="en-US" w:eastAsia="zh-CN"/>
                    </w:rPr>
                  </w:pPr>
                  <w:r>
                    <w:rPr>
                      <w:rFonts w:hint="eastAsia" w:ascii="Times New Roman" w:hAnsi="Times New Roman" w:cs="Times New Roman"/>
                      <w:b w:val="0"/>
                      <w:bCs/>
                      <w:color w:val="auto"/>
                      <w:kern w:val="0"/>
                      <w:szCs w:val="21"/>
                      <w:vertAlign w:val="baseline"/>
                      <w:lang w:val="en-US" w:eastAsia="zh-CN"/>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995" w:type="dxa"/>
                  <w:tcBorders>
                    <w:tl2br w:val="nil"/>
                    <w:tr2bl w:val="nil"/>
                  </w:tcBorders>
                  <w:vAlign w:val="center"/>
                </w:tcPr>
                <w:p>
                  <w:pPr>
                    <w:widowControl/>
                    <w:spacing w:line="240" w:lineRule="auto"/>
                    <w:jc w:val="center"/>
                    <w:rPr>
                      <w:rFonts w:hint="eastAsia" w:ascii="Times New Roman" w:hAnsi="Times New Roman" w:cs="Times New Roman"/>
                      <w:b w:val="0"/>
                      <w:bCs/>
                      <w:color w:val="auto"/>
                      <w:kern w:val="0"/>
                      <w:szCs w:val="21"/>
                      <w:vertAlign w:val="baseline"/>
                      <w:lang w:val="en-US" w:eastAsia="zh-CN"/>
                    </w:rPr>
                  </w:pPr>
                  <w:r>
                    <w:rPr>
                      <w:rFonts w:hint="eastAsia" w:ascii="Times New Roman" w:hAnsi="Times New Roman" w:cs="Times New Roman"/>
                      <w:b w:val="0"/>
                      <w:bCs/>
                      <w:color w:val="auto"/>
                      <w:kern w:val="0"/>
                      <w:szCs w:val="21"/>
                      <w:vertAlign w:val="baseline"/>
                      <w:lang w:val="en-US" w:eastAsia="zh-CN"/>
                    </w:rPr>
                    <w:t>5</w:t>
                  </w:r>
                </w:p>
              </w:tc>
              <w:tc>
                <w:tcPr>
                  <w:tcW w:w="2769" w:type="dxa"/>
                  <w:tcBorders>
                    <w:tl2br w:val="nil"/>
                    <w:tr2bl w:val="nil"/>
                  </w:tcBorders>
                  <w:vAlign w:val="center"/>
                </w:tcPr>
                <w:p>
                  <w:pPr>
                    <w:widowControl/>
                    <w:spacing w:line="240" w:lineRule="auto"/>
                    <w:jc w:val="center"/>
                    <w:rPr>
                      <w:rFonts w:hint="eastAsia" w:ascii="Times New Roman" w:hAnsi="Times New Roman" w:cs="Times New Roman" w:eastAsiaTheme="minorEastAsia"/>
                      <w:b w:val="0"/>
                      <w:bCs/>
                      <w:color w:val="auto"/>
                      <w:kern w:val="0"/>
                      <w:szCs w:val="21"/>
                      <w:vertAlign w:val="baseline"/>
                      <w:lang w:val="en-US" w:eastAsia="zh-CN"/>
                    </w:rPr>
                  </w:pPr>
                  <w:r>
                    <w:rPr>
                      <w:rFonts w:hint="default" w:ascii="Times New Roman" w:hAnsi="Times New Roman" w:cs="Times New Roman"/>
                      <w:b w:val="0"/>
                      <w:bCs/>
                      <w:color w:val="auto"/>
                      <w:kern w:val="0"/>
                      <w:szCs w:val="21"/>
                      <w:vertAlign w:val="baseline"/>
                    </w:rPr>
                    <w:t>NH</w:t>
                  </w:r>
                  <w:r>
                    <w:rPr>
                      <w:rFonts w:hint="default" w:ascii="Times New Roman" w:hAnsi="Times New Roman" w:cs="Times New Roman"/>
                      <w:b w:val="0"/>
                      <w:bCs/>
                      <w:color w:val="auto"/>
                      <w:kern w:val="0"/>
                      <w:szCs w:val="21"/>
                      <w:vertAlign w:val="subscript"/>
                    </w:rPr>
                    <w:t>3</w:t>
                  </w:r>
                  <w:r>
                    <w:rPr>
                      <w:rFonts w:hint="default" w:ascii="Times New Roman" w:hAnsi="Times New Roman" w:cs="Times New Roman"/>
                      <w:b w:val="0"/>
                      <w:bCs/>
                      <w:color w:val="auto"/>
                      <w:kern w:val="0"/>
                      <w:szCs w:val="21"/>
                      <w:vertAlign w:val="baseline"/>
                    </w:rPr>
                    <w:t>-N（mg/L）</w:t>
                  </w:r>
                </w:p>
              </w:tc>
              <w:tc>
                <w:tcPr>
                  <w:tcW w:w="1730" w:type="dxa"/>
                  <w:tcBorders>
                    <w:tl2br w:val="nil"/>
                    <w:tr2bl w:val="nil"/>
                  </w:tcBorders>
                  <w:vAlign w:val="center"/>
                </w:tcPr>
                <w:p>
                  <w:pPr>
                    <w:widowControl/>
                    <w:spacing w:line="240" w:lineRule="auto"/>
                    <w:jc w:val="center"/>
                    <w:rPr>
                      <w:rFonts w:hint="eastAsia" w:ascii="Times New Roman" w:hAnsi="Times New Roman" w:cs="Times New Roman"/>
                      <w:b w:val="0"/>
                      <w:bCs/>
                      <w:color w:val="auto"/>
                      <w:kern w:val="0"/>
                      <w:szCs w:val="21"/>
                      <w:vertAlign w:val="baseline"/>
                      <w:lang w:val="en-US" w:eastAsia="zh-CN"/>
                    </w:rPr>
                  </w:pPr>
                  <w:r>
                    <w:rPr>
                      <w:rFonts w:hint="eastAsia" w:ascii="Times New Roman" w:hAnsi="Times New Roman" w:cs="Times New Roman"/>
                      <w:b w:val="0"/>
                      <w:bCs/>
                      <w:color w:val="auto"/>
                      <w:kern w:val="0"/>
                      <w:szCs w:val="21"/>
                      <w:vertAlign w:val="baseline"/>
                      <w:lang w:val="en-US" w:eastAsia="zh-CN"/>
                    </w:rPr>
                    <w:t>45</w:t>
                  </w:r>
                </w:p>
              </w:tc>
              <w:tc>
                <w:tcPr>
                  <w:tcW w:w="2386" w:type="dxa"/>
                  <w:vMerge w:val="restart"/>
                  <w:tcBorders>
                    <w:tl2br w:val="nil"/>
                    <w:tr2bl w:val="nil"/>
                  </w:tcBorders>
                  <w:vAlign w:val="center"/>
                </w:tcPr>
                <w:p>
                  <w:pPr>
                    <w:widowControl/>
                    <w:spacing w:line="240" w:lineRule="auto"/>
                    <w:jc w:val="center"/>
                    <w:rPr>
                      <w:rFonts w:hint="eastAsia" w:ascii="Times New Roman" w:hAnsi="Times New Roman" w:cs="Times New Roman"/>
                      <w:b w:val="0"/>
                      <w:bCs/>
                      <w:color w:val="auto"/>
                      <w:kern w:val="0"/>
                      <w:szCs w:val="21"/>
                      <w:vertAlign w:val="baseline"/>
                      <w:lang w:val="en-US" w:eastAsia="zh-CN"/>
                    </w:rPr>
                  </w:pPr>
                  <w:r>
                    <w:rPr>
                      <w:rFonts w:hint="eastAsia" w:ascii="Arial" w:hAnsi="Arial" w:eastAsia="宋体" w:cs="Arial"/>
                      <w:b w:val="0"/>
                      <w:i w:val="0"/>
                      <w:caps w:val="0"/>
                      <w:color w:val="auto"/>
                      <w:spacing w:val="0"/>
                      <w:sz w:val="21"/>
                      <w:szCs w:val="21"/>
                      <w:shd w:val="clear" w:fill="FFFFFF"/>
                    </w:rPr>
                    <w:t>《</w:t>
                  </w:r>
                  <w:r>
                    <w:rPr>
                      <w:rFonts w:hint="default" w:ascii="Times New Roman" w:hAnsi="Times New Roman" w:eastAsia="宋体" w:cs="Times New Roman"/>
                      <w:b w:val="0"/>
                      <w:i w:val="0"/>
                      <w:caps w:val="0"/>
                      <w:color w:val="auto"/>
                      <w:spacing w:val="0"/>
                      <w:sz w:val="21"/>
                      <w:szCs w:val="21"/>
                      <w:shd w:val="clear" w:fill="FFFFFF"/>
                    </w:rPr>
                    <w:t xml:space="preserve">GB/T 31962-2015 </w:t>
                  </w:r>
                  <w:r>
                    <w:rPr>
                      <w:rFonts w:hint="eastAsia" w:ascii="Arial" w:hAnsi="Arial" w:eastAsia="宋体" w:cs="Arial"/>
                      <w:b w:val="0"/>
                      <w:i w:val="0"/>
                      <w:caps w:val="0"/>
                      <w:color w:val="auto"/>
                      <w:spacing w:val="0"/>
                      <w:sz w:val="21"/>
                      <w:szCs w:val="21"/>
                      <w:shd w:val="clear" w:fill="FFFFFF"/>
                    </w:rPr>
                    <w:t>污水排入城镇下水道水质标准》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995" w:type="dxa"/>
                  <w:tcBorders>
                    <w:tl2br w:val="nil"/>
                    <w:tr2bl w:val="nil"/>
                  </w:tcBorders>
                  <w:vAlign w:val="center"/>
                </w:tcPr>
                <w:p>
                  <w:pPr>
                    <w:widowControl/>
                    <w:spacing w:line="240" w:lineRule="auto"/>
                    <w:jc w:val="center"/>
                    <w:rPr>
                      <w:rFonts w:hint="eastAsia" w:ascii="Times New Roman" w:hAnsi="Times New Roman" w:cs="Times New Roman"/>
                      <w:b w:val="0"/>
                      <w:bCs/>
                      <w:color w:val="auto"/>
                      <w:kern w:val="0"/>
                      <w:szCs w:val="21"/>
                      <w:vertAlign w:val="baseline"/>
                      <w:lang w:val="en-US" w:eastAsia="zh-CN"/>
                    </w:rPr>
                  </w:pPr>
                  <w:r>
                    <w:rPr>
                      <w:rFonts w:hint="eastAsia" w:ascii="Times New Roman" w:hAnsi="Times New Roman" w:cs="Times New Roman"/>
                      <w:b w:val="0"/>
                      <w:bCs/>
                      <w:color w:val="auto"/>
                      <w:kern w:val="0"/>
                      <w:szCs w:val="21"/>
                      <w:vertAlign w:val="baseline"/>
                      <w:lang w:val="en-US" w:eastAsia="zh-CN"/>
                    </w:rPr>
                    <w:t>6</w:t>
                  </w:r>
                </w:p>
              </w:tc>
              <w:tc>
                <w:tcPr>
                  <w:tcW w:w="2769" w:type="dxa"/>
                  <w:tcBorders>
                    <w:tl2br w:val="nil"/>
                    <w:tr2bl w:val="nil"/>
                  </w:tcBorders>
                  <w:vAlign w:val="center"/>
                </w:tcPr>
                <w:p>
                  <w:pPr>
                    <w:widowControl/>
                    <w:spacing w:line="240" w:lineRule="auto"/>
                    <w:jc w:val="center"/>
                    <w:rPr>
                      <w:rFonts w:hint="eastAsia" w:ascii="Times New Roman" w:hAnsi="Times New Roman" w:cs="Times New Roman" w:eastAsiaTheme="minorEastAsia"/>
                      <w:b w:val="0"/>
                      <w:bCs/>
                      <w:color w:val="auto"/>
                      <w:kern w:val="0"/>
                      <w:szCs w:val="21"/>
                      <w:vertAlign w:val="baseline"/>
                      <w:lang w:val="en-US" w:eastAsia="zh-CN"/>
                    </w:rPr>
                  </w:pPr>
                  <w:r>
                    <w:rPr>
                      <w:rFonts w:hint="eastAsia" w:ascii="Times New Roman" w:hAnsi="Times New Roman" w:cs="Times New Roman"/>
                      <w:b w:val="0"/>
                      <w:bCs/>
                      <w:color w:val="auto"/>
                      <w:kern w:val="0"/>
                      <w:szCs w:val="21"/>
                      <w:vertAlign w:val="baseline"/>
                      <w:lang w:val="en-US" w:eastAsia="zh-CN"/>
                    </w:rPr>
                    <w:t>TN</w:t>
                  </w:r>
                </w:p>
              </w:tc>
              <w:tc>
                <w:tcPr>
                  <w:tcW w:w="1730" w:type="dxa"/>
                  <w:tcBorders>
                    <w:tl2br w:val="nil"/>
                    <w:tr2bl w:val="nil"/>
                  </w:tcBorders>
                  <w:vAlign w:val="center"/>
                </w:tcPr>
                <w:p>
                  <w:pPr>
                    <w:widowControl/>
                    <w:spacing w:line="240" w:lineRule="auto"/>
                    <w:jc w:val="center"/>
                    <w:rPr>
                      <w:rFonts w:hint="eastAsia" w:ascii="Times New Roman" w:hAnsi="Times New Roman" w:cs="Times New Roman"/>
                      <w:b w:val="0"/>
                      <w:bCs/>
                      <w:color w:val="auto"/>
                      <w:kern w:val="0"/>
                      <w:szCs w:val="21"/>
                      <w:vertAlign w:val="baseline"/>
                      <w:lang w:val="en-US" w:eastAsia="zh-CN"/>
                    </w:rPr>
                  </w:pPr>
                  <w:r>
                    <w:rPr>
                      <w:rFonts w:hint="eastAsia" w:ascii="Times New Roman" w:hAnsi="Times New Roman" w:cs="Times New Roman"/>
                      <w:b w:val="0"/>
                      <w:bCs/>
                      <w:color w:val="auto"/>
                      <w:kern w:val="0"/>
                      <w:szCs w:val="21"/>
                      <w:vertAlign w:val="baseline"/>
                      <w:lang w:val="en-US" w:eastAsia="zh-CN"/>
                    </w:rPr>
                    <w:t>70</w:t>
                  </w:r>
                </w:p>
              </w:tc>
              <w:tc>
                <w:tcPr>
                  <w:tcW w:w="2386" w:type="dxa"/>
                  <w:vMerge w:val="continue"/>
                  <w:tcBorders>
                    <w:tl2br w:val="nil"/>
                    <w:tr2bl w:val="nil"/>
                  </w:tcBorders>
                  <w:vAlign w:val="center"/>
                </w:tcPr>
                <w:p>
                  <w:pPr>
                    <w:widowControl/>
                    <w:spacing w:line="240" w:lineRule="auto"/>
                    <w:jc w:val="center"/>
                    <w:rPr>
                      <w:rFonts w:hint="eastAsia" w:ascii="Times New Roman" w:hAnsi="Times New Roman" w:cs="Times New Roman"/>
                      <w:b w:val="0"/>
                      <w:bCs/>
                      <w:color w:val="auto"/>
                      <w:kern w:val="0"/>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95" w:type="dxa"/>
                  <w:tcBorders>
                    <w:tl2br w:val="nil"/>
                    <w:tr2bl w:val="nil"/>
                  </w:tcBorders>
                  <w:vAlign w:val="center"/>
                </w:tcPr>
                <w:p>
                  <w:pPr>
                    <w:widowControl/>
                    <w:spacing w:line="240" w:lineRule="auto"/>
                    <w:jc w:val="center"/>
                    <w:rPr>
                      <w:rFonts w:hint="eastAsia" w:ascii="Times New Roman" w:hAnsi="Times New Roman" w:cs="Times New Roman"/>
                      <w:b w:val="0"/>
                      <w:bCs/>
                      <w:color w:val="auto"/>
                      <w:kern w:val="0"/>
                      <w:szCs w:val="21"/>
                      <w:vertAlign w:val="baseline"/>
                      <w:lang w:val="en-US" w:eastAsia="zh-CN"/>
                    </w:rPr>
                  </w:pPr>
                  <w:r>
                    <w:rPr>
                      <w:rFonts w:hint="eastAsia" w:ascii="Times New Roman" w:hAnsi="Times New Roman" w:cs="Times New Roman"/>
                      <w:b w:val="0"/>
                      <w:bCs/>
                      <w:color w:val="auto"/>
                      <w:kern w:val="0"/>
                      <w:szCs w:val="21"/>
                      <w:vertAlign w:val="baseline"/>
                      <w:lang w:val="en-US" w:eastAsia="zh-CN"/>
                    </w:rPr>
                    <w:t>7</w:t>
                  </w:r>
                </w:p>
              </w:tc>
              <w:tc>
                <w:tcPr>
                  <w:tcW w:w="2769" w:type="dxa"/>
                  <w:tcBorders>
                    <w:tl2br w:val="nil"/>
                    <w:tr2bl w:val="nil"/>
                  </w:tcBorders>
                  <w:vAlign w:val="center"/>
                </w:tcPr>
                <w:p>
                  <w:pPr>
                    <w:widowControl/>
                    <w:spacing w:line="240" w:lineRule="auto"/>
                    <w:jc w:val="center"/>
                    <w:rPr>
                      <w:rFonts w:hint="default" w:ascii="Times New Roman" w:hAnsi="Times New Roman" w:cs="Times New Roman"/>
                      <w:b w:val="0"/>
                      <w:bCs/>
                      <w:color w:val="auto"/>
                      <w:kern w:val="0"/>
                      <w:szCs w:val="21"/>
                      <w:vertAlign w:val="baseline"/>
                    </w:rPr>
                  </w:pPr>
                  <w:r>
                    <w:rPr>
                      <w:rFonts w:hint="eastAsia" w:ascii="Times New Roman" w:hAnsi="Times New Roman" w:cs="Times New Roman"/>
                      <w:b w:val="0"/>
                      <w:bCs/>
                      <w:color w:val="auto"/>
                      <w:kern w:val="0"/>
                      <w:szCs w:val="21"/>
                      <w:vertAlign w:val="baseline"/>
                      <w:lang w:val="en-US" w:eastAsia="zh-CN"/>
                    </w:rPr>
                    <w:t>TP</w:t>
                  </w:r>
                </w:p>
              </w:tc>
              <w:tc>
                <w:tcPr>
                  <w:tcW w:w="1730" w:type="dxa"/>
                  <w:tcBorders>
                    <w:tl2br w:val="nil"/>
                    <w:tr2bl w:val="nil"/>
                  </w:tcBorders>
                  <w:vAlign w:val="center"/>
                </w:tcPr>
                <w:p>
                  <w:pPr>
                    <w:widowControl/>
                    <w:spacing w:line="240" w:lineRule="auto"/>
                    <w:jc w:val="center"/>
                    <w:rPr>
                      <w:rFonts w:hint="eastAsia" w:ascii="Times New Roman" w:hAnsi="Times New Roman" w:cs="Times New Roman"/>
                      <w:b w:val="0"/>
                      <w:bCs/>
                      <w:color w:val="auto"/>
                      <w:kern w:val="0"/>
                      <w:szCs w:val="21"/>
                      <w:vertAlign w:val="baseline"/>
                      <w:lang w:val="en-US" w:eastAsia="zh-CN"/>
                    </w:rPr>
                  </w:pPr>
                  <w:r>
                    <w:rPr>
                      <w:rFonts w:hint="eastAsia" w:ascii="Times New Roman" w:hAnsi="Times New Roman" w:cs="Times New Roman"/>
                      <w:b w:val="0"/>
                      <w:bCs/>
                      <w:color w:val="auto"/>
                      <w:kern w:val="0"/>
                      <w:szCs w:val="21"/>
                      <w:vertAlign w:val="baseline"/>
                      <w:lang w:val="en-US" w:eastAsia="zh-CN"/>
                    </w:rPr>
                    <w:t>8</w:t>
                  </w:r>
                </w:p>
              </w:tc>
              <w:tc>
                <w:tcPr>
                  <w:tcW w:w="2386" w:type="dxa"/>
                  <w:vMerge w:val="continue"/>
                  <w:tcBorders>
                    <w:tl2br w:val="nil"/>
                    <w:tr2bl w:val="nil"/>
                  </w:tcBorders>
                  <w:vAlign w:val="center"/>
                </w:tcPr>
                <w:p>
                  <w:pPr>
                    <w:widowControl/>
                    <w:spacing w:line="240" w:lineRule="auto"/>
                    <w:jc w:val="center"/>
                    <w:rPr>
                      <w:rFonts w:hint="eastAsia" w:ascii="Times New Roman" w:hAnsi="Times New Roman" w:cs="Times New Roman"/>
                      <w:b w:val="0"/>
                      <w:bCs/>
                      <w:color w:val="auto"/>
                      <w:kern w:val="0"/>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3、厂界噪声执行</w:t>
            </w:r>
            <w:r>
              <w:rPr>
                <w:rFonts w:hint="default" w:ascii="Times New Roman" w:hAnsi="Times New Roman" w:eastAsia="宋体" w:cs="Times New Roman"/>
                <w:color w:val="auto"/>
                <w:sz w:val="21"/>
                <w:szCs w:val="21"/>
              </w:rPr>
              <w:t>《工业企业环境噪声排放标准》（GB12348-2008）</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类标准限值；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表</w:t>
            </w:r>
            <w:r>
              <w:rPr>
                <w:rFonts w:hint="eastAsia" w:ascii="Times New Roman" w:hAnsi="Times New Roman" w:eastAsia="宋体" w:cs="Times New Roman"/>
                <w:b w:val="0"/>
                <w:bCs w:val="0"/>
                <w:color w:val="auto"/>
                <w:sz w:val="21"/>
                <w:szCs w:val="21"/>
                <w:lang w:val="en-US" w:eastAsia="zh-CN"/>
              </w:rPr>
              <w:t>13</w:t>
            </w:r>
            <w:r>
              <w:rPr>
                <w:rFonts w:hint="default" w:ascii="Times New Roman" w:hAnsi="Times New Roman" w:eastAsia="宋体" w:cs="Times New Roman"/>
                <w:b w:val="0"/>
                <w:bCs w:val="0"/>
                <w:color w:val="auto"/>
                <w:sz w:val="21"/>
                <w:szCs w:val="21"/>
              </w:rPr>
              <w:t xml:space="preserve">  </w:t>
            </w:r>
            <w:r>
              <w:rPr>
                <w:rFonts w:hint="eastAsia"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 xml:space="preserve"> 工业企业厂界环境噪声排放限值   单位：dB（A）</w:t>
            </w:r>
          </w:p>
          <w:tbl>
            <w:tblPr>
              <w:tblStyle w:val="28"/>
              <w:tblW w:w="7880"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90"/>
              <w:gridCol w:w="2244"/>
              <w:gridCol w:w="22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3390" w:type="dxa"/>
                  <w:vMerge w:val="restart"/>
                  <w:tcBorders>
                    <w:tl2br w:val="nil"/>
                    <w:tr2bl w:val="nil"/>
                  </w:tcBorders>
                  <w:vAlign w:val="center"/>
                </w:tcPr>
                <w:p>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厂界外声环境功能区类别</w:t>
                  </w:r>
                </w:p>
              </w:tc>
              <w:tc>
                <w:tcPr>
                  <w:tcW w:w="4490" w:type="dxa"/>
                  <w:gridSpan w:val="2"/>
                  <w:tcBorders>
                    <w:tl2br w:val="nil"/>
                    <w:tr2bl w:val="nil"/>
                  </w:tcBorders>
                  <w:vAlign w:val="center"/>
                </w:tcPr>
                <w:p>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390" w:type="dxa"/>
                  <w:vMerge w:val="continue"/>
                  <w:tcBorders>
                    <w:tl2br w:val="nil"/>
                    <w:tr2bl w:val="nil"/>
                  </w:tcBorders>
                  <w:vAlign w:val="center"/>
                </w:tcPr>
                <w:p>
                  <w:pPr>
                    <w:jc w:val="center"/>
                    <w:rPr>
                      <w:rFonts w:hint="default" w:ascii="Times New Roman" w:hAnsi="Times New Roman" w:eastAsia="宋体" w:cs="Times New Roman"/>
                      <w:b w:val="0"/>
                      <w:bCs w:val="0"/>
                      <w:color w:val="auto"/>
                      <w:sz w:val="21"/>
                      <w:szCs w:val="21"/>
                    </w:rPr>
                  </w:pPr>
                </w:p>
              </w:tc>
              <w:tc>
                <w:tcPr>
                  <w:tcW w:w="2244" w:type="dxa"/>
                  <w:tcBorders>
                    <w:tl2br w:val="nil"/>
                    <w:tr2bl w:val="nil"/>
                  </w:tcBorders>
                  <w:vAlign w:val="center"/>
                </w:tcPr>
                <w:p>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昼间</w:t>
                  </w:r>
                </w:p>
              </w:tc>
              <w:tc>
                <w:tcPr>
                  <w:tcW w:w="2246" w:type="dxa"/>
                  <w:tcBorders>
                    <w:tl2br w:val="nil"/>
                    <w:tr2bl w:val="nil"/>
                  </w:tcBorders>
                  <w:vAlign w:val="center"/>
                </w:tcPr>
                <w:p>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390" w:type="dxa"/>
                  <w:tcBorders>
                    <w:tl2br w:val="nil"/>
                    <w:tr2bl w:val="nil"/>
                  </w:tcBorders>
                  <w:vAlign w:val="center"/>
                </w:tcPr>
                <w:p>
                  <w:pPr>
                    <w:jc w:val="center"/>
                    <w:rPr>
                      <w:rFonts w:hint="eastAsia" w:ascii="Times New Roman" w:hAnsi="Times New Roman" w:eastAsia="宋体" w:cs="Times New Roman"/>
                      <w:b w:val="0"/>
                      <w:bCs w:val="0"/>
                      <w:color w:val="auto"/>
                      <w:sz w:val="21"/>
                      <w:szCs w:val="21"/>
                      <w:lang w:eastAsia="zh-CN"/>
                    </w:rPr>
                  </w:pPr>
                  <w:r>
                    <w:rPr>
                      <w:rFonts w:hint="eastAsia" w:eastAsia="宋体" w:cs="Times New Roman"/>
                      <w:b w:val="0"/>
                      <w:bCs w:val="0"/>
                      <w:color w:val="auto"/>
                      <w:sz w:val="21"/>
                      <w:szCs w:val="21"/>
                      <w:lang w:val="en-US" w:eastAsia="zh-CN"/>
                    </w:rPr>
                    <w:t>2</w:t>
                  </w:r>
                </w:p>
              </w:tc>
              <w:tc>
                <w:tcPr>
                  <w:tcW w:w="2244" w:type="dxa"/>
                  <w:tcBorders>
                    <w:tl2br w:val="nil"/>
                    <w:tr2bl w:val="nil"/>
                  </w:tcBorders>
                  <w:vAlign w:val="center"/>
                </w:tcPr>
                <w:p>
                  <w:pPr>
                    <w:jc w:val="center"/>
                    <w:rPr>
                      <w:rFonts w:hint="default" w:ascii="Times New Roman" w:hAnsi="Times New Roman" w:eastAsia="宋体" w:cs="Times New Roman"/>
                      <w:b w:val="0"/>
                      <w:bCs w:val="0"/>
                      <w:color w:val="auto"/>
                      <w:sz w:val="21"/>
                      <w:szCs w:val="21"/>
                      <w:lang w:val="en-US"/>
                    </w:rPr>
                  </w:pPr>
                  <w:r>
                    <w:rPr>
                      <w:rFonts w:hint="eastAsia" w:ascii="Times New Roman" w:hAnsi="Times New Roman" w:eastAsia="宋体" w:cs="Times New Roman"/>
                      <w:b w:val="0"/>
                      <w:bCs w:val="0"/>
                      <w:color w:val="auto"/>
                      <w:sz w:val="21"/>
                      <w:szCs w:val="21"/>
                      <w:lang w:val="en-US" w:eastAsia="zh-CN"/>
                    </w:rPr>
                    <w:t>60</w:t>
                  </w:r>
                </w:p>
              </w:tc>
              <w:tc>
                <w:tcPr>
                  <w:tcW w:w="2246" w:type="dxa"/>
                  <w:tcBorders>
                    <w:tl2br w:val="nil"/>
                    <w:tr2bl w:val="nil"/>
                  </w:tcBorders>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50</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 xml:space="preserve"> 项目地上居民区</w:t>
            </w:r>
            <w:r>
              <w:rPr>
                <w:rFonts w:hint="eastAsia"/>
                <w:color w:val="FF0000"/>
                <w:lang w:val="en-US" w:eastAsia="zh-CN"/>
              </w:rPr>
              <w:t>（不在本锅炉房正上方）</w:t>
            </w:r>
            <w:r>
              <w:rPr>
                <w:rFonts w:hint="eastAsia"/>
                <w:color w:val="auto"/>
                <w:lang w:val="en-US" w:eastAsia="zh-CN"/>
              </w:rPr>
              <w:t>建筑物室内等效声级不得超过结构传播固定设备室内噪声排放限值，见表14。</w:t>
            </w:r>
          </w:p>
          <w:p>
            <w:pPr>
              <w:pStyle w:val="8"/>
              <w:rPr>
                <w:rFonts w:hint="eastAsia"/>
                <w:color w:val="auto"/>
                <w:lang w:val="en-US" w:eastAsia="zh-CN"/>
              </w:rPr>
            </w:pPr>
          </w:p>
          <w:p>
            <w:pPr>
              <w:pStyle w:val="33"/>
              <w:rPr>
                <w:rFonts w:hint="eastAsia"/>
                <w:color w:val="auto"/>
                <w:lang w:val="en-US" w:eastAsia="zh-CN"/>
              </w:rPr>
            </w:pPr>
          </w:p>
          <w:p>
            <w:pPr>
              <w:rPr>
                <w:rFonts w:hint="eastAsia"/>
                <w:color w:val="auto"/>
                <w:lang w:val="en-US" w:eastAsia="zh-CN"/>
              </w:rPr>
            </w:pPr>
          </w:p>
          <w:p>
            <w:pPr>
              <w:pStyle w:val="8"/>
              <w:rPr>
                <w:rFonts w:hint="eastAsia"/>
                <w:color w:val="auto"/>
                <w:lang w:val="en-US" w:eastAsia="zh-CN"/>
              </w:rPr>
            </w:pPr>
          </w:p>
          <w:p>
            <w:pPr>
              <w:pStyle w:val="33"/>
              <w:rPr>
                <w:rFonts w:hint="eastAsia"/>
                <w:color w:val="auto"/>
                <w:lang w:val="en-US" w:eastAsia="zh-CN"/>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lang w:val="en-US" w:eastAsia="zh-CN"/>
              </w:rPr>
            </w:pPr>
            <w:r>
              <w:rPr>
                <w:rFonts w:hint="default"/>
                <w:color w:val="auto"/>
                <w:lang w:val="en-US" w:eastAsia="zh-CN"/>
              </w:rPr>
              <w:t>表</w:t>
            </w:r>
            <w:r>
              <w:rPr>
                <w:rFonts w:hint="eastAsia"/>
                <w:color w:val="auto"/>
                <w:lang w:val="en-US" w:eastAsia="zh-CN"/>
              </w:rPr>
              <w:t>14</w:t>
            </w:r>
            <w:r>
              <w:rPr>
                <w:rFonts w:hint="default"/>
                <w:color w:val="auto"/>
                <w:lang w:val="en-US" w:eastAsia="zh-CN"/>
              </w:rPr>
              <w:t xml:space="preserve">  </w:t>
            </w:r>
            <w:r>
              <w:rPr>
                <w:rFonts w:hint="eastAsia"/>
                <w:color w:val="auto"/>
                <w:lang w:val="en-US" w:eastAsia="zh-CN"/>
              </w:rPr>
              <w:t xml:space="preserve">   结构传播固定设备室内噪声排放限值（等效声级） </w:t>
            </w:r>
            <w:r>
              <w:rPr>
                <w:rFonts w:hint="default"/>
                <w:color w:val="auto"/>
                <w:lang w:val="en-US" w:eastAsia="zh-CN"/>
              </w:rPr>
              <w:t xml:space="preserve">   单位：dB（A）</w:t>
            </w:r>
          </w:p>
          <w:tbl>
            <w:tblPr>
              <w:tblStyle w:val="28"/>
              <w:tblW w:w="776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1403"/>
              <w:gridCol w:w="1300"/>
              <w:gridCol w:w="1433"/>
              <w:gridCol w:w="13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2319" w:type="dxa"/>
                  <w:vMerge w:val="restart"/>
                  <w:tcBorders>
                    <w:tl2br w:val="nil"/>
                    <w:tr2bl w:val="nil"/>
                  </w:tcBorders>
                  <w:vAlign w:val="center"/>
                  <mc:AlternateContent>
                    <mc:Choice Requires="wpsCustomData">
                      <wpsCustomData:diagonals>
                        <wpsCustomData:diagonal from="10000" to="30000">
                          <wpsCustomData:border w:val="single" w:color="auto" w:sz="12" w:space="0"/>
                        </wpsCustomData:diagonal>
                      </wpsCustomData:diagonals>
                    </mc:Choice>
                  </mc:AlternateContent>
                </w:tcPr>
                <w:p>
                  <w:pPr>
                    <w:snapToGrid w:val="0"/>
                    <w:spacing w:line="240" w:lineRule="auto"/>
                    <w:jc w:val="both"/>
                    <w:rPr>
                      <w:rFonts w:hint="eastAsia"/>
                      <w:color w:val="auto"/>
                      <w:lang w:val="en-US" w:eastAsia="zh-CN"/>
                    </w:rPr>
                  </w:pPr>
                </w:p>
                <w:p>
                  <w:pPr>
                    <w:snapToGrid w:val="0"/>
                    <w:spacing w:line="240" w:lineRule="auto"/>
                    <w:jc w:val="both"/>
                    <mc:AlternateContent>
                      <mc:Choice Requires="wpsCustomData">
                        <wpsCustomData:diagonalParaType/>
                      </mc:Choice>
                    </mc:AlternateContent>
                    <w:rPr>
                      <w:rFonts w:hint="eastAsia"/>
                      <w:color w:val="auto"/>
                      <w:lang w:val="en-US" w:eastAsia="zh-CN"/>
                    </w:rPr>
                  </w:pPr>
                  <w:r>
                    <w:rPr>
                      <w:rFonts w:hint="eastAsia"/>
                      <w:color w:val="auto"/>
                      <w:lang w:val="en-US" w:eastAsia="zh-CN"/>
                    </w:rPr>
                    <w:t xml:space="preserve">       </w:t>
                  </w:r>
                  <w:r>
                    <w:rPr>
                      <w:rFonts w:hint="default"/>
                      <w:color w:val="auto"/>
                    </w:rPr>
                    <w:t>环境功能区</w:t>
                  </w:r>
                </w:p>
                <w:p>
                  <w:pPr>
                    <w:jc w:val="both"/>
                    <w:rPr>
                      <w:rFonts w:hint="default"/>
                      <w:color w:val="auto"/>
                    </w:rPr>
                  </w:pPr>
                  <w:r>
                    <w:rPr>
                      <w:rFonts w:hint="eastAsia"/>
                      <w:color w:val="auto"/>
                      <w:lang w:val="en-US" w:eastAsia="zh-CN"/>
                    </w:rPr>
                    <w:t xml:space="preserve">    房间类型</w:t>
                  </w:r>
                </w:p>
              </w:tc>
              <w:tc>
                <w:tcPr>
                  <w:tcW w:w="2703" w:type="dxa"/>
                  <w:gridSpan w:val="2"/>
                  <w:tcBorders>
                    <w:tl2br w:val="nil"/>
                    <w:tr2bl w:val="nil"/>
                  </w:tcBorders>
                  <w:vAlign w:val="center"/>
                </w:tcPr>
                <w:p>
                  <w:pPr>
                    <w:jc w:val="center"/>
                    <w:rPr>
                      <w:rFonts w:hint="eastAsia"/>
                      <w:color w:val="auto"/>
                      <w:lang w:eastAsia="zh-CN"/>
                    </w:rPr>
                  </w:pPr>
                  <w:r>
                    <w:rPr>
                      <w:rFonts w:hint="eastAsia"/>
                      <w:color w:val="auto"/>
                      <w:lang w:val="en-US" w:eastAsia="zh-CN"/>
                    </w:rPr>
                    <w:t>A类房间</w:t>
                  </w:r>
                </w:p>
              </w:tc>
              <w:tc>
                <w:tcPr>
                  <w:tcW w:w="2738" w:type="dxa"/>
                  <w:gridSpan w:val="2"/>
                  <w:tcBorders>
                    <w:tl2br w:val="nil"/>
                    <w:tr2bl w:val="nil"/>
                  </w:tcBorders>
                  <w:vAlign w:val="center"/>
                </w:tcPr>
                <w:p>
                  <w:pPr>
                    <w:jc w:val="center"/>
                    <w:rPr>
                      <w:rFonts w:hint="default"/>
                      <w:color w:val="auto"/>
                    </w:rPr>
                  </w:pPr>
                  <w:r>
                    <w:rPr>
                      <w:rFonts w:hint="eastAsia"/>
                      <w:color w:val="auto"/>
                      <w:lang w:val="en-US" w:eastAsia="zh-CN"/>
                    </w:rPr>
                    <w:t>B类房间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319" w:type="dxa"/>
                  <w:vMerge w:val="continue"/>
                  <w:tcBorders>
                    <w:tl2br w:val="nil"/>
                    <w:tr2bl w:val="nil"/>
                  </w:tcBorders>
                  <w:vAlign w:val="center"/>
                </w:tcPr>
                <w:p>
                  <w:pPr>
                    <w:jc w:val="center"/>
                    <w:rPr>
                      <w:rFonts w:hint="default"/>
                      <w:color w:val="auto"/>
                    </w:rPr>
                  </w:pPr>
                </w:p>
              </w:tc>
              <w:tc>
                <w:tcPr>
                  <w:tcW w:w="1403" w:type="dxa"/>
                  <w:tcBorders>
                    <w:tl2br w:val="nil"/>
                    <w:tr2bl w:val="nil"/>
                  </w:tcBorders>
                  <w:vAlign w:val="center"/>
                </w:tcPr>
                <w:p>
                  <w:pPr>
                    <w:jc w:val="center"/>
                    <w:rPr>
                      <w:rFonts w:hint="default"/>
                      <w:color w:val="auto"/>
                    </w:rPr>
                  </w:pPr>
                  <w:r>
                    <w:rPr>
                      <w:rFonts w:hint="default"/>
                      <w:color w:val="auto"/>
                    </w:rPr>
                    <w:t>昼间</w:t>
                  </w:r>
                </w:p>
              </w:tc>
              <w:tc>
                <w:tcPr>
                  <w:tcW w:w="1300" w:type="dxa"/>
                  <w:tcBorders>
                    <w:tl2br w:val="nil"/>
                    <w:tr2bl w:val="nil"/>
                  </w:tcBorders>
                  <w:vAlign w:val="center"/>
                </w:tcPr>
                <w:p>
                  <w:pPr>
                    <w:jc w:val="center"/>
                    <w:rPr>
                      <w:rFonts w:hint="default"/>
                      <w:color w:val="auto"/>
                    </w:rPr>
                  </w:pPr>
                  <w:r>
                    <w:rPr>
                      <w:rFonts w:hint="default"/>
                      <w:color w:val="auto"/>
                    </w:rPr>
                    <w:t>夜间</w:t>
                  </w:r>
                </w:p>
              </w:tc>
              <w:tc>
                <w:tcPr>
                  <w:tcW w:w="1433" w:type="dxa"/>
                  <w:tcBorders>
                    <w:tl2br w:val="nil"/>
                    <w:tr2bl w:val="nil"/>
                  </w:tcBorders>
                  <w:vAlign w:val="center"/>
                </w:tcPr>
                <w:p>
                  <w:pPr>
                    <w:jc w:val="center"/>
                    <w:rPr>
                      <w:rFonts w:hint="default"/>
                      <w:color w:val="auto"/>
                    </w:rPr>
                  </w:pPr>
                  <w:r>
                    <w:rPr>
                      <w:rFonts w:hint="default"/>
                      <w:color w:val="auto"/>
                    </w:rPr>
                    <w:t>昼间</w:t>
                  </w:r>
                </w:p>
              </w:tc>
              <w:tc>
                <w:tcPr>
                  <w:tcW w:w="1305" w:type="dxa"/>
                  <w:tcBorders>
                    <w:tl2br w:val="nil"/>
                    <w:tr2bl w:val="nil"/>
                  </w:tcBorders>
                  <w:vAlign w:val="center"/>
                </w:tcPr>
                <w:p>
                  <w:pPr>
                    <w:jc w:val="center"/>
                    <w:rPr>
                      <w:rFonts w:hint="default"/>
                      <w:color w:val="auto"/>
                    </w:rPr>
                  </w:pPr>
                  <w:r>
                    <w:rPr>
                      <w:rFonts w:hint="default"/>
                      <w:color w:val="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2319" w:type="dxa"/>
                  <w:tcBorders>
                    <w:tl2br w:val="nil"/>
                    <w:tr2bl w:val="nil"/>
                  </w:tcBorders>
                  <w:vAlign w:val="center"/>
                </w:tcPr>
                <w:p>
                  <w:pPr>
                    <w:jc w:val="center"/>
                    <w:rPr>
                      <w:rFonts w:hint="eastAsia"/>
                      <w:color w:val="auto"/>
                      <w:lang w:eastAsia="zh-CN"/>
                    </w:rPr>
                  </w:pPr>
                  <w:r>
                    <w:rPr>
                      <w:rFonts w:hint="eastAsia"/>
                      <w:color w:val="auto"/>
                      <w:lang w:val="en-US" w:eastAsia="zh-CN"/>
                    </w:rPr>
                    <w:t>2</w:t>
                  </w:r>
                </w:p>
              </w:tc>
              <w:tc>
                <w:tcPr>
                  <w:tcW w:w="1403" w:type="dxa"/>
                  <w:tcBorders>
                    <w:tl2br w:val="nil"/>
                    <w:tr2bl w:val="nil"/>
                  </w:tcBorders>
                  <w:vAlign w:val="center"/>
                </w:tcPr>
                <w:p>
                  <w:pPr>
                    <w:jc w:val="center"/>
                    <w:rPr>
                      <w:rFonts w:hint="default"/>
                      <w:color w:val="auto"/>
                      <w:lang w:val="en-US"/>
                    </w:rPr>
                  </w:pPr>
                  <w:r>
                    <w:rPr>
                      <w:rFonts w:hint="eastAsia"/>
                      <w:color w:val="auto"/>
                      <w:lang w:val="en-US" w:eastAsia="zh-CN"/>
                    </w:rPr>
                    <w:t>45</w:t>
                  </w:r>
                </w:p>
              </w:tc>
              <w:tc>
                <w:tcPr>
                  <w:tcW w:w="1300" w:type="dxa"/>
                  <w:tcBorders>
                    <w:tl2br w:val="nil"/>
                    <w:tr2bl w:val="nil"/>
                  </w:tcBorders>
                  <w:vAlign w:val="center"/>
                </w:tcPr>
                <w:p>
                  <w:pPr>
                    <w:jc w:val="center"/>
                    <w:rPr>
                      <w:rFonts w:hint="eastAsia"/>
                      <w:color w:val="auto"/>
                      <w:lang w:val="en-US" w:eastAsia="zh-CN"/>
                    </w:rPr>
                  </w:pPr>
                  <w:r>
                    <w:rPr>
                      <w:rFonts w:hint="eastAsia"/>
                      <w:color w:val="auto"/>
                      <w:lang w:val="en-US" w:eastAsia="zh-CN"/>
                    </w:rPr>
                    <w:t>35</w:t>
                  </w:r>
                </w:p>
              </w:tc>
              <w:tc>
                <w:tcPr>
                  <w:tcW w:w="1433" w:type="dxa"/>
                  <w:tcBorders>
                    <w:tl2br w:val="nil"/>
                    <w:tr2bl w:val="nil"/>
                  </w:tcBorders>
                  <w:vAlign w:val="center"/>
                </w:tcPr>
                <w:p>
                  <w:pPr>
                    <w:jc w:val="center"/>
                    <w:rPr>
                      <w:rFonts w:hint="default"/>
                      <w:color w:val="auto"/>
                      <w:lang w:val="en-US" w:eastAsia="zh-CN"/>
                    </w:rPr>
                  </w:pPr>
                  <w:r>
                    <w:rPr>
                      <w:rFonts w:hint="eastAsia"/>
                      <w:color w:val="auto"/>
                      <w:lang w:val="en-US" w:eastAsia="zh-CN"/>
                    </w:rPr>
                    <w:t>50</w:t>
                  </w:r>
                </w:p>
              </w:tc>
              <w:tc>
                <w:tcPr>
                  <w:tcW w:w="1305" w:type="dxa"/>
                  <w:tcBorders>
                    <w:tl2br w:val="nil"/>
                    <w:tr2bl w:val="nil"/>
                  </w:tcBorders>
                  <w:vAlign w:val="center"/>
                </w:tcPr>
                <w:p>
                  <w:pPr>
                    <w:jc w:val="center"/>
                    <w:rPr>
                      <w:rFonts w:hint="eastAsia"/>
                      <w:color w:val="auto"/>
                      <w:lang w:val="en-US" w:eastAsia="zh-CN"/>
                    </w:rPr>
                  </w:pPr>
                  <w:r>
                    <w:rPr>
                      <w:rFonts w:hint="eastAsia"/>
                      <w:color w:val="auto"/>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7760" w:type="dxa"/>
                  <w:gridSpan w:val="5"/>
                  <w:tcBorders>
                    <w:tl2br w:val="nil"/>
                    <w:tr2bl w:val="nil"/>
                  </w:tcBorders>
                  <w:vAlign w:val="center"/>
                </w:tcPr>
                <w:p>
                  <w:pPr>
                    <w:jc w:val="both"/>
                    <w:rPr>
                      <w:rFonts w:hint="eastAsia"/>
                      <w:color w:val="auto"/>
                      <w:lang w:val="en-US" w:eastAsia="zh-CN"/>
                    </w:rPr>
                  </w:pPr>
                  <w:r>
                    <w:rPr>
                      <w:rFonts w:hint="eastAsia"/>
                      <w:color w:val="auto"/>
                      <w:lang w:val="en-US" w:eastAsia="zh-CN"/>
                    </w:rPr>
                    <w:t>说明：A 类房间———指以睡眠为主要目的，需要保证夜间安静的房间，包括住宅卧室、医院病房、宾馆客房等。 B 类房间———指主要在昼间使用，需要保证思考与精神集中、正常讲话不被干扰的房间，包括学校教室、会议室、办公室、住宅中卧室以外的其他房间等。</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ascii="宋体" w:hAnsi="宋体" w:cs="宋体"/>
                <w:color w:val="auto"/>
                <w:kern w:val="0"/>
                <w:szCs w:val="21"/>
              </w:rPr>
            </w:pPr>
            <w:r>
              <w:rPr>
                <w:rFonts w:hint="eastAsia" w:ascii="Times New Roman" w:hAnsi="Times New Roman" w:eastAsia="宋体" w:cs="Times New Roman"/>
                <w:color w:val="auto"/>
                <w:sz w:val="21"/>
                <w:szCs w:val="21"/>
                <w:lang w:val="en-US" w:eastAsia="zh-CN"/>
              </w:rPr>
              <w:t>4、生产固废执行《一般工业固体废物贮存和填埋污染控制标准》(GB18599-2020)。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70" w:hRule="atLeast"/>
          <w:jc w:val="center"/>
        </w:trPr>
        <w:tc>
          <w:tcPr>
            <w:tcW w:w="800" w:type="dxa"/>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总量</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控制</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指标</w:t>
            </w:r>
          </w:p>
        </w:tc>
        <w:tc>
          <w:tcPr>
            <w:tcW w:w="81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default"/>
                <w:color w:val="0000FF"/>
                <w:lang w:val="en-US" w:eastAsia="zh-CN"/>
              </w:rPr>
            </w:pPr>
            <w:r>
              <w:rPr>
                <w:rFonts w:hint="eastAsia"/>
                <w:color w:val="auto"/>
                <w:lang w:val="en-US" w:eastAsia="zh-CN"/>
              </w:rPr>
              <w:t xml:space="preserve">    </w:t>
            </w:r>
            <w:r>
              <w:rPr>
                <w:rFonts w:hint="default"/>
                <w:color w:val="0000FF"/>
                <w:lang w:val="en-US" w:eastAsia="zh-CN"/>
              </w:rPr>
              <w:t>根据重点区域大气污染物实行2倍</w:t>
            </w:r>
            <w:r>
              <w:rPr>
                <w:rFonts w:hint="eastAsia"/>
                <w:color w:val="0000FF"/>
                <w:lang w:val="en-US" w:eastAsia="zh-CN"/>
              </w:rPr>
              <w:t>削减</w:t>
            </w:r>
            <w:r>
              <w:rPr>
                <w:rFonts w:hint="default"/>
                <w:color w:val="0000FF"/>
                <w:lang w:val="en-US" w:eastAsia="zh-CN"/>
              </w:rPr>
              <w:t>替代的要求，本项目</w:t>
            </w:r>
            <w:r>
              <w:rPr>
                <w:rFonts w:hint="eastAsia"/>
                <w:color w:val="0000FF"/>
                <w:lang w:val="en-US" w:eastAsia="zh-CN"/>
              </w:rPr>
              <w:t>申请</w:t>
            </w:r>
            <w:r>
              <w:rPr>
                <w:rFonts w:hint="default"/>
                <w:color w:val="0000FF"/>
                <w:lang w:val="en-US" w:eastAsia="zh-CN"/>
              </w:rPr>
              <w:t>污染物排放总量</w:t>
            </w:r>
            <w:r>
              <w:rPr>
                <w:rFonts w:hint="eastAsia"/>
                <w:color w:val="0000FF"/>
                <w:lang w:val="en-US" w:eastAsia="zh-CN"/>
              </w:rPr>
              <w:t>指</w:t>
            </w:r>
            <w:r>
              <w:rPr>
                <w:rFonts w:hint="default"/>
                <w:color w:val="0000FF"/>
                <w:lang w:val="en-US" w:eastAsia="zh-CN"/>
              </w:rPr>
              <w:t>标为：</w:t>
            </w:r>
            <w:r>
              <w:rPr>
                <w:rFonts w:hint="eastAsia"/>
                <w:color w:val="0000FF"/>
                <w:lang w:val="en-US" w:eastAsia="zh-CN"/>
              </w:rPr>
              <w:t>SO</w:t>
            </w:r>
            <w:r>
              <w:rPr>
                <w:rFonts w:hint="eastAsia"/>
                <w:color w:val="0000FF"/>
                <w:vertAlign w:val="subscript"/>
                <w:lang w:val="en-US" w:eastAsia="zh-CN"/>
              </w:rPr>
              <w:t>2</w:t>
            </w:r>
            <w:r>
              <w:rPr>
                <w:rFonts w:hint="default"/>
                <w:color w:val="0000FF"/>
                <w:lang w:val="en-US" w:eastAsia="zh-CN"/>
              </w:rPr>
              <w:t>：</w:t>
            </w:r>
            <w:r>
              <w:rPr>
                <w:rFonts w:hint="eastAsia"/>
                <w:color w:val="0000FF"/>
                <w:lang w:val="en-US" w:eastAsia="zh-CN"/>
              </w:rPr>
              <w:t>0.84</w:t>
            </w:r>
            <w:r>
              <w:rPr>
                <w:rFonts w:hint="default"/>
                <w:color w:val="0000FF"/>
                <w:lang w:val="en-US" w:eastAsia="zh-CN"/>
              </w:rPr>
              <w:t>t/a</w:t>
            </w:r>
            <w:r>
              <w:rPr>
                <w:rFonts w:hint="eastAsia"/>
                <w:color w:val="0000FF"/>
                <w:lang w:val="en-US" w:eastAsia="zh-CN"/>
              </w:rPr>
              <w:t>、</w:t>
            </w:r>
            <w:r>
              <w:rPr>
                <w:rFonts w:hint="default"/>
                <w:color w:val="0000FF"/>
                <w:lang w:val="en-US" w:eastAsia="zh-CN"/>
              </w:rPr>
              <w:t>NOx：</w:t>
            </w:r>
            <w:r>
              <w:rPr>
                <w:rFonts w:hint="eastAsia"/>
                <w:color w:val="0000FF"/>
                <w:lang w:val="en-US" w:eastAsia="zh-CN"/>
              </w:rPr>
              <w:t>1.36</w:t>
            </w:r>
            <w:bookmarkStart w:id="7" w:name="_GoBack"/>
            <w:bookmarkEnd w:id="7"/>
            <w:r>
              <w:rPr>
                <w:rFonts w:hint="default"/>
                <w:color w:val="0000FF"/>
                <w:lang w:val="en-US" w:eastAsia="zh-CN"/>
              </w:rPr>
              <w:t>t/a</w:t>
            </w:r>
            <w:r>
              <w:rPr>
                <w:rFonts w:hint="eastAsia"/>
                <w:color w:val="0000FF"/>
                <w:lang w:val="en-US" w:eastAsia="zh-CN"/>
              </w:rPr>
              <w:t>、</w:t>
            </w:r>
            <w:r>
              <w:rPr>
                <w:rFonts w:hint="eastAsia"/>
                <w:color w:val="0000FF"/>
                <w:sz w:val="21"/>
                <w:szCs w:val="21"/>
                <w:lang w:val="en-US" w:eastAsia="zh-CN"/>
              </w:rPr>
              <w:t>颗粒物：</w:t>
            </w:r>
            <w:r>
              <w:rPr>
                <w:rFonts w:hint="eastAsia"/>
                <w:color w:val="0000FF"/>
                <w:lang w:val="en-US" w:eastAsia="zh-CN"/>
              </w:rPr>
              <w:t>0.84</w:t>
            </w:r>
            <w:r>
              <w:rPr>
                <w:rFonts w:hint="default"/>
                <w:color w:val="0000FF"/>
                <w:lang w:val="en-US" w:eastAsia="zh-CN"/>
              </w:rPr>
              <w:t>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jc w:val="both"/>
              <w:textAlignment w:val="auto"/>
              <w:rPr>
                <w:rFonts w:hint="eastAsia"/>
                <w:color w:val="auto"/>
                <w:lang w:val="en-US" w:eastAsia="zh-CN"/>
              </w:rPr>
            </w:pPr>
            <w:r>
              <w:rPr>
                <w:rFonts w:hint="eastAsia"/>
                <w:color w:val="auto"/>
                <w:lang w:val="en-US" w:eastAsia="zh-CN"/>
              </w:rPr>
              <w:t>削减来源由当地生态环境管理部门核定。</w:t>
            </w:r>
          </w:p>
          <w:p>
            <w:pPr>
              <w:pStyle w:val="2"/>
              <w:ind w:firstLine="420"/>
              <w:rPr>
                <w:rFonts w:hint="default"/>
                <w:color w:val="auto"/>
                <w:lang w:val="en-US" w:eastAsia="zh-CN"/>
              </w:rPr>
            </w:pPr>
          </w:p>
          <w:p>
            <w:pPr>
              <w:pStyle w:val="2"/>
              <w:ind w:firstLine="420"/>
              <w:rPr>
                <w:rFonts w:hint="default"/>
                <w:color w:val="auto"/>
                <w:lang w:val="en-US" w:eastAsia="zh-CN"/>
              </w:rPr>
            </w:pPr>
            <w:r>
              <w:rPr>
                <w:rFonts w:hint="eastAsia"/>
                <w:color w:val="auto"/>
                <w:lang w:val="en-US" w:eastAsia="zh-CN"/>
              </w:rPr>
              <w:t xml:space="preserve"> </w:t>
            </w:r>
          </w:p>
          <w:p>
            <w:pPr>
              <w:pStyle w:val="2"/>
              <w:ind w:firstLine="420"/>
              <w:rPr>
                <w:rFonts w:hint="default"/>
                <w:color w:val="auto"/>
                <w:lang w:val="en-US" w:eastAsia="zh-CN"/>
              </w:rPr>
            </w:pPr>
          </w:p>
          <w:p>
            <w:pPr>
              <w:pStyle w:val="2"/>
              <w:ind w:firstLine="420"/>
              <w:rPr>
                <w:rFonts w:hint="default"/>
                <w:color w:val="auto"/>
                <w:lang w:val="en-US" w:eastAsia="zh-CN"/>
              </w:rPr>
            </w:pPr>
          </w:p>
          <w:p>
            <w:pPr>
              <w:pStyle w:val="2"/>
              <w:ind w:firstLine="420"/>
              <w:rPr>
                <w:rFonts w:hint="default"/>
                <w:color w:val="auto"/>
                <w:lang w:val="en-US" w:eastAsia="zh-CN"/>
              </w:rPr>
            </w:pPr>
          </w:p>
          <w:p>
            <w:pPr>
              <w:pStyle w:val="2"/>
              <w:ind w:firstLine="420"/>
              <w:rPr>
                <w:rFonts w:hint="default"/>
                <w:color w:val="auto"/>
                <w:lang w:val="en-US" w:eastAsia="zh-CN"/>
              </w:rPr>
            </w:pPr>
          </w:p>
          <w:p>
            <w:pPr>
              <w:pStyle w:val="2"/>
              <w:jc w:val="both"/>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四、主要环境影响和保护措施</w:t>
      </w:r>
    </w:p>
    <w:tbl>
      <w:tblPr>
        <w:tblStyle w:val="28"/>
        <w:tblW w:w="890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54" w:hRule="atLeast"/>
          <w:jc w:val="center"/>
        </w:trPr>
        <w:tc>
          <w:tcPr>
            <w:tcW w:w="746" w:type="dxa"/>
            <w:tcMar>
              <w:left w:w="28" w:type="dxa"/>
              <w:right w:w="28" w:type="dxa"/>
            </w:tcMar>
            <w:vAlign w:val="center"/>
          </w:tcPr>
          <w:p>
            <w:pPr>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施工</w:t>
            </w:r>
          </w:p>
          <w:p>
            <w:pPr>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期环</w:t>
            </w:r>
          </w:p>
          <w:p>
            <w:pPr>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境保</w:t>
            </w:r>
          </w:p>
          <w:p>
            <w:pPr>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护措</w:t>
            </w:r>
          </w:p>
          <w:p>
            <w:pPr>
              <w:adjustRightInd w:val="0"/>
              <w:snapToGrid w:val="0"/>
              <w:spacing w:before="0" w:beforeAutospacing="0" w:after="0" w:afterAutospacing="0"/>
              <w:jc w:val="center"/>
              <w:rPr>
                <w:rFonts w:hint="eastAsia" w:cs="宋体"/>
                <w:bCs/>
                <w:color w:val="auto"/>
                <w:kern w:val="2"/>
                <w:sz w:val="21"/>
                <w:szCs w:val="21"/>
              </w:rPr>
            </w:pPr>
            <w:r>
              <w:rPr>
                <w:rFonts w:hint="eastAsia" w:cs="宋体"/>
                <w:color w:val="auto"/>
                <w:kern w:val="2"/>
                <w:sz w:val="21"/>
                <w:szCs w:val="21"/>
              </w:rPr>
              <w:t>施</w:t>
            </w:r>
          </w:p>
        </w:tc>
        <w:tc>
          <w:tcPr>
            <w:tcW w:w="8162" w:type="dxa"/>
            <w:vAlign w:val="center"/>
          </w:tcPr>
          <w:p>
            <w:pPr>
              <w:spacing w:line="360" w:lineRule="auto"/>
              <w:ind w:firstLine="420"/>
              <w:rPr>
                <w:rFonts w:hint="eastAsia"/>
                <w:color w:val="auto"/>
                <w:lang w:val="en-US" w:eastAsia="zh-CN"/>
              </w:rPr>
            </w:pPr>
            <w:r>
              <w:rPr>
                <w:rFonts w:hint="eastAsia"/>
                <w:color w:val="auto"/>
                <w:lang w:val="en-US" w:eastAsia="zh-CN"/>
              </w:rPr>
              <w:t>本项目位于小区地下车库，仅在现有锅炉房增建一台燃气锅炉，其施工过程中基本不涉及土建工程，主要是设备的安装调试以及其他配套公辅设施的接管，施工期的流程简单、工期较短，其影响有限，待工期结束后污染随即消失。</w:t>
            </w: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jc w:val="both"/>
              <w:rPr>
                <w:rFonts w:hint="eastAsia"/>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583" w:hRule="atLeast"/>
          <w:jc w:val="center"/>
        </w:trPr>
        <w:tc>
          <w:tcPr>
            <w:tcW w:w="746" w:type="dxa"/>
            <w:tcMar>
              <w:left w:w="28" w:type="dxa"/>
              <w:right w:w="28" w:type="dxa"/>
            </w:tcMar>
            <w:vAlign w:val="center"/>
          </w:tcPr>
          <w:p>
            <w:pPr>
              <w:adjustRightInd w:val="0"/>
              <w:snapToGrid w:val="0"/>
              <w:jc w:val="center"/>
              <w:rPr>
                <w:rFonts w:hint="eastAsia" w:ascii="宋体" w:hAnsi="宋体" w:cs="宋体"/>
                <w:bCs/>
                <w:color w:val="auto"/>
                <w:szCs w:val="21"/>
              </w:rPr>
            </w:pPr>
            <w:r>
              <w:rPr>
                <w:rFonts w:hint="eastAsia" w:ascii="宋体" w:hAnsi="宋体" w:cs="宋体"/>
                <w:bCs/>
                <w:color w:val="auto"/>
                <w:szCs w:val="21"/>
              </w:rPr>
              <w:t>运营</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期环</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境影</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响和</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保护</w:t>
            </w:r>
          </w:p>
          <w:p>
            <w:pPr>
              <w:adjustRightInd w:val="0"/>
              <w:snapToGrid w:val="0"/>
              <w:jc w:val="center"/>
              <w:rPr>
                <w:rFonts w:ascii="宋体" w:hAnsi="宋体" w:cs="宋体"/>
                <w:bCs/>
                <w:color w:val="auto"/>
                <w:szCs w:val="21"/>
              </w:rPr>
            </w:pPr>
            <w:r>
              <w:rPr>
                <w:rFonts w:hint="eastAsia" w:ascii="宋体" w:hAnsi="宋体" w:cs="宋体"/>
                <w:bCs/>
                <w:color w:val="auto"/>
                <w:szCs w:val="21"/>
              </w:rPr>
              <w:t>措施</w:t>
            </w:r>
          </w:p>
        </w:tc>
        <w:tc>
          <w:tcPr>
            <w:tcW w:w="8162"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废气</w:t>
            </w:r>
          </w:p>
          <w:p>
            <w:pPr>
              <w:spacing w:line="360" w:lineRule="auto"/>
              <w:ind w:firstLine="420"/>
              <w:rPr>
                <w:rFonts w:hint="eastAsia"/>
                <w:color w:val="auto"/>
                <w:lang w:val="en-US" w:eastAsia="zh-CN"/>
              </w:rPr>
            </w:pPr>
            <w:r>
              <w:rPr>
                <w:rFonts w:hint="eastAsia"/>
                <w:color w:val="auto"/>
                <w:lang w:val="en-US" w:eastAsia="zh-CN"/>
              </w:rPr>
              <w:t>1.1废气污染物源强核算</w:t>
            </w:r>
          </w:p>
          <w:p>
            <w:pPr>
              <w:spacing w:line="360" w:lineRule="auto"/>
              <w:ind w:firstLine="420"/>
              <w:rPr>
                <w:rFonts w:hint="eastAsia"/>
                <w:color w:val="auto"/>
                <w:lang w:val="en-US" w:eastAsia="zh-CN"/>
              </w:rPr>
            </w:pPr>
            <w:r>
              <w:rPr>
                <w:rFonts w:hint="eastAsia"/>
                <w:color w:val="auto"/>
                <w:lang w:val="en-US" w:eastAsia="zh-CN"/>
              </w:rPr>
              <w:t>本项目拟新增1台7MW</w:t>
            </w:r>
            <w:r>
              <w:rPr>
                <w:rFonts w:hint="eastAsia" w:ascii="宋体" w:hAnsi="宋体" w:eastAsia="宋体" w:cs="宋体"/>
                <w:color w:val="auto"/>
                <w:sz w:val="21"/>
                <w:szCs w:val="21"/>
                <w:u w:val="none"/>
              </w:rPr>
              <w:t>燃气常压热水锅炉</w:t>
            </w:r>
            <w:r>
              <w:rPr>
                <w:rFonts w:hint="eastAsia"/>
                <w:color w:val="auto"/>
                <w:lang w:val="en-US" w:eastAsia="zh-CN"/>
              </w:rPr>
              <w:t>，锅炉燃料平均耗量为</w:t>
            </w:r>
            <w:r>
              <w:rPr>
                <w:rFonts w:hint="eastAsia" w:ascii="Times New Roman" w:hAnsi="Times New Roman" w:cs="Times New Roman"/>
                <w:color w:val="FF0000"/>
                <w:lang w:val="en-US" w:eastAsia="zh-CN"/>
              </w:rPr>
              <w:t>550</w:t>
            </w:r>
            <w:r>
              <w:rPr>
                <w:rFonts w:hint="eastAsia"/>
                <w:color w:val="auto"/>
                <w:lang w:val="en-US" w:eastAsia="zh-CN"/>
              </w:rPr>
              <w:t>m</w:t>
            </w:r>
            <w:r>
              <w:rPr>
                <w:rFonts w:hint="eastAsia"/>
                <w:color w:val="auto"/>
                <w:vertAlign w:val="superscript"/>
                <w:lang w:val="en-US" w:eastAsia="zh-CN"/>
              </w:rPr>
              <w:t>3</w:t>
            </w:r>
            <w:r>
              <w:rPr>
                <w:rFonts w:hint="eastAsia"/>
                <w:color w:val="auto"/>
                <w:lang w:val="en-US" w:eastAsia="zh-CN"/>
              </w:rPr>
              <w:t>/h，则新增锅炉天然气用量为</w:t>
            </w:r>
            <w:r>
              <w:rPr>
                <w:rFonts w:hint="eastAsia" w:ascii="Times New Roman" w:hAnsi="Times New Roman" w:cs="Times New Roman"/>
                <w:color w:val="FF0000"/>
                <w:lang w:val="en-US" w:eastAsia="zh-CN"/>
              </w:rPr>
              <w:t>237.6</w:t>
            </w:r>
            <w:r>
              <w:rPr>
                <w:rFonts w:hint="eastAsia"/>
                <w:color w:val="auto"/>
                <w:lang w:val="en-US" w:eastAsia="zh-CN"/>
              </w:rPr>
              <w:t>万</w:t>
            </w:r>
            <w:r>
              <w:rPr>
                <w:rFonts w:hint="default"/>
                <w:color w:val="auto"/>
                <w:lang w:val="en-US" w:eastAsia="zh-CN"/>
              </w:rPr>
              <w:t>m³/a</w:t>
            </w:r>
            <w:r>
              <w:rPr>
                <w:rFonts w:hint="eastAsia"/>
                <w:color w:val="auto"/>
                <w:lang w:val="en-US" w:eastAsia="zh-CN"/>
              </w:rPr>
              <w:t>。燃烧废气中主要污染物为颗粒物、SO</w:t>
            </w:r>
            <w:r>
              <w:rPr>
                <w:rFonts w:hint="eastAsia"/>
                <w:color w:val="auto"/>
                <w:vertAlign w:val="subscript"/>
                <w:lang w:val="en-US" w:eastAsia="zh-CN"/>
              </w:rPr>
              <w:t>2</w:t>
            </w:r>
            <w:r>
              <w:rPr>
                <w:rFonts w:hint="eastAsia"/>
                <w:color w:val="auto"/>
                <w:lang w:val="en-US" w:eastAsia="zh-CN"/>
              </w:rPr>
              <w:t>、NOx。</w:t>
            </w:r>
          </w:p>
          <w:p>
            <w:pPr>
              <w:spacing w:line="360" w:lineRule="auto"/>
              <w:ind w:firstLine="420"/>
              <w:rPr>
                <w:rFonts w:hint="eastAsia"/>
                <w:color w:val="auto"/>
                <w:lang w:val="en-US" w:eastAsia="zh-CN"/>
              </w:rPr>
            </w:pPr>
            <w:r>
              <w:rPr>
                <w:rFonts w:hint="eastAsia"/>
                <w:color w:val="auto"/>
                <w:lang w:val="en-US" w:eastAsia="zh-CN"/>
              </w:rPr>
              <w:t>根据《污染源源强核算技术指南 锅炉》(HJ991-2018)，燃气锅炉的颗粒物排放量可用类比法或全国污染源普查工业污染源普查数据，二氧化硫排放量采用物料衡算法，氮氧化物排放量采用锅炉生产商提供的氮氧化物控制保证浓度值或类比法。基准烟气量采用</w:t>
            </w:r>
            <w:r>
              <w:rPr>
                <w:rFonts w:hint="default"/>
                <w:color w:val="auto"/>
                <w:lang w:val="en-US" w:eastAsia="zh-CN"/>
              </w:rPr>
              <w:t>《</w:t>
            </w:r>
            <w:r>
              <w:rPr>
                <w:rFonts w:hint="eastAsia"/>
                <w:color w:val="auto"/>
                <w:lang w:val="en-US" w:eastAsia="zh-CN"/>
              </w:rPr>
              <w:t>排污许可证申请与核发技术规范 锅炉</w:t>
            </w:r>
            <w:r>
              <w:rPr>
                <w:rFonts w:hint="default"/>
                <w:color w:val="auto"/>
                <w:lang w:val="en-US" w:eastAsia="zh-CN"/>
              </w:rPr>
              <w:t>》</w:t>
            </w:r>
            <w:r>
              <w:rPr>
                <w:rFonts w:hint="eastAsia"/>
                <w:color w:val="auto"/>
                <w:lang w:val="en-US" w:eastAsia="zh-CN"/>
              </w:rPr>
              <w:t>（HJ953-2018）经验公式估算法。</w:t>
            </w:r>
          </w:p>
          <w:p>
            <w:pPr>
              <w:spacing w:line="360" w:lineRule="auto"/>
              <w:rPr>
                <w:rFonts w:hint="eastAsia"/>
                <w:color w:val="auto"/>
                <w:lang w:val="en-US" w:eastAsia="zh-CN"/>
              </w:rPr>
            </w:pPr>
            <w:r>
              <w:rPr>
                <w:rFonts w:hint="eastAsia"/>
                <w:color w:val="auto"/>
                <w:lang w:val="en-US" w:eastAsia="zh-CN"/>
              </w:rPr>
              <w:t xml:space="preserve">   （1）基准烟气量</w:t>
            </w:r>
          </w:p>
          <w:p>
            <w:pPr>
              <w:spacing w:line="360" w:lineRule="auto"/>
              <w:rPr>
                <w:rFonts w:hint="eastAsia"/>
                <w:color w:val="auto"/>
                <w:sz w:val="21"/>
                <w:szCs w:val="21"/>
                <w:lang w:val="en-US" w:eastAsia="zh-CN"/>
              </w:rPr>
            </w:pPr>
            <w:r>
              <w:rPr>
                <w:rFonts w:hint="eastAsia"/>
                <w:color w:val="auto"/>
                <w:lang w:val="en-US" w:eastAsia="zh-CN"/>
              </w:rPr>
              <w:t xml:space="preserve">   </w:t>
            </w:r>
            <w:r>
              <w:rPr>
                <w:rFonts w:hint="eastAsia"/>
                <w:color w:val="auto"/>
                <w:sz w:val="21"/>
                <w:szCs w:val="21"/>
                <w:lang w:val="en-US" w:eastAsia="zh-CN"/>
              </w:rPr>
              <w:t xml:space="preserve"> 本项目天然气</w:t>
            </w:r>
            <w:r>
              <w:rPr>
                <w:rFonts w:hint="default"/>
                <w:color w:val="auto"/>
                <w:sz w:val="21"/>
                <w:szCs w:val="21"/>
                <w:lang w:val="en-US" w:eastAsia="zh-CN"/>
              </w:rPr>
              <w:t>燃料</w:t>
            </w:r>
            <w:r>
              <w:rPr>
                <w:rFonts w:hint="eastAsia"/>
                <w:color w:val="auto"/>
                <w:sz w:val="21"/>
                <w:szCs w:val="21"/>
                <w:lang w:val="en-US" w:eastAsia="zh-CN"/>
              </w:rPr>
              <w:t>低位</w:t>
            </w:r>
            <w:r>
              <w:rPr>
                <w:rFonts w:hint="default"/>
                <w:color w:val="auto"/>
                <w:sz w:val="21"/>
                <w:szCs w:val="21"/>
                <w:lang w:val="en-US" w:eastAsia="zh-CN"/>
              </w:rPr>
              <w:t>发热量</w:t>
            </w:r>
            <w:r>
              <w:rPr>
                <w:rFonts w:hint="eastAsia"/>
                <w:color w:val="auto"/>
                <w:sz w:val="21"/>
                <w:szCs w:val="21"/>
                <w:lang w:val="en-US" w:eastAsia="zh-CN"/>
              </w:rPr>
              <w:t>为30.16MJ</w:t>
            </w:r>
            <w:r>
              <w:rPr>
                <w:rFonts w:hint="default"/>
                <w:color w:val="auto"/>
                <w:sz w:val="21"/>
                <w:szCs w:val="21"/>
                <w:lang w:val="en-US" w:eastAsia="zh-CN"/>
              </w:rPr>
              <w:t>/</w:t>
            </w:r>
            <w:r>
              <w:rPr>
                <w:rFonts w:hint="eastAsia"/>
                <w:color w:val="auto"/>
                <w:sz w:val="21"/>
                <w:szCs w:val="21"/>
                <w:lang w:val="en-US" w:eastAsia="zh-CN"/>
              </w:rPr>
              <w:t>m</w:t>
            </w:r>
            <w:r>
              <w:rPr>
                <w:rFonts w:hint="eastAsia"/>
                <w:color w:val="auto"/>
                <w:sz w:val="21"/>
                <w:szCs w:val="21"/>
                <w:vertAlign w:val="superscript"/>
                <w:lang w:val="en-US" w:eastAsia="zh-CN"/>
              </w:rPr>
              <w:t>3</w:t>
            </w:r>
            <w:r>
              <w:rPr>
                <w:rFonts w:hint="eastAsia"/>
                <w:color w:val="auto"/>
                <w:sz w:val="21"/>
                <w:szCs w:val="21"/>
                <w:lang w:val="en-US" w:eastAsia="zh-CN"/>
              </w:rPr>
              <w:t>，依据</w:t>
            </w:r>
            <w:r>
              <w:rPr>
                <w:rFonts w:hint="default"/>
                <w:color w:val="auto"/>
                <w:sz w:val="21"/>
                <w:szCs w:val="21"/>
                <w:lang w:val="en-US" w:eastAsia="zh-CN"/>
              </w:rPr>
              <w:t>《</w:t>
            </w:r>
            <w:r>
              <w:rPr>
                <w:rFonts w:hint="eastAsia"/>
                <w:color w:val="auto"/>
                <w:sz w:val="21"/>
                <w:szCs w:val="21"/>
                <w:lang w:val="en-US" w:eastAsia="zh-CN"/>
              </w:rPr>
              <w:t>排污许可证申请与核发技术规范 锅炉</w:t>
            </w:r>
            <w:r>
              <w:rPr>
                <w:rFonts w:hint="default"/>
                <w:color w:val="auto"/>
                <w:sz w:val="21"/>
                <w:szCs w:val="21"/>
                <w:lang w:val="en-US" w:eastAsia="zh-CN"/>
              </w:rPr>
              <w:t>》</w:t>
            </w:r>
            <w:r>
              <w:rPr>
                <w:rFonts w:hint="eastAsia"/>
                <w:color w:val="auto"/>
                <w:sz w:val="21"/>
                <w:szCs w:val="21"/>
                <w:lang w:val="en-US" w:eastAsia="zh-CN"/>
              </w:rPr>
              <w:t>（HJ953-2018）经验公式估算法计算基准烟气量=</w:t>
            </w:r>
            <w:r>
              <w:rPr>
                <w:rFonts w:hint="eastAsia" w:ascii="Times New Roman" w:hAnsi="Times New Roman" w:cs="Times New Roman"/>
                <w:color w:val="auto"/>
                <w:lang w:val="en-US" w:eastAsia="zh-CN"/>
              </w:rPr>
              <w:t>0.285</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30.16+0.343=8.9386</w:t>
            </w:r>
            <w:r>
              <w:rPr>
                <w:rFonts w:hint="eastAsia"/>
                <w:color w:val="auto"/>
                <w:sz w:val="21"/>
                <w:szCs w:val="21"/>
                <w:lang w:val="en-US" w:eastAsia="zh-CN"/>
              </w:rPr>
              <w:t>Nm</w:t>
            </w:r>
            <w:r>
              <w:rPr>
                <w:rFonts w:hint="eastAsia"/>
                <w:color w:val="auto"/>
                <w:sz w:val="21"/>
                <w:szCs w:val="21"/>
                <w:vertAlign w:val="superscript"/>
                <w:lang w:val="en-US" w:eastAsia="zh-CN"/>
              </w:rPr>
              <w:t>3</w:t>
            </w:r>
            <w:r>
              <w:rPr>
                <w:rFonts w:hint="eastAsia"/>
                <w:color w:val="auto"/>
                <w:sz w:val="21"/>
                <w:szCs w:val="21"/>
                <w:lang w:val="en-US" w:eastAsia="zh-CN"/>
              </w:rPr>
              <w:t>/m</w:t>
            </w:r>
            <w:r>
              <w:rPr>
                <w:rFonts w:hint="eastAsia"/>
                <w:color w:val="auto"/>
                <w:sz w:val="21"/>
                <w:szCs w:val="21"/>
                <w:vertAlign w:val="superscript"/>
                <w:lang w:val="en-US" w:eastAsia="zh-CN"/>
              </w:rPr>
              <w:t>3</w:t>
            </w:r>
            <w:r>
              <w:rPr>
                <w:rFonts w:hint="eastAsia"/>
                <w:color w:val="auto"/>
                <w:sz w:val="21"/>
                <w:szCs w:val="21"/>
                <w:lang w:val="en-US" w:eastAsia="zh-CN"/>
              </w:rPr>
              <w:t>，</w:t>
            </w:r>
            <w:r>
              <w:rPr>
                <w:rFonts w:hint="default"/>
                <w:color w:val="auto"/>
                <w:sz w:val="21"/>
                <w:szCs w:val="21"/>
                <w:lang w:val="en-US" w:eastAsia="zh-CN"/>
              </w:rPr>
              <w:t>即燃烧1</w:t>
            </w:r>
            <w:r>
              <w:rPr>
                <w:rFonts w:hint="eastAsia"/>
                <w:color w:val="auto"/>
                <w:sz w:val="21"/>
                <w:szCs w:val="21"/>
                <w:lang w:val="en-US" w:eastAsia="zh-CN"/>
              </w:rPr>
              <w:t>m</w:t>
            </w:r>
            <w:r>
              <w:rPr>
                <w:rFonts w:hint="eastAsia"/>
                <w:color w:val="auto"/>
                <w:sz w:val="21"/>
                <w:szCs w:val="21"/>
                <w:vertAlign w:val="superscript"/>
                <w:lang w:val="en-US" w:eastAsia="zh-CN"/>
              </w:rPr>
              <w:t>3</w:t>
            </w:r>
            <w:r>
              <w:rPr>
                <w:rFonts w:hint="eastAsia"/>
                <w:color w:val="auto"/>
                <w:sz w:val="21"/>
                <w:szCs w:val="21"/>
                <w:lang w:val="en-US" w:eastAsia="zh-CN"/>
              </w:rPr>
              <w:t>天然气燃料</w:t>
            </w:r>
            <w:r>
              <w:rPr>
                <w:rFonts w:hint="default"/>
                <w:color w:val="auto"/>
                <w:sz w:val="21"/>
                <w:szCs w:val="21"/>
                <w:lang w:val="en-US" w:eastAsia="zh-CN"/>
              </w:rPr>
              <w:t>约产生</w:t>
            </w:r>
            <w:r>
              <w:rPr>
                <w:rFonts w:hint="eastAsia" w:ascii="Times New Roman" w:hAnsi="Times New Roman" w:cs="Times New Roman"/>
                <w:color w:val="auto"/>
                <w:lang w:val="en-US" w:eastAsia="zh-CN"/>
              </w:rPr>
              <w:t>8.9386</w:t>
            </w:r>
            <w:r>
              <w:rPr>
                <w:rFonts w:hint="default"/>
                <w:color w:val="auto"/>
                <w:sz w:val="21"/>
                <w:szCs w:val="21"/>
                <w:lang w:val="en-US" w:eastAsia="zh-CN"/>
              </w:rPr>
              <w:t>m</w:t>
            </w:r>
            <w:r>
              <w:rPr>
                <w:rFonts w:hint="default"/>
                <w:color w:val="auto"/>
                <w:sz w:val="21"/>
                <w:szCs w:val="21"/>
                <w:vertAlign w:val="superscript"/>
                <w:lang w:val="en-US" w:eastAsia="zh-CN"/>
              </w:rPr>
              <w:t>3</w:t>
            </w:r>
            <w:r>
              <w:rPr>
                <w:rFonts w:hint="default"/>
                <w:color w:val="auto"/>
                <w:sz w:val="21"/>
                <w:szCs w:val="21"/>
                <w:lang w:val="en-US" w:eastAsia="zh-CN"/>
              </w:rPr>
              <w:t>的烟气。</w:t>
            </w:r>
            <w:r>
              <w:rPr>
                <w:rFonts w:hint="eastAsia"/>
                <w:color w:val="auto"/>
                <w:sz w:val="21"/>
                <w:szCs w:val="21"/>
                <w:lang w:val="en-US" w:eastAsia="zh-CN"/>
              </w:rPr>
              <w:t>项目天然气燃料年耗量为</w:t>
            </w:r>
            <w:r>
              <w:rPr>
                <w:rFonts w:hint="eastAsia" w:ascii="Times New Roman" w:hAnsi="Times New Roman" w:cs="Times New Roman"/>
                <w:color w:val="FF0000"/>
                <w:lang w:val="en-US" w:eastAsia="zh-CN"/>
              </w:rPr>
              <w:t>237.6</w:t>
            </w:r>
            <w:r>
              <w:rPr>
                <w:rFonts w:hint="eastAsia"/>
                <w:color w:val="auto"/>
                <w:sz w:val="21"/>
                <w:szCs w:val="21"/>
                <w:lang w:val="en-US" w:eastAsia="zh-CN"/>
              </w:rPr>
              <w:t>万</w:t>
            </w:r>
            <w:r>
              <w:rPr>
                <w:rFonts w:hint="default"/>
                <w:color w:val="auto"/>
                <w:sz w:val="21"/>
                <w:szCs w:val="21"/>
                <w:lang w:val="en-US" w:eastAsia="zh-CN"/>
              </w:rPr>
              <w:t>m³</w:t>
            </w:r>
            <w:r>
              <w:rPr>
                <w:rFonts w:hint="eastAsia"/>
                <w:color w:val="auto"/>
                <w:sz w:val="21"/>
                <w:szCs w:val="21"/>
                <w:lang w:val="en-US" w:eastAsia="zh-CN"/>
              </w:rPr>
              <w:t>，则该项目每年产生废气量为</w:t>
            </w:r>
            <w:r>
              <w:rPr>
                <w:rFonts w:hint="eastAsia" w:ascii="Times New Roman" w:hAnsi="Times New Roman" w:cs="Times New Roman"/>
                <w:color w:val="FF0000"/>
                <w:lang w:val="en-US" w:eastAsia="zh-CN"/>
              </w:rPr>
              <w:t>2123.81</w:t>
            </w:r>
            <w:r>
              <w:rPr>
                <w:rFonts w:hint="eastAsia"/>
                <w:color w:val="auto"/>
                <w:sz w:val="21"/>
                <w:szCs w:val="21"/>
                <w:lang w:val="en-US" w:eastAsia="zh-CN"/>
              </w:rPr>
              <w:t>万Nm</w:t>
            </w:r>
            <w:r>
              <w:rPr>
                <w:rFonts w:hint="eastAsia"/>
                <w:color w:val="auto"/>
                <w:sz w:val="21"/>
                <w:szCs w:val="21"/>
                <w:vertAlign w:val="superscript"/>
                <w:lang w:val="en-US" w:eastAsia="zh-CN"/>
              </w:rPr>
              <w:t>3</w:t>
            </w:r>
            <w:r>
              <w:rPr>
                <w:rFonts w:hint="eastAsia"/>
                <w:color w:val="auto"/>
                <w:sz w:val="21"/>
                <w:szCs w:val="21"/>
                <w:lang w:val="en-US" w:eastAsia="zh-CN"/>
              </w:rPr>
              <w:t>/a。</w:t>
            </w:r>
          </w:p>
          <w:p>
            <w:pPr>
              <w:pStyle w:val="11"/>
              <w:snapToGrid w:val="0"/>
              <w:spacing w:after="0" w:line="360" w:lineRule="auto"/>
              <w:ind w:left="0" w:leftChars="0" w:firstLine="2310" w:firstLineChars="1100"/>
              <w:rPr>
                <w:rFonts w:hint="eastAsia" w:asciiTheme="minorHAnsi" w:hAnsiTheme="minorHAnsi" w:eastAsiaTheme="minorEastAsia" w:cstheme="minorBidi"/>
                <w:color w:val="auto"/>
                <w:kern w:val="2"/>
                <w:sz w:val="21"/>
                <w:szCs w:val="24"/>
                <w:lang w:val="en-US" w:eastAsia="zh-CN" w:bidi="ar-SA"/>
              </w:rPr>
            </w:pPr>
            <w:r>
              <w:rPr>
                <w:rFonts w:hint="default" w:asciiTheme="minorHAnsi" w:hAnsiTheme="minorHAnsi" w:eastAsiaTheme="minorEastAsia" w:cstheme="minorBidi"/>
                <w:color w:val="auto"/>
                <w:kern w:val="2"/>
                <w:sz w:val="21"/>
                <w:szCs w:val="24"/>
                <w:lang w:val="zh-CN" w:eastAsia="zh-CN" w:bidi="ar-SA"/>
              </w:rPr>
              <w:t>表</w:t>
            </w:r>
            <w:r>
              <w:rPr>
                <w:rFonts w:hint="eastAsia" w:cstheme="minorBidi"/>
                <w:color w:val="auto"/>
                <w:kern w:val="2"/>
                <w:sz w:val="21"/>
                <w:szCs w:val="24"/>
                <w:lang w:val="en-US" w:eastAsia="zh-CN" w:bidi="ar-SA"/>
              </w:rPr>
              <w:t>15</w:t>
            </w:r>
            <w:r>
              <w:rPr>
                <w:rFonts w:hint="default" w:asciiTheme="minorHAnsi" w:hAnsiTheme="minorHAnsi" w:eastAsiaTheme="minorEastAsia" w:cstheme="minorBidi"/>
                <w:color w:val="auto"/>
                <w:kern w:val="2"/>
                <w:sz w:val="21"/>
                <w:szCs w:val="24"/>
                <w:lang w:val="zh-CN" w:eastAsia="zh-CN" w:bidi="ar-SA"/>
              </w:rPr>
              <w:t xml:space="preserve">         </w:t>
            </w:r>
            <w:r>
              <w:rPr>
                <w:rFonts w:hint="eastAsia" w:asciiTheme="minorHAnsi" w:hAnsiTheme="minorHAnsi" w:eastAsiaTheme="minorEastAsia" w:cstheme="minorBidi"/>
                <w:color w:val="auto"/>
                <w:kern w:val="2"/>
                <w:sz w:val="21"/>
                <w:szCs w:val="24"/>
                <w:lang w:val="en-US" w:eastAsia="zh-CN" w:bidi="ar-SA"/>
              </w:rPr>
              <w:t xml:space="preserve">  基准烟气量取值表</w:t>
            </w:r>
          </w:p>
          <w:p>
            <w:pPr>
              <w:spacing w:line="360" w:lineRule="auto"/>
              <w:rPr>
                <w:rFonts w:hint="eastAsia"/>
                <w:color w:val="auto"/>
                <w:lang w:val="en-US" w:eastAsia="zh-CN"/>
              </w:rPr>
            </w:pPr>
            <w:r>
              <w:rPr>
                <w:color w:val="auto"/>
              </w:rPr>
              <w:drawing>
                <wp:inline distT="0" distB="0" distL="114300" distR="114300">
                  <wp:extent cx="5010150" cy="3434715"/>
                  <wp:effectExtent l="0" t="0" r="0" b="381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2"/>
                          <a:stretch>
                            <a:fillRect/>
                          </a:stretch>
                        </pic:blipFill>
                        <pic:spPr>
                          <a:xfrm>
                            <a:off x="0" y="0"/>
                            <a:ext cx="5010150" cy="3434715"/>
                          </a:xfrm>
                          <a:prstGeom prst="rect">
                            <a:avLst/>
                          </a:prstGeom>
                          <a:noFill/>
                          <a:ln w="9525">
                            <a:noFill/>
                          </a:ln>
                        </pic:spPr>
                      </pic:pic>
                    </a:graphicData>
                  </a:graphic>
                </wp:inline>
              </w:drawing>
            </w:r>
          </w:p>
          <w:p>
            <w:pPr>
              <w:spacing w:line="360" w:lineRule="auto"/>
              <w:rPr>
                <w:rFonts w:hint="eastAsia"/>
                <w:color w:val="auto"/>
                <w:lang w:val="en-US" w:eastAsia="zh-CN"/>
              </w:rPr>
            </w:pPr>
            <w:r>
              <w:rPr>
                <w:rFonts w:hint="eastAsia"/>
                <w:color w:val="auto"/>
                <w:lang w:val="en-US" w:eastAsia="zh-CN"/>
              </w:rPr>
              <w:t xml:space="preserve">   （2）颗粒物</w:t>
            </w:r>
          </w:p>
          <w:p>
            <w:pPr>
              <w:spacing w:line="360" w:lineRule="auto"/>
              <w:ind w:firstLine="420"/>
              <w:rPr>
                <w:rFonts w:hint="eastAsia"/>
                <w:color w:val="auto"/>
                <w:lang w:val="en-US" w:eastAsia="zh-CN"/>
              </w:rPr>
            </w:pPr>
            <w:r>
              <w:rPr>
                <w:rFonts w:hint="eastAsia"/>
                <w:color w:val="auto"/>
                <w:lang w:val="en-US" w:eastAsia="zh-CN"/>
              </w:rPr>
              <w:t>新发布的第二次全国污染源普查工业污染源普查数据中无颗粒物排放系数，本项目颗粒物采用类比法，类比对象为丁香园北区供暖燃气锅炉房</w:t>
            </w:r>
            <w:r>
              <w:rPr>
                <w:rFonts w:hint="eastAsia" w:ascii="宋体" w:hAnsi="宋体" w:eastAsia="宋体" w:cs="宋体"/>
                <w:color w:val="auto"/>
                <w:sz w:val="21"/>
                <w:szCs w:val="21"/>
                <w:u w:val="none"/>
                <w:lang w:val="en-US" w:eastAsia="zh-CN"/>
              </w:rPr>
              <w:t>现有的</w:t>
            </w:r>
            <w:r>
              <w:rPr>
                <w:rFonts w:hint="eastAsia"/>
                <w:color w:val="auto"/>
                <w:lang w:val="en-US" w:eastAsia="zh-CN"/>
              </w:rPr>
              <w:t>3台7MW燃气锅炉，锅炉类型与规模与本次新增锅炉相同；燃料天然气均来自新疆东方环宇</w:t>
            </w:r>
            <w:r>
              <w:rPr>
                <w:color w:val="auto"/>
              </w:rPr>
              <w:t>燃气公司</w:t>
            </w:r>
            <w:r>
              <w:rPr>
                <w:rFonts w:hint="eastAsia"/>
                <w:color w:val="auto"/>
                <w:lang w:eastAsia="zh-CN"/>
              </w:rPr>
              <w:t>；</w:t>
            </w:r>
            <w:r>
              <w:rPr>
                <w:rFonts w:hint="eastAsia"/>
                <w:color w:val="auto"/>
                <w:lang w:val="en-US" w:eastAsia="zh-CN"/>
              </w:rPr>
              <w:t>均无颗粒物控制措施。因此满足类比原则。</w:t>
            </w:r>
          </w:p>
          <w:p>
            <w:pPr>
              <w:spacing w:line="360" w:lineRule="auto"/>
              <w:ind w:firstLine="420"/>
              <w:rPr>
                <w:rFonts w:hint="eastAsia"/>
                <w:color w:val="auto"/>
                <w:sz w:val="21"/>
                <w:szCs w:val="21"/>
                <w:lang w:val="en-US" w:eastAsia="zh-CN"/>
              </w:rPr>
            </w:pPr>
            <w:r>
              <w:rPr>
                <w:rFonts w:hint="eastAsia"/>
                <w:color w:val="auto"/>
                <w:lang w:val="en-US" w:eastAsia="zh-CN"/>
              </w:rPr>
              <w:t>根据丁香园北区供暖燃气锅炉房竣工环境保护验收意见和例行检测报告（详见附件），颗粒物实测排放浓度</w:t>
            </w:r>
            <w:r>
              <w:rPr>
                <w:rFonts w:hint="default" w:ascii="Arial" w:hAnsi="Arial" w:cs="Arial"/>
                <w:color w:val="auto"/>
                <w:sz w:val="21"/>
                <w:szCs w:val="21"/>
                <w:lang w:val="en-US" w:eastAsia="zh-CN"/>
              </w:rPr>
              <w:t>&lt;</w:t>
            </w:r>
            <w:r>
              <w:rPr>
                <w:rFonts w:hint="eastAsia"/>
                <w:color w:val="auto"/>
                <w:sz w:val="21"/>
                <w:szCs w:val="21"/>
                <w:lang w:val="en-US" w:eastAsia="zh-CN"/>
              </w:rPr>
              <w:t>20</w:t>
            </w:r>
            <w:r>
              <w:rPr>
                <w:color w:val="auto"/>
                <w:sz w:val="21"/>
                <w:szCs w:val="21"/>
              </w:rPr>
              <w:t>mg/m</w:t>
            </w:r>
            <w:r>
              <w:rPr>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则经计算本次扩建锅炉</w:t>
            </w:r>
            <w:r>
              <w:rPr>
                <w:rFonts w:hint="eastAsia"/>
                <w:color w:val="auto"/>
                <w:lang w:val="en-US" w:eastAsia="zh-CN"/>
              </w:rPr>
              <w:t>颗粒物</w:t>
            </w:r>
            <w:r>
              <w:rPr>
                <w:rFonts w:hint="eastAsia"/>
                <w:color w:val="auto"/>
                <w:sz w:val="21"/>
                <w:szCs w:val="21"/>
                <w:vertAlign w:val="baseline"/>
                <w:lang w:val="en-US" w:eastAsia="zh-CN"/>
              </w:rPr>
              <w:t>排放量</w:t>
            </w:r>
            <w:r>
              <w:rPr>
                <w:rFonts w:hint="default" w:ascii="Arial" w:hAnsi="Arial" w:cs="Arial"/>
                <w:color w:val="auto"/>
                <w:sz w:val="21"/>
                <w:szCs w:val="21"/>
                <w:lang w:val="en-US" w:eastAsia="zh-CN"/>
              </w:rPr>
              <w:t>&lt;</w:t>
            </w:r>
            <w:r>
              <w:rPr>
                <w:rFonts w:hint="eastAsia" w:ascii="Times New Roman" w:hAnsi="Times New Roman" w:cs="Times New Roman"/>
                <w:color w:val="FF0000"/>
                <w:lang w:val="en-US" w:eastAsia="zh-CN"/>
              </w:rPr>
              <w:t>2123.81</w:t>
            </w:r>
            <w:r>
              <w:rPr>
                <w:rFonts w:hint="eastAsia"/>
                <w:color w:val="auto"/>
                <w:sz w:val="21"/>
                <w:szCs w:val="21"/>
                <w:lang w:val="en-US" w:eastAsia="zh-CN"/>
              </w:rPr>
              <w:t>万Nm</w:t>
            </w:r>
            <w:r>
              <w:rPr>
                <w:rFonts w:hint="eastAsia"/>
                <w:color w:val="auto"/>
                <w:sz w:val="21"/>
                <w:szCs w:val="21"/>
                <w:vertAlign w:val="superscript"/>
                <w:lang w:val="en-US" w:eastAsia="zh-CN"/>
              </w:rPr>
              <w:t>3</w:t>
            </w:r>
            <w:r>
              <w:rPr>
                <w:rFonts w:hint="eastAsia"/>
                <w:color w:val="auto"/>
                <w:sz w:val="21"/>
                <w:szCs w:val="21"/>
                <w:lang w:val="en-US" w:eastAsia="zh-CN"/>
              </w:rPr>
              <w:t>/a</w:t>
            </w:r>
            <w:r>
              <w:rPr>
                <w:rFonts w:hint="default"/>
                <w:color w:val="auto"/>
                <w:sz w:val="21"/>
                <w:szCs w:val="21"/>
                <w:lang w:val="en-US" w:eastAsia="zh-CN"/>
              </w:rPr>
              <w:t>×</w:t>
            </w:r>
            <w:r>
              <w:rPr>
                <w:rFonts w:hint="eastAsia"/>
                <w:color w:val="auto"/>
                <w:sz w:val="21"/>
                <w:szCs w:val="21"/>
                <w:lang w:val="en-US" w:eastAsia="zh-CN"/>
              </w:rPr>
              <w:t>20</w:t>
            </w:r>
            <w:r>
              <w:rPr>
                <w:color w:val="auto"/>
                <w:sz w:val="21"/>
                <w:szCs w:val="21"/>
              </w:rPr>
              <w:t>mg/m</w:t>
            </w:r>
            <w:r>
              <w:rPr>
                <w:rFonts w:hint="eastAsia"/>
                <w:color w:val="auto"/>
                <w:sz w:val="21"/>
                <w:szCs w:val="21"/>
                <w:vertAlign w:val="superscript"/>
                <w:lang w:val="en-US" w:eastAsia="zh-CN"/>
              </w:rPr>
              <w:t>3</w:t>
            </w:r>
            <w:r>
              <w:rPr>
                <w:rFonts w:hint="default"/>
                <w:color w:val="auto"/>
                <w:sz w:val="21"/>
                <w:szCs w:val="21"/>
                <w:lang w:val="en-US" w:eastAsia="zh-CN"/>
              </w:rPr>
              <w:t>×</w:t>
            </w:r>
            <w:r>
              <w:rPr>
                <w:rFonts w:hint="eastAsia"/>
                <w:color w:val="auto"/>
                <w:sz w:val="21"/>
                <w:szCs w:val="21"/>
                <w:lang w:val="en-US" w:eastAsia="zh-CN"/>
              </w:rPr>
              <w:t>10</w:t>
            </w:r>
            <w:r>
              <w:rPr>
                <w:rFonts w:hint="eastAsia"/>
                <w:color w:val="auto"/>
                <w:sz w:val="21"/>
                <w:szCs w:val="21"/>
                <w:vertAlign w:val="superscript"/>
                <w:lang w:val="en-US" w:eastAsia="zh-CN"/>
              </w:rPr>
              <w:t>-5</w:t>
            </w:r>
            <w:r>
              <w:rPr>
                <w:rFonts w:hint="eastAsia"/>
                <w:color w:val="auto"/>
                <w:sz w:val="21"/>
                <w:szCs w:val="21"/>
                <w:lang w:val="en-US" w:eastAsia="zh-CN"/>
              </w:rPr>
              <w:t>，即</w:t>
            </w:r>
            <w:r>
              <w:rPr>
                <w:rFonts w:hint="eastAsia"/>
                <w:color w:val="auto"/>
                <w:lang w:val="en-US" w:eastAsia="zh-CN"/>
              </w:rPr>
              <w:t>颗粒物</w:t>
            </w:r>
            <w:r>
              <w:rPr>
                <w:rFonts w:hint="eastAsia"/>
                <w:color w:val="auto"/>
                <w:sz w:val="21"/>
                <w:szCs w:val="21"/>
                <w:vertAlign w:val="baseline"/>
                <w:lang w:val="en-US" w:eastAsia="zh-CN"/>
              </w:rPr>
              <w:t>排放量</w:t>
            </w:r>
            <w:r>
              <w:rPr>
                <w:rFonts w:hint="default" w:ascii="Arial" w:hAnsi="Arial" w:cs="Arial"/>
                <w:color w:val="auto"/>
                <w:sz w:val="21"/>
                <w:szCs w:val="21"/>
                <w:lang w:val="en-US" w:eastAsia="zh-CN"/>
              </w:rPr>
              <w:t>&lt;</w:t>
            </w:r>
            <w:r>
              <w:rPr>
                <w:rFonts w:hint="eastAsia" w:ascii="Times New Roman" w:hAnsi="Times New Roman" w:cs="Times New Roman"/>
                <w:color w:val="FF0000"/>
                <w:lang w:val="en-US" w:eastAsia="zh-CN"/>
              </w:rPr>
              <w:t>0.42</w:t>
            </w:r>
            <w:r>
              <w:rPr>
                <w:rFonts w:hint="eastAsia"/>
                <w:color w:val="auto"/>
                <w:sz w:val="21"/>
                <w:szCs w:val="21"/>
                <w:lang w:val="en-US" w:eastAsia="zh-CN"/>
              </w:rPr>
              <w:t>t</w:t>
            </w:r>
            <w:r>
              <w:rPr>
                <w:color w:val="auto"/>
                <w:sz w:val="21"/>
                <w:szCs w:val="21"/>
              </w:rPr>
              <w:t>/</w:t>
            </w:r>
            <w:r>
              <w:rPr>
                <w:rFonts w:hint="eastAsia"/>
                <w:color w:val="auto"/>
                <w:sz w:val="21"/>
                <w:szCs w:val="21"/>
                <w:lang w:val="en-US" w:eastAsia="zh-CN"/>
              </w:rPr>
              <w:t>a。</w:t>
            </w:r>
          </w:p>
          <w:p>
            <w:pPr>
              <w:spacing w:line="360" w:lineRule="auto"/>
              <w:rPr>
                <w:rFonts w:hint="eastAsia"/>
                <w:color w:val="auto"/>
                <w:lang w:val="en-US" w:eastAsia="zh-CN"/>
              </w:rPr>
            </w:pPr>
            <w:r>
              <w:rPr>
                <w:rFonts w:hint="eastAsia"/>
                <w:color w:val="auto"/>
                <w:lang w:val="en-US" w:eastAsia="zh-CN"/>
              </w:rPr>
              <w:t xml:space="preserve">   （3）二氧化硫</w:t>
            </w:r>
          </w:p>
          <w:p>
            <w:pPr>
              <w:spacing w:line="360" w:lineRule="auto"/>
              <w:rPr>
                <w:rFonts w:hint="eastAsia"/>
                <w:color w:val="auto"/>
                <w:lang w:val="en-US" w:eastAsia="zh-CN"/>
              </w:rPr>
            </w:pPr>
            <w:r>
              <w:rPr>
                <w:rFonts w:hint="eastAsia"/>
                <w:color w:val="auto"/>
                <w:sz w:val="21"/>
                <w:szCs w:val="21"/>
                <w:lang w:val="en-US" w:eastAsia="zh-CN"/>
              </w:rPr>
              <w:t xml:space="preserve">    本项目天然气</w:t>
            </w:r>
            <w:r>
              <w:rPr>
                <w:rFonts w:hint="default"/>
                <w:color w:val="auto"/>
                <w:sz w:val="21"/>
                <w:szCs w:val="21"/>
                <w:lang w:val="en-US" w:eastAsia="zh-CN"/>
              </w:rPr>
              <w:t>燃料</w:t>
            </w:r>
            <w:r>
              <w:rPr>
                <w:rFonts w:hint="eastAsia"/>
                <w:color w:val="auto"/>
                <w:sz w:val="21"/>
                <w:szCs w:val="21"/>
                <w:lang w:val="en-US" w:eastAsia="zh-CN"/>
              </w:rPr>
              <w:t>总硫质量浓度为9.82mg</w:t>
            </w:r>
            <w:r>
              <w:rPr>
                <w:rFonts w:hint="default"/>
                <w:color w:val="auto"/>
                <w:sz w:val="21"/>
                <w:szCs w:val="21"/>
                <w:lang w:val="en-US" w:eastAsia="zh-CN"/>
              </w:rPr>
              <w:t>/</w:t>
            </w:r>
            <w:r>
              <w:rPr>
                <w:rFonts w:hint="eastAsia"/>
                <w:color w:val="auto"/>
                <w:sz w:val="21"/>
                <w:szCs w:val="21"/>
                <w:lang w:val="en-US" w:eastAsia="zh-CN"/>
              </w:rPr>
              <w:t>m</w:t>
            </w:r>
            <w:r>
              <w:rPr>
                <w:rFonts w:hint="eastAsia"/>
                <w:color w:val="auto"/>
                <w:sz w:val="21"/>
                <w:szCs w:val="21"/>
                <w:vertAlign w:val="superscript"/>
                <w:lang w:val="en-US" w:eastAsia="zh-CN"/>
              </w:rPr>
              <w:t>3</w:t>
            </w:r>
            <w:r>
              <w:rPr>
                <w:rFonts w:hint="eastAsia"/>
                <w:color w:val="auto"/>
                <w:sz w:val="21"/>
                <w:szCs w:val="21"/>
                <w:vertAlign w:val="baseline"/>
                <w:lang w:val="en-US" w:eastAsia="zh-CN"/>
              </w:rPr>
              <w:t>，采用物料</w:t>
            </w:r>
            <w:r>
              <w:rPr>
                <w:rFonts w:hint="eastAsia"/>
                <w:color w:val="auto"/>
                <w:lang w:val="en-US" w:eastAsia="zh-CN"/>
              </w:rPr>
              <w:t>衡算法计算二氧化硫排放量</w:t>
            </w:r>
            <w:r>
              <w:rPr>
                <w:rFonts w:hint="eastAsia"/>
                <w:color w:val="auto"/>
                <w:sz w:val="21"/>
                <w:szCs w:val="21"/>
                <w:lang w:val="en-US" w:eastAsia="zh-CN"/>
              </w:rPr>
              <w:t>=</w:t>
            </w:r>
            <w:r>
              <w:rPr>
                <w:rFonts w:hint="eastAsia" w:ascii="Times New Roman" w:hAnsi="Times New Roman" w:cs="Times New Roman"/>
                <w:color w:val="FF0000"/>
                <w:lang w:val="en-US" w:eastAsia="zh-CN"/>
              </w:rPr>
              <w:t>2123.81</w:t>
            </w:r>
            <w:r>
              <w:rPr>
                <w:rFonts w:hint="eastAsia"/>
                <w:color w:val="auto"/>
                <w:sz w:val="21"/>
                <w:szCs w:val="21"/>
                <w:lang w:val="en-US" w:eastAsia="zh-CN"/>
              </w:rPr>
              <w:t>万Nm</w:t>
            </w:r>
            <w:r>
              <w:rPr>
                <w:rFonts w:hint="eastAsia"/>
                <w:color w:val="auto"/>
                <w:sz w:val="21"/>
                <w:szCs w:val="21"/>
                <w:vertAlign w:val="superscript"/>
                <w:lang w:val="en-US" w:eastAsia="zh-CN"/>
              </w:rPr>
              <w:t>3</w:t>
            </w:r>
            <w:r>
              <w:rPr>
                <w:rFonts w:hint="eastAsia"/>
                <w:color w:val="auto"/>
                <w:sz w:val="21"/>
                <w:szCs w:val="21"/>
                <w:lang w:val="en-US" w:eastAsia="zh-CN"/>
              </w:rPr>
              <w:t>/a</w:t>
            </w:r>
            <w:r>
              <w:rPr>
                <w:rFonts w:hint="default"/>
                <w:color w:val="auto"/>
                <w:sz w:val="21"/>
                <w:szCs w:val="21"/>
                <w:lang w:val="en-US" w:eastAsia="zh-CN"/>
              </w:rPr>
              <w:t>×</w:t>
            </w:r>
            <w:r>
              <w:rPr>
                <w:rFonts w:hint="eastAsia"/>
                <w:color w:val="auto"/>
                <w:sz w:val="21"/>
                <w:szCs w:val="21"/>
                <w:lang w:val="en-US" w:eastAsia="zh-CN"/>
              </w:rPr>
              <w:t>9.82mg</w:t>
            </w:r>
            <w:r>
              <w:rPr>
                <w:rFonts w:hint="default"/>
                <w:color w:val="auto"/>
                <w:sz w:val="21"/>
                <w:szCs w:val="21"/>
                <w:lang w:val="en-US" w:eastAsia="zh-CN"/>
              </w:rPr>
              <w:t>/</w:t>
            </w:r>
            <w:r>
              <w:rPr>
                <w:rFonts w:hint="eastAsia"/>
                <w:color w:val="auto"/>
                <w:sz w:val="21"/>
                <w:szCs w:val="21"/>
                <w:lang w:val="en-US" w:eastAsia="zh-CN"/>
              </w:rPr>
              <w:t>m</w:t>
            </w:r>
            <w:r>
              <w:rPr>
                <w:rFonts w:hint="eastAsia"/>
                <w:color w:val="auto"/>
                <w:sz w:val="21"/>
                <w:szCs w:val="21"/>
                <w:vertAlign w:val="superscript"/>
                <w:lang w:val="en-US" w:eastAsia="zh-CN"/>
              </w:rPr>
              <w:t>3</w:t>
            </w:r>
            <w:r>
              <w:rPr>
                <w:rFonts w:hint="default"/>
                <w:color w:val="auto"/>
                <w:sz w:val="21"/>
                <w:szCs w:val="21"/>
                <w:lang w:val="en-US" w:eastAsia="zh-CN"/>
              </w:rPr>
              <w:t>×</w:t>
            </w:r>
            <w:r>
              <w:rPr>
                <w:rFonts w:hint="eastAsia"/>
                <w:color w:val="auto"/>
                <w:sz w:val="21"/>
                <w:szCs w:val="21"/>
                <w:lang w:val="en-US" w:eastAsia="zh-CN"/>
              </w:rPr>
              <w:t>2</w:t>
            </w:r>
            <w:r>
              <w:rPr>
                <w:rFonts w:hint="default"/>
                <w:color w:val="auto"/>
                <w:sz w:val="21"/>
                <w:szCs w:val="21"/>
                <w:lang w:val="en-US" w:eastAsia="zh-CN"/>
              </w:rPr>
              <w:t>×</w:t>
            </w:r>
            <w:r>
              <w:rPr>
                <w:rFonts w:hint="eastAsia"/>
                <w:color w:val="auto"/>
                <w:sz w:val="21"/>
                <w:szCs w:val="21"/>
                <w:lang w:val="en-US" w:eastAsia="zh-CN"/>
              </w:rPr>
              <w:t>10</w:t>
            </w:r>
            <w:r>
              <w:rPr>
                <w:rFonts w:hint="eastAsia"/>
                <w:color w:val="auto"/>
                <w:sz w:val="21"/>
                <w:szCs w:val="21"/>
                <w:vertAlign w:val="superscript"/>
                <w:lang w:val="en-US" w:eastAsia="zh-CN"/>
              </w:rPr>
              <w:t>-5</w:t>
            </w:r>
            <w:r>
              <w:rPr>
                <w:rFonts w:hint="eastAsia"/>
                <w:color w:val="auto"/>
                <w:sz w:val="21"/>
                <w:szCs w:val="21"/>
                <w:lang w:val="en-US" w:eastAsia="zh-CN"/>
              </w:rPr>
              <w:t>=</w:t>
            </w:r>
            <w:r>
              <w:rPr>
                <w:rFonts w:hint="eastAsia" w:ascii="Times New Roman" w:hAnsi="Times New Roman" w:cs="Times New Roman"/>
                <w:color w:val="FF0000"/>
                <w:lang w:val="en-US" w:eastAsia="zh-CN"/>
              </w:rPr>
              <w:t>0.42t</w:t>
            </w:r>
            <w:r>
              <w:rPr>
                <w:color w:val="auto"/>
                <w:sz w:val="21"/>
                <w:szCs w:val="21"/>
              </w:rPr>
              <w:t>/</w:t>
            </w:r>
            <w:r>
              <w:rPr>
                <w:rFonts w:hint="eastAsia"/>
                <w:color w:val="auto"/>
                <w:sz w:val="21"/>
                <w:szCs w:val="21"/>
                <w:lang w:val="en-US" w:eastAsia="zh-CN"/>
              </w:rPr>
              <w:t>a。</w:t>
            </w:r>
          </w:p>
          <w:p>
            <w:pPr>
              <w:spacing w:line="360" w:lineRule="auto"/>
              <w:rPr>
                <w:rFonts w:hint="eastAsia"/>
                <w:color w:val="auto"/>
                <w:lang w:val="en-US" w:eastAsia="zh-CN"/>
              </w:rPr>
            </w:pPr>
            <w:r>
              <w:rPr>
                <w:rFonts w:hint="eastAsia"/>
                <w:color w:val="auto"/>
                <w:lang w:val="en-US" w:eastAsia="zh-CN"/>
              </w:rPr>
              <w:t xml:space="preserve">   （4）氮氧化物</w:t>
            </w:r>
          </w:p>
          <w:p>
            <w:pPr>
              <w:spacing w:line="360" w:lineRule="auto"/>
              <w:rPr>
                <w:rFonts w:hint="eastAsia"/>
                <w:color w:val="auto"/>
                <w:lang w:val="en-US" w:eastAsia="zh-CN"/>
              </w:rPr>
            </w:pPr>
            <w:r>
              <w:rPr>
                <w:rFonts w:hint="eastAsia"/>
                <w:color w:val="auto"/>
                <w:lang w:val="en-US" w:eastAsia="zh-CN"/>
              </w:rPr>
              <w:t xml:space="preserve">    本项目拟采</w:t>
            </w:r>
            <w:r>
              <w:rPr>
                <w:rFonts w:hint="default"/>
                <w:color w:val="auto"/>
                <w:lang w:val="en-US" w:eastAsia="zh-CN"/>
              </w:rPr>
              <w:t>用</w:t>
            </w:r>
            <w:r>
              <w:rPr>
                <w:rFonts w:hint="default" w:ascii="Times New Roman" w:hAnsi="Times New Roman" w:cs="Times New Roman"/>
                <w:color w:val="auto"/>
                <w:sz w:val="21"/>
              </w:rPr>
              <w:t>加装低氮燃烧器</w:t>
            </w:r>
            <w:r>
              <w:rPr>
                <w:rFonts w:hint="default" w:ascii="Times New Roman" w:hAnsi="Times New Roman" w:cs="Times New Roman"/>
                <w:color w:val="auto"/>
                <w:sz w:val="21"/>
                <w:lang w:val="en-US" w:eastAsia="zh-CN"/>
              </w:rPr>
              <w:t>+烟气</w:t>
            </w:r>
            <w:r>
              <w:rPr>
                <w:rFonts w:hint="eastAsia" w:ascii="Times New Roman" w:hAnsi="Times New Roman" w:cs="Times New Roman"/>
                <w:color w:val="auto"/>
                <w:sz w:val="21"/>
                <w:lang w:val="en-US" w:eastAsia="zh-CN"/>
              </w:rPr>
              <w:t>再</w:t>
            </w:r>
            <w:r>
              <w:rPr>
                <w:rFonts w:hint="default" w:ascii="Times New Roman" w:hAnsi="Times New Roman" w:cs="Times New Roman"/>
                <w:color w:val="auto"/>
                <w:sz w:val="21"/>
                <w:lang w:val="en-US" w:eastAsia="zh-CN"/>
              </w:rPr>
              <w:t>循环</w:t>
            </w:r>
            <w:r>
              <w:rPr>
                <w:rFonts w:hint="eastAsia"/>
                <w:color w:val="auto"/>
                <w:lang w:val="en-US" w:eastAsia="zh-CN"/>
              </w:rPr>
              <w:t>，氮氧化物排放量采用锅炉生产商提供的氮氧化物控制保证浓度值（</w:t>
            </w:r>
            <w:r>
              <w:rPr>
                <w:rFonts w:hint="default"/>
                <w:color w:val="auto"/>
                <w:lang w:val="en-US" w:eastAsia="zh-CN"/>
              </w:rPr>
              <w:t>&lt;</w:t>
            </w:r>
            <w:r>
              <w:rPr>
                <w:rFonts w:hint="eastAsia"/>
                <w:color w:val="auto"/>
                <w:lang w:val="en-US" w:eastAsia="zh-CN"/>
              </w:rPr>
              <w:t>50mg/m</w:t>
            </w:r>
            <w:r>
              <w:rPr>
                <w:rFonts w:hint="eastAsia"/>
                <w:color w:val="auto"/>
                <w:vertAlign w:val="superscript"/>
                <w:lang w:val="en-US" w:eastAsia="zh-CN"/>
              </w:rPr>
              <w:t>3</w:t>
            </w:r>
            <w:r>
              <w:rPr>
                <w:rFonts w:hint="eastAsia"/>
                <w:color w:val="auto"/>
                <w:lang w:val="en-US" w:eastAsia="zh-CN"/>
              </w:rPr>
              <w:t>）计算，</w:t>
            </w:r>
            <w:r>
              <w:rPr>
                <w:rFonts w:hint="eastAsia"/>
                <w:color w:val="auto"/>
                <w:sz w:val="21"/>
                <w:szCs w:val="21"/>
                <w:vertAlign w:val="baseline"/>
                <w:lang w:val="en-US" w:eastAsia="zh-CN"/>
              </w:rPr>
              <w:t>经计算</w:t>
            </w:r>
            <w:r>
              <w:rPr>
                <w:rFonts w:hint="eastAsia"/>
                <w:color w:val="auto"/>
                <w:lang w:val="en-US" w:eastAsia="zh-CN"/>
              </w:rPr>
              <w:t>氮氧化物</w:t>
            </w:r>
            <w:r>
              <w:rPr>
                <w:rFonts w:hint="eastAsia"/>
                <w:color w:val="auto"/>
                <w:sz w:val="21"/>
                <w:szCs w:val="21"/>
                <w:vertAlign w:val="baseline"/>
                <w:lang w:val="en-US" w:eastAsia="zh-CN"/>
              </w:rPr>
              <w:t>排放量</w:t>
            </w:r>
            <w:r>
              <w:rPr>
                <w:rFonts w:hint="default" w:ascii="Arial" w:hAnsi="Arial" w:cs="Arial"/>
                <w:color w:val="auto"/>
                <w:sz w:val="21"/>
                <w:szCs w:val="21"/>
                <w:lang w:val="en-US" w:eastAsia="zh-CN"/>
              </w:rPr>
              <w:t>&lt;</w:t>
            </w:r>
            <w:r>
              <w:rPr>
                <w:rFonts w:hint="eastAsia" w:ascii="Times New Roman" w:hAnsi="Times New Roman" w:cs="Times New Roman"/>
                <w:color w:val="FF0000"/>
                <w:lang w:val="en-US" w:eastAsia="zh-CN"/>
              </w:rPr>
              <w:t>2123.81</w:t>
            </w:r>
            <w:r>
              <w:rPr>
                <w:rFonts w:hint="eastAsia"/>
                <w:color w:val="auto"/>
                <w:sz w:val="21"/>
                <w:szCs w:val="21"/>
                <w:lang w:val="en-US" w:eastAsia="zh-CN"/>
              </w:rPr>
              <w:t>万Nm</w:t>
            </w:r>
            <w:r>
              <w:rPr>
                <w:rFonts w:hint="eastAsia"/>
                <w:color w:val="auto"/>
                <w:sz w:val="21"/>
                <w:szCs w:val="21"/>
                <w:vertAlign w:val="superscript"/>
                <w:lang w:val="en-US" w:eastAsia="zh-CN"/>
              </w:rPr>
              <w:t>3</w:t>
            </w:r>
            <w:r>
              <w:rPr>
                <w:rFonts w:hint="eastAsia"/>
                <w:color w:val="auto"/>
                <w:sz w:val="21"/>
                <w:szCs w:val="21"/>
                <w:lang w:val="en-US" w:eastAsia="zh-CN"/>
              </w:rPr>
              <w:t>/a</w:t>
            </w:r>
            <w:r>
              <w:rPr>
                <w:rFonts w:hint="default"/>
                <w:color w:val="auto"/>
                <w:sz w:val="21"/>
                <w:szCs w:val="21"/>
                <w:lang w:val="en-US" w:eastAsia="zh-CN"/>
              </w:rPr>
              <w:t>×</w:t>
            </w:r>
            <w:r>
              <w:rPr>
                <w:rFonts w:hint="eastAsia"/>
                <w:color w:val="auto"/>
                <w:sz w:val="21"/>
                <w:szCs w:val="21"/>
                <w:lang w:val="en-US" w:eastAsia="zh-CN"/>
              </w:rPr>
              <w:t>50</w:t>
            </w:r>
            <w:r>
              <w:rPr>
                <w:color w:val="auto"/>
                <w:sz w:val="21"/>
                <w:szCs w:val="21"/>
              </w:rPr>
              <w:t>mg/m</w:t>
            </w:r>
            <w:r>
              <w:rPr>
                <w:rFonts w:hint="eastAsia"/>
                <w:color w:val="auto"/>
                <w:sz w:val="21"/>
                <w:szCs w:val="21"/>
                <w:vertAlign w:val="superscript"/>
                <w:lang w:val="en-US" w:eastAsia="zh-CN"/>
              </w:rPr>
              <w:t>3</w:t>
            </w:r>
            <w:r>
              <w:rPr>
                <w:rFonts w:hint="default"/>
                <w:color w:val="auto"/>
                <w:sz w:val="21"/>
                <w:szCs w:val="21"/>
                <w:lang w:val="en-US" w:eastAsia="zh-CN"/>
              </w:rPr>
              <w:t>×</w:t>
            </w:r>
            <w:r>
              <w:rPr>
                <w:rFonts w:hint="eastAsia"/>
                <w:color w:val="auto"/>
                <w:sz w:val="21"/>
                <w:szCs w:val="21"/>
                <w:lang w:val="en-US" w:eastAsia="zh-CN"/>
              </w:rPr>
              <w:t>10</w:t>
            </w:r>
            <w:r>
              <w:rPr>
                <w:rFonts w:hint="eastAsia"/>
                <w:color w:val="auto"/>
                <w:sz w:val="21"/>
                <w:szCs w:val="21"/>
                <w:vertAlign w:val="superscript"/>
                <w:lang w:val="en-US" w:eastAsia="zh-CN"/>
              </w:rPr>
              <w:t>-5</w:t>
            </w:r>
            <w:r>
              <w:rPr>
                <w:rFonts w:hint="eastAsia"/>
                <w:color w:val="auto"/>
                <w:sz w:val="21"/>
                <w:szCs w:val="21"/>
                <w:lang w:val="en-US" w:eastAsia="zh-CN"/>
              </w:rPr>
              <w:t>，即</w:t>
            </w:r>
            <w:r>
              <w:rPr>
                <w:rFonts w:hint="eastAsia"/>
                <w:color w:val="auto"/>
                <w:lang w:val="en-US" w:eastAsia="zh-CN"/>
              </w:rPr>
              <w:t>氮氧化物</w:t>
            </w:r>
            <w:r>
              <w:rPr>
                <w:rFonts w:hint="eastAsia"/>
                <w:color w:val="auto"/>
                <w:sz w:val="21"/>
                <w:szCs w:val="21"/>
                <w:vertAlign w:val="baseline"/>
                <w:lang w:val="en-US" w:eastAsia="zh-CN"/>
              </w:rPr>
              <w:t>排放量</w:t>
            </w:r>
            <w:r>
              <w:rPr>
                <w:rFonts w:hint="default" w:ascii="Arial" w:hAnsi="Arial" w:cs="Arial"/>
                <w:color w:val="auto"/>
                <w:sz w:val="21"/>
                <w:szCs w:val="21"/>
                <w:lang w:val="en-US" w:eastAsia="zh-CN"/>
              </w:rPr>
              <w:t>&lt;</w:t>
            </w:r>
            <w:r>
              <w:rPr>
                <w:rFonts w:hint="eastAsia" w:ascii="Times New Roman" w:hAnsi="Times New Roman" w:cs="Times New Roman"/>
                <w:color w:val="FF0000"/>
                <w:lang w:val="en-US" w:eastAsia="zh-CN"/>
              </w:rPr>
              <w:t>1.06</w:t>
            </w:r>
            <w:r>
              <w:rPr>
                <w:rFonts w:hint="eastAsia"/>
                <w:color w:val="auto"/>
                <w:sz w:val="21"/>
                <w:szCs w:val="21"/>
                <w:lang w:val="en-US" w:eastAsia="zh-CN"/>
              </w:rPr>
              <w:t>t</w:t>
            </w:r>
            <w:r>
              <w:rPr>
                <w:color w:val="auto"/>
                <w:sz w:val="21"/>
                <w:szCs w:val="21"/>
              </w:rPr>
              <w:t>/</w:t>
            </w:r>
            <w:r>
              <w:rPr>
                <w:rFonts w:hint="eastAsia"/>
                <w:color w:val="auto"/>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 xml:space="preserve">             </w:t>
            </w:r>
            <w:r>
              <w:rPr>
                <w:rFonts w:hint="default"/>
                <w:color w:val="auto"/>
              </w:rPr>
              <w:t>表</w:t>
            </w:r>
            <w:r>
              <w:rPr>
                <w:rFonts w:hint="eastAsia"/>
                <w:color w:val="auto"/>
                <w:lang w:val="en-US" w:eastAsia="zh-CN"/>
              </w:rPr>
              <w:t>16</w:t>
            </w:r>
            <w:r>
              <w:rPr>
                <w:rFonts w:hint="default"/>
                <w:color w:val="auto"/>
              </w:rPr>
              <w:t xml:space="preserve">          </w:t>
            </w:r>
            <w:r>
              <w:rPr>
                <w:rFonts w:hint="eastAsia"/>
                <w:color w:val="auto"/>
                <w:lang w:val="en-US" w:eastAsia="zh-CN"/>
              </w:rPr>
              <w:t xml:space="preserve">  锅炉废气污染物排放量</w:t>
            </w:r>
          </w:p>
          <w:tbl>
            <w:tblPr>
              <w:tblStyle w:val="28"/>
              <w:tblW w:w="7620"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
            <w:tblGrid>
              <w:gridCol w:w="485"/>
              <w:gridCol w:w="1037"/>
              <w:gridCol w:w="1005"/>
              <w:gridCol w:w="1125"/>
              <w:gridCol w:w="1860"/>
              <w:gridCol w:w="945"/>
              <w:gridCol w:w="1163"/>
            </w:tblGrid>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653" w:hRule="atLeast"/>
                <w:jc w:val="center"/>
              </w:trPr>
              <w:tc>
                <w:tcPr>
                  <w:tcW w:w="485" w:type="dxa"/>
                  <w:tcBorders>
                    <w:tl2br w:val="nil"/>
                    <w:tr2bl w:val="nil"/>
                  </w:tcBorders>
                  <w:vAlign w:val="center"/>
                </w:tcPr>
                <w:p>
                  <w:pPr>
                    <w:snapToGrid w:val="0"/>
                    <w:jc w:val="center"/>
                    <w:rPr>
                      <w:color w:val="auto"/>
                      <w:sz w:val="21"/>
                      <w:szCs w:val="21"/>
                    </w:rPr>
                  </w:pPr>
                  <w:r>
                    <w:rPr>
                      <w:rFonts w:hint="eastAsia"/>
                      <w:color w:val="auto"/>
                      <w:sz w:val="21"/>
                      <w:szCs w:val="21"/>
                    </w:rPr>
                    <w:t>类型</w:t>
                  </w:r>
                </w:p>
              </w:tc>
              <w:tc>
                <w:tcPr>
                  <w:tcW w:w="1037" w:type="dxa"/>
                  <w:tcBorders>
                    <w:tl2br w:val="nil"/>
                    <w:tr2bl w:val="nil"/>
                  </w:tcBorders>
                  <w:vAlign w:val="center"/>
                </w:tcPr>
                <w:p>
                  <w:pPr>
                    <w:snapToGrid w:val="0"/>
                    <w:jc w:val="center"/>
                    <w:rPr>
                      <w:color w:val="auto"/>
                      <w:sz w:val="21"/>
                      <w:szCs w:val="21"/>
                    </w:rPr>
                  </w:pPr>
                  <w:r>
                    <w:rPr>
                      <w:rFonts w:hint="eastAsia"/>
                      <w:color w:val="auto"/>
                      <w:sz w:val="21"/>
                      <w:szCs w:val="21"/>
                    </w:rPr>
                    <w:t>污染物</w:t>
                  </w:r>
                </w:p>
              </w:tc>
              <w:tc>
                <w:tcPr>
                  <w:tcW w:w="1005" w:type="dxa"/>
                  <w:tcBorders>
                    <w:tl2br w:val="nil"/>
                    <w:tr2bl w:val="nil"/>
                  </w:tcBorders>
                  <w:vAlign w:val="center"/>
                </w:tcPr>
                <w:p>
                  <w:pPr>
                    <w:snapToGrid w:val="0"/>
                    <w:jc w:val="center"/>
                    <w:rPr>
                      <w:color w:val="auto"/>
                      <w:sz w:val="21"/>
                      <w:szCs w:val="21"/>
                    </w:rPr>
                  </w:pPr>
                  <w:r>
                    <w:rPr>
                      <w:rFonts w:hint="eastAsia"/>
                      <w:color w:val="auto"/>
                      <w:sz w:val="21"/>
                      <w:szCs w:val="21"/>
                    </w:rPr>
                    <w:t>产生量（</w:t>
                  </w:r>
                  <w:r>
                    <w:rPr>
                      <w:color w:val="auto"/>
                      <w:sz w:val="21"/>
                      <w:szCs w:val="21"/>
                    </w:rPr>
                    <w:t>t/a</w:t>
                  </w:r>
                  <w:r>
                    <w:rPr>
                      <w:rFonts w:hint="eastAsia"/>
                      <w:color w:val="auto"/>
                      <w:sz w:val="21"/>
                      <w:szCs w:val="21"/>
                    </w:rPr>
                    <w:t>）</w:t>
                  </w:r>
                </w:p>
              </w:tc>
              <w:tc>
                <w:tcPr>
                  <w:tcW w:w="1125" w:type="dxa"/>
                  <w:tcBorders>
                    <w:tl2br w:val="nil"/>
                    <w:tr2bl w:val="nil"/>
                  </w:tcBorders>
                  <w:vAlign w:val="center"/>
                </w:tcPr>
                <w:p>
                  <w:pPr>
                    <w:adjustRightInd w:val="0"/>
                    <w:snapToGrid w:val="0"/>
                    <w:jc w:val="center"/>
                    <w:textAlignment w:val="baseline"/>
                    <w:rPr>
                      <w:color w:val="auto"/>
                      <w:sz w:val="21"/>
                      <w:szCs w:val="21"/>
                    </w:rPr>
                  </w:pPr>
                  <w:r>
                    <w:rPr>
                      <w:rFonts w:hint="eastAsia"/>
                      <w:color w:val="auto"/>
                      <w:sz w:val="21"/>
                      <w:szCs w:val="21"/>
                    </w:rPr>
                    <w:t>产生浓度（</w:t>
                  </w:r>
                  <w:r>
                    <w:rPr>
                      <w:color w:val="auto"/>
                      <w:sz w:val="21"/>
                      <w:szCs w:val="21"/>
                    </w:rPr>
                    <w:t>mg/m</w:t>
                  </w:r>
                  <w:r>
                    <w:rPr>
                      <w:color w:val="auto"/>
                      <w:sz w:val="21"/>
                      <w:szCs w:val="21"/>
                      <w:vertAlign w:val="superscript"/>
                    </w:rPr>
                    <w:t>3</w:t>
                  </w:r>
                  <w:r>
                    <w:rPr>
                      <w:rFonts w:hint="eastAsia"/>
                      <w:color w:val="auto"/>
                      <w:sz w:val="21"/>
                      <w:szCs w:val="21"/>
                    </w:rPr>
                    <w:t>）</w:t>
                  </w:r>
                </w:p>
              </w:tc>
              <w:tc>
                <w:tcPr>
                  <w:tcW w:w="1860" w:type="dxa"/>
                  <w:tcBorders>
                    <w:tl2br w:val="nil"/>
                    <w:tr2bl w:val="nil"/>
                  </w:tcBorders>
                  <w:vAlign w:val="center"/>
                </w:tcPr>
                <w:p>
                  <w:pPr>
                    <w:adjustRightInd w:val="0"/>
                    <w:snapToGrid w:val="0"/>
                    <w:jc w:val="center"/>
                    <w:textAlignment w:val="baseline"/>
                    <w:rPr>
                      <w:color w:val="auto"/>
                      <w:sz w:val="21"/>
                      <w:szCs w:val="21"/>
                    </w:rPr>
                  </w:pPr>
                  <w:r>
                    <w:rPr>
                      <w:rFonts w:hint="eastAsia"/>
                      <w:color w:val="auto"/>
                      <w:sz w:val="21"/>
                      <w:szCs w:val="21"/>
                    </w:rPr>
                    <w:t>治理措施</w:t>
                  </w:r>
                </w:p>
              </w:tc>
              <w:tc>
                <w:tcPr>
                  <w:tcW w:w="945" w:type="dxa"/>
                  <w:tcBorders>
                    <w:tl2br w:val="nil"/>
                    <w:tr2bl w:val="nil"/>
                  </w:tcBorders>
                  <w:vAlign w:val="center"/>
                </w:tcPr>
                <w:p>
                  <w:pPr>
                    <w:snapToGrid w:val="0"/>
                    <w:jc w:val="center"/>
                    <w:rPr>
                      <w:color w:val="auto"/>
                      <w:sz w:val="21"/>
                      <w:szCs w:val="21"/>
                    </w:rPr>
                  </w:pPr>
                  <w:r>
                    <w:rPr>
                      <w:rFonts w:hint="eastAsia"/>
                      <w:color w:val="auto"/>
                      <w:sz w:val="21"/>
                      <w:szCs w:val="21"/>
                    </w:rPr>
                    <w:t>排放量（</w:t>
                  </w:r>
                  <w:r>
                    <w:rPr>
                      <w:color w:val="auto"/>
                      <w:sz w:val="21"/>
                      <w:szCs w:val="21"/>
                    </w:rPr>
                    <w:t>t/a</w:t>
                  </w:r>
                  <w:r>
                    <w:rPr>
                      <w:rFonts w:hint="eastAsia"/>
                      <w:color w:val="auto"/>
                      <w:sz w:val="21"/>
                      <w:szCs w:val="21"/>
                    </w:rPr>
                    <w:t>）</w:t>
                  </w:r>
                </w:p>
              </w:tc>
              <w:tc>
                <w:tcPr>
                  <w:tcW w:w="1163" w:type="dxa"/>
                  <w:tcBorders>
                    <w:tl2br w:val="nil"/>
                    <w:tr2bl w:val="nil"/>
                  </w:tcBorders>
                  <w:vAlign w:val="center"/>
                </w:tcPr>
                <w:p>
                  <w:pPr>
                    <w:adjustRightInd w:val="0"/>
                    <w:snapToGrid w:val="0"/>
                    <w:jc w:val="center"/>
                    <w:textAlignment w:val="baseline"/>
                    <w:rPr>
                      <w:color w:val="auto"/>
                      <w:sz w:val="21"/>
                      <w:szCs w:val="21"/>
                    </w:rPr>
                  </w:pPr>
                  <w:r>
                    <w:rPr>
                      <w:rFonts w:hint="eastAsia"/>
                      <w:color w:val="auto"/>
                      <w:sz w:val="21"/>
                      <w:szCs w:val="21"/>
                    </w:rPr>
                    <w:t>排放浓度（</w:t>
                  </w:r>
                  <w:r>
                    <w:rPr>
                      <w:color w:val="auto"/>
                      <w:sz w:val="21"/>
                      <w:szCs w:val="21"/>
                    </w:rPr>
                    <w:t>mg/m</w:t>
                  </w:r>
                  <w:r>
                    <w:rPr>
                      <w:color w:val="auto"/>
                      <w:sz w:val="21"/>
                      <w:szCs w:val="21"/>
                      <w:vertAlign w:val="superscript"/>
                    </w:rPr>
                    <w:t>3</w:t>
                  </w:r>
                  <w:r>
                    <w:rPr>
                      <w:rFonts w:hint="eastAsia"/>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508" w:hRule="atLeast"/>
                <w:jc w:val="center"/>
              </w:trPr>
              <w:tc>
                <w:tcPr>
                  <w:tcW w:w="485" w:type="dxa"/>
                  <w:vMerge w:val="restart"/>
                  <w:tcBorders>
                    <w:tl2br w:val="nil"/>
                    <w:tr2bl w:val="nil"/>
                  </w:tcBorders>
                  <w:vAlign w:val="center"/>
                </w:tcPr>
                <w:p>
                  <w:pPr>
                    <w:pStyle w:val="42"/>
                    <w:spacing w:line="240" w:lineRule="auto"/>
                    <w:rPr>
                      <w:color w:val="auto"/>
                      <w:sz w:val="21"/>
                      <w:szCs w:val="21"/>
                    </w:rPr>
                  </w:pPr>
                  <w:r>
                    <w:rPr>
                      <w:rFonts w:hint="eastAsia"/>
                      <w:color w:val="auto"/>
                      <w:sz w:val="21"/>
                      <w:szCs w:val="21"/>
                      <w:lang w:val="en-US" w:eastAsia="zh-CN"/>
                    </w:rPr>
                    <w:t>锅炉废气</w:t>
                  </w:r>
                </w:p>
              </w:tc>
              <w:tc>
                <w:tcPr>
                  <w:tcW w:w="1037" w:type="dxa"/>
                  <w:tcBorders>
                    <w:tl2br w:val="nil"/>
                    <w:tr2bl w:val="nil"/>
                  </w:tcBorders>
                  <w:vAlign w:val="center"/>
                </w:tcPr>
                <w:p>
                  <w:pPr>
                    <w:pStyle w:val="42"/>
                    <w:spacing w:line="240" w:lineRule="auto"/>
                    <w:rPr>
                      <w:rFonts w:hint="eastAsia"/>
                      <w:color w:val="auto"/>
                      <w:sz w:val="21"/>
                      <w:szCs w:val="21"/>
                      <w:lang w:val="en-US" w:eastAsia="zh-CN"/>
                    </w:rPr>
                  </w:pPr>
                  <w:r>
                    <w:rPr>
                      <w:rFonts w:hint="eastAsia"/>
                      <w:color w:val="auto"/>
                      <w:sz w:val="21"/>
                      <w:szCs w:val="21"/>
                      <w:lang w:val="en-US" w:eastAsia="zh-CN"/>
                    </w:rPr>
                    <w:t>SO</w:t>
                  </w:r>
                  <w:r>
                    <w:rPr>
                      <w:rFonts w:hint="eastAsia"/>
                      <w:color w:val="auto"/>
                      <w:sz w:val="21"/>
                      <w:szCs w:val="21"/>
                      <w:vertAlign w:val="subscript"/>
                      <w:lang w:val="en-US" w:eastAsia="zh-CN"/>
                    </w:rPr>
                    <w:t>2</w:t>
                  </w:r>
                </w:p>
              </w:tc>
              <w:tc>
                <w:tcPr>
                  <w:tcW w:w="1005" w:type="dxa"/>
                  <w:tcBorders>
                    <w:tl2br w:val="nil"/>
                    <w:tr2bl w:val="nil"/>
                  </w:tcBorders>
                  <w:vAlign w:val="center"/>
                </w:tcPr>
                <w:p>
                  <w:pPr>
                    <w:pStyle w:val="42"/>
                    <w:spacing w:line="240" w:lineRule="auto"/>
                    <w:rPr>
                      <w:rFonts w:hint="default"/>
                      <w:color w:val="FF0000"/>
                      <w:sz w:val="21"/>
                      <w:szCs w:val="21"/>
                      <w:lang w:val="en-US" w:eastAsia="zh-CN"/>
                    </w:rPr>
                  </w:pPr>
                  <w:r>
                    <w:rPr>
                      <w:rFonts w:hint="eastAsia"/>
                      <w:color w:val="FF0000"/>
                      <w:sz w:val="21"/>
                      <w:szCs w:val="21"/>
                      <w:lang w:val="en-US" w:eastAsia="zh-CN"/>
                    </w:rPr>
                    <w:t>0.42</w:t>
                  </w:r>
                </w:p>
              </w:tc>
              <w:tc>
                <w:tcPr>
                  <w:tcW w:w="1125" w:type="dxa"/>
                  <w:tcBorders>
                    <w:tl2br w:val="nil"/>
                    <w:tr2bl w:val="nil"/>
                  </w:tcBorders>
                  <w:vAlign w:val="center"/>
                </w:tcPr>
                <w:p>
                  <w:pPr>
                    <w:pStyle w:val="42"/>
                    <w:spacing w:line="240" w:lineRule="auto"/>
                    <w:rPr>
                      <w:rFonts w:hint="default"/>
                      <w:color w:val="auto"/>
                      <w:sz w:val="21"/>
                      <w:szCs w:val="21"/>
                      <w:lang w:val="en-US" w:eastAsia="zh-CN"/>
                    </w:rPr>
                  </w:pPr>
                  <w:r>
                    <w:rPr>
                      <w:rFonts w:hint="eastAsia"/>
                      <w:color w:val="auto"/>
                      <w:sz w:val="21"/>
                      <w:szCs w:val="21"/>
                      <w:lang w:val="en-US" w:eastAsia="zh-CN"/>
                    </w:rPr>
                    <w:t>19.64</w:t>
                  </w:r>
                </w:p>
              </w:tc>
              <w:tc>
                <w:tcPr>
                  <w:tcW w:w="1860" w:type="dxa"/>
                  <w:vMerge w:val="restart"/>
                  <w:tcBorders>
                    <w:tl2br w:val="nil"/>
                    <w:tr2bl w:val="nil"/>
                  </w:tcBorders>
                  <w:vAlign w:val="center"/>
                </w:tcPr>
                <w:p>
                  <w:pPr>
                    <w:pStyle w:val="42"/>
                    <w:spacing w:line="240" w:lineRule="auto"/>
                    <w:rPr>
                      <w:color w:val="auto"/>
                      <w:sz w:val="21"/>
                      <w:szCs w:val="21"/>
                    </w:rPr>
                  </w:pPr>
                  <w:r>
                    <w:rPr>
                      <w:rFonts w:hint="default" w:ascii="Times New Roman" w:hAnsi="Times New Roman" w:cs="Times New Roman"/>
                      <w:color w:val="auto"/>
                      <w:sz w:val="21"/>
                    </w:rPr>
                    <w:t>加装低氮燃烧器</w:t>
                  </w:r>
                  <w:r>
                    <w:rPr>
                      <w:rFonts w:hint="default" w:ascii="Times New Roman" w:hAnsi="Times New Roman" w:cs="Times New Roman"/>
                      <w:color w:val="auto"/>
                      <w:sz w:val="21"/>
                      <w:lang w:val="en-US" w:eastAsia="zh-CN"/>
                    </w:rPr>
                    <w:t>+烟气</w:t>
                  </w:r>
                  <w:r>
                    <w:rPr>
                      <w:rFonts w:hint="eastAsia" w:ascii="Times New Roman" w:hAnsi="Times New Roman" w:cs="Times New Roman"/>
                      <w:color w:val="auto"/>
                      <w:sz w:val="21"/>
                      <w:lang w:val="en-US" w:eastAsia="zh-CN"/>
                    </w:rPr>
                    <w:t>再</w:t>
                  </w:r>
                  <w:r>
                    <w:rPr>
                      <w:rFonts w:hint="default" w:ascii="Times New Roman" w:hAnsi="Times New Roman" w:cs="Times New Roman"/>
                      <w:color w:val="auto"/>
                      <w:sz w:val="21"/>
                      <w:lang w:val="en-US" w:eastAsia="zh-CN"/>
                    </w:rPr>
                    <w:t>循环</w:t>
                  </w:r>
                  <w:r>
                    <w:rPr>
                      <w:rFonts w:hint="eastAsia"/>
                      <w:color w:val="auto"/>
                      <w:sz w:val="21"/>
                      <w:szCs w:val="21"/>
                      <w:lang w:val="en-US" w:eastAsia="zh-CN"/>
                    </w:rPr>
                    <w:t>，锅炉烟气通过一根不低于8m高烟囱排放</w:t>
                  </w:r>
                </w:p>
              </w:tc>
              <w:tc>
                <w:tcPr>
                  <w:tcW w:w="945" w:type="dxa"/>
                  <w:tcBorders>
                    <w:tl2br w:val="nil"/>
                    <w:tr2bl w:val="nil"/>
                  </w:tcBorders>
                  <w:textDirection w:val="lrTb"/>
                  <w:vAlign w:val="center"/>
                </w:tcPr>
                <w:p>
                  <w:pPr>
                    <w:pStyle w:val="42"/>
                    <w:spacing w:line="240" w:lineRule="auto"/>
                    <w:rPr>
                      <w:rFonts w:hint="default"/>
                      <w:color w:val="auto"/>
                      <w:sz w:val="21"/>
                      <w:szCs w:val="21"/>
                      <w:lang w:val="en-US" w:eastAsia="zh-CN"/>
                    </w:rPr>
                  </w:pPr>
                  <w:r>
                    <w:rPr>
                      <w:rFonts w:hint="eastAsia"/>
                      <w:color w:val="FF0000"/>
                      <w:sz w:val="21"/>
                      <w:szCs w:val="21"/>
                      <w:lang w:val="en-US" w:eastAsia="zh-CN"/>
                    </w:rPr>
                    <w:t>0.42</w:t>
                  </w:r>
                </w:p>
              </w:tc>
              <w:tc>
                <w:tcPr>
                  <w:tcW w:w="1163" w:type="dxa"/>
                  <w:tcBorders>
                    <w:tl2br w:val="nil"/>
                    <w:tr2bl w:val="nil"/>
                  </w:tcBorders>
                  <w:vAlign w:val="center"/>
                </w:tcPr>
                <w:p>
                  <w:pPr>
                    <w:pStyle w:val="42"/>
                    <w:spacing w:line="240" w:lineRule="auto"/>
                    <w:rPr>
                      <w:rFonts w:hint="default"/>
                      <w:color w:val="auto"/>
                      <w:sz w:val="21"/>
                      <w:szCs w:val="21"/>
                      <w:lang w:val="en-US" w:eastAsia="zh-CN"/>
                    </w:rPr>
                  </w:pPr>
                  <w:r>
                    <w:rPr>
                      <w:rFonts w:hint="eastAsia"/>
                      <w:color w:val="auto"/>
                      <w:sz w:val="21"/>
                      <w:szCs w:val="21"/>
                      <w:lang w:val="en-US" w:eastAsia="zh-CN"/>
                    </w:rPr>
                    <w:t>19.64</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485" w:type="dxa"/>
                  <w:vMerge w:val="continue"/>
                  <w:tcBorders>
                    <w:tl2br w:val="nil"/>
                    <w:tr2bl w:val="nil"/>
                  </w:tcBorders>
                  <w:vAlign w:val="center"/>
                </w:tcPr>
                <w:p>
                  <w:pPr>
                    <w:pStyle w:val="42"/>
                    <w:spacing w:line="240" w:lineRule="auto"/>
                    <w:rPr>
                      <w:color w:val="auto"/>
                      <w:sz w:val="21"/>
                      <w:szCs w:val="21"/>
                    </w:rPr>
                  </w:pPr>
                </w:p>
              </w:tc>
              <w:tc>
                <w:tcPr>
                  <w:tcW w:w="1037" w:type="dxa"/>
                  <w:tcBorders>
                    <w:bottom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NOx</w:t>
                  </w:r>
                </w:p>
              </w:tc>
              <w:tc>
                <w:tcPr>
                  <w:tcW w:w="1005" w:type="dxa"/>
                  <w:tcBorders>
                    <w:bottom w:val="single" w:color="auto" w:sz="4" w:space="0"/>
                    <w:tl2br w:val="nil"/>
                    <w:tr2bl w:val="nil"/>
                  </w:tcBorders>
                  <w:vAlign w:val="center"/>
                </w:tcPr>
                <w:p>
                  <w:pPr>
                    <w:pStyle w:val="42"/>
                    <w:spacing w:line="240" w:lineRule="auto"/>
                    <w:jc w:val="center"/>
                    <w:rPr>
                      <w:rFonts w:hint="default"/>
                      <w:color w:val="FF0000"/>
                      <w:sz w:val="21"/>
                      <w:szCs w:val="21"/>
                      <w:lang w:val="en-US" w:eastAsia="zh-CN"/>
                    </w:rPr>
                  </w:pPr>
                  <w:r>
                    <w:rPr>
                      <w:rFonts w:hint="default" w:ascii="Arial" w:hAnsi="Arial" w:cs="Arial"/>
                      <w:color w:val="FF0000"/>
                      <w:sz w:val="21"/>
                      <w:szCs w:val="21"/>
                      <w:lang w:val="en-US" w:eastAsia="zh-CN"/>
                    </w:rPr>
                    <w:t>&lt;</w:t>
                  </w:r>
                  <w:r>
                    <w:rPr>
                      <w:rFonts w:hint="eastAsia"/>
                      <w:color w:val="FF0000"/>
                      <w:sz w:val="21"/>
                      <w:szCs w:val="21"/>
                      <w:lang w:val="en-US" w:eastAsia="zh-CN"/>
                    </w:rPr>
                    <w:t>1.06</w:t>
                  </w:r>
                </w:p>
              </w:tc>
              <w:tc>
                <w:tcPr>
                  <w:tcW w:w="1125" w:type="dxa"/>
                  <w:tcBorders>
                    <w:bottom w:val="single" w:color="auto" w:sz="4" w:space="0"/>
                    <w:tl2br w:val="nil"/>
                    <w:tr2bl w:val="nil"/>
                  </w:tcBorders>
                  <w:vAlign w:val="center"/>
                </w:tcPr>
                <w:p>
                  <w:pPr>
                    <w:pStyle w:val="42"/>
                    <w:spacing w:line="240" w:lineRule="auto"/>
                    <w:jc w:val="center"/>
                    <w:rPr>
                      <w:rFonts w:hint="default"/>
                      <w:color w:val="auto"/>
                      <w:sz w:val="21"/>
                      <w:szCs w:val="21"/>
                      <w:lang w:val="en-US" w:eastAsia="zh-CN"/>
                    </w:rPr>
                  </w:pPr>
                  <w:r>
                    <w:rPr>
                      <w:rFonts w:hint="default"/>
                      <w:color w:val="auto"/>
                      <w:sz w:val="21"/>
                      <w:szCs w:val="21"/>
                      <w:lang w:val="en-US" w:eastAsia="zh-CN"/>
                    </w:rPr>
                    <w:t>&lt;</w:t>
                  </w:r>
                  <w:r>
                    <w:rPr>
                      <w:rFonts w:hint="eastAsia"/>
                      <w:color w:val="auto"/>
                      <w:sz w:val="21"/>
                      <w:szCs w:val="21"/>
                      <w:lang w:val="en-US" w:eastAsia="zh-CN"/>
                    </w:rPr>
                    <w:t>50</w:t>
                  </w:r>
                </w:p>
              </w:tc>
              <w:tc>
                <w:tcPr>
                  <w:tcW w:w="1860" w:type="dxa"/>
                  <w:vMerge w:val="continue"/>
                  <w:tcBorders>
                    <w:tl2br w:val="nil"/>
                    <w:tr2bl w:val="nil"/>
                  </w:tcBorders>
                  <w:vAlign w:val="center"/>
                </w:tcPr>
                <w:p>
                  <w:pPr>
                    <w:pStyle w:val="42"/>
                    <w:spacing w:line="240" w:lineRule="auto"/>
                    <w:rPr>
                      <w:color w:val="auto"/>
                      <w:sz w:val="21"/>
                      <w:szCs w:val="21"/>
                    </w:rPr>
                  </w:pPr>
                </w:p>
              </w:tc>
              <w:tc>
                <w:tcPr>
                  <w:tcW w:w="945" w:type="dxa"/>
                  <w:tcBorders>
                    <w:bottom w:val="single" w:color="auto" w:sz="4" w:space="0"/>
                    <w:tl2br w:val="nil"/>
                    <w:tr2bl w:val="nil"/>
                  </w:tcBorders>
                  <w:textDirection w:val="lrTb"/>
                  <w:vAlign w:val="center"/>
                </w:tcPr>
                <w:p>
                  <w:pPr>
                    <w:pStyle w:val="42"/>
                    <w:spacing w:line="240" w:lineRule="auto"/>
                    <w:jc w:val="center"/>
                    <w:rPr>
                      <w:rFonts w:hint="eastAsia"/>
                      <w:color w:val="auto"/>
                      <w:sz w:val="21"/>
                      <w:szCs w:val="21"/>
                      <w:lang w:val="en-US" w:eastAsia="zh-CN"/>
                    </w:rPr>
                  </w:pPr>
                  <w:r>
                    <w:rPr>
                      <w:rFonts w:hint="default" w:ascii="Arial" w:hAnsi="Arial" w:cs="Arial"/>
                      <w:color w:val="FF0000"/>
                      <w:sz w:val="21"/>
                      <w:szCs w:val="21"/>
                      <w:lang w:val="en-US" w:eastAsia="zh-CN"/>
                    </w:rPr>
                    <w:t>&lt;</w:t>
                  </w:r>
                  <w:r>
                    <w:rPr>
                      <w:rFonts w:hint="eastAsia"/>
                      <w:color w:val="FF0000"/>
                      <w:sz w:val="21"/>
                      <w:szCs w:val="21"/>
                      <w:lang w:val="en-US" w:eastAsia="zh-CN"/>
                    </w:rPr>
                    <w:t>1.06</w:t>
                  </w:r>
                </w:p>
              </w:tc>
              <w:tc>
                <w:tcPr>
                  <w:tcW w:w="1163" w:type="dxa"/>
                  <w:tcBorders>
                    <w:bottom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default"/>
                      <w:color w:val="auto"/>
                      <w:sz w:val="21"/>
                      <w:szCs w:val="21"/>
                      <w:lang w:val="en-US" w:eastAsia="zh-CN"/>
                    </w:rPr>
                    <w:t>&lt;</w:t>
                  </w:r>
                  <w:r>
                    <w:rPr>
                      <w:rFonts w:hint="eastAsia"/>
                      <w:color w:val="auto"/>
                      <w:sz w:val="21"/>
                      <w:szCs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470" w:hRule="atLeast"/>
                <w:jc w:val="center"/>
              </w:trPr>
              <w:tc>
                <w:tcPr>
                  <w:tcW w:w="485" w:type="dxa"/>
                  <w:vMerge w:val="continue"/>
                  <w:tcBorders>
                    <w:tl2br w:val="nil"/>
                    <w:tr2bl w:val="nil"/>
                  </w:tcBorders>
                  <w:vAlign w:val="center"/>
                </w:tcPr>
                <w:p>
                  <w:pPr>
                    <w:pStyle w:val="42"/>
                    <w:spacing w:line="240" w:lineRule="auto"/>
                    <w:rPr>
                      <w:color w:val="auto"/>
                      <w:sz w:val="21"/>
                      <w:szCs w:val="21"/>
                    </w:rPr>
                  </w:pPr>
                </w:p>
              </w:tc>
              <w:tc>
                <w:tcPr>
                  <w:tcW w:w="1037" w:type="dxa"/>
                  <w:tcBorders>
                    <w:top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eastAsia"/>
                      <w:color w:val="auto"/>
                      <w:sz w:val="21"/>
                      <w:szCs w:val="21"/>
                      <w:lang w:val="en-US" w:eastAsia="zh-CN"/>
                    </w:rPr>
                    <w:t>颗粒物</w:t>
                  </w:r>
                </w:p>
              </w:tc>
              <w:tc>
                <w:tcPr>
                  <w:tcW w:w="1005" w:type="dxa"/>
                  <w:tcBorders>
                    <w:top w:val="single" w:color="auto" w:sz="4" w:space="0"/>
                    <w:tl2br w:val="nil"/>
                    <w:tr2bl w:val="nil"/>
                  </w:tcBorders>
                  <w:vAlign w:val="center"/>
                </w:tcPr>
                <w:p>
                  <w:pPr>
                    <w:pStyle w:val="42"/>
                    <w:spacing w:line="240" w:lineRule="auto"/>
                    <w:jc w:val="center"/>
                    <w:rPr>
                      <w:rFonts w:hint="eastAsia"/>
                      <w:color w:val="FF0000"/>
                      <w:sz w:val="21"/>
                      <w:szCs w:val="21"/>
                      <w:lang w:val="en-US" w:eastAsia="zh-CN"/>
                    </w:rPr>
                  </w:pPr>
                  <w:r>
                    <w:rPr>
                      <w:rFonts w:hint="default" w:ascii="Arial" w:hAnsi="Arial" w:cs="Arial"/>
                      <w:color w:val="FF0000"/>
                      <w:sz w:val="21"/>
                      <w:szCs w:val="21"/>
                      <w:lang w:val="en-US" w:eastAsia="zh-CN"/>
                    </w:rPr>
                    <w:t>&lt;</w:t>
                  </w:r>
                  <w:r>
                    <w:rPr>
                      <w:rFonts w:hint="eastAsia"/>
                      <w:color w:val="FF0000"/>
                      <w:sz w:val="21"/>
                      <w:szCs w:val="21"/>
                      <w:lang w:val="en-US" w:eastAsia="zh-CN"/>
                    </w:rPr>
                    <w:t>0.42</w:t>
                  </w:r>
                </w:p>
              </w:tc>
              <w:tc>
                <w:tcPr>
                  <w:tcW w:w="1125" w:type="dxa"/>
                  <w:tcBorders>
                    <w:top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default"/>
                      <w:color w:val="auto"/>
                      <w:sz w:val="21"/>
                      <w:szCs w:val="21"/>
                      <w:lang w:val="en-US" w:eastAsia="zh-CN"/>
                    </w:rPr>
                    <w:t>&lt;</w:t>
                  </w:r>
                  <w:r>
                    <w:rPr>
                      <w:rFonts w:hint="eastAsia"/>
                      <w:color w:val="auto"/>
                      <w:sz w:val="21"/>
                      <w:szCs w:val="21"/>
                      <w:lang w:val="en-US" w:eastAsia="zh-CN"/>
                    </w:rPr>
                    <w:t>20</w:t>
                  </w:r>
                </w:p>
              </w:tc>
              <w:tc>
                <w:tcPr>
                  <w:tcW w:w="1860" w:type="dxa"/>
                  <w:vMerge w:val="continue"/>
                  <w:tcBorders>
                    <w:tl2br w:val="nil"/>
                    <w:tr2bl w:val="nil"/>
                  </w:tcBorders>
                  <w:vAlign w:val="center"/>
                </w:tcPr>
                <w:p>
                  <w:pPr>
                    <w:pStyle w:val="42"/>
                    <w:spacing w:line="240" w:lineRule="auto"/>
                    <w:rPr>
                      <w:color w:val="auto"/>
                      <w:sz w:val="21"/>
                      <w:szCs w:val="21"/>
                    </w:rPr>
                  </w:pPr>
                </w:p>
              </w:tc>
              <w:tc>
                <w:tcPr>
                  <w:tcW w:w="945" w:type="dxa"/>
                  <w:tcBorders>
                    <w:top w:val="single" w:color="auto" w:sz="4" w:space="0"/>
                    <w:tl2br w:val="nil"/>
                    <w:tr2bl w:val="nil"/>
                  </w:tcBorders>
                  <w:textDirection w:val="lrTb"/>
                  <w:vAlign w:val="center"/>
                </w:tcPr>
                <w:p>
                  <w:pPr>
                    <w:pStyle w:val="42"/>
                    <w:spacing w:line="240" w:lineRule="auto"/>
                    <w:jc w:val="center"/>
                    <w:rPr>
                      <w:rFonts w:hint="eastAsia"/>
                      <w:color w:val="auto"/>
                      <w:sz w:val="21"/>
                      <w:szCs w:val="21"/>
                      <w:lang w:val="en-US" w:eastAsia="zh-CN"/>
                    </w:rPr>
                  </w:pPr>
                  <w:r>
                    <w:rPr>
                      <w:rFonts w:hint="default" w:ascii="Arial" w:hAnsi="Arial" w:cs="Arial"/>
                      <w:color w:val="FF0000"/>
                      <w:sz w:val="21"/>
                      <w:szCs w:val="21"/>
                      <w:lang w:val="en-US" w:eastAsia="zh-CN"/>
                    </w:rPr>
                    <w:t>&lt;</w:t>
                  </w:r>
                  <w:r>
                    <w:rPr>
                      <w:rFonts w:hint="eastAsia"/>
                      <w:color w:val="FF0000"/>
                      <w:sz w:val="21"/>
                      <w:szCs w:val="21"/>
                      <w:lang w:val="en-US" w:eastAsia="zh-CN"/>
                    </w:rPr>
                    <w:t>0.42</w:t>
                  </w:r>
                </w:p>
              </w:tc>
              <w:tc>
                <w:tcPr>
                  <w:tcW w:w="1163" w:type="dxa"/>
                  <w:tcBorders>
                    <w:top w:val="single" w:color="auto" w:sz="4" w:space="0"/>
                    <w:tl2br w:val="nil"/>
                    <w:tr2bl w:val="nil"/>
                  </w:tcBorders>
                  <w:vAlign w:val="center"/>
                </w:tcPr>
                <w:p>
                  <w:pPr>
                    <w:pStyle w:val="42"/>
                    <w:spacing w:line="240" w:lineRule="auto"/>
                    <w:jc w:val="center"/>
                    <w:rPr>
                      <w:rFonts w:hint="eastAsia"/>
                      <w:color w:val="auto"/>
                      <w:sz w:val="21"/>
                      <w:szCs w:val="21"/>
                      <w:lang w:val="en-US" w:eastAsia="zh-CN"/>
                    </w:rPr>
                  </w:pPr>
                  <w:r>
                    <w:rPr>
                      <w:rFonts w:hint="default"/>
                      <w:color w:val="auto"/>
                      <w:sz w:val="21"/>
                      <w:szCs w:val="21"/>
                      <w:lang w:val="en-US" w:eastAsia="zh-CN"/>
                    </w:rPr>
                    <w:t>&lt;</w:t>
                  </w:r>
                  <w:r>
                    <w:rPr>
                      <w:rFonts w:hint="eastAsia"/>
                      <w:color w:val="auto"/>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485" w:type="dxa"/>
                  <w:vMerge w:val="continue"/>
                  <w:tcBorders>
                    <w:tl2br w:val="nil"/>
                    <w:tr2bl w:val="nil"/>
                  </w:tcBorders>
                  <w:vAlign w:val="center"/>
                </w:tcPr>
                <w:p>
                  <w:pPr>
                    <w:pStyle w:val="42"/>
                    <w:spacing w:line="240" w:lineRule="auto"/>
                    <w:rPr>
                      <w:color w:val="auto"/>
                      <w:sz w:val="21"/>
                      <w:szCs w:val="21"/>
                    </w:rPr>
                  </w:pPr>
                </w:p>
              </w:tc>
              <w:tc>
                <w:tcPr>
                  <w:tcW w:w="1037" w:type="dxa"/>
                  <w:tcBorders>
                    <w:tl2br w:val="nil"/>
                    <w:tr2bl w:val="nil"/>
                  </w:tcBorders>
                  <w:vAlign w:val="center"/>
                </w:tcPr>
                <w:p>
                  <w:pPr>
                    <w:pStyle w:val="42"/>
                    <w:spacing w:line="240" w:lineRule="auto"/>
                    <w:rPr>
                      <w:color w:val="auto"/>
                      <w:sz w:val="21"/>
                      <w:szCs w:val="21"/>
                    </w:rPr>
                  </w:pPr>
                  <w:r>
                    <w:rPr>
                      <w:rFonts w:hint="eastAsia"/>
                      <w:color w:val="auto"/>
                      <w:sz w:val="21"/>
                      <w:szCs w:val="21"/>
                      <w:lang w:val="en-US" w:eastAsia="zh-CN"/>
                    </w:rPr>
                    <w:t>废</w:t>
                  </w:r>
                  <w:r>
                    <w:rPr>
                      <w:rFonts w:hint="eastAsia"/>
                      <w:color w:val="auto"/>
                      <w:sz w:val="21"/>
                      <w:szCs w:val="21"/>
                    </w:rPr>
                    <w:t>气量</w:t>
                  </w:r>
                </w:p>
              </w:tc>
              <w:tc>
                <w:tcPr>
                  <w:tcW w:w="6098" w:type="dxa"/>
                  <w:gridSpan w:val="5"/>
                  <w:tcBorders>
                    <w:tl2br w:val="nil"/>
                    <w:tr2bl w:val="nil"/>
                  </w:tcBorders>
                  <w:vAlign w:val="center"/>
                </w:tcPr>
                <w:p>
                  <w:pPr>
                    <w:pStyle w:val="42"/>
                    <w:spacing w:line="240" w:lineRule="auto"/>
                    <w:rPr>
                      <w:color w:val="auto"/>
                      <w:sz w:val="21"/>
                      <w:szCs w:val="21"/>
                    </w:rPr>
                  </w:pPr>
                  <w:r>
                    <w:rPr>
                      <w:rFonts w:hint="eastAsia" w:ascii="Times New Roman" w:hAnsi="Times New Roman" w:cs="Times New Roman"/>
                      <w:color w:val="FF0000"/>
                      <w:lang w:val="en-US" w:eastAsia="zh-CN"/>
                    </w:rPr>
                    <w:t>2123.81</w:t>
                  </w:r>
                  <w:r>
                    <w:rPr>
                      <w:rFonts w:hint="eastAsia"/>
                      <w:color w:val="auto"/>
                      <w:sz w:val="21"/>
                      <w:szCs w:val="21"/>
                      <w:lang w:val="en-US" w:eastAsia="zh-CN"/>
                    </w:rPr>
                    <w:t>万</w:t>
                  </w:r>
                  <w:r>
                    <w:rPr>
                      <w:color w:val="auto"/>
                      <w:sz w:val="21"/>
                      <w:szCs w:val="21"/>
                    </w:rPr>
                    <w:t>Nm</w:t>
                  </w:r>
                  <w:r>
                    <w:rPr>
                      <w:color w:val="auto"/>
                      <w:sz w:val="21"/>
                      <w:szCs w:val="21"/>
                      <w:vertAlign w:val="superscript"/>
                    </w:rPr>
                    <w:t>3</w:t>
                  </w:r>
                </w:p>
              </w:tc>
            </w:tr>
          </w:tbl>
          <w:p>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sz w:val="21"/>
                <w:szCs w:val="21"/>
                <w:lang w:val="en-US" w:eastAsia="zh-CN"/>
              </w:rPr>
            </w:pPr>
            <w:r>
              <w:rPr>
                <w:rFonts w:hint="eastAsia"/>
                <w:color w:val="auto"/>
                <w:lang w:val="en-US" w:eastAsia="zh-CN"/>
              </w:rPr>
              <w:t>通过以上计算分析，废气</w:t>
            </w:r>
            <w:r>
              <w:rPr>
                <w:rFonts w:hint="default"/>
                <w:color w:val="auto"/>
                <w:lang w:val="en-US" w:eastAsia="zh-CN"/>
              </w:rPr>
              <w:t>污染物SO</w:t>
            </w:r>
            <w:r>
              <w:rPr>
                <w:rFonts w:hint="default"/>
                <w:color w:val="auto"/>
                <w:vertAlign w:val="subscript"/>
                <w:lang w:val="en-US" w:eastAsia="zh-CN"/>
              </w:rPr>
              <w:t>2</w:t>
            </w:r>
            <w:r>
              <w:rPr>
                <w:rFonts w:hint="eastAsia"/>
                <w:color w:val="auto"/>
                <w:vertAlign w:val="baseline"/>
                <w:lang w:val="en-US" w:eastAsia="zh-CN"/>
              </w:rPr>
              <w:t>、</w:t>
            </w:r>
            <w:r>
              <w:rPr>
                <w:rFonts w:hint="eastAsia"/>
                <w:color w:val="auto"/>
                <w:sz w:val="21"/>
                <w:szCs w:val="21"/>
                <w:lang w:val="en-US" w:eastAsia="zh-CN"/>
              </w:rPr>
              <w:t>颗粒物</w:t>
            </w:r>
            <w:r>
              <w:rPr>
                <w:rFonts w:hint="default"/>
                <w:color w:val="auto"/>
                <w:lang w:val="en-US" w:eastAsia="zh-CN"/>
              </w:rPr>
              <w:t>排放浓度</w:t>
            </w:r>
            <w:r>
              <w:rPr>
                <w:rFonts w:hint="eastAsia"/>
                <w:color w:val="auto"/>
                <w:sz w:val="21"/>
                <w:szCs w:val="21"/>
              </w:rPr>
              <w:t>均满足《锅炉大气污染物排放标准》</w:t>
            </w:r>
            <w:r>
              <w:rPr>
                <w:color w:val="auto"/>
                <w:sz w:val="21"/>
                <w:szCs w:val="21"/>
              </w:rPr>
              <w:t>(GB13271-2014)</w:t>
            </w:r>
            <w:r>
              <w:rPr>
                <w:rFonts w:hint="eastAsia"/>
                <w:color w:val="auto"/>
                <w:sz w:val="21"/>
                <w:szCs w:val="21"/>
              </w:rPr>
              <w:t>规定的大气污染</w:t>
            </w:r>
            <w:r>
              <w:rPr>
                <w:rFonts w:hint="eastAsia"/>
                <w:color w:val="auto"/>
                <w:sz w:val="21"/>
                <w:szCs w:val="21"/>
                <w:lang w:val="en-US" w:eastAsia="zh-CN"/>
              </w:rPr>
              <w:t>物特别</w:t>
            </w:r>
            <w:r>
              <w:rPr>
                <w:rFonts w:hint="eastAsia"/>
                <w:color w:val="auto"/>
                <w:sz w:val="21"/>
                <w:szCs w:val="21"/>
              </w:rPr>
              <w:t>排放限值</w:t>
            </w:r>
            <w:r>
              <w:rPr>
                <w:color w:val="auto"/>
                <w:sz w:val="21"/>
                <w:szCs w:val="21"/>
              </w:rPr>
              <w:t>(SO</w:t>
            </w:r>
            <w:r>
              <w:rPr>
                <w:color w:val="auto"/>
                <w:sz w:val="21"/>
                <w:szCs w:val="21"/>
                <w:vertAlign w:val="subscript"/>
              </w:rPr>
              <w:t>2</w:t>
            </w:r>
            <w:r>
              <w:rPr>
                <w:rFonts w:hint="eastAsia"/>
                <w:color w:val="auto"/>
                <w:sz w:val="21"/>
                <w:szCs w:val="21"/>
              </w:rPr>
              <w:t>：</w:t>
            </w:r>
            <w:r>
              <w:rPr>
                <w:rFonts w:hint="eastAsia"/>
                <w:color w:val="auto"/>
                <w:sz w:val="21"/>
                <w:szCs w:val="21"/>
                <w:lang w:val="en-US" w:eastAsia="zh-CN"/>
              </w:rPr>
              <w:t>5</w:t>
            </w:r>
            <w:r>
              <w:rPr>
                <w:rFonts w:hint="eastAsia"/>
                <w:color w:val="auto"/>
                <w:sz w:val="21"/>
                <w:szCs w:val="21"/>
              </w:rPr>
              <w:t>0</w:t>
            </w:r>
            <w:r>
              <w:rPr>
                <w:color w:val="auto"/>
                <w:sz w:val="21"/>
                <w:szCs w:val="21"/>
              </w:rPr>
              <w:t>mg/m</w:t>
            </w:r>
            <w:r>
              <w:rPr>
                <w:color w:val="auto"/>
                <w:sz w:val="21"/>
                <w:szCs w:val="21"/>
                <w:vertAlign w:val="superscript"/>
              </w:rPr>
              <w:t>3</w:t>
            </w:r>
            <w:r>
              <w:rPr>
                <w:rFonts w:hint="eastAsia"/>
                <w:color w:val="auto"/>
                <w:sz w:val="21"/>
                <w:szCs w:val="21"/>
              </w:rPr>
              <w:t>、</w:t>
            </w:r>
            <w:r>
              <w:rPr>
                <w:rFonts w:hint="eastAsia" w:ascii="Calibri" w:hAnsi="Calibri" w:eastAsia="宋体" w:cs="Times New Roman"/>
                <w:color w:val="auto"/>
                <w:kern w:val="2"/>
                <w:sz w:val="21"/>
                <w:szCs w:val="21"/>
              </w:rPr>
              <w:t>颗粒物</w:t>
            </w:r>
            <w:r>
              <w:rPr>
                <w:rFonts w:hint="eastAsia"/>
                <w:color w:val="auto"/>
                <w:sz w:val="21"/>
                <w:szCs w:val="21"/>
              </w:rPr>
              <w:t>：</w:t>
            </w:r>
            <w:r>
              <w:rPr>
                <w:rFonts w:hint="eastAsia"/>
                <w:color w:val="auto"/>
                <w:sz w:val="21"/>
                <w:szCs w:val="21"/>
                <w:lang w:val="en-US" w:eastAsia="zh-CN"/>
              </w:rPr>
              <w:t>2</w:t>
            </w:r>
            <w:r>
              <w:rPr>
                <w:rFonts w:hint="eastAsia"/>
                <w:color w:val="auto"/>
                <w:sz w:val="21"/>
                <w:szCs w:val="21"/>
              </w:rPr>
              <w:t>0</w:t>
            </w:r>
            <w:r>
              <w:rPr>
                <w:color w:val="auto"/>
                <w:sz w:val="21"/>
                <w:szCs w:val="21"/>
              </w:rPr>
              <w:t>mg/m</w:t>
            </w:r>
            <w:r>
              <w:rPr>
                <w:color w:val="auto"/>
                <w:sz w:val="21"/>
                <w:szCs w:val="21"/>
                <w:vertAlign w:val="superscript"/>
              </w:rPr>
              <w:t>3</w:t>
            </w:r>
            <w:r>
              <w:rPr>
                <w:color w:val="auto"/>
                <w:sz w:val="21"/>
                <w:szCs w:val="21"/>
              </w:rPr>
              <w:t>)</w:t>
            </w:r>
            <w:r>
              <w:rPr>
                <w:rFonts w:hint="eastAsia"/>
                <w:color w:val="auto"/>
                <w:sz w:val="21"/>
                <w:szCs w:val="21"/>
              </w:rPr>
              <w:t>的要求。</w:t>
            </w:r>
            <w:r>
              <w:rPr>
                <w:rFonts w:hint="default"/>
                <w:color w:val="auto"/>
                <w:lang w:val="en-US" w:eastAsia="zh-CN"/>
              </w:rPr>
              <w:t>NOx排放浓度</w:t>
            </w:r>
            <w:r>
              <w:rPr>
                <w:rFonts w:hint="eastAsia"/>
                <w:color w:val="auto"/>
                <w:sz w:val="21"/>
                <w:szCs w:val="21"/>
              </w:rPr>
              <w:t>满足</w:t>
            </w:r>
            <w:r>
              <w:rPr>
                <w:rFonts w:hint="default"/>
                <w:color w:val="auto"/>
                <w:lang w:val="en-US" w:eastAsia="zh-CN"/>
              </w:rPr>
              <w:t>《关于开展自治区2021年度夏秋季大气污染防治“</w:t>
            </w:r>
            <w:r>
              <w:rPr>
                <w:rFonts w:hint="eastAsia"/>
                <w:color w:val="auto"/>
                <w:lang w:val="en-US" w:eastAsia="zh-CN"/>
              </w:rPr>
              <w:t>冬</w:t>
            </w:r>
            <w:r>
              <w:rPr>
                <w:rFonts w:hint="default"/>
                <w:color w:val="auto"/>
                <w:lang w:val="en-US" w:eastAsia="zh-CN"/>
              </w:rPr>
              <w:t>病夏治”工作的通知</w:t>
            </w:r>
            <w:r>
              <w:rPr>
                <w:rFonts w:hint="eastAsia"/>
                <w:color w:val="auto"/>
                <w:lang w:val="en-US" w:eastAsia="zh-CN"/>
              </w:rPr>
              <w:t>》中</w:t>
            </w:r>
            <w:r>
              <w:rPr>
                <w:rFonts w:hint="eastAsia"/>
                <w:color w:val="auto"/>
                <w:sz w:val="21"/>
                <w:szCs w:val="21"/>
                <w:lang w:val="en-US" w:eastAsia="zh-CN"/>
              </w:rPr>
              <w:t>5</w:t>
            </w:r>
            <w:r>
              <w:rPr>
                <w:rFonts w:hint="eastAsia"/>
                <w:color w:val="auto"/>
                <w:sz w:val="21"/>
                <w:szCs w:val="21"/>
              </w:rPr>
              <w:t>0</w:t>
            </w:r>
            <w:r>
              <w:rPr>
                <w:color w:val="auto"/>
                <w:sz w:val="21"/>
                <w:szCs w:val="21"/>
              </w:rPr>
              <w:t>mg/m</w:t>
            </w:r>
            <w:r>
              <w:rPr>
                <w:color w:val="auto"/>
                <w:sz w:val="21"/>
                <w:szCs w:val="21"/>
                <w:vertAlign w:val="superscript"/>
              </w:rPr>
              <w:t>3</w:t>
            </w:r>
            <w:r>
              <w:rPr>
                <w:rFonts w:hint="eastAsia"/>
                <w:color w:val="auto"/>
                <w:sz w:val="21"/>
                <w:szCs w:val="21"/>
              </w:rPr>
              <w:t>的要求</w:t>
            </w:r>
            <w:r>
              <w:rPr>
                <w:rFonts w:hint="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hint="eastAsia"/>
                <w:color w:val="auto"/>
                <w:lang w:val="en-US" w:eastAsia="zh-CN"/>
              </w:rPr>
            </w:pPr>
            <w:r>
              <w:rPr>
                <w:rFonts w:hint="default"/>
                <w:color w:val="auto"/>
                <w:lang w:val="en-US" w:eastAsia="zh-CN"/>
              </w:rPr>
              <w:t>表</w:t>
            </w:r>
            <w:r>
              <w:rPr>
                <w:rFonts w:hint="eastAsia"/>
                <w:color w:val="auto"/>
                <w:lang w:val="en-US" w:eastAsia="zh-CN"/>
              </w:rPr>
              <w:t>17</w:t>
            </w:r>
            <w:r>
              <w:rPr>
                <w:rFonts w:hint="default"/>
                <w:color w:val="auto"/>
                <w:lang w:val="en-US" w:eastAsia="zh-CN"/>
              </w:rPr>
              <w:t xml:space="preserve">            大气污染物</w:t>
            </w:r>
            <w:r>
              <w:rPr>
                <w:rFonts w:hint="eastAsia"/>
                <w:color w:val="auto"/>
                <w:lang w:val="en-US" w:eastAsia="zh-CN"/>
              </w:rPr>
              <w:t>排污口设置</w:t>
            </w:r>
            <w:r>
              <w:rPr>
                <w:rFonts w:hint="default"/>
                <w:color w:val="auto"/>
                <w:lang w:val="en-US" w:eastAsia="zh-CN"/>
              </w:rPr>
              <w:t>一览表</w:t>
            </w:r>
          </w:p>
          <w:tbl>
            <w:tblPr>
              <w:tblStyle w:val="29"/>
              <w:tblW w:w="7937"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
            <w:tblGrid>
              <w:gridCol w:w="881"/>
              <w:gridCol w:w="1626"/>
              <w:gridCol w:w="1326"/>
              <w:gridCol w:w="1402"/>
              <w:gridCol w:w="1402"/>
              <w:gridCol w:w="1300"/>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429" w:hRule="atLeast"/>
                <w:jc w:val="center"/>
              </w:trPr>
              <w:tc>
                <w:tcPr>
                  <w:tcW w:w="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编号</w:t>
                  </w:r>
                </w:p>
              </w:tc>
              <w:tc>
                <w:tcPr>
                  <w:tcW w:w="16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排放口名称</w:t>
                  </w:r>
                </w:p>
              </w:tc>
              <w:tc>
                <w:tcPr>
                  <w:tcW w:w="13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高度</w:t>
                  </w:r>
                </w:p>
              </w:tc>
              <w:tc>
                <w:tcPr>
                  <w:tcW w:w="14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出口内径</w:t>
                  </w:r>
                </w:p>
              </w:tc>
              <w:tc>
                <w:tcPr>
                  <w:tcW w:w="14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排气温度</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类型</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52" w:hRule="atLeast"/>
                <w:jc w:val="center"/>
              </w:trPr>
              <w:tc>
                <w:tcPr>
                  <w:tcW w:w="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Q00</w:t>
                  </w:r>
                  <w:r>
                    <w:rPr>
                      <w:rFonts w:hint="eastAsia" w:ascii="Times New Roman" w:hAnsi="Times New Roman" w:cs="Times New Roman"/>
                      <w:color w:val="auto"/>
                      <w:sz w:val="21"/>
                      <w:szCs w:val="21"/>
                      <w:vertAlign w:val="baseline"/>
                      <w:lang w:val="en-US" w:eastAsia="zh-CN"/>
                    </w:rPr>
                    <w:t>1</w:t>
                  </w:r>
                </w:p>
              </w:tc>
              <w:tc>
                <w:tcPr>
                  <w:tcW w:w="16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燃气锅炉烟囱</w:t>
                  </w:r>
                </w:p>
              </w:tc>
              <w:tc>
                <w:tcPr>
                  <w:tcW w:w="13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vertAlign w:val="baseline"/>
                      <w:lang w:val="en-US" w:eastAsia="zh-CN"/>
                    </w:rPr>
                  </w:pPr>
                  <w:r>
                    <w:rPr>
                      <w:rFonts w:hint="eastAsia"/>
                      <w:color w:val="auto"/>
                      <w:sz w:val="21"/>
                      <w:szCs w:val="21"/>
                      <w:lang w:val="en-US" w:eastAsia="zh-CN"/>
                    </w:rPr>
                    <w:t>不低于8m</w:t>
                  </w:r>
                </w:p>
              </w:tc>
              <w:tc>
                <w:tcPr>
                  <w:tcW w:w="14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1.4m</w:t>
                  </w:r>
                </w:p>
              </w:tc>
              <w:tc>
                <w:tcPr>
                  <w:tcW w:w="14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80</w:t>
                  </w:r>
                  <w:r>
                    <w:rPr>
                      <w:rFonts w:hint="default" w:ascii="Times New Roman" w:hAnsi="Times New Roman" w:cs="Times New Roman"/>
                      <w:color w:val="auto"/>
                      <w:sz w:val="21"/>
                      <w:szCs w:val="21"/>
                      <w:vertAlign w:val="baseline"/>
                      <w:lang w:val="en-US" w:eastAsia="zh-CN"/>
                    </w:rPr>
                    <w:t>℃</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有组织</w:t>
                  </w:r>
                </w:p>
              </w:tc>
            </w:tr>
          </w:tbl>
          <w:p>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color w:val="auto"/>
                <w:szCs w:val="21"/>
              </w:rPr>
            </w:pPr>
            <w:r>
              <w:rPr>
                <w:rFonts w:hint="eastAsia"/>
                <w:color w:val="auto"/>
                <w:lang w:val="en-US" w:eastAsia="zh-CN"/>
              </w:rPr>
              <w:t>1.2</w:t>
            </w:r>
            <w:r>
              <w:rPr>
                <w:rFonts w:ascii="Times New Roman" w:hAnsi="Times New Roman"/>
                <w:color w:val="auto"/>
                <w:szCs w:val="21"/>
              </w:rPr>
              <w:t>措施可行</w:t>
            </w:r>
            <w:r>
              <w:rPr>
                <w:rFonts w:hint="eastAsia" w:ascii="Times New Roman" w:hAnsi="Times New Roman"/>
                <w:color w:val="auto"/>
                <w:szCs w:val="21"/>
              </w:rPr>
              <w:t>性分析</w:t>
            </w:r>
          </w:p>
          <w:p>
            <w:pPr>
              <w:spacing w:line="360" w:lineRule="auto"/>
              <w:ind w:firstLine="420" w:firstLineChars="200"/>
              <w:rPr>
                <w:rFonts w:ascii="Times New Roman" w:hAnsi="Times New Roman"/>
                <w:color w:val="auto"/>
                <w:szCs w:val="21"/>
              </w:rPr>
            </w:pPr>
            <w:r>
              <w:rPr>
                <w:rFonts w:ascii="Times New Roman" w:hAnsi="Times New Roman"/>
                <w:color w:val="auto"/>
                <w:szCs w:val="21"/>
              </w:rPr>
              <w:t>（</w:t>
            </w:r>
            <w:r>
              <w:rPr>
                <w:rFonts w:hint="eastAsia" w:ascii="Times New Roman" w:hAnsi="Times New Roman"/>
                <w:color w:val="auto"/>
                <w:szCs w:val="21"/>
                <w:lang w:val="en-US" w:eastAsia="zh-CN"/>
              </w:rPr>
              <w:t>1</w:t>
            </w:r>
            <w:r>
              <w:rPr>
                <w:rFonts w:ascii="Times New Roman" w:hAnsi="Times New Roman"/>
                <w:color w:val="auto"/>
                <w:szCs w:val="21"/>
              </w:rPr>
              <w:t>）锅炉烟气防治</w:t>
            </w:r>
            <w:r>
              <w:rPr>
                <w:rFonts w:hint="eastAsia" w:ascii="Times New Roman" w:hAnsi="Times New Roman"/>
                <w:color w:val="auto"/>
                <w:szCs w:val="21"/>
                <w:lang w:val="en-US" w:eastAsia="zh-CN"/>
              </w:rPr>
              <w:t>措施</w:t>
            </w:r>
            <w:r>
              <w:rPr>
                <w:rFonts w:ascii="Times New Roman" w:hAnsi="Times New Roman"/>
                <w:color w:val="auto"/>
                <w:szCs w:val="21"/>
              </w:rPr>
              <w:t>可行性</w:t>
            </w:r>
          </w:p>
          <w:p>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依据</w:t>
            </w:r>
            <w:r>
              <w:rPr>
                <w:rFonts w:ascii="Times New Roman" w:hAnsi="Times New Roman"/>
                <w:color w:val="auto"/>
                <w:szCs w:val="21"/>
              </w:rPr>
              <w:t>《排污许可证申请与核发技术规范  锅炉》（HJ953-2018）中关于锅炉烟气污染防治的相关要求，具体详见下表。</w:t>
            </w:r>
          </w:p>
          <w:p>
            <w:pPr>
              <w:pStyle w:val="2"/>
              <w:rPr>
                <w:color w:val="auto"/>
              </w:rPr>
            </w:pPr>
          </w:p>
          <w:p>
            <w:pPr>
              <w:overflowPunct w:val="0"/>
              <w:adjustRightInd w:val="0"/>
              <w:snapToGrid w:val="0"/>
              <w:ind w:firstLine="795" w:firstLineChars="379"/>
              <w:rPr>
                <w:rFonts w:ascii="Times New Roman" w:hAnsi="Times New Roman"/>
                <w:b/>
                <w:color w:val="auto"/>
                <w:szCs w:val="21"/>
              </w:rPr>
            </w:pPr>
            <w:r>
              <w:rPr>
                <w:rFonts w:hint="default"/>
                <w:color w:val="auto"/>
                <w:lang w:val="en-US" w:eastAsia="zh-CN"/>
              </w:rPr>
              <w:t>表</w:t>
            </w:r>
            <w:r>
              <w:rPr>
                <w:rFonts w:hint="eastAsia"/>
                <w:color w:val="auto"/>
                <w:lang w:val="en-US" w:eastAsia="zh-CN"/>
              </w:rPr>
              <w:t>18</w:t>
            </w:r>
            <w:r>
              <w:rPr>
                <w:rFonts w:hint="default"/>
                <w:color w:val="auto"/>
                <w:lang w:val="en-US" w:eastAsia="zh-CN"/>
              </w:rPr>
              <w:t xml:space="preserve">               项目锅炉烟气污染物防治可行性一览表      </w:t>
            </w:r>
            <w:r>
              <w:rPr>
                <w:rFonts w:ascii="Times New Roman" w:hAnsi="Times New Roman" w:eastAsia="黑体"/>
                <w:color w:val="auto"/>
                <w:spacing w:val="-10"/>
                <w:kern w:val="0"/>
                <w:szCs w:val="11"/>
                <w:lang w:bidi="ar"/>
              </w:rPr>
              <w:t xml:space="preserve">              </w:t>
            </w:r>
          </w:p>
          <w:tbl>
            <w:tblPr>
              <w:tblStyle w:val="28"/>
              <w:tblW w:w="7971"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285"/>
              <w:gridCol w:w="2768"/>
              <w:gridCol w:w="2055"/>
              <w:gridCol w:w="10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055" w:type="dxa"/>
                  <w:gridSpan w:val="2"/>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燃料类型</w:t>
                  </w:r>
                </w:p>
              </w:tc>
              <w:tc>
                <w:tcPr>
                  <w:tcW w:w="2768" w:type="dxa"/>
                  <w:tcBorders>
                    <w:tl2br w:val="nil"/>
                    <w:tr2bl w:val="nil"/>
                  </w:tcBorders>
                  <w:vAlign w:val="center"/>
                </w:tcPr>
                <w:p>
                  <w:pPr>
                    <w:autoSpaceDE w:val="0"/>
                    <w:autoSpaceDN w:val="0"/>
                    <w:adjustRightInd w:val="0"/>
                    <w:textAlignment w:val="center"/>
                    <w:rPr>
                      <w:rFonts w:ascii="Times New Roman" w:hAnsi="Times New Roman"/>
                      <w:bCs/>
                      <w:color w:val="auto"/>
                      <w:kern w:val="0"/>
                      <w:szCs w:val="21"/>
                    </w:rPr>
                  </w:pPr>
                  <w:r>
                    <w:rPr>
                      <w:rFonts w:ascii="Times New Roman" w:hAnsi="Times New Roman"/>
                      <w:bCs/>
                      <w:color w:val="auto"/>
                      <w:kern w:val="0"/>
                      <w:szCs w:val="21"/>
                    </w:rPr>
                    <w:t>《排污许可证申请与核发技术规范</w:t>
                  </w:r>
                  <w:r>
                    <w:rPr>
                      <w:rFonts w:hint="eastAsia" w:ascii="Times New Roman" w:hAnsi="Times New Roman"/>
                      <w:bCs/>
                      <w:color w:val="auto"/>
                      <w:kern w:val="0"/>
                      <w:szCs w:val="21"/>
                      <w:lang w:val="en-US" w:eastAsia="zh-CN"/>
                    </w:rPr>
                    <w:t xml:space="preserve"> </w:t>
                  </w:r>
                  <w:r>
                    <w:rPr>
                      <w:rFonts w:ascii="Times New Roman" w:hAnsi="Times New Roman"/>
                      <w:bCs/>
                      <w:color w:val="auto"/>
                      <w:kern w:val="0"/>
                      <w:szCs w:val="21"/>
                    </w:rPr>
                    <w:t>锅炉》（HJ953-2018）</w:t>
                  </w:r>
                </w:p>
              </w:tc>
              <w:tc>
                <w:tcPr>
                  <w:tcW w:w="205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本项目锅炉烟气</w:t>
                  </w:r>
                </w:p>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治理措施</w:t>
                  </w:r>
                </w:p>
              </w:tc>
              <w:tc>
                <w:tcPr>
                  <w:tcW w:w="1093"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是否</w:t>
                  </w:r>
                  <w:r>
                    <w:rPr>
                      <w:rFonts w:hint="eastAsia" w:ascii="Times New Roman" w:hAnsi="Times New Roman"/>
                      <w:bCs/>
                      <w:color w:val="auto"/>
                      <w:kern w:val="0"/>
                      <w:szCs w:val="21"/>
                      <w:lang w:val="en-US" w:eastAsia="zh-CN"/>
                    </w:rPr>
                    <w:t>为可行技术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055" w:type="dxa"/>
                  <w:gridSpan w:val="2"/>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炉型/燃料</w:t>
                  </w:r>
                </w:p>
              </w:tc>
              <w:tc>
                <w:tcPr>
                  <w:tcW w:w="2768"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室燃炉/天然气</w:t>
                  </w:r>
                </w:p>
              </w:tc>
              <w:tc>
                <w:tcPr>
                  <w:tcW w:w="205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室燃炉/天然气</w:t>
                  </w:r>
                </w:p>
              </w:tc>
              <w:tc>
                <w:tcPr>
                  <w:tcW w:w="1093"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70" w:type="dxa"/>
                  <w:vMerge w:val="restart"/>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二氧</w:t>
                  </w:r>
                </w:p>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化硫</w:t>
                  </w:r>
                </w:p>
              </w:tc>
              <w:tc>
                <w:tcPr>
                  <w:tcW w:w="128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一般地区</w:t>
                  </w:r>
                </w:p>
              </w:tc>
              <w:tc>
                <w:tcPr>
                  <w:tcW w:w="2768"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205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1093"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70" w:type="dxa"/>
                  <w:vMerge w:val="continue"/>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p>
              </w:tc>
              <w:tc>
                <w:tcPr>
                  <w:tcW w:w="128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重点地区</w:t>
                  </w:r>
                </w:p>
              </w:tc>
              <w:tc>
                <w:tcPr>
                  <w:tcW w:w="2768"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205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1093"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70" w:type="dxa"/>
                  <w:vMerge w:val="restart"/>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氮氧化物</w:t>
                  </w:r>
                </w:p>
              </w:tc>
              <w:tc>
                <w:tcPr>
                  <w:tcW w:w="128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一般地区</w:t>
                  </w:r>
                </w:p>
              </w:tc>
              <w:tc>
                <w:tcPr>
                  <w:tcW w:w="2768" w:type="dxa"/>
                  <w:tcBorders>
                    <w:tl2br w:val="nil"/>
                    <w:tr2bl w:val="nil"/>
                  </w:tcBorders>
                  <w:vAlign w:val="center"/>
                </w:tcPr>
                <w:p>
                  <w:pPr>
                    <w:autoSpaceDE w:val="0"/>
                    <w:autoSpaceDN w:val="0"/>
                    <w:adjustRightInd w:val="0"/>
                    <w:textAlignment w:val="center"/>
                    <w:rPr>
                      <w:rFonts w:ascii="Times New Roman" w:hAnsi="Times New Roman"/>
                      <w:bCs/>
                      <w:color w:val="auto"/>
                      <w:kern w:val="0"/>
                      <w:szCs w:val="21"/>
                    </w:rPr>
                  </w:pPr>
                  <w:r>
                    <w:rPr>
                      <w:rFonts w:ascii="Times New Roman" w:hAnsi="Times New Roman"/>
                      <w:bCs/>
                      <w:color w:val="auto"/>
                      <w:kern w:val="0"/>
                      <w:szCs w:val="21"/>
                    </w:rPr>
                    <w:t>低氮燃烧技术、低氮燃烧+SCR脱硝技术</w:t>
                  </w:r>
                </w:p>
              </w:tc>
              <w:tc>
                <w:tcPr>
                  <w:tcW w:w="2055" w:type="dxa"/>
                  <w:tcBorders>
                    <w:tl2br w:val="nil"/>
                    <w:tr2bl w:val="nil"/>
                  </w:tcBorders>
                  <w:vAlign w:val="center"/>
                </w:tcPr>
                <w:p>
                  <w:pPr>
                    <w:autoSpaceDE w:val="0"/>
                    <w:autoSpaceDN w:val="0"/>
                    <w:adjustRightInd w:val="0"/>
                    <w:jc w:val="center"/>
                    <w:textAlignment w:val="center"/>
                    <w:rPr>
                      <w:rFonts w:hint="eastAsia" w:ascii="Times New Roman" w:hAnsi="Times New Roman" w:eastAsia="宋体"/>
                      <w:bCs/>
                      <w:color w:val="auto"/>
                      <w:kern w:val="0"/>
                      <w:szCs w:val="21"/>
                      <w:lang w:val="en-US" w:eastAsia="zh-CN"/>
                    </w:rPr>
                  </w:pPr>
                  <w:r>
                    <w:rPr>
                      <w:rFonts w:ascii="Times New Roman" w:hAnsi="Times New Roman"/>
                      <w:bCs/>
                      <w:color w:val="auto"/>
                      <w:kern w:val="0"/>
                      <w:szCs w:val="21"/>
                    </w:rPr>
                    <w:t>/</w:t>
                  </w:r>
                </w:p>
              </w:tc>
              <w:tc>
                <w:tcPr>
                  <w:tcW w:w="1093"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70" w:type="dxa"/>
                  <w:vMerge w:val="continue"/>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p>
              </w:tc>
              <w:tc>
                <w:tcPr>
                  <w:tcW w:w="128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重点地区</w:t>
                  </w:r>
                </w:p>
              </w:tc>
              <w:tc>
                <w:tcPr>
                  <w:tcW w:w="2768" w:type="dxa"/>
                  <w:tcBorders>
                    <w:tl2br w:val="nil"/>
                    <w:tr2bl w:val="nil"/>
                  </w:tcBorders>
                  <w:vAlign w:val="center"/>
                </w:tcPr>
                <w:p>
                  <w:pPr>
                    <w:autoSpaceDE w:val="0"/>
                    <w:autoSpaceDN w:val="0"/>
                    <w:adjustRightInd w:val="0"/>
                    <w:textAlignment w:val="center"/>
                    <w:rPr>
                      <w:rFonts w:ascii="Times New Roman" w:hAnsi="Times New Roman"/>
                      <w:bCs/>
                      <w:color w:val="auto"/>
                      <w:kern w:val="0"/>
                      <w:szCs w:val="21"/>
                    </w:rPr>
                  </w:pPr>
                  <w:r>
                    <w:rPr>
                      <w:rFonts w:ascii="Times New Roman" w:hAnsi="Times New Roman"/>
                      <w:bCs/>
                      <w:color w:val="auto"/>
                      <w:kern w:val="0"/>
                      <w:szCs w:val="21"/>
                    </w:rPr>
                    <w:t>低氮燃烧技术、低氮燃烧+SCR脱硝技术</w:t>
                  </w:r>
                </w:p>
              </w:tc>
              <w:tc>
                <w:tcPr>
                  <w:tcW w:w="205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hint="default" w:ascii="Times New Roman" w:hAnsi="Times New Roman" w:cs="Times New Roman"/>
                      <w:color w:val="auto"/>
                      <w:sz w:val="21"/>
                    </w:rPr>
                    <w:t>加装低氮燃烧器</w:t>
                  </w:r>
                  <w:r>
                    <w:rPr>
                      <w:rFonts w:hint="default" w:ascii="Times New Roman" w:hAnsi="Times New Roman" w:cs="Times New Roman"/>
                      <w:color w:val="auto"/>
                      <w:sz w:val="21"/>
                      <w:lang w:val="en-US" w:eastAsia="zh-CN"/>
                    </w:rPr>
                    <w:t>+烟气</w:t>
                  </w:r>
                  <w:r>
                    <w:rPr>
                      <w:rFonts w:hint="eastAsia" w:ascii="Times New Roman" w:hAnsi="Times New Roman" w:cs="Times New Roman"/>
                      <w:color w:val="auto"/>
                      <w:sz w:val="21"/>
                      <w:lang w:val="en-US" w:eastAsia="zh-CN"/>
                    </w:rPr>
                    <w:t>再</w:t>
                  </w:r>
                  <w:r>
                    <w:rPr>
                      <w:rFonts w:hint="default" w:ascii="Times New Roman" w:hAnsi="Times New Roman" w:cs="Times New Roman"/>
                      <w:color w:val="auto"/>
                      <w:sz w:val="21"/>
                      <w:lang w:val="en-US" w:eastAsia="zh-CN"/>
                    </w:rPr>
                    <w:t>循环</w:t>
                  </w:r>
                </w:p>
              </w:tc>
              <w:tc>
                <w:tcPr>
                  <w:tcW w:w="1093" w:type="dxa"/>
                  <w:tcBorders>
                    <w:tl2br w:val="nil"/>
                    <w:tr2bl w:val="nil"/>
                  </w:tcBorders>
                  <w:vAlign w:val="center"/>
                </w:tcPr>
                <w:p>
                  <w:pPr>
                    <w:autoSpaceDE w:val="0"/>
                    <w:autoSpaceDN w:val="0"/>
                    <w:adjustRightInd w:val="0"/>
                    <w:jc w:val="center"/>
                    <w:textAlignment w:val="center"/>
                    <w:rPr>
                      <w:rFonts w:hint="eastAsia" w:ascii="Times New Roman" w:hAnsi="Times New Roman" w:eastAsiaTheme="minorEastAsia"/>
                      <w:bCs/>
                      <w:color w:val="auto"/>
                      <w:kern w:val="0"/>
                      <w:szCs w:val="21"/>
                      <w:lang w:eastAsia="zh-CN"/>
                    </w:rPr>
                  </w:pPr>
                  <w:r>
                    <w:rPr>
                      <w:rFonts w:hint="eastAsia" w:ascii="Times New Roman" w:hAnsi="Times New Roman"/>
                      <w:bCs/>
                      <w:color w:val="auto"/>
                      <w:kern w:val="0"/>
                      <w:szCs w:val="21"/>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770" w:type="dxa"/>
                  <w:vMerge w:val="restart"/>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颗粒物</w:t>
                  </w:r>
                </w:p>
              </w:tc>
              <w:tc>
                <w:tcPr>
                  <w:tcW w:w="128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一般地区</w:t>
                  </w:r>
                </w:p>
              </w:tc>
              <w:tc>
                <w:tcPr>
                  <w:tcW w:w="2768"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205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1093"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70" w:type="dxa"/>
                  <w:vMerge w:val="continue"/>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p>
              </w:tc>
              <w:tc>
                <w:tcPr>
                  <w:tcW w:w="128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重点地区</w:t>
                  </w:r>
                </w:p>
              </w:tc>
              <w:tc>
                <w:tcPr>
                  <w:tcW w:w="2768"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205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1093"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r>
          </w:tbl>
          <w:p>
            <w:pPr>
              <w:spacing w:line="360" w:lineRule="auto"/>
              <w:ind w:firstLine="420" w:firstLineChars="200"/>
              <w:rPr>
                <w:rFonts w:ascii="Times New Roman" w:hAnsi="Times New Roman"/>
                <w:color w:val="auto"/>
                <w:szCs w:val="21"/>
              </w:rPr>
            </w:pPr>
            <w:r>
              <w:rPr>
                <w:rFonts w:ascii="Times New Roman" w:hAnsi="Times New Roman"/>
                <w:color w:val="auto"/>
                <w:szCs w:val="21"/>
              </w:rPr>
              <w:t>由上表可知，</w:t>
            </w:r>
            <w:r>
              <w:rPr>
                <w:rFonts w:hint="eastAsia" w:ascii="Times New Roman" w:hAnsi="Times New Roman"/>
                <w:color w:val="auto"/>
                <w:szCs w:val="21"/>
                <w:lang w:val="en-US" w:eastAsia="zh-CN"/>
              </w:rPr>
              <w:t>本</w:t>
            </w:r>
            <w:r>
              <w:rPr>
                <w:rFonts w:ascii="Times New Roman" w:hAnsi="Times New Roman"/>
                <w:color w:val="auto"/>
                <w:szCs w:val="21"/>
              </w:rPr>
              <w:t>项目燃气锅炉</w:t>
            </w:r>
            <w:r>
              <w:rPr>
                <w:rFonts w:hint="eastAsia" w:ascii="Times New Roman" w:hAnsi="Times New Roman"/>
                <w:color w:val="auto"/>
                <w:szCs w:val="21"/>
                <w:lang w:val="en-US" w:eastAsia="zh-CN"/>
              </w:rPr>
              <w:t>采用了</w:t>
            </w:r>
            <w:r>
              <w:rPr>
                <w:rFonts w:ascii="Times New Roman" w:hAnsi="Times New Roman"/>
                <w:bCs/>
                <w:color w:val="auto"/>
                <w:kern w:val="0"/>
                <w:szCs w:val="21"/>
              </w:rPr>
              <w:t>低氮燃烧技术</w:t>
            </w:r>
            <w:r>
              <w:rPr>
                <w:rFonts w:hint="eastAsia" w:ascii="Times New Roman" w:hAnsi="Times New Roman"/>
                <w:bCs/>
                <w:color w:val="auto"/>
                <w:kern w:val="0"/>
                <w:szCs w:val="21"/>
                <w:lang w:eastAsia="zh-CN"/>
              </w:rPr>
              <w:t>，</w:t>
            </w:r>
            <w:r>
              <w:rPr>
                <w:rFonts w:hint="eastAsia" w:ascii="Times New Roman" w:hAnsi="Times New Roman"/>
                <w:color w:val="auto"/>
                <w:szCs w:val="21"/>
                <w:lang w:val="en-US" w:eastAsia="zh-CN"/>
              </w:rPr>
              <w:t>为</w:t>
            </w:r>
            <w:r>
              <w:rPr>
                <w:rFonts w:ascii="Times New Roman" w:hAnsi="Times New Roman"/>
                <w:color w:val="auto"/>
                <w:szCs w:val="21"/>
              </w:rPr>
              <w:t>可行</w:t>
            </w:r>
            <w:r>
              <w:rPr>
                <w:rFonts w:hint="eastAsia" w:ascii="Times New Roman" w:hAnsi="Times New Roman"/>
                <w:color w:val="auto"/>
                <w:szCs w:val="21"/>
                <w:lang w:val="en-US" w:eastAsia="zh-CN"/>
              </w:rPr>
              <w:t>技术</w:t>
            </w:r>
            <w:r>
              <w:rPr>
                <w:rFonts w:ascii="Times New Roman" w:hAnsi="Times New Roman"/>
                <w:color w:val="auto"/>
                <w:szCs w:val="21"/>
              </w:rPr>
              <w:t>。</w:t>
            </w:r>
          </w:p>
          <w:p>
            <w:pPr>
              <w:spacing w:beforeLines="0" w:afterLines="0"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xml:space="preserve">   </w:t>
            </w:r>
            <w:r>
              <w:rPr>
                <w:rFonts w:hint="eastAsia" w:asciiTheme="minorHAnsi" w:hAnsiTheme="minorHAnsi" w:eastAsiaTheme="minorEastAsia" w:cstheme="minorBidi"/>
                <w:color w:val="auto"/>
                <w:kern w:val="2"/>
                <w:sz w:val="21"/>
                <w:szCs w:val="24"/>
                <w:lang w:val="en-US" w:eastAsia="zh-CN" w:bidi="ar-SA"/>
              </w:rPr>
              <w:t>（</w:t>
            </w:r>
            <w:r>
              <w:rPr>
                <w:rFonts w:hint="eastAsia" w:cstheme="minorBidi"/>
                <w:color w:val="auto"/>
                <w:kern w:val="2"/>
                <w:sz w:val="21"/>
                <w:szCs w:val="24"/>
                <w:lang w:val="en-US" w:eastAsia="zh-CN" w:bidi="ar-SA"/>
              </w:rPr>
              <w:t>2</w:t>
            </w:r>
            <w:r>
              <w:rPr>
                <w:rFonts w:hint="eastAsia" w:asciiTheme="minorHAnsi" w:hAnsiTheme="minorHAnsi" w:eastAsiaTheme="minorEastAsia" w:cstheme="minorBidi"/>
                <w:color w:val="auto"/>
                <w:kern w:val="2"/>
                <w:sz w:val="21"/>
                <w:szCs w:val="24"/>
                <w:lang w:val="en-US" w:eastAsia="zh-CN" w:bidi="ar-SA"/>
              </w:rPr>
              <w:t>）</w:t>
            </w:r>
            <w:r>
              <w:rPr>
                <w:rFonts w:hint="eastAsia" w:cstheme="minorBidi"/>
                <w:color w:val="auto"/>
                <w:kern w:val="2"/>
                <w:sz w:val="21"/>
                <w:szCs w:val="24"/>
                <w:lang w:val="en-US" w:eastAsia="zh-CN" w:bidi="ar-SA"/>
              </w:rPr>
              <w:t>依托现有</w:t>
            </w:r>
            <w:r>
              <w:rPr>
                <w:rFonts w:hint="default" w:asciiTheme="minorHAnsi" w:hAnsiTheme="minorHAnsi" w:eastAsiaTheme="minorEastAsia" w:cstheme="minorBidi"/>
                <w:color w:val="auto"/>
                <w:kern w:val="2"/>
                <w:sz w:val="21"/>
                <w:szCs w:val="24"/>
                <w:lang w:val="en-US" w:eastAsia="zh-CN" w:bidi="ar-SA"/>
              </w:rPr>
              <w:t>烟囱的可行性</w:t>
            </w:r>
          </w:p>
          <w:p>
            <w:pPr>
              <w:pStyle w:val="13"/>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sz w:val="21"/>
                <w:szCs w:val="21"/>
                <w:lang w:val="en-US" w:eastAsia="zh-CN"/>
              </w:rPr>
            </w:pPr>
            <w:r>
              <w:rPr>
                <w:rFonts w:hint="eastAsia"/>
                <w:color w:val="auto"/>
                <w:lang w:val="en-US" w:eastAsia="zh-CN"/>
              </w:rPr>
              <w:t>根据</w:t>
            </w:r>
            <w:r>
              <w:rPr>
                <w:rFonts w:hint="default"/>
                <w:color w:val="auto"/>
                <w:sz w:val="21"/>
                <w:szCs w:val="21"/>
                <w:lang w:val="en-US" w:eastAsia="zh-CN"/>
              </w:rPr>
              <w:t>《</w:t>
            </w:r>
            <w:r>
              <w:rPr>
                <w:rFonts w:hint="eastAsia"/>
                <w:color w:val="auto"/>
                <w:sz w:val="21"/>
                <w:szCs w:val="21"/>
                <w:lang w:val="en-US" w:eastAsia="zh-CN"/>
              </w:rPr>
              <w:t>锅炉房设计标准</w:t>
            </w:r>
            <w:r>
              <w:rPr>
                <w:rFonts w:hint="default"/>
                <w:color w:val="auto"/>
                <w:sz w:val="21"/>
                <w:szCs w:val="21"/>
                <w:lang w:val="en-US" w:eastAsia="zh-CN"/>
              </w:rPr>
              <w:t>》</w:t>
            </w:r>
            <w:r>
              <w:rPr>
                <w:rFonts w:hint="eastAsia"/>
                <w:color w:val="auto"/>
                <w:sz w:val="21"/>
                <w:szCs w:val="21"/>
                <w:lang w:val="en-US" w:eastAsia="zh-CN"/>
              </w:rPr>
              <w:t>（GB50041-2020）</w:t>
            </w:r>
            <w:r>
              <w:rPr>
                <w:rFonts w:hint="eastAsia"/>
                <w:color w:val="auto"/>
                <w:lang w:val="en-US" w:eastAsia="zh-CN"/>
              </w:rPr>
              <w:t>，当多台锅炉合用1条总烟道时，应保证每台锅炉排烟时互不影响，并应使每台锅炉的通风力均衡；每台锅炉烟道出口处应装设防爆装置，其位置应有利于泄压。本项目锅炉房按照</w:t>
            </w:r>
            <w:r>
              <w:rPr>
                <w:rFonts w:hint="default"/>
                <w:color w:val="auto"/>
                <w:sz w:val="21"/>
                <w:szCs w:val="21"/>
                <w:lang w:val="en-US" w:eastAsia="zh-CN"/>
              </w:rPr>
              <w:t>《</w:t>
            </w:r>
            <w:r>
              <w:rPr>
                <w:rFonts w:hint="eastAsia"/>
                <w:color w:val="auto"/>
                <w:sz w:val="21"/>
                <w:szCs w:val="21"/>
                <w:lang w:val="en-US" w:eastAsia="zh-CN"/>
              </w:rPr>
              <w:t>锅炉房设计标准</w:t>
            </w:r>
            <w:r>
              <w:rPr>
                <w:rFonts w:hint="default"/>
                <w:color w:val="auto"/>
                <w:sz w:val="21"/>
                <w:szCs w:val="21"/>
                <w:lang w:val="en-US" w:eastAsia="zh-CN"/>
              </w:rPr>
              <w:t>》</w:t>
            </w:r>
            <w:r>
              <w:rPr>
                <w:rFonts w:hint="eastAsia"/>
                <w:color w:val="auto"/>
                <w:sz w:val="21"/>
                <w:szCs w:val="21"/>
                <w:lang w:val="en-US" w:eastAsia="zh-CN"/>
              </w:rPr>
              <w:t>（GB50041-2020）设计新增</w:t>
            </w:r>
            <w:r>
              <w:rPr>
                <w:rFonts w:hint="eastAsia"/>
                <w:color w:val="auto"/>
                <w:lang w:val="en-US" w:eastAsia="zh-CN"/>
              </w:rPr>
              <w:t>1台燃气</w:t>
            </w:r>
            <w:r>
              <w:rPr>
                <w:rFonts w:hint="eastAsia"/>
                <w:color w:val="auto"/>
                <w:sz w:val="21"/>
                <w:szCs w:val="21"/>
                <w:lang w:val="en-US" w:eastAsia="zh-CN"/>
              </w:rPr>
              <w:t>锅炉与原有</w:t>
            </w:r>
            <w:r>
              <w:rPr>
                <w:rFonts w:hint="eastAsia"/>
                <w:color w:val="auto"/>
                <w:lang w:val="en-US" w:eastAsia="zh-CN"/>
              </w:rPr>
              <w:t>3台燃气锅炉</w:t>
            </w:r>
            <w:r>
              <w:rPr>
                <w:rFonts w:hint="eastAsia"/>
                <w:color w:val="auto"/>
                <w:sz w:val="21"/>
                <w:szCs w:val="21"/>
                <w:lang w:val="en-US" w:eastAsia="zh-CN"/>
              </w:rPr>
              <w:t>烟气通过一根烟囱排放</w:t>
            </w:r>
            <w:r>
              <w:rPr>
                <w:rFonts w:hint="eastAsia"/>
                <w:color w:val="auto"/>
                <w:lang w:val="en-US" w:eastAsia="zh-CN"/>
              </w:rPr>
              <w:t>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sz w:val="21"/>
                <w:szCs w:val="21"/>
                <w:lang w:val="en-US" w:eastAsia="zh-CN"/>
              </w:rPr>
            </w:pPr>
            <w:r>
              <w:rPr>
                <w:rFonts w:hint="eastAsia"/>
                <w:color w:val="auto"/>
                <w:lang w:val="en-US" w:eastAsia="zh-CN"/>
              </w:rPr>
              <w:t>1.3监测计划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根据</w:t>
            </w:r>
            <w:r>
              <w:rPr>
                <w:rFonts w:hint="default"/>
                <w:color w:val="auto"/>
                <w:sz w:val="21"/>
                <w:szCs w:val="21"/>
                <w:lang w:val="en-US" w:eastAsia="zh-CN"/>
              </w:rPr>
              <w:t>《</w:t>
            </w:r>
            <w:r>
              <w:rPr>
                <w:rFonts w:hint="eastAsia"/>
                <w:color w:val="auto"/>
                <w:sz w:val="21"/>
                <w:szCs w:val="21"/>
                <w:lang w:val="en-US" w:eastAsia="zh-CN"/>
              </w:rPr>
              <w:t>排污单位自行监测技术指南 火力发电及锅炉</w:t>
            </w:r>
            <w:r>
              <w:rPr>
                <w:rFonts w:hint="default"/>
                <w:color w:val="auto"/>
                <w:sz w:val="21"/>
                <w:szCs w:val="21"/>
                <w:lang w:val="en-US" w:eastAsia="zh-CN"/>
              </w:rPr>
              <w:t>》</w:t>
            </w:r>
            <w:r>
              <w:rPr>
                <w:rFonts w:hint="eastAsia"/>
                <w:color w:val="auto"/>
                <w:sz w:val="21"/>
                <w:szCs w:val="21"/>
                <w:lang w:val="en-US" w:eastAsia="zh-CN"/>
              </w:rPr>
              <w:t>（HJ820-2017）制定</w:t>
            </w:r>
            <w:r>
              <w:rPr>
                <w:rFonts w:hint="default" w:ascii="Times New Roman" w:hAnsi="Times New Roman" w:eastAsia="宋体" w:cs="Times New Roman"/>
                <w:color w:val="auto"/>
                <w:sz w:val="21"/>
                <w:szCs w:val="21"/>
                <w:lang w:val="en-US" w:eastAsia="zh-CN"/>
              </w:rPr>
              <w:t>本</w:t>
            </w: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lang w:val="en-US" w:eastAsia="zh-CN"/>
              </w:rPr>
              <w:t>营运期</w:t>
            </w:r>
            <w:r>
              <w:rPr>
                <w:rFonts w:hint="eastAsia" w:ascii="Times New Roman" w:hAnsi="Times New Roman" w:eastAsia="宋体" w:cs="Times New Roman"/>
                <w:color w:val="auto"/>
                <w:sz w:val="21"/>
                <w:szCs w:val="21"/>
                <w:lang w:val="en-US" w:eastAsia="zh-CN"/>
              </w:rPr>
              <w:t>大气</w:t>
            </w:r>
            <w:r>
              <w:rPr>
                <w:rFonts w:hint="default" w:ascii="Times New Roman" w:hAnsi="Times New Roman" w:eastAsia="宋体" w:cs="Times New Roman"/>
                <w:color w:val="auto"/>
                <w:sz w:val="21"/>
                <w:szCs w:val="21"/>
                <w:lang w:val="en-US" w:eastAsia="zh-CN"/>
              </w:rPr>
              <w:t>污染物监测方案计划见表</w:t>
            </w:r>
            <w:r>
              <w:rPr>
                <w:rFonts w:hint="eastAsia" w:ascii="Times New Roman" w:hAnsi="Times New Roman" w:eastAsia="宋体" w:cs="Times New Roman"/>
                <w:color w:val="auto"/>
                <w:sz w:val="21"/>
                <w:szCs w:val="21"/>
                <w:lang w:val="en-US" w:eastAsia="zh-CN"/>
              </w:rPr>
              <w:t>19</w:t>
            </w:r>
            <w:r>
              <w:rPr>
                <w:rFonts w:hint="default" w:ascii="Times New Roman" w:hAnsi="Times New Roman" w:eastAsia="宋体" w:cs="Times New Roman"/>
                <w:color w:val="auto"/>
                <w:sz w:val="21"/>
                <w:szCs w:val="21"/>
                <w:lang w:val="en-US" w:eastAsia="zh-CN"/>
              </w:rPr>
              <w:t>。</w:t>
            </w:r>
          </w:p>
          <w:p>
            <w:pPr>
              <w:adjustRightInd w:val="0"/>
              <w:snapToGrid w:val="0"/>
              <w:spacing w:line="240" w:lineRule="auto"/>
              <w:jc w:val="center"/>
              <w:rPr>
                <w:rFonts w:hint="default" w:ascii="Times New Roman" w:hAnsi="Times New Roman" w:eastAsia="宋体" w:cs="Times New Roman"/>
                <w:b/>
                <w:bCs w:val="0"/>
                <w:color w:val="auto"/>
                <w:spacing w:val="0"/>
                <w:sz w:val="21"/>
                <w:szCs w:val="21"/>
              </w:rPr>
            </w:pPr>
            <w:r>
              <w:rPr>
                <w:rFonts w:hint="eastAsia" w:ascii="Times New Roman" w:hAnsi="Times New Roman" w:eastAsia="宋体" w:cs="Times New Roman"/>
                <w:b/>
                <w:color w:val="auto"/>
                <w:kern w:val="0"/>
                <w:szCs w:val="20"/>
                <w:lang w:val="en-US" w:eastAsia="zh-CN"/>
              </w:rPr>
              <w:t xml:space="preserve"> </w:t>
            </w:r>
            <w:r>
              <w:rPr>
                <w:rFonts w:hint="eastAsia" w:ascii="Times New Roman" w:hAnsi="Times New Roman" w:eastAsia="宋体" w:cs="Times New Roman"/>
                <w:b/>
                <w:bCs w:val="0"/>
                <w:color w:val="auto"/>
                <w:spacing w:val="0"/>
                <w:sz w:val="21"/>
                <w:szCs w:val="21"/>
                <w:lang w:val="en-US" w:eastAsia="zh-CN"/>
              </w:rPr>
              <w:t xml:space="preserve">  </w:t>
            </w:r>
            <w:r>
              <w:rPr>
                <w:rFonts w:hint="default"/>
                <w:color w:val="auto"/>
                <w:lang w:val="en-US" w:eastAsia="zh-CN"/>
              </w:rPr>
              <w:t>表</w:t>
            </w:r>
            <w:r>
              <w:rPr>
                <w:rFonts w:hint="eastAsia"/>
                <w:color w:val="auto"/>
                <w:lang w:val="en-US" w:eastAsia="zh-CN"/>
              </w:rPr>
              <w:t>19</w:t>
            </w:r>
            <w:r>
              <w:rPr>
                <w:rFonts w:hint="default"/>
                <w:color w:val="auto"/>
                <w:lang w:val="en-US" w:eastAsia="zh-CN"/>
              </w:rPr>
              <w:t xml:space="preserve">        </w:t>
            </w:r>
            <w:r>
              <w:rPr>
                <w:rFonts w:hint="eastAsia"/>
                <w:color w:val="auto"/>
                <w:lang w:val="en-US" w:eastAsia="zh-CN"/>
              </w:rPr>
              <w:t xml:space="preserve">      </w:t>
            </w:r>
            <w:r>
              <w:rPr>
                <w:rFonts w:hint="default"/>
                <w:color w:val="auto"/>
                <w:lang w:val="en-US" w:eastAsia="zh-CN"/>
              </w:rPr>
              <w:t>运营期</w:t>
            </w:r>
            <w:r>
              <w:rPr>
                <w:rFonts w:hint="eastAsia"/>
                <w:color w:val="auto"/>
                <w:lang w:val="en-US" w:eastAsia="zh-CN"/>
              </w:rPr>
              <w:t>大气</w:t>
            </w:r>
            <w:r>
              <w:rPr>
                <w:rFonts w:hint="default"/>
                <w:color w:val="auto"/>
                <w:lang w:val="en-US" w:eastAsia="zh-CN"/>
              </w:rPr>
              <w:t>污染物监测</w:t>
            </w:r>
            <w:r>
              <w:rPr>
                <w:rFonts w:hint="eastAsia"/>
                <w:color w:val="auto"/>
                <w:lang w:val="en-US" w:eastAsia="zh-CN"/>
              </w:rPr>
              <w:t>计划表</w:t>
            </w:r>
          </w:p>
          <w:tbl>
            <w:tblPr>
              <w:tblStyle w:val="28"/>
              <w:tblW w:w="794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945"/>
              <w:gridCol w:w="1418"/>
              <w:gridCol w:w="35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074" w:type="dxa"/>
                  <w:vAlign w:val="center"/>
                </w:tcPr>
                <w:p>
                  <w:pPr>
                    <w:snapToGrid w:val="0"/>
                    <w:contextualSpacing/>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监测点位</w:t>
                  </w:r>
                </w:p>
              </w:tc>
              <w:tc>
                <w:tcPr>
                  <w:tcW w:w="1945" w:type="dxa"/>
                  <w:vAlign w:val="center"/>
                </w:tcPr>
                <w:p>
                  <w:pPr>
                    <w:snapToGrid w:val="0"/>
                    <w:contextualSpacing/>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监测</w:t>
                  </w:r>
                  <w:r>
                    <w:rPr>
                      <w:rFonts w:hint="eastAsia" w:ascii="Times New Roman" w:hAnsi="Times New Roman" w:cs="Times New Roman"/>
                      <w:b w:val="0"/>
                      <w:bCs w:val="0"/>
                      <w:color w:val="auto"/>
                      <w:sz w:val="21"/>
                      <w:szCs w:val="21"/>
                      <w:lang w:val="en-US" w:eastAsia="zh-CN"/>
                    </w:rPr>
                    <w:t>指标</w:t>
                  </w:r>
                </w:p>
              </w:tc>
              <w:tc>
                <w:tcPr>
                  <w:tcW w:w="1418" w:type="dxa"/>
                  <w:vAlign w:val="center"/>
                </w:tcPr>
                <w:p>
                  <w:pPr>
                    <w:snapToGrid w:val="0"/>
                    <w:contextualSpacing/>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监测频次</w:t>
                  </w:r>
                </w:p>
              </w:tc>
              <w:tc>
                <w:tcPr>
                  <w:tcW w:w="3509" w:type="dxa"/>
                  <w:vAlign w:val="center"/>
                </w:tcPr>
                <w:p>
                  <w:pPr>
                    <w:snapToGrid w:val="0"/>
                    <w:contextualSpacing/>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074" w:type="dxa"/>
                  <w:vMerge w:val="restart"/>
                  <w:vAlign w:val="center"/>
                </w:tcPr>
                <w:p>
                  <w:pPr>
                    <w:snapToGrid w:val="0"/>
                    <w:contextualSpacing/>
                    <w:jc w:val="center"/>
                    <w:rPr>
                      <w:rFonts w:hint="eastAsia" w:ascii="Times New Roman" w:hAnsi="Times New Roman" w:cs="Times New Roman"/>
                      <w:b w:val="0"/>
                      <w:bCs w:val="0"/>
                      <w:color w:val="auto"/>
                      <w:sz w:val="21"/>
                      <w:szCs w:val="21"/>
                      <w:lang w:val="en-US" w:eastAsia="zh-CN"/>
                    </w:rPr>
                  </w:pPr>
                  <w:r>
                    <w:rPr>
                      <w:rStyle w:val="43"/>
                      <w:rFonts w:hint="eastAsia" w:ascii="Times New Roman" w:eastAsia="宋体"/>
                      <w:b w:val="0"/>
                      <w:bCs w:val="0"/>
                      <w:color w:val="auto"/>
                      <w:sz w:val="21"/>
                      <w:szCs w:val="21"/>
                      <w:lang w:val="en-US" w:eastAsia="zh-CN"/>
                    </w:rPr>
                    <w:t>燃气锅炉</w:t>
                  </w:r>
                  <w:r>
                    <w:rPr>
                      <w:rFonts w:hint="eastAsia" w:ascii="Times New Roman" w:hAnsi="Times New Roman" w:cs="Times New Roman"/>
                      <w:b w:val="0"/>
                      <w:bCs w:val="0"/>
                      <w:color w:val="auto"/>
                      <w:sz w:val="21"/>
                      <w:szCs w:val="21"/>
                      <w:vertAlign w:val="baseline"/>
                      <w:lang w:val="en-US" w:eastAsia="zh-CN"/>
                    </w:rPr>
                    <w:t>烟囱</w:t>
                  </w:r>
                </w:p>
              </w:tc>
              <w:tc>
                <w:tcPr>
                  <w:tcW w:w="1945" w:type="dxa"/>
                  <w:vAlign w:val="center"/>
                </w:tcPr>
                <w:p>
                  <w:pPr>
                    <w:snapToGrid w:val="0"/>
                    <w:contextualSpacing/>
                    <w:jc w:val="center"/>
                    <w:rPr>
                      <w:rFonts w:hint="default" w:ascii="Times New Roman" w:hAnsi="Times New Roman" w:eastAsia="宋体" w:cs="Times New Roman"/>
                      <w:b w:val="0"/>
                      <w:bCs w:val="0"/>
                      <w:color w:val="auto"/>
                      <w:sz w:val="21"/>
                      <w:szCs w:val="21"/>
                      <w:lang w:val="en-US" w:eastAsia="zh-CN"/>
                    </w:rPr>
                  </w:pPr>
                  <w:r>
                    <w:rPr>
                      <w:rFonts w:ascii="Calibri" w:hAnsi="Calibri" w:eastAsia="宋体" w:cs="Times New Roman"/>
                      <w:b w:val="0"/>
                      <w:bCs w:val="0"/>
                      <w:color w:val="auto"/>
                      <w:kern w:val="2"/>
                      <w:sz w:val="21"/>
                      <w:szCs w:val="21"/>
                    </w:rPr>
                    <w:t>NOx</w:t>
                  </w:r>
                </w:p>
              </w:tc>
              <w:tc>
                <w:tcPr>
                  <w:tcW w:w="1418" w:type="dxa"/>
                  <w:vAlign w:val="center"/>
                </w:tcPr>
                <w:p>
                  <w:pPr>
                    <w:snapToGrid w:val="0"/>
                    <w:contextualSpacing/>
                    <w:jc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自动监测</w:t>
                  </w:r>
                </w:p>
              </w:tc>
              <w:tc>
                <w:tcPr>
                  <w:tcW w:w="3509" w:type="dxa"/>
                  <w:vMerge w:val="restart"/>
                  <w:vAlign w:val="center"/>
                </w:tcPr>
                <w:p>
                  <w:pPr>
                    <w:snapToGrid w:val="0"/>
                    <w:contextualSpacing/>
                    <w:jc w:val="center"/>
                    <w:rPr>
                      <w:rFonts w:hint="default" w:ascii="Times New Roman" w:hAnsi="Times New Roman" w:eastAsia="宋体" w:cs="Times New Roman"/>
                      <w:b w:val="0"/>
                      <w:bCs w:val="0"/>
                      <w:color w:val="auto"/>
                      <w:sz w:val="21"/>
                      <w:szCs w:val="21"/>
                      <w:lang w:val="en-US" w:eastAsia="zh-CN"/>
                    </w:rPr>
                  </w:pPr>
                  <w:r>
                    <w:rPr>
                      <w:color w:val="auto"/>
                    </w:rPr>
                    <w:t>《</w:t>
                  </w:r>
                  <w:r>
                    <w:rPr>
                      <w:rFonts w:hint="eastAsia"/>
                      <w:b w:val="0"/>
                      <w:bCs w:val="0"/>
                      <w:color w:val="auto"/>
                      <w:sz w:val="21"/>
                      <w:szCs w:val="21"/>
                    </w:rPr>
                    <w:t>锅炉大气污染物排放标准》</w:t>
                  </w:r>
                  <w:r>
                    <w:rPr>
                      <w:b w:val="0"/>
                      <w:bCs w:val="0"/>
                      <w:color w:val="auto"/>
                      <w:sz w:val="21"/>
                      <w:szCs w:val="21"/>
                    </w:rPr>
                    <w:t>(GB13271-2014)</w:t>
                  </w:r>
                  <w:r>
                    <w:rPr>
                      <w:rFonts w:hint="eastAsia" w:ascii="Times New Roman" w:hAnsi="Times New Roman"/>
                      <w:color w:val="auto"/>
                      <w:kern w:val="2"/>
                      <w:sz w:val="21"/>
                      <w:szCs w:val="21"/>
                      <w:lang w:val="en-US" w:eastAsia="zh-CN"/>
                    </w:rPr>
                    <w:t>表3大气污染物特别排放限值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4" w:type="dxa"/>
                  <w:vMerge w:val="continue"/>
                  <w:vAlign w:val="center"/>
                </w:tcPr>
                <w:p>
                  <w:pPr>
                    <w:snapToGrid w:val="0"/>
                    <w:contextualSpacing/>
                    <w:jc w:val="center"/>
                    <w:rPr>
                      <w:rStyle w:val="43"/>
                      <w:rFonts w:hint="eastAsia" w:ascii="Times New Roman" w:eastAsia="宋体"/>
                      <w:b w:val="0"/>
                      <w:bCs w:val="0"/>
                      <w:color w:val="auto"/>
                      <w:sz w:val="21"/>
                      <w:szCs w:val="21"/>
                      <w:lang w:val="en-US" w:eastAsia="zh-CN"/>
                    </w:rPr>
                  </w:pPr>
                </w:p>
              </w:tc>
              <w:tc>
                <w:tcPr>
                  <w:tcW w:w="1945" w:type="dxa"/>
                  <w:vAlign w:val="center"/>
                </w:tcPr>
                <w:p>
                  <w:pPr>
                    <w:snapToGrid w:val="0"/>
                    <w:contextualSpacing/>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颗粒物、</w:t>
                  </w:r>
                  <w:r>
                    <w:rPr>
                      <w:rFonts w:ascii="Calibri" w:hAnsi="Calibri" w:eastAsia="宋体" w:cs="Times New Roman"/>
                      <w:b w:val="0"/>
                      <w:bCs w:val="0"/>
                      <w:color w:val="auto"/>
                      <w:kern w:val="2"/>
                      <w:sz w:val="21"/>
                      <w:szCs w:val="21"/>
                    </w:rPr>
                    <w:t>SO</w:t>
                  </w:r>
                  <w:r>
                    <w:rPr>
                      <w:rFonts w:ascii="Calibri" w:hAnsi="Calibri" w:eastAsia="宋体" w:cs="Times New Roman"/>
                      <w:b w:val="0"/>
                      <w:bCs w:val="0"/>
                      <w:color w:val="auto"/>
                      <w:kern w:val="2"/>
                      <w:sz w:val="21"/>
                      <w:szCs w:val="21"/>
                      <w:vertAlign w:val="subscript"/>
                    </w:rPr>
                    <w:t>2</w:t>
                  </w:r>
                  <w:r>
                    <w:rPr>
                      <w:rFonts w:hint="eastAsia" w:ascii="Times New Roman" w:hAnsi="Times New Roman" w:cs="Times New Roman"/>
                      <w:b w:val="0"/>
                      <w:bCs w:val="0"/>
                      <w:color w:val="auto"/>
                      <w:sz w:val="21"/>
                      <w:szCs w:val="21"/>
                      <w:lang w:val="en-US" w:eastAsia="zh-CN"/>
                    </w:rPr>
                    <w:t>、</w:t>
                  </w:r>
                  <w:r>
                    <w:rPr>
                      <w:rFonts w:hint="eastAsia" w:ascii="Calibri" w:hAnsi="Calibri" w:eastAsia="宋体" w:cs="Times New Roman"/>
                      <w:b w:val="0"/>
                      <w:bCs w:val="0"/>
                      <w:color w:val="auto"/>
                      <w:kern w:val="2"/>
                      <w:sz w:val="21"/>
                      <w:szCs w:val="21"/>
                      <w:lang w:val="en-US" w:eastAsia="zh-CN"/>
                    </w:rPr>
                    <w:t>林格曼黑度</w:t>
                  </w:r>
                </w:p>
              </w:tc>
              <w:tc>
                <w:tcPr>
                  <w:tcW w:w="1418" w:type="dxa"/>
                  <w:vAlign w:val="center"/>
                </w:tcPr>
                <w:p>
                  <w:pPr>
                    <w:snapToGrid w:val="0"/>
                    <w:contextualSpacing/>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每季度一次</w:t>
                  </w:r>
                </w:p>
              </w:tc>
              <w:tc>
                <w:tcPr>
                  <w:tcW w:w="3509" w:type="dxa"/>
                  <w:vMerge w:val="continue"/>
                  <w:vAlign w:val="center"/>
                </w:tcPr>
                <w:p>
                  <w:pPr>
                    <w:snapToGrid w:val="0"/>
                    <w:contextualSpacing/>
                    <w:jc w:val="center"/>
                    <w:rPr>
                      <w:rFonts w:hint="eastAsia"/>
                      <w:b w:val="0"/>
                      <w:bCs w:val="0"/>
                      <w:color w:val="auto"/>
                      <w:sz w:val="21"/>
                      <w:szCs w:val="21"/>
                    </w:rPr>
                  </w:pPr>
                </w:p>
              </w:tc>
            </w:tr>
          </w:tbl>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废水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 xml:space="preserve">    2.1废水污染物源强核算</w:t>
            </w:r>
          </w:p>
          <w:p>
            <w:pPr>
              <w:spacing w:line="360" w:lineRule="auto"/>
              <w:ind w:firstLine="420" w:firstLineChars="200"/>
              <w:rPr>
                <w:rFonts w:hint="eastAsia"/>
                <w:color w:val="auto"/>
                <w:lang w:val="en-US" w:eastAsia="zh-CN"/>
              </w:rPr>
            </w:pPr>
            <w:r>
              <w:rPr>
                <w:rFonts w:hint="default"/>
                <w:color w:val="auto"/>
              </w:rPr>
              <w:t>本项目</w:t>
            </w:r>
            <w:r>
              <w:rPr>
                <w:rFonts w:hint="eastAsia"/>
                <w:color w:val="auto"/>
                <w:lang w:val="en-US" w:eastAsia="zh-CN"/>
              </w:rPr>
              <w:t>不新增劳动</w:t>
            </w:r>
            <w:r>
              <w:rPr>
                <w:rFonts w:hint="default"/>
                <w:color w:val="auto"/>
              </w:rPr>
              <w:t>定员</w:t>
            </w:r>
            <w:r>
              <w:rPr>
                <w:rFonts w:hint="eastAsia"/>
                <w:color w:val="auto"/>
                <w:lang w:eastAsia="zh-CN"/>
              </w:rPr>
              <w:t>，</w:t>
            </w:r>
            <w:r>
              <w:rPr>
                <w:rFonts w:hint="eastAsia"/>
                <w:color w:val="auto"/>
                <w:lang w:val="en-US" w:eastAsia="zh-CN"/>
              </w:rPr>
              <w:t>不新增生活用水量</w:t>
            </w:r>
            <w:r>
              <w:rPr>
                <w:rFonts w:hint="default" w:ascii="Times New Roman" w:hAnsi="Times New Roman" w:cs="Times New Roman"/>
                <w:color w:val="auto"/>
                <w:sz w:val="21"/>
                <w:szCs w:val="21"/>
              </w:rPr>
              <w:t>。</w:t>
            </w:r>
          </w:p>
          <w:p>
            <w:pPr>
              <w:spacing w:line="360" w:lineRule="auto"/>
              <w:ind w:firstLine="420" w:firstLineChars="200"/>
              <w:rPr>
                <w:rFonts w:hint="default"/>
                <w:color w:val="auto"/>
                <w:lang w:val="en-US" w:eastAsia="zh-CN"/>
              </w:rPr>
            </w:pPr>
            <w:r>
              <w:rPr>
                <w:rFonts w:hint="eastAsia"/>
                <w:color w:val="auto"/>
                <w:lang w:val="en-US" w:eastAsia="zh-CN"/>
              </w:rPr>
              <w:t>本项目生产废水主要为</w:t>
            </w:r>
            <w:r>
              <w:rPr>
                <w:rFonts w:hint="eastAsia" w:hAnsi="宋体" w:eastAsia="宋体"/>
                <w:color w:val="auto"/>
                <w:sz w:val="21"/>
                <w:szCs w:val="21"/>
              </w:rPr>
              <w:t>锅炉</w:t>
            </w:r>
            <w:r>
              <w:rPr>
                <w:rFonts w:hint="eastAsia" w:hAnsi="宋体" w:eastAsia="宋体"/>
                <w:color w:val="auto"/>
                <w:sz w:val="21"/>
                <w:szCs w:val="21"/>
                <w:lang w:val="en-US" w:eastAsia="zh-CN"/>
              </w:rPr>
              <w:t>排污</w:t>
            </w:r>
            <w:r>
              <w:rPr>
                <w:rFonts w:hint="eastAsia" w:hAnsi="宋体" w:eastAsia="宋体"/>
                <w:color w:val="auto"/>
                <w:sz w:val="21"/>
                <w:szCs w:val="21"/>
              </w:rPr>
              <w:t>水</w:t>
            </w:r>
            <w:r>
              <w:rPr>
                <w:rFonts w:hint="eastAsia" w:hAnsi="宋体" w:eastAsia="宋体"/>
                <w:color w:val="auto"/>
                <w:sz w:val="21"/>
                <w:szCs w:val="21"/>
                <w:lang w:eastAsia="zh-CN"/>
              </w:rPr>
              <w:t>、</w:t>
            </w:r>
            <w:r>
              <w:rPr>
                <w:rFonts w:hint="eastAsia" w:hAnsi="宋体" w:eastAsia="宋体"/>
                <w:color w:val="auto"/>
                <w:sz w:val="21"/>
                <w:szCs w:val="21"/>
                <w:lang w:val="en-US" w:eastAsia="zh-CN"/>
              </w:rPr>
              <w:t>软水制备废水</w:t>
            </w:r>
            <w:r>
              <w:rPr>
                <w:rFonts w:hint="eastAsia"/>
                <w:color w:val="auto"/>
                <w:lang w:val="en-US" w:eastAsia="zh-CN"/>
              </w:rPr>
              <w:t>，水污染物排放依据</w:t>
            </w:r>
            <w:r>
              <w:rPr>
                <w:color w:val="auto"/>
              </w:rPr>
              <w:t>《</w:t>
            </w:r>
            <w:r>
              <w:rPr>
                <w:rFonts w:hint="eastAsia"/>
                <w:color w:val="auto"/>
              </w:rPr>
              <w:t>排放源统计调查产排污核算方法和系数手册（2021年）</w:t>
            </w:r>
            <w:r>
              <w:rPr>
                <w:color w:val="auto"/>
              </w:rPr>
              <w:t>》</w:t>
            </w:r>
            <w:r>
              <w:rPr>
                <w:rFonts w:hint="eastAsia"/>
                <w:color w:val="auto"/>
                <w:lang w:val="en-US" w:eastAsia="zh-CN"/>
              </w:rPr>
              <w:t>4430 工业锅炉（热力生产和供应行业）产污系数表-工业废水量和“化学需氧量”计算，</w:t>
            </w:r>
            <w:r>
              <w:rPr>
                <w:rFonts w:hint="default"/>
                <w:color w:val="auto"/>
              </w:rPr>
              <w:t>产污</w:t>
            </w:r>
            <w:r>
              <w:rPr>
                <w:rFonts w:hint="eastAsia"/>
                <w:color w:val="auto"/>
                <w:lang w:val="en-US" w:eastAsia="zh-CN"/>
              </w:rPr>
              <w:t>系数见表20。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lang w:val="en-US"/>
              </w:rPr>
            </w:pPr>
            <w:r>
              <w:rPr>
                <w:rFonts w:hint="eastAsia"/>
                <w:color w:val="auto"/>
                <w:lang w:val="en-US" w:eastAsia="zh-CN"/>
              </w:rPr>
              <w:t xml:space="preserve">              </w:t>
            </w:r>
            <w:r>
              <w:rPr>
                <w:rFonts w:hint="default"/>
                <w:color w:val="auto"/>
              </w:rPr>
              <w:t>表</w:t>
            </w:r>
            <w:r>
              <w:rPr>
                <w:rFonts w:hint="eastAsia"/>
                <w:color w:val="auto"/>
                <w:lang w:val="en-US" w:eastAsia="zh-CN"/>
              </w:rPr>
              <w:t>20</w:t>
            </w:r>
            <w:r>
              <w:rPr>
                <w:rFonts w:hint="default"/>
                <w:color w:val="auto"/>
              </w:rPr>
              <w:t xml:space="preserve">            </w:t>
            </w:r>
            <w:r>
              <w:rPr>
                <w:rFonts w:hint="eastAsia"/>
                <w:color w:val="auto"/>
                <w:lang w:val="en-US" w:eastAsia="zh-CN"/>
              </w:rPr>
              <w:t xml:space="preserve">    水</w:t>
            </w:r>
            <w:r>
              <w:rPr>
                <w:rFonts w:hint="default"/>
                <w:color w:val="auto"/>
              </w:rPr>
              <w:t>污染物产污</w:t>
            </w:r>
            <w:r>
              <w:rPr>
                <w:rFonts w:hint="eastAsia"/>
                <w:color w:val="auto"/>
                <w:lang w:val="en-US" w:eastAsia="zh-CN"/>
              </w:rPr>
              <w:t>系数</w:t>
            </w:r>
          </w:p>
          <w:tbl>
            <w:tblPr>
              <w:tblStyle w:val="29"/>
              <w:tblW w:w="778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50"/>
              <w:gridCol w:w="1170"/>
              <w:gridCol w:w="720"/>
              <w:gridCol w:w="1035"/>
              <w:gridCol w:w="1200"/>
              <w:gridCol w:w="15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7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color w:val="auto"/>
                      <w:lang w:val="en-US" w:eastAsia="zh-CN"/>
                    </w:rPr>
                  </w:pPr>
                  <w:r>
                    <w:rPr>
                      <w:rFonts w:hint="default"/>
                      <w:color w:val="auto"/>
                      <w:lang w:val="en-US" w:eastAsia="zh-CN"/>
                    </w:rPr>
                    <w:t>产品名称</w:t>
                  </w:r>
                </w:p>
              </w:tc>
              <w:tc>
                <w:tcPr>
                  <w:tcW w:w="13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color w:val="auto"/>
                      <w:lang w:val="en-US" w:eastAsia="zh-CN"/>
                    </w:rPr>
                  </w:pPr>
                  <w:r>
                    <w:rPr>
                      <w:rFonts w:hint="default"/>
                      <w:color w:val="auto"/>
                      <w:lang w:val="en-US" w:eastAsia="zh-CN"/>
                    </w:rPr>
                    <w:t>原料名称</w:t>
                  </w:r>
                </w:p>
              </w:tc>
              <w:tc>
                <w:tcPr>
                  <w:tcW w:w="11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color w:val="auto"/>
                      <w:lang w:val="en-US" w:eastAsia="zh-CN"/>
                    </w:rPr>
                  </w:pPr>
                  <w:r>
                    <w:rPr>
                      <w:rFonts w:hint="eastAsia"/>
                      <w:color w:val="auto"/>
                      <w:lang w:val="en-US" w:eastAsia="zh-CN"/>
                    </w:rPr>
                    <w:t>工艺</w:t>
                  </w:r>
                </w:p>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color w:val="auto"/>
                      <w:lang w:val="en-US" w:eastAsia="zh-CN"/>
                    </w:rPr>
                  </w:pPr>
                  <w:r>
                    <w:rPr>
                      <w:rFonts w:hint="eastAsia"/>
                      <w:color w:val="auto"/>
                      <w:lang w:val="en-US" w:eastAsia="zh-CN"/>
                    </w:rPr>
                    <w:t>名称</w:t>
                  </w:r>
                </w:p>
              </w:tc>
              <w:tc>
                <w:tcPr>
                  <w:tcW w:w="7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color w:val="auto"/>
                      <w:lang w:val="en-US" w:eastAsia="zh-CN"/>
                    </w:rPr>
                  </w:pPr>
                  <w:r>
                    <w:rPr>
                      <w:rFonts w:hint="eastAsia"/>
                      <w:color w:val="auto"/>
                      <w:lang w:val="en-US" w:eastAsia="zh-CN"/>
                    </w:rPr>
                    <w:t>规模等级</w:t>
                  </w:r>
                </w:p>
              </w:tc>
              <w:tc>
                <w:tcPr>
                  <w:tcW w:w="10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default"/>
                      <w:color w:val="auto"/>
                      <w:lang w:val="en-US" w:eastAsia="zh-CN"/>
                    </w:rPr>
                    <w:t>污染物指标</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default"/>
                      <w:color w:val="auto"/>
                      <w:lang w:val="en-US" w:eastAsia="zh-CN"/>
                    </w:rPr>
                    <w:t>系数单位</w:t>
                  </w:r>
                </w:p>
              </w:tc>
              <w:tc>
                <w:tcPr>
                  <w:tcW w:w="15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default"/>
                      <w:color w:val="auto"/>
                      <w:lang w:val="en-US" w:eastAsia="zh-CN"/>
                    </w:rPr>
                    <w:t>产污系数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78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color w:val="auto"/>
                      <w:lang w:val="en-US" w:eastAsia="zh-CN"/>
                    </w:rPr>
                  </w:pPr>
                  <w:r>
                    <w:rPr>
                      <w:rFonts w:hint="eastAsia"/>
                      <w:color w:val="auto"/>
                      <w:sz w:val="21"/>
                      <w:szCs w:val="21"/>
                    </w:rPr>
                    <w:t>蒸汽/热水/其他</w:t>
                  </w:r>
                </w:p>
              </w:tc>
              <w:tc>
                <w:tcPr>
                  <w:tcW w:w="13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color w:val="auto"/>
                      <w:lang w:val="en-US" w:eastAsia="zh-CN"/>
                    </w:rPr>
                  </w:pPr>
                  <w:r>
                    <w:rPr>
                      <w:rFonts w:hint="eastAsia" w:ascii="宋体" w:hAnsi="宋体" w:eastAsia="宋体"/>
                      <w:color w:val="auto"/>
                      <w:sz w:val="22"/>
                    </w:rPr>
                    <w:t>天然气</w:t>
                  </w:r>
                  <w:r>
                    <w:rPr>
                      <w:rFonts w:hint="eastAsia" w:ascii="Times New Roman" w:hAnsi="Times New Roman" w:eastAsia="Times New Roman"/>
                      <w:color w:val="auto"/>
                      <w:sz w:val="22"/>
                    </w:rPr>
                    <w:t>/</w:t>
                  </w:r>
                  <w:r>
                    <w:rPr>
                      <w:rFonts w:hint="eastAsia" w:ascii="宋体" w:hAnsi="宋体" w:eastAsia="宋体"/>
                      <w:color w:val="auto"/>
                      <w:sz w:val="22"/>
                    </w:rPr>
                    <w:t>高炉煤气</w:t>
                  </w:r>
                  <w:r>
                    <w:rPr>
                      <w:rFonts w:hint="eastAsia" w:ascii="Times New Roman" w:hAnsi="Times New Roman" w:eastAsia="Times New Roman"/>
                      <w:color w:val="auto"/>
                      <w:sz w:val="22"/>
                    </w:rPr>
                    <w:t>/</w:t>
                  </w:r>
                  <w:r>
                    <w:rPr>
                      <w:rFonts w:hint="eastAsia" w:ascii="宋体" w:hAnsi="宋体" w:eastAsia="宋体"/>
                      <w:color w:val="auto"/>
                      <w:sz w:val="22"/>
                    </w:rPr>
                    <w:t>转炉煤气</w:t>
                  </w:r>
                  <w:r>
                    <w:rPr>
                      <w:rFonts w:hint="eastAsia" w:ascii="Times New Roman" w:hAnsi="Times New Roman" w:eastAsia="Times New Roman"/>
                      <w:color w:val="auto"/>
                      <w:sz w:val="22"/>
                    </w:rPr>
                    <w:t>/</w:t>
                  </w:r>
                  <w:r>
                    <w:rPr>
                      <w:rFonts w:hint="eastAsia" w:ascii="宋体" w:hAnsi="宋体" w:eastAsia="宋体"/>
                      <w:color w:val="auto"/>
                      <w:sz w:val="22"/>
                    </w:rPr>
                    <w:t>焦炉煤气</w:t>
                  </w:r>
                  <w:r>
                    <w:rPr>
                      <w:rFonts w:hint="eastAsia" w:ascii="Times New Roman" w:hAnsi="Times New Roman" w:eastAsia="Times New Roman"/>
                      <w:color w:val="auto"/>
                      <w:sz w:val="22"/>
                    </w:rPr>
                    <w:t>/</w:t>
                  </w:r>
                  <w:r>
                    <w:rPr>
                      <w:rFonts w:hint="eastAsia" w:ascii="宋体" w:hAnsi="宋体" w:eastAsia="宋体"/>
                      <w:color w:val="auto"/>
                      <w:sz w:val="22"/>
                    </w:rPr>
                    <w:t>炼厂干气</w:t>
                  </w:r>
                </w:p>
              </w:tc>
              <w:tc>
                <w:tcPr>
                  <w:tcW w:w="117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color w:val="auto"/>
                      <w:lang w:val="en-US" w:eastAsia="zh-CN"/>
                    </w:rPr>
                  </w:pPr>
                  <w:r>
                    <w:rPr>
                      <w:rFonts w:hint="eastAsia"/>
                      <w:color w:val="auto"/>
                      <w:lang w:val="en-US" w:eastAsia="zh-CN"/>
                    </w:rPr>
                    <w:t>全部类型锅炉（锅外水处理）</w:t>
                  </w:r>
                </w:p>
              </w:tc>
              <w:tc>
                <w:tcPr>
                  <w:tcW w:w="72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color w:val="auto"/>
                      <w:lang w:val="en-US" w:eastAsia="zh-CN"/>
                    </w:rPr>
                  </w:pPr>
                  <w:r>
                    <w:rPr>
                      <w:rFonts w:hint="eastAsia"/>
                      <w:color w:val="auto"/>
                      <w:lang w:val="en-US" w:eastAsia="zh-CN"/>
                    </w:rPr>
                    <w:t>所有规模</w:t>
                  </w:r>
                </w:p>
              </w:tc>
              <w:tc>
                <w:tcPr>
                  <w:tcW w:w="10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eastAsia"/>
                      <w:color w:val="auto"/>
                      <w:lang w:val="en-US" w:eastAsia="zh-CN"/>
                    </w:rPr>
                    <w:t>工业废水量</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default"/>
                      <w:color w:val="auto"/>
                      <w:lang w:val="en-US" w:eastAsia="zh-CN"/>
                    </w:rPr>
                    <w:t>吨/</w:t>
                  </w:r>
                  <w:r>
                    <w:rPr>
                      <w:rFonts w:hint="eastAsia"/>
                      <w:color w:val="auto"/>
                      <w:sz w:val="21"/>
                      <w:szCs w:val="21"/>
                      <w:lang w:val="en-US" w:eastAsia="zh-CN"/>
                    </w:rPr>
                    <w:t>万m</w:t>
                  </w:r>
                  <w:r>
                    <w:rPr>
                      <w:rFonts w:hint="eastAsia"/>
                      <w:color w:val="auto"/>
                      <w:sz w:val="21"/>
                      <w:szCs w:val="21"/>
                      <w:vertAlign w:val="superscript"/>
                      <w:lang w:val="en-US" w:eastAsia="zh-CN"/>
                    </w:rPr>
                    <w:t>3</w:t>
                  </w:r>
                  <w:r>
                    <w:rPr>
                      <w:rFonts w:hint="eastAsia"/>
                      <w:color w:val="auto"/>
                      <w:sz w:val="21"/>
                      <w:szCs w:val="21"/>
                    </w:rPr>
                    <w:t>-</w:t>
                  </w:r>
                  <w:r>
                    <w:rPr>
                      <w:rFonts w:hint="eastAsia"/>
                      <w:color w:val="auto"/>
                      <w:sz w:val="21"/>
                      <w:szCs w:val="21"/>
                      <w:lang w:val="en-US" w:eastAsia="zh-CN"/>
                    </w:rPr>
                    <w:t>原</w:t>
                  </w:r>
                  <w:r>
                    <w:rPr>
                      <w:rFonts w:hint="eastAsia"/>
                      <w:color w:val="auto"/>
                      <w:sz w:val="21"/>
                      <w:szCs w:val="21"/>
                    </w:rPr>
                    <w:t>料</w:t>
                  </w:r>
                </w:p>
              </w:tc>
              <w:tc>
                <w:tcPr>
                  <w:tcW w:w="15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eastAsia"/>
                      <w:color w:val="auto"/>
                      <w:lang w:val="en-US" w:eastAsia="zh-CN"/>
                    </w:rPr>
                    <w:t>13.56（</w:t>
                  </w:r>
                  <w:r>
                    <w:rPr>
                      <w:rFonts w:hint="eastAsia" w:hAnsi="宋体" w:eastAsia="宋体"/>
                      <w:color w:val="auto"/>
                      <w:sz w:val="21"/>
                      <w:szCs w:val="21"/>
                    </w:rPr>
                    <w:t>锅炉</w:t>
                  </w:r>
                  <w:r>
                    <w:rPr>
                      <w:rFonts w:hint="eastAsia" w:hAnsi="宋体" w:eastAsia="宋体"/>
                      <w:color w:val="auto"/>
                      <w:sz w:val="21"/>
                      <w:szCs w:val="21"/>
                      <w:lang w:val="en-US" w:eastAsia="zh-CN"/>
                    </w:rPr>
                    <w:t>排污</w:t>
                  </w:r>
                  <w:r>
                    <w:rPr>
                      <w:rFonts w:hint="eastAsia" w:hAnsi="宋体" w:eastAsia="宋体"/>
                      <w:color w:val="auto"/>
                      <w:sz w:val="21"/>
                      <w:szCs w:val="21"/>
                    </w:rPr>
                    <w:t>水</w:t>
                  </w:r>
                  <w:r>
                    <w:rPr>
                      <w:rFonts w:hint="eastAsia" w:hAnsi="宋体" w:eastAsia="宋体"/>
                      <w:color w:val="auto"/>
                      <w:sz w:val="21"/>
                      <w:szCs w:val="21"/>
                      <w:lang w:val="en-US" w:eastAsia="zh-CN"/>
                    </w:rPr>
                    <w:t>+软化处理废水</w:t>
                  </w: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7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color w:val="auto"/>
                      <w:lang w:val="en-US" w:eastAsia="zh-CN"/>
                    </w:rPr>
                  </w:pPr>
                </w:p>
              </w:tc>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color w:val="auto"/>
                      <w:lang w:val="en-US" w:eastAsia="zh-CN"/>
                    </w:rPr>
                  </w:pPr>
                </w:p>
              </w:tc>
              <w:tc>
                <w:tcPr>
                  <w:tcW w:w="117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color w:val="auto"/>
                      <w:lang w:val="en-US" w:eastAsia="zh-CN"/>
                    </w:rPr>
                  </w:pPr>
                </w:p>
              </w:tc>
              <w:tc>
                <w:tcPr>
                  <w:tcW w:w="7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color w:val="auto"/>
                      <w:lang w:val="en-US" w:eastAsia="zh-CN"/>
                    </w:rPr>
                  </w:pPr>
                </w:p>
              </w:tc>
              <w:tc>
                <w:tcPr>
                  <w:tcW w:w="10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color w:val="auto"/>
                      <w:lang w:val="en-US" w:eastAsia="zh-CN"/>
                    </w:rPr>
                  </w:pPr>
                  <w:r>
                    <w:rPr>
                      <w:rFonts w:hint="eastAsia"/>
                      <w:color w:val="auto"/>
                      <w:lang w:val="en-US" w:eastAsia="zh-CN"/>
                    </w:rPr>
                    <w:t>化学需氧量</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color w:val="auto"/>
                      <w:lang w:val="en-US" w:eastAsia="zh-CN"/>
                    </w:rPr>
                  </w:pPr>
                  <w:r>
                    <w:rPr>
                      <w:rFonts w:hint="eastAsia"/>
                      <w:color w:val="auto"/>
                      <w:lang w:val="en-US" w:eastAsia="zh-CN"/>
                    </w:rPr>
                    <w:t>克</w:t>
                  </w:r>
                  <w:r>
                    <w:rPr>
                      <w:rFonts w:hint="default"/>
                      <w:color w:val="auto"/>
                      <w:lang w:val="en-US" w:eastAsia="zh-CN"/>
                    </w:rPr>
                    <w:t>/</w:t>
                  </w:r>
                  <w:r>
                    <w:rPr>
                      <w:rFonts w:hint="eastAsia"/>
                      <w:color w:val="auto"/>
                      <w:sz w:val="21"/>
                      <w:szCs w:val="21"/>
                      <w:lang w:val="en-US" w:eastAsia="zh-CN"/>
                    </w:rPr>
                    <w:t>万m</w:t>
                  </w:r>
                  <w:r>
                    <w:rPr>
                      <w:rFonts w:hint="eastAsia"/>
                      <w:color w:val="auto"/>
                      <w:sz w:val="21"/>
                      <w:szCs w:val="21"/>
                      <w:vertAlign w:val="superscript"/>
                      <w:lang w:val="en-US" w:eastAsia="zh-CN"/>
                    </w:rPr>
                    <w:t>3</w:t>
                  </w:r>
                  <w:r>
                    <w:rPr>
                      <w:rFonts w:hint="eastAsia"/>
                      <w:color w:val="auto"/>
                      <w:sz w:val="21"/>
                      <w:szCs w:val="21"/>
                    </w:rPr>
                    <w:t>-</w:t>
                  </w:r>
                  <w:r>
                    <w:rPr>
                      <w:rFonts w:hint="eastAsia"/>
                      <w:color w:val="auto"/>
                      <w:sz w:val="21"/>
                      <w:szCs w:val="21"/>
                      <w:lang w:val="en-US" w:eastAsia="zh-CN"/>
                    </w:rPr>
                    <w:t>原</w:t>
                  </w:r>
                  <w:r>
                    <w:rPr>
                      <w:rFonts w:hint="eastAsia"/>
                      <w:color w:val="auto"/>
                      <w:sz w:val="21"/>
                      <w:szCs w:val="21"/>
                    </w:rPr>
                    <w:t>料</w:t>
                  </w:r>
                </w:p>
              </w:tc>
              <w:tc>
                <w:tcPr>
                  <w:tcW w:w="15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color w:val="auto"/>
                      <w:lang w:val="en-US" w:eastAsia="zh-CN"/>
                    </w:rPr>
                  </w:pPr>
                  <w:r>
                    <w:rPr>
                      <w:rFonts w:hint="eastAsia"/>
                      <w:color w:val="auto"/>
                      <w:lang w:val="en-US" w:eastAsia="zh-CN"/>
                    </w:rPr>
                    <w:t>1080</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 xml:space="preserve">          </w:t>
            </w:r>
            <w:r>
              <w:rPr>
                <w:rFonts w:hint="default"/>
                <w:color w:val="auto"/>
              </w:rPr>
              <w:t>表</w:t>
            </w:r>
            <w:r>
              <w:rPr>
                <w:rFonts w:hint="eastAsia"/>
                <w:color w:val="auto"/>
                <w:lang w:val="en-US" w:eastAsia="zh-CN"/>
              </w:rPr>
              <w:t>21</w:t>
            </w:r>
            <w:r>
              <w:rPr>
                <w:rFonts w:hint="default"/>
                <w:color w:val="auto"/>
              </w:rPr>
              <w:t xml:space="preserve">             </w:t>
            </w:r>
            <w:r>
              <w:rPr>
                <w:rFonts w:hint="eastAsia"/>
                <w:color w:val="auto"/>
                <w:lang w:val="en-US" w:eastAsia="zh-CN"/>
              </w:rPr>
              <w:t xml:space="preserve">    本项目水</w:t>
            </w:r>
            <w:r>
              <w:rPr>
                <w:rFonts w:hint="default"/>
                <w:color w:val="auto"/>
              </w:rPr>
              <w:t>污染物产</w:t>
            </w:r>
            <w:r>
              <w:rPr>
                <w:rFonts w:hint="eastAsia"/>
                <w:color w:val="auto"/>
                <w:lang w:val="en-US" w:eastAsia="zh-CN"/>
              </w:rPr>
              <w:t>生情况</w:t>
            </w:r>
            <w:r>
              <w:rPr>
                <w:rFonts w:hint="default"/>
                <w:color w:val="auto"/>
              </w:rPr>
              <w:t>表</w:t>
            </w:r>
          </w:p>
          <w:tbl>
            <w:tblPr>
              <w:tblStyle w:val="29"/>
              <w:tblW w:w="772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691"/>
              <w:gridCol w:w="2091"/>
              <w:gridCol w:w="19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color w:val="auto"/>
                      <w:lang w:val="en-US" w:eastAsia="zh-CN"/>
                    </w:rPr>
                  </w:pPr>
                  <w:r>
                    <w:rPr>
                      <w:rFonts w:hint="eastAsia"/>
                      <w:color w:val="auto"/>
                      <w:lang w:val="en-US" w:eastAsia="zh-CN"/>
                    </w:rPr>
                    <w:t>类型</w:t>
                  </w:r>
                </w:p>
              </w:tc>
              <w:tc>
                <w:tcPr>
                  <w:tcW w:w="16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default"/>
                      <w:color w:val="auto"/>
                      <w:lang w:val="en-US" w:eastAsia="zh-CN"/>
                    </w:rPr>
                    <w:t>污染物指标</w:t>
                  </w:r>
                </w:p>
              </w:tc>
              <w:tc>
                <w:tcPr>
                  <w:tcW w:w="20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eastAsia"/>
                      <w:color w:val="auto"/>
                      <w:lang w:val="en-US" w:eastAsia="zh-CN"/>
                    </w:rPr>
                    <w:t>产生量（t</w:t>
                  </w:r>
                  <w:r>
                    <w:rPr>
                      <w:rFonts w:hint="default"/>
                      <w:color w:val="auto"/>
                    </w:rPr>
                    <w:t>/a</w:t>
                  </w:r>
                  <w:r>
                    <w:rPr>
                      <w:rFonts w:hint="eastAsia"/>
                      <w:color w:val="auto"/>
                      <w:lang w:val="en-US" w:eastAsia="zh-CN"/>
                    </w:rPr>
                    <w:t>）</w:t>
                  </w:r>
                </w:p>
              </w:tc>
              <w:tc>
                <w:tcPr>
                  <w:tcW w:w="19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default"/>
                      <w:color w:val="auto"/>
                      <w:lang w:val="en-US" w:eastAsia="zh-CN"/>
                    </w:rPr>
                    <w:t>产</w:t>
                  </w:r>
                  <w:r>
                    <w:rPr>
                      <w:rFonts w:hint="eastAsia"/>
                      <w:color w:val="auto"/>
                      <w:lang w:val="en-US" w:eastAsia="zh-CN"/>
                    </w:rPr>
                    <w:t>生浓度（</w:t>
                  </w:r>
                  <w:r>
                    <w:rPr>
                      <w:rFonts w:hint="default"/>
                      <w:color w:val="auto"/>
                    </w:rPr>
                    <w:t>mg/L</w:t>
                  </w: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99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color w:val="auto"/>
                      <w:lang w:val="en-US" w:eastAsia="zh-CN"/>
                    </w:rPr>
                  </w:pPr>
                  <w:r>
                    <w:rPr>
                      <w:rFonts w:hint="eastAsia" w:hAnsi="宋体" w:eastAsia="宋体"/>
                      <w:color w:val="auto"/>
                      <w:sz w:val="21"/>
                      <w:szCs w:val="21"/>
                    </w:rPr>
                    <w:t>锅炉</w:t>
                  </w:r>
                  <w:r>
                    <w:rPr>
                      <w:rFonts w:hint="eastAsia" w:hAnsi="宋体" w:eastAsia="宋体"/>
                      <w:color w:val="auto"/>
                      <w:sz w:val="21"/>
                      <w:szCs w:val="21"/>
                      <w:lang w:val="en-US" w:eastAsia="zh-CN"/>
                    </w:rPr>
                    <w:t>排污</w:t>
                  </w:r>
                  <w:r>
                    <w:rPr>
                      <w:rFonts w:hint="eastAsia" w:hAnsi="宋体" w:eastAsia="宋体"/>
                      <w:color w:val="auto"/>
                      <w:sz w:val="21"/>
                      <w:szCs w:val="21"/>
                    </w:rPr>
                    <w:t>水</w:t>
                  </w:r>
                  <w:r>
                    <w:rPr>
                      <w:rFonts w:hint="eastAsia" w:hAnsi="宋体" w:eastAsia="宋体"/>
                      <w:color w:val="auto"/>
                      <w:sz w:val="21"/>
                      <w:szCs w:val="21"/>
                      <w:lang w:val="en-US" w:eastAsia="zh-CN"/>
                    </w:rPr>
                    <w:t>、软化处理废水</w:t>
                  </w:r>
                </w:p>
              </w:tc>
              <w:tc>
                <w:tcPr>
                  <w:tcW w:w="16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eastAsia"/>
                      <w:color w:val="auto"/>
                      <w:lang w:val="en-US" w:eastAsia="zh-CN"/>
                    </w:rPr>
                    <w:t>工业废水量</w:t>
                  </w:r>
                </w:p>
              </w:tc>
              <w:tc>
                <w:tcPr>
                  <w:tcW w:w="20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FF0000"/>
                      <w:lang w:val="en-US" w:eastAsia="zh-CN"/>
                    </w:rPr>
                  </w:pPr>
                  <w:r>
                    <w:rPr>
                      <w:rFonts w:hint="eastAsia"/>
                      <w:color w:val="FF0000"/>
                      <w:lang w:val="en-US" w:eastAsia="zh-CN"/>
                    </w:rPr>
                    <w:t>3221.85</w:t>
                  </w:r>
                </w:p>
              </w:tc>
              <w:tc>
                <w:tcPr>
                  <w:tcW w:w="19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9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color w:val="auto"/>
                      <w:lang w:val="en-US" w:eastAsia="zh-CN"/>
                    </w:rPr>
                  </w:pPr>
                </w:p>
              </w:tc>
              <w:tc>
                <w:tcPr>
                  <w:tcW w:w="16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color w:val="auto"/>
                      <w:lang w:val="en-US" w:eastAsia="zh-CN"/>
                    </w:rPr>
                  </w:pPr>
                  <w:r>
                    <w:rPr>
                      <w:rFonts w:hint="eastAsia"/>
                      <w:color w:val="auto"/>
                      <w:lang w:val="en-US" w:eastAsia="zh-CN"/>
                    </w:rPr>
                    <w:t>化学需氧量</w:t>
                  </w:r>
                </w:p>
              </w:tc>
              <w:tc>
                <w:tcPr>
                  <w:tcW w:w="20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FF0000"/>
                      <w:lang w:val="en-US" w:eastAsia="zh-CN"/>
                    </w:rPr>
                  </w:pPr>
                  <w:r>
                    <w:rPr>
                      <w:rFonts w:hint="eastAsia"/>
                      <w:color w:val="FF0000"/>
                      <w:lang w:val="en-US" w:eastAsia="zh-CN"/>
                    </w:rPr>
                    <w:t>0.26</w:t>
                  </w:r>
                </w:p>
              </w:tc>
              <w:tc>
                <w:tcPr>
                  <w:tcW w:w="19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eastAsia"/>
                      <w:color w:val="auto"/>
                      <w:lang w:val="en-US" w:eastAsia="zh-CN"/>
                    </w:rPr>
                    <w:t>79.88</w:t>
                  </w:r>
                </w:p>
              </w:tc>
            </w:tr>
          </w:tbl>
          <w:p>
            <w:pPr>
              <w:spacing w:line="360" w:lineRule="auto"/>
              <w:ind w:firstLine="420" w:firstLineChars="200"/>
              <w:rPr>
                <w:rFonts w:hint="eastAsia" w:hAnsi="宋体" w:eastAsia="宋体"/>
                <w:color w:val="auto"/>
                <w:sz w:val="21"/>
                <w:szCs w:val="21"/>
                <w:lang w:val="en-US" w:eastAsia="zh-CN"/>
              </w:rPr>
            </w:pPr>
            <w:r>
              <w:rPr>
                <w:rFonts w:hint="eastAsia"/>
                <w:color w:val="auto"/>
                <w:lang w:val="en-US" w:eastAsia="zh-CN"/>
              </w:rPr>
              <w:t>本项目</w:t>
            </w:r>
            <w:r>
              <w:rPr>
                <w:rFonts w:hint="eastAsia" w:hAnsi="宋体" w:eastAsia="宋体"/>
                <w:color w:val="auto"/>
                <w:sz w:val="21"/>
                <w:szCs w:val="21"/>
              </w:rPr>
              <w:t>锅炉</w:t>
            </w:r>
            <w:r>
              <w:rPr>
                <w:rFonts w:hint="eastAsia" w:hAnsi="宋体" w:eastAsia="宋体"/>
                <w:color w:val="auto"/>
                <w:sz w:val="21"/>
                <w:szCs w:val="21"/>
                <w:lang w:val="en-US" w:eastAsia="zh-CN"/>
              </w:rPr>
              <w:t>排污</w:t>
            </w:r>
            <w:r>
              <w:rPr>
                <w:rFonts w:hint="eastAsia" w:hAnsi="宋体" w:eastAsia="宋体"/>
                <w:color w:val="auto"/>
                <w:sz w:val="21"/>
                <w:szCs w:val="21"/>
              </w:rPr>
              <w:t>水</w:t>
            </w:r>
            <w:r>
              <w:rPr>
                <w:rFonts w:hint="eastAsia" w:hAnsi="宋体" w:eastAsia="宋体"/>
                <w:color w:val="auto"/>
                <w:sz w:val="21"/>
                <w:szCs w:val="21"/>
                <w:lang w:eastAsia="zh-CN"/>
              </w:rPr>
              <w:t>、</w:t>
            </w:r>
            <w:r>
              <w:rPr>
                <w:rFonts w:hint="eastAsia" w:hAnsi="宋体" w:eastAsia="宋体"/>
                <w:color w:val="auto"/>
                <w:sz w:val="21"/>
                <w:szCs w:val="21"/>
                <w:lang w:val="en-US" w:eastAsia="zh-CN"/>
              </w:rPr>
              <w:t>软水制备废水主要污染物为悬浮物、盐类，不含有害物质，</w:t>
            </w:r>
            <w:r>
              <w:rPr>
                <w:rFonts w:hint="eastAsia"/>
                <w:color w:val="auto"/>
                <w:lang w:val="en-US" w:eastAsia="zh-CN"/>
              </w:rPr>
              <w:t>排入市政污水管网</w:t>
            </w:r>
            <w:r>
              <w:rPr>
                <w:rFonts w:hint="eastAsia" w:hAnsi="宋体" w:eastAsia="宋体"/>
                <w:color w:val="auto"/>
                <w:sz w:val="21"/>
                <w:szCs w:val="21"/>
                <w:lang w:val="en-US" w:eastAsia="zh-CN"/>
              </w:rPr>
              <w:t>，最终进入昌吉市第二污水处理厂。</w:t>
            </w:r>
          </w:p>
          <w:p>
            <w:pPr>
              <w:spacing w:line="360" w:lineRule="auto"/>
              <w:ind w:firstLine="420" w:firstLineChars="200"/>
              <w:rPr>
                <w:rFonts w:hint="eastAsia"/>
                <w:color w:val="auto"/>
              </w:rPr>
            </w:pPr>
            <w:r>
              <w:rPr>
                <w:rFonts w:hint="eastAsia"/>
                <w:color w:val="auto"/>
                <w:lang w:val="en-US" w:eastAsia="zh-CN"/>
              </w:rPr>
              <w:t>依托可行性分析：</w:t>
            </w:r>
            <w:r>
              <w:rPr>
                <w:rFonts w:hint="default"/>
                <w:color w:val="auto"/>
              </w:rPr>
              <w:t>昌吉市第二污水处理厂位于昌吉市市区东北部，头屯河西岸，污水处理厂于201</w:t>
            </w:r>
            <w:r>
              <w:rPr>
                <w:rFonts w:hint="eastAsia"/>
                <w:color w:val="auto"/>
                <w:lang w:val="en-US" w:eastAsia="zh-CN"/>
              </w:rPr>
              <w:t>8</w:t>
            </w:r>
            <w:r>
              <w:rPr>
                <w:rFonts w:hint="default"/>
                <w:color w:val="auto"/>
              </w:rPr>
              <w:t>年进行了提标改造，处理能力为60000m</w:t>
            </w:r>
            <w:r>
              <w:rPr>
                <w:rFonts w:hint="default"/>
                <w:color w:val="auto"/>
                <w:vertAlign w:val="superscript"/>
              </w:rPr>
              <w:t>3</w:t>
            </w:r>
            <w:r>
              <w:rPr>
                <w:rFonts w:hint="default"/>
                <w:color w:val="auto"/>
              </w:rPr>
              <w:t>/d，设计出水水质达到《城镇污水处理厂污染物排放标准》（GB 18918-2002）一级A标准，</w:t>
            </w:r>
            <w:r>
              <w:rPr>
                <w:rFonts w:hint="eastAsia"/>
                <w:color w:val="auto"/>
                <w:lang w:val="en-US" w:eastAsia="zh-CN"/>
              </w:rPr>
              <w:t>2020年10月</w:t>
            </w:r>
            <w:r>
              <w:rPr>
                <w:rFonts w:hint="default"/>
                <w:color w:val="auto"/>
              </w:rPr>
              <w:t>昌吉市第二</w:t>
            </w:r>
            <w:r>
              <w:rPr>
                <w:rFonts w:hint="eastAsia"/>
                <w:color w:val="auto"/>
              </w:rPr>
              <w:fldChar w:fldCharType="begin"/>
            </w:r>
            <w:r>
              <w:rPr>
                <w:rFonts w:hint="eastAsia"/>
                <w:color w:val="auto"/>
              </w:rPr>
              <w:instrText xml:space="preserve"> HYPERLINK "http://www.chinapipe.net/project/?id=1014" \t "http://www.chinapipe.net/news/2020/_blank" </w:instrText>
            </w:r>
            <w:r>
              <w:rPr>
                <w:rFonts w:hint="eastAsia"/>
                <w:color w:val="auto"/>
              </w:rPr>
              <w:fldChar w:fldCharType="separate"/>
            </w:r>
            <w:r>
              <w:rPr>
                <w:rFonts w:hint="eastAsia"/>
                <w:color w:val="auto"/>
              </w:rPr>
              <w:t>污水处理厂</w:t>
            </w:r>
            <w:r>
              <w:rPr>
                <w:rFonts w:hint="eastAsia"/>
                <w:color w:val="auto"/>
              </w:rPr>
              <w:fldChar w:fldCharType="end"/>
            </w:r>
            <w:r>
              <w:rPr>
                <w:rFonts w:hint="eastAsia"/>
                <w:color w:val="auto"/>
              </w:rPr>
              <w:t>再生水利用项目全线贯通并投入使用</w:t>
            </w:r>
            <w:r>
              <w:rPr>
                <w:rFonts w:hint="eastAsia"/>
                <w:color w:val="auto"/>
                <w:lang w:eastAsia="zh-CN"/>
              </w:rPr>
              <w:t>，</w:t>
            </w:r>
            <w:r>
              <w:rPr>
                <w:rFonts w:hint="default"/>
                <w:color w:val="auto"/>
              </w:rPr>
              <w:t>污水在经过达标处理后被源源不断地引入头屯河，用作头屯河沿岸绿化景观灌溉用水和华电三期冷却用水。</w:t>
            </w:r>
            <w:r>
              <w:rPr>
                <w:rFonts w:hint="eastAsia"/>
                <w:color w:val="auto"/>
              </w:rPr>
              <w:t>本项目预计废水日排放量约为</w:t>
            </w:r>
            <w:r>
              <w:rPr>
                <w:rFonts w:hint="eastAsia"/>
                <w:color w:val="FF0000"/>
                <w:lang w:val="en-US" w:eastAsia="zh-CN"/>
              </w:rPr>
              <w:t>17.9</w:t>
            </w:r>
            <w:r>
              <w:rPr>
                <w:rFonts w:hint="eastAsia"/>
                <w:color w:val="auto"/>
              </w:rPr>
              <w:t>m</w:t>
            </w:r>
            <w:r>
              <w:rPr>
                <w:rFonts w:hint="eastAsia"/>
                <w:color w:val="auto"/>
                <w:vertAlign w:val="superscript"/>
              </w:rPr>
              <w:t>3</w:t>
            </w:r>
            <w:r>
              <w:rPr>
                <w:rFonts w:hint="eastAsia"/>
                <w:color w:val="auto"/>
              </w:rPr>
              <w:t>/d，</w:t>
            </w:r>
            <w:r>
              <w:rPr>
                <w:rFonts w:hint="default"/>
                <w:color w:val="auto"/>
              </w:rPr>
              <w:t>昌吉市第二污水处理厂</w:t>
            </w:r>
            <w:r>
              <w:rPr>
                <w:rFonts w:hint="eastAsia"/>
                <w:color w:val="auto"/>
              </w:rPr>
              <w:t>完全可接纳本项目产生的污水。</w:t>
            </w:r>
          </w:p>
          <w:p>
            <w:pPr>
              <w:spacing w:line="360" w:lineRule="auto"/>
              <w:ind w:firstLine="420" w:firstLineChars="200"/>
              <w:rPr>
                <w:rFonts w:hint="eastAsia" w:ascii="Times New Roman" w:hAnsi="Times New Roman"/>
                <w:color w:val="auto"/>
                <w:szCs w:val="21"/>
              </w:rPr>
            </w:pPr>
            <w:r>
              <w:rPr>
                <w:rFonts w:hint="eastAsia"/>
                <w:color w:val="auto"/>
                <w:lang w:val="en-US" w:eastAsia="zh-CN"/>
              </w:rPr>
              <w:t>2.2</w:t>
            </w:r>
            <w:r>
              <w:rPr>
                <w:rFonts w:hint="eastAsia" w:ascii="Times New Roman" w:hAnsi="Times New Roman"/>
                <w:color w:val="auto"/>
                <w:szCs w:val="21"/>
              </w:rPr>
              <w:t>监测计划</w:t>
            </w:r>
          </w:p>
          <w:p>
            <w:pPr>
              <w:spacing w:line="360" w:lineRule="auto"/>
              <w:ind w:firstLine="420" w:firstLineChars="200"/>
              <w:rPr>
                <w:rFonts w:hint="eastAsia" w:ascii="Times New Roman" w:hAnsi="Times New Roman"/>
                <w:color w:val="auto"/>
                <w:szCs w:val="21"/>
              </w:rPr>
            </w:pPr>
            <w:r>
              <w:rPr>
                <w:rFonts w:ascii="Times New Roman" w:hAnsi="Times New Roman"/>
                <w:color w:val="auto"/>
                <w:szCs w:val="21"/>
              </w:rPr>
              <w:t>根据《排污单位自行监测技术指南  火力发电及锅炉》（HJ820-2017）</w:t>
            </w:r>
            <w:r>
              <w:rPr>
                <w:rFonts w:hint="eastAsia"/>
                <w:color w:val="auto"/>
                <w:sz w:val="21"/>
                <w:szCs w:val="21"/>
                <w:lang w:val="en-US" w:eastAsia="zh-CN"/>
              </w:rPr>
              <w:t>制定本项目</w:t>
            </w:r>
            <w:r>
              <w:rPr>
                <w:rFonts w:hint="eastAsia" w:ascii="Times New Roman" w:hAnsi="Times New Roman"/>
                <w:color w:val="auto"/>
                <w:szCs w:val="21"/>
              </w:rPr>
              <w:t>废水监测计划见表</w:t>
            </w:r>
            <w:r>
              <w:rPr>
                <w:rFonts w:hint="eastAsia" w:ascii="Times New Roman" w:hAnsi="Times New Roman"/>
                <w:color w:val="auto"/>
                <w:szCs w:val="21"/>
                <w:lang w:val="en-US" w:eastAsia="zh-CN"/>
              </w:rPr>
              <w:t>22</w:t>
            </w:r>
            <w:r>
              <w:rPr>
                <w:rFonts w:hint="eastAsia" w:ascii="Times New Roman" w:hAnsi="Times New Roman"/>
                <w:color w:val="auto"/>
                <w:szCs w:val="21"/>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rPr>
            </w:pPr>
            <w:r>
              <w:rPr>
                <w:rFonts w:hint="eastAsia"/>
                <w:color w:val="auto"/>
                <w:lang w:val="en-US" w:eastAsia="zh-CN"/>
              </w:rPr>
              <w:t xml:space="preserve">            </w:t>
            </w:r>
            <w:r>
              <w:rPr>
                <w:rFonts w:hint="eastAsia"/>
                <w:color w:val="auto"/>
              </w:rPr>
              <w:t>表</w:t>
            </w:r>
            <w:r>
              <w:rPr>
                <w:rFonts w:hint="eastAsia"/>
                <w:color w:val="auto"/>
                <w:lang w:val="en-US" w:eastAsia="zh-CN"/>
              </w:rPr>
              <w:t>22</w:t>
            </w:r>
            <w:r>
              <w:rPr>
                <w:rFonts w:hint="default"/>
                <w:color w:val="auto"/>
              </w:rPr>
              <w:t xml:space="preserve">             </w:t>
            </w:r>
            <w:r>
              <w:rPr>
                <w:rFonts w:hint="eastAsia"/>
                <w:color w:val="auto"/>
              </w:rPr>
              <w:t>项目废水监测计划一览表</w:t>
            </w:r>
          </w:p>
          <w:tbl>
            <w:tblPr>
              <w:tblStyle w:val="28"/>
              <w:tblW w:w="7971"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Layout w:type="fixed"/>
              <w:tblCellMar>
                <w:top w:w="0" w:type="dxa"/>
                <w:left w:w="108" w:type="dxa"/>
                <w:bottom w:w="0" w:type="dxa"/>
                <w:right w:w="108" w:type="dxa"/>
              </w:tblCellMar>
            </w:tblPr>
            <w:tblGrid>
              <w:gridCol w:w="2128"/>
              <w:gridCol w:w="1309"/>
              <w:gridCol w:w="1230"/>
              <w:gridCol w:w="2220"/>
              <w:gridCol w:w="1084"/>
            </w:tblGrid>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Layout w:type="fixed"/>
                <w:tblCellMar>
                  <w:top w:w="0" w:type="dxa"/>
                  <w:left w:w="108" w:type="dxa"/>
                  <w:bottom w:w="0" w:type="dxa"/>
                  <w:right w:w="108" w:type="dxa"/>
                </w:tblCellMar>
              </w:tblPrEx>
              <w:trPr>
                <w:trHeight w:val="451" w:hRule="atLeast"/>
                <w:jc w:val="center"/>
              </w:trPr>
              <w:tc>
                <w:tcPr>
                  <w:tcW w:w="2128" w:type="dxa"/>
                  <w:tcBorders>
                    <w:tl2br w:val="nil"/>
                    <w:tr2bl w:val="nil"/>
                  </w:tcBorders>
                  <w:vAlign w:val="center"/>
                </w:tcPr>
                <w:p>
                  <w:pPr>
                    <w:pStyle w:val="14"/>
                    <w:widowControl w:val="0"/>
                    <w:autoSpaceDE w:val="0"/>
                    <w:autoSpaceDN w:val="0"/>
                    <w:spacing w:before="0" w:beforeAutospacing="0" w:after="0" w:afterAutospacing="0" w:line="240" w:lineRule="atLeas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锅炉或燃气轮机规模</w:t>
                  </w:r>
                </w:p>
              </w:tc>
              <w:tc>
                <w:tcPr>
                  <w:tcW w:w="1309" w:type="dxa"/>
                  <w:tcBorders>
                    <w:tl2br w:val="nil"/>
                    <w:tr2bl w:val="nil"/>
                  </w:tcBorders>
                  <w:vAlign w:val="center"/>
                </w:tcPr>
                <w:p>
                  <w:pPr>
                    <w:pStyle w:val="14"/>
                    <w:widowControl w:val="0"/>
                    <w:autoSpaceDE w:val="0"/>
                    <w:autoSpaceDN w:val="0"/>
                    <w:spacing w:before="0" w:beforeAutospacing="0" w:after="0" w:afterAutospacing="0" w:line="240" w:lineRule="atLeas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燃料类型</w:t>
                  </w:r>
                </w:p>
              </w:tc>
              <w:tc>
                <w:tcPr>
                  <w:tcW w:w="1230" w:type="dxa"/>
                  <w:tcBorders>
                    <w:tl2br w:val="nil"/>
                    <w:tr2bl w:val="nil"/>
                  </w:tcBorders>
                  <w:vAlign w:val="center"/>
                </w:tcPr>
                <w:p>
                  <w:pPr>
                    <w:pStyle w:val="14"/>
                    <w:widowControl w:val="0"/>
                    <w:autoSpaceDE w:val="0"/>
                    <w:autoSpaceDN w:val="0"/>
                    <w:spacing w:before="0" w:beforeAutospacing="0" w:after="0" w:afterAutospacing="0" w:line="240" w:lineRule="atLeast"/>
                    <w:jc w:val="center"/>
                    <w:rPr>
                      <w:rFonts w:ascii="Times New Roman" w:hAnsi="Times New Roman"/>
                      <w:color w:val="auto"/>
                      <w:kern w:val="2"/>
                      <w:sz w:val="21"/>
                      <w:szCs w:val="21"/>
                      <w:lang w:val="en-US" w:eastAsia="zh-CN" w:bidi="ar"/>
                    </w:rPr>
                  </w:pPr>
                  <w:r>
                    <w:rPr>
                      <w:rFonts w:hint="eastAsia" w:ascii="Times New Roman" w:hAnsi="Times New Roman"/>
                      <w:color w:val="auto"/>
                      <w:kern w:val="2"/>
                      <w:sz w:val="21"/>
                      <w:szCs w:val="21"/>
                      <w:lang w:val="en-US" w:eastAsia="zh-CN" w:bidi="ar"/>
                    </w:rPr>
                    <w:t>监测点位</w:t>
                  </w:r>
                </w:p>
              </w:tc>
              <w:tc>
                <w:tcPr>
                  <w:tcW w:w="2220" w:type="dxa"/>
                  <w:tcBorders>
                    <w:tl2br w:val="nil"/>
                    <w:tr2bl w:val="nil"/>
                  </w:tcBorders>
                  <w:vAlign w:val="center"/>
                </w:tcPr>
                <w:p>
                  <w:pPr>
                    <w:pStyle w:val="14"/>
                    <w:widowControl w:val="0"/>
                    <w:autoSpaceDE w:val="0"/>
                    <w:autoSpaceDN w:val="0"/>
                    <w:spacing w:before="0" w:beforeAutospacing="0" w:after="0" w:afterAutospacing="0" w:line="240" w:lineRule="atLeas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监测指标</w:t>
                  </w:r>
                </w:p>
              </w:tc>
              <w:tc>
                <w:tcPr>
                  <w:tcW w:w="1084" w:type="dxa"/>
                  <w:tcBorders>
                    <w:tl2br w:val="nil"/>
                    <w:tr2bl w:val="nil"/>
                  </w:tcBorders>
                  <w:vAlign w:val="center"/>
                </w:tcPr>
                <w:p>
                  <w:pPr>
                    <w:pStyle w:val="14"/>
                    <w:widowControl w:val="0"/>
                    <w:autoSpaceDE w:val="0"/>
                    <w:autoSpaceDN w:val="0"/>
                    <w:spacing w:before="0" w:beforeAutospacing="0" w:after="0" w:afterAutospacing="0" w:line="240" w:lineRule="atLeas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监测频次</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Layout w:type="fixed"/>
                <w:tblCellMar>
                  <w:top w:w="0" w:type="dxa"/>
                  <w:left w:w="108" w:type="dxa"/>
                  <w:bottom w:w="0" w:type="dxa"/>
                  <w:right w:w="108" w:type="dxa"/>
                </w:tblCellMar>
              </w:tblPrEx>
              <w:trPr>
                <w:trHeight w:val="351" w:hRule="atLeast"/>
                <w:jc w:val="center"/>
              </w:trPr>
              <w:tc>
                <w:tcPr>
                  <w:tcW w:w="2128" w:type="dxa"/>
                  <w:tcBorders>
                    <w:tl2br w:val="nil"/>
                    <w:tr2bl w:val="nil"/>
                  </w:tcBorders>
                  <w:vAlign w:val="center"/>
                </w:tcPr>
                <w:p>
                  <w:pPr>
                    <w:pStyle w:val="14"/>
                    <w:widowControl w:val="0"/>
                    <w:autoSpaceDE w:val="0"/>
                    <w:autoSpaceDN w:val="0"/>
                    <w:spacing w:before="0" w:beforeAutospacing="0" w:after="0" w:afterAutospacing="0" w:line="240" w:lineRule="atLeast"/>
                    <w:jc w:val="center"/>
                    <w:rPr>
                      <w:rFonts w:ascii="Times New Roman" w:hAnsi="Times New Roman"/>
                      <w:color w:val="auto"/>
                      <w:sz w:val="21"/>
                      <w:szCs w:val="21"/>
                      <w:lang w:val="en-US" w:eastAsia="zh-CN"/>
                    </w:rPr>
                  </w:pPr>
                  <w:r>
                    <w:rPr>
                      <w:rFonts w:hint="eastAsia" w:ascii="Times New Roman" w:hAnsi="Times New Roman"/>
                      <w:color w:val="auto"/>
                      <w:sz w:val="21"/>
                      <w:szCs w:val="21"/>
                      <w:lang w:val="en-US" w:eastAsia="zh-CN"/>
                    </w:rPr>
                    <w:t>仅涉单台14MW或20t/h以下锅炉的排污单位</w:t>
                  </w:r>
                </w:p>
              </w:tc>
              <w:tc>
                <w:tcPr>
                  <w:tcW w:w="1309" w:type="dxa"/>
                  <w:tcBorders>
                    <w:tl2br w:val="nil"/>
                    <w:tr2bl w:val="nil"/>
                  </w:tcBorders>
                  <w:vAlign w:val="center"/>
                </w:tcPr>
                <w:p>
                  <w:pPr>
                    <w:pStyle w:val="14"/>
                    <w:widowControl w:val="0"/>
                    <w:autoSpaceDE w:val="0"/>
                    <w:autoSpaceDN w:val="0"/>
                    <w:spacing w:before="0" w:beforeAutospacing="0" w:after="0" w:afterAutospacing="0" w:line="240" w:lineRule="atLeas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所有</w:t>
                  </w:r>
                </w:p>
              </w:tc>
              <w:tc>
                <w:tcPr>
                  <w:tcW w:w="1230" w:type="dxa"/>
                  <w:tcBorders>
                    <w:tl2br w:val="nil"/>
                    <w:tr2bl w:val="nil"/>
                  </w:tcBorders>
                  <w:vAlign w:val="center"/>
                </w:tcPr>
                <w:p>
                  <w:pPr>
                    <w:pStyle w:val="14"/>
                    <w:widowControl w:val="0"/>
                    <w:autoSpaceDE w:val="0"/>
                    <w:autoSpaceDN w:val="0"/>
                    <w:spacing w:before="0" w:beforeAutospacing="0" w:after="0" w:afterAutospacing="0" w:line="240" w:lineRule="atLeast"/>
                    <w:jc w:val="center"/>
                    <w:rPr>
                      <w:rFonts w:hint="eastAsia" w:ascii="Times New Roman" w:hAnsi="Times New Roman"/>
                      <w:color w:val="auto"/>
                      <w:kern w:val="2"/>
                      <w:sz w:val="21"/>
                      <w:szCs w:val="21"/>
                      <w:lang w:val="en-US" w:eastAsia="zh-CN" w:bidi="ar"/>
                    </w:rPr>
                  </w:pPr>
                  <w:r>
                    <w:rPr>
                      <w:rFonts w:hint="eastAsia" w:ascii="Times New Roman" w:hAnsi="Times New Roman"/>
                      <w:color w:val="auto"/>
                      <w:kern w:val="2"/>
                      <w:sz w:val="21"/>
                      <w:szCs w:val="21"/>
                      <w:lang w:val="en-US" w:eastAsia="zh-CN" w:bidi="ar"/>
                    </w:rPr>
                    <w:t>企业废水总排放口</w:t>
                  </w:r>
                </w:p>
              </w:tc>
              <w:tc>
                <w:tcPr>
                  <w:tcW w:w="2220" w:type="dxa"/>
                  <w:tcBorders>
                    <w:tl2br w:val="nil"/>
                    <w:tr2bl w:val="nil"/>
                  </w:tcBorders>
                  <w:vAlign w:val="center"/>
                </w:tcPr>
                <w:p>
                  <w:pPr>
                    <w:pStyle w:val="14"/>
                    <w:widowControl w:val="0"/>
                    <w:autoSpaceDE w:val="0"/>
                    <w:autoSpaceDN w:val="0"/>
                    <w:spacing w:before="0" w:beforeAutospacing="0" w:after="0" w:afterAutospacing="0" w:line="240" w:lineRule="atLeast"/>
                    <w:jc w:val="both"/>
                    <w:rPr>
                      <w:rFonts w:ascii="Times New Roman" w:hAnsi="Times New Roman"/>
                      <w:color w:val="auto"/>
                      <w:sz w:val="21"/>
                      <w:szCs w:val="21"/>
                      <w:lang w:val="en-US" w:eastAsia="zh-CN"/>
                    </w:rPr>
                  </w:pPr>
                  <w:r>
                    <w:rPr>
                      <w:rFonts w:hint="eastAsia" w:ascii="Times New Roman" w:hAnsi="Times New Roman"/>
                      <w:color w:val="auto"/>
                      <w:sz w:val="21"/>
                      <w:szCs w:val="21"/>
                      <w:lang w:val="en-US" w:eastAsia="zh-CN"/>
                    </w:rPr>
                    <w:t>pH值、化学需氧量、氨氮、悬浮物、流量</w:t>
                  </w:r>
                </w:p>
              </w:tc>
              <w:tc>
                <w:tcPr>
                  <w:tcW w:w="1084" w:type="dxa"/>
                  <w:tcBorders>
                    <w:tl2br w:val="nil"/>
                    <w:tr2bl w:val="nil"/>
                  </w:tcBorders>
                  <w:vAlign w:val="center"/>
                </w:tcPr>
                <w:p>
                  <w:pPr>
                    <w:pStyle w:val="14"/>
                    <w:widowControl w:val="0"/>
                    <w:autoSpaceDE w:val="0"/>
                    <w:autoSpaceDN w:val="0"/>
                    <w:spacing w:before="0" w:beforeAutospacing="0" w:after="0" w:afterAutospacing="0" w:line="240" w:lineRule="atLeast"/>
                    <w:jc w:val="center"/>
                    <w:rPr>
                      <w:rFonts w:ascii="Times New Roman" w:hAnsi="Times New Roman"/>
                      <w:color w:val="auto"/>
                      <w:sz w:val="21"/>
                      <w:szCs w:val="21"/>
                      <w:lang w:val="en-US" w:eastAsia="zh-CN"/>
                    </w:rPr>
                  </w:pPr>
                  <w:r>
                    <w:rPr>
                      <w:rFonts w:hint="eastAsia" w:ascii="Times New Roman" w:hAnsi="Times New Roman"/>
                      <w:color w:val="auto"/>
                      <w:sz w:val="21"/>
                      <w:szCs w:val="21"/>
                      <w:lang w:val="en-US" w:eastAsia="zh-CN"/>
                    </w:rPr>
                    <w:t>1次/年</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3、噪声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本</w:t>
            </w:r>
            <w:r>
              <w:rPr>
                <w:rFonts w:hint="default"/>
                <w:color w:val="auto"/>
                <w:lang w:val="en-US" w:eastAsia="zh-CN"/>
              </w:rPr>
              <w:t>项目主要噪声源为</w:t>
            </w:r>
            <w:r>
              <w:rPr>
                <w:rFonts w:hint="eastAsia"/>
                <w:color w:val="auto"/>
                <w:lang w:val="en-US" w:eastAsia="zh-CN"/>
              </w:rPr>
              <w:t>燃烧器（含鼓风机）、循环泵，其噪声值在80-85dB（A）之间，见下表23。</w:t>
            </w:r>
          </w:p>
          <w:p>
            <w:pPr>
              <w:pStyle w:val="2"/>
              <w:rPr>
                <w:rFonts w:hint="eastAsia"/>
                <w:color w:val="auto"/>
                <w:lang w:val="en-US" w:eastAsia="zh-CN"/>
              </w:rPr>
            </w:pP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rPr>
            </w:pPr>
            <w:r>
              <w:rPr>
                <w:rFonts w:hint="eastAsia"/>
                <w:color w:val="auto"/>
                <w:lang w:val="en-US" w:eastAsia="zh-CN"/>
              </w:rPr>
              <w:t xml:space="preserve">    </w:t>
            </w:r>
            <w:r>
              <w:rPr>
                <w:rFonts w:hint="default"/>
                <w:color w:val="auto"/>
              </w:rPr>
              <w:t>表</w:t>
            </w:r>
            <w:r>
              <w:rPr>
                <w:rFonts w:hint="eastAsia"/>
                <w:color w:val="auto"/>
                <w:lang w:val="en-US" w:eastAsia="zh-CN"/>
              </w:rPr>
              <w:t>23</w:t>
            </w:r>
            <w:r>
              <w:rPr>
                <w:rFonts w:hint="default"/>
                <w:color w:val="auto"/>
              </w:rPr>
              <w:t xml:space="preserve">     运营期</w:t>
            </w:r>
            <w:r>
              <w:rPr>
                <w:rFonts w:hint="eastAsia"/>
                <w:color w:val="auto"/>
                <w:lang w:val="en-US" w:eastAsia="zh-CN"/>
              </w:rPr>
              <w:t>主要设备噪声源强及治理措施        单位：dB（A）</w:t>
            </w:r>
          </w:p>
          <w:tbl>
            <w:tblPr>
              <w:tblStyle w:val="29"/>
              <w:tblW w:w="783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025"/>
              <w:gridCol w:w="1227"/>
              <w:gridCol w:w="2387"/>
              <w:gridCol w:w="15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6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序号</w:t>
                  </w:r>
                </w:p>
              </w:tc>
              <w:tc>
                <w:tcPr>
                  <w:tcW w:w="20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设备名称</w:t>
                  </w:r>
                </w:p>
              </w:tc>
              <w:tc>
                <w:tcPr>
                  <w:tcW w:w="1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单机噪声</w:t>
                  </w:r>
                </w:p>
              </w:tc>
              <w:tc>
                <w:tcPr>
                  <w:tcW w:w="23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lang w:val="en-US" w:eastAsia="zh-CN"/>
                    </w:rPr>
                  </w:pPr>
                  <w:r>
                    <w:rPr>
                      <w:rFonts w:hint="eastAsia"/>
                      <w:color w:val="auto"/>
                      <w:lang w:val="en-US" w:eastAsia="zh-CN"/>
                    </w:rPr>
                    <w:t>治理措施</w:t>
                  </w:r>
                </w:p>
              </w:tc>
              <w:tc>
                <w:tcPr>
                  <w:tcW w:w="1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单台排放声值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639" w:type="dxa"/>
                  <w:tcBorders>
                    <w:tl2br w:val="nil"/>
                    <w:tr2bl w:val="nil"/>
                  </w:tcBorders>
                  <w:vAlign w:val="center"/>
                </w:tcPr>
                <w:p>
                  <w:pPr>
                    <w:adjustRightInd w:val="0"/>
                    <w:snapToGrid w:val="0"/>
                    <w:jc w:val="center"/>
                    <w:rPr>
                      <w:rFonts w:hint="eastAsia"/>
                      <w:color w:val="auto"/>
                      <w:lang w:eastAsia="zh-CN"/>
                    </w:rPr>
                  </w:pPr>
                  <w:r>
                    <w:rPr>
                      <w:rFonts w:hint="eastAsia"/>
                      <w:color w:val="auto"/>
                      <w:lang w:val="en-US" w:eastAsia="zh-CN"/>
                    </w:rPr>
                    <w:t>1</w:t>
                  </w:r>
                </w:p>
              </w:tc>
              <w:tc>
                <w:tcPr>
                  <w:tcW w:w="2025"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燃烧器（含鼓风机）</w:t>
                  </w:r>
                </w:p>
              </w:tc>
              <w:tc>
                <w:tcPr>
                  <w:tcW w:w="1227"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85dB（A）</w:t>
                  </w:r>
                </w:p>
              </w:tc>
              <w:tc>
                <w:tcPr>
                  <w:tcW w:w="2387" w:type="dxa"/>
                  <w:tcBorders>
                    <w:tl2br w:val="nil"/>
                    <w:tr2bl w:val="nil"/>
                  </w:tcBorders>
                  <w:vAlign w:val="center"/>
                </w:tcPr>
                <w:p>
                  <w:pPr>
                    <w:adjustRightInd w:val="0"/>
                    <w:snapToGrid w:val="0"/>
                    <w:jc w:val="center"/>
                    <w:rPr>
                      <w:rFonts w:hint="default"/>
                      <w:color w:val="auto"/>
                      <w:lang w:val="en-US" w:eastAsia="zh-CN"/>
                    </w:rPr>
                  </w:pPr>
                  <w:r>
                    <w:rPr>
                      <w:rFonts w:hint="eastAsia"/>
                      <w:color w:val="auto"/>
                      <w:lang w:val="en-US" w:eastAsia="zh-CN"/>
                    </w:rPr>
                    <w:t>鼓风机进气口装设消声器，风机进出风口软性连接，厂房</w:t>
                  </w:r>
                  <w:r>
                    <w:rPr>
                      <w:rFonts w:hint="default"/>
                      <w:color w:val="auto"/>
                    </w:rPr>
                    <w:t>隔声</w:t>
                  </w:r>
                </w:p>
              </w:tc>
              <w:tc>
                <w:tcPr>
                  <w:tcW w:w="1560"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55dB（A）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639" w:type="dxa"/>
                  <w:tcBorders>
                    <w:tl2br w:val="nil"/>
                    <w:tr2bl w:val="nil"/>
                  </w:tcBorders>
                  <w:vAlign w:val="center"/>
                </w:tcPr>
                <w:p>
                  <w:pPr>
                    <w:adjustRightInd w:val="0"/>
                    <w:snapToGrid w:val="0"/>
                    <w:jc w:val="center"/>
                    <w:rPr>
                      <w:rFonts w:hint="eastAsia"/>
                      <w:color w:val="auto"/>
                      <w:lang w:eastAsia="zh-CN"/>
                    </w:rPr>
                  </w:pPr>
                  <w:r>
                    <w:rPr>
                      <w:rFonts w:hint="eastAsia"/>
                      <w:color w:val="auto"/>
                      <w:lang w:val="en-US" w:eastAsia="zh-CN"/>
                    </w:rPr>
                    <w:t>2</w:t>
                  </w:r>
                </w:p>
              </w:tc>
              <w:tc>
                <w:tcPr>
                  <w:tcW w:w="2025"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循环泵</w:t>
                  </w:r>
                </w:p>
              </w:tc>
              <w:tc>
                <w:tcPr>
                  <w:tcW w:w="1227"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80dB（A）</w:t>
                  </w:r>
                </w:p>
              </w:tc>
              <w:tc>
                <w:tcPr>
                  <w:tcW w:w="23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lang w:val="en-US" w:eastAsia="zh-CN"/>
                    </w:rPr>
                  </w:pPr>
                  <w:r>
                    <w:rPr>
                      <w:rFonts w:hint="default"/>
                      <w:color w:val="auto"/>
                    </w:rPr>
                    <w:t>选用低噪声设备，</w:t>
                  </w:r>
                  <w:r>
                    <w:rPr>
                      <w:rFonts w:hint="eastAsia"/>
                      <w:color w:val="auto"/>
                      <w:lang w:val="en-US" w:eastAsia="zh-CN"/>
                    </w:rPr>
                    <w:t>基础</w:t>
                  </w:r>
                  <w:r>
                    <w:rPr>
                      <w:rFonts w:hint="default"/>
                      <w:color w:val="auto"/>
                    </w:rPr>
                    <w:t>减震、</w:t>
                  </w:r>
                  <w:r>
                    <w:rPr>
                      <w:rFonts w:hint="default"/>
                      <w:color w:val="auto"/>
                      <w:lang w:val="en-US" w:eastAsia="zh-CN"/>
                    </w:rPr>
                    <w:t>厂房</w:t>
                  </w:r>
                  <w:r>
                    <w:rPr>
                      <w:rFonts w:hint="default"/>
                      <w:color w:val="auto"/>
                    </w:rPr>
                    <w:t>隔声</w:t>
                  </w:r>
                </w:p>
              </w:tc>
              <w:tc>
                <w:tcPr>
                  <w:tcW w:w="1560"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50dB（A）</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本项目位于地下车库，项目区地上周边50m范围内为小区内住宅楼，环评要求采取以下措施对运营期噪声进行防治：</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在设备选型上尽量选用低噪声设备或变频控制，设备安装设基础减振；</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鼓风机进气口装设消声器，风机进出风口软性连接;</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合理配管，减少阀门和管道噪声；</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根据设备自重及振动特性采取钢筋混凝台座或隔振垫、减振器等；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（5）加强管理，提高职工的环保意识教育，提倡文明生产，降低人为噪声；</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 xml:space="preserve">    （6）建立设备定期维护、保养的管理制度，以防止设备故障形成的非正常噪声。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同时本项目全部置于地下车库，起到一定程度的隔声降噪作用，项目噪声可满足《工业企业厂界环境噪声排放标准》（GB12348-2008）中的2类标准，对周边环境影响较小，项目地上居民区建筑物室内等效声级不超过结构传播固定设备室内噪声排放限值。</w:t>
            </w:r>
          </w:p>
          <w:p>
            <w:pPr>
              <w:spacing w:line="360" w:lineRule="auto"/>
              <w:ind w:firstLine="420" w:firstLineChars="200"/>
              <w:rPr>
                <w:rFonts w:hint="default"/>
                <w:color w:val="auto"/>
              </w:rPr>
            </w:pPr>
            <w:r>
              <w:rPr>
                <w:rFonts w:hint="default"/>
                <w:color w:val="auto"/>
              </w:rPr>
              <w:t>本工程营运期</w:t>
            </w:r>
            <w:r>
              <w:rPr>
                <w:rFonts w:hint="eastAsia"/>
                <w:color w:val="auto"/>
                <w:lang w:val="en-US" w:eastAsia="zh-CN"/>
              </w:rPr>
              <w:t>噪声</w:t>
            </w:r>
            <w:r>
              <w:rPr>
                <w:rFonts w:hint="default"/>
                <w:color w:val="auto"/>
              </w:rPr>
              <w:t>监测方案计划见表</w:t>
            </w:r>
            <w:r>
              <w:rPr>
                <w:rFonts w:hint="eastAsia"/>
                <w:color w:val="auto"/>
                <w:lang w:val="en-US" w:eastAsia="zh-CN"/>
              </w:rPr>
              <w:t>24</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rPr>
            </w:pPr>
            <w:r>
              <w:rPr>
                <w:rFonts w:hint="eastAsia"/>
                <w:color w:val="auto"/>
                <w:lang w:val="en-US" w:eastAsia="zh-CN"/>
              </w:rPr>
              <w:t xml:space="preserve">            </w:t>
            </w:r>
            <w:r>
              <w:rPr>
                <w:rFonts w:hint="default"/>
                <w:color w:val="auto"/>
              </w:rPr>
              <w:t>表</w:t>
            </w:r>
            <w:r>
              <w:rPr>
                <w:rFonts w:hint="eastAsia"/>
                <w:color w:val="auto"/>
                <w:lang w:val="en-US" w:eastAsia="zh-CN"/>
              </w:rPr>
              <w:t>24</w:t>
            </w:r>
            <w:r>
              <w:rPr>
                <w:rFonts w:hint="default"/>
                <w:color w:val="auto"/>
              </w:rPr>
              <w:t xml:space="preserve">          </w:t>
            </w:r>
            <w:r>
              <w:rPr>
                <w:rFonts w:hint="eastAsia"/>
                <w:color w:val="auto"/>
                <w:lang w:val="en-US" w:eastAsia="zh-CN"/>
              </w:rPr>
              <w:t xml:space="preserve">        </w:t>
            </w:r>
            <w:r>
              <w:rPr>
                <w:rFonts w:hint="default"/>
                <w:color w:val="auto"/>
              </w:rPr>
              <w:t>运营期</w:t>
            </w:r>
            <w:r>
              <w:rPr>
                <w:rFonts w:hint="eastAsia"/>
                <w:color w:val="auto"/>
                <w:lang w:val="en-US" w:eastAsia="zh-CN"/>
              </w:rPr>
              <w:t>噪声</w:t>
            </w:r>
            <w:r>
              <w:rPr>
                <w:rFonts w:hint="default"/>
                <w:color w:val="auto"/>
              </w:rPr>
              <w:t>监测</w:t>
            </w:r>
            <w:r>
              <w:rPr>
                <w:rFonts w:hint="eastAsia"/>
                <w:color w:val="auto"/>
                <w:lang w:val="en-US" w:eastAsia="zh-CN"/>
              </w:rPr>
              <w:t>计划表</w:t>
            </w:r>
          </w:p>
          <w:tbl>
            <w:tblPr>
              <w:tblStyle w:val="28"/>
              <w:tblW w:w="794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660"/>
              <w:gridCol w:w="1384"/>
              <w:gridCol w:w="36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trPr>
              <w:tc>
                <w:tcPr>
                  <w:tcW w:w="1208" w:type="dxa"/>
                  <w:vAlign w:val="center"/>
                </w:tcPr>
                <w:p>
                  <w:pPr>
                    <w:snapToGrid w:val="0"/>
                    <w:contextualSpacing/>
                    <w:jc w:val="center"/>
                    <w:rPr>
                      <w:rFonts w:hint="default"/>
                      <w:color w:val="auto"/>
                    </w:rPr>
                  </w:pPr>
                  <w:r>
                    <w:rPr>
                      <w:rFonts w:hint="default"/>
                      <w:color w:val="auto"/>
                    </w:rPr>
                    <w:t>监测点位</w:t>
                  </w:r>
                </w:p>
              </w:tc>
              <w:tc>
                <w:tcPr>
                  <w:tcW w:w="1660" w:type="dxa"/>
                  <w:vAlign w:val="center"/>
                </w:tcPr>
                <w:p>
                  <w:pPr>
                    <w:snapToGrid w:val="0"/>
                    <w:contextualSpacing/>
                    <w:jc w:val="center"/>
                    <w:rPr>
                      <w:rFonts w:hint="default"/>
                      <w:color w:val="auto"/>
                    </w:rPr>
                  </w:pPr>
                  <w:r>
                    <w:rPr>
                      <w:rFonts w:hint="default"/>
                      <w:color w:val="auto"/>
                    </w:rPr>
                    <w:t>监测</w:t>
                  </w:r>
                  <w:r>
                    <w:rPr>
                      <w:rFonts w:hint="eastAsia"/>
                      <w:color w:val="auto"/>
                      <w:lang w:val="en-US" w:eastAsia="zh-CN"/>
                    </w:rPr>
                    <w:t>指标</w:t>
                  </w:r>
                </w:p>
              </w:tc>
              <w:tc>
                <w:tcPr>
                  <w:tcW w:w="1384" w:type="dxa"/>
                  <w:vAlign w:val="center"/>
                </w:tcPr>
                <w:p>
                  <w:pPr>
                    <w:snapToGrid w:val="0"/>
                    <w:contextualSpacing/>
                    <w:jc w:val="center"/>
                    <w:rPr>
                      <w:rFonts w:hint="default"/>
                      <w:color w:val="auto"/>
                    </w:rPr>
                  </w:pPr>
                  <w:r>
                    <w:rPr>
                      <w:rFonts w:hint="default"/>
                      <w:color w:val="auto"/>
                    </w:rPr>
                    <w:t>监测频次</w:t>
                  </w:r>
                </w:p>
              </w:tc>
              <w:tc>
                <w:tcPr>
                  <w:tcW w:w="3694" w:type="dxa"/>
                  <w:vAlign w:val="center"/>
                </w:tcPr>
                <w:p>
                  <w:pPr>
                    <w:snapToGrid w:val="0"/>
                    <w:contextualSpacing/>
                    <w:jc w:val="center"/>
                    <w:rPr>
                      <w:rFonts w:hint="default"/>
                      <w:color w:val="auto"/>
                    </w:rPr>
                  </w:pPr>
                  <w:r>
                    <w:rPr>
                      <w:rFonts w:hint="default"/>
                      <w:color w:val="auto"/>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08" w:type="dxa"/>
                  <w:vAlign w:val="center"/>
                </w:tcPr>
                <w:p>
                  <w:pPr>
                    <w:snapToGrid w:val="0"/>
                    <w:contextualSpacing/>
                    <w:jc w:val="center"/>
                    <w:rPr>
                      <w:rFonts w:hint="default"/>
                      <w:color w:val="auto"/>
                    </w:rPr>
                  </w:pPr>
                  <w:r>
                    <w:rPr>
                      <w:rFonts w:hint="default"/>
                      <w:color w:val="auto"/>
                    </w:rPr>
                    <w:t>厂界</w:t>
                  </w:r>
                  <w:r>
                    <w:rPr>
                      <w:rFonts w:hint="eastAsia"/>
                      <w:color w:val="auto"/>
                      <w:lang w:val="en-US" w:eastAsia="zh-CN"/>
                    </w:rPr>
                    <w:t>四周</w:t>
                  </w:r>
                </w:p>
              </w:tc>
              <w:tc>
                <w:tcPr>
                  <w:tcW w:w="1660" w:type="dxa"/>
                  <w:vAlign w:val="center"/>
                </w:tcPr>
                <w:p>
                  <w:pPr>
                    <w:snapToGrid w:val="0"/>
                    <w:contextualSpacing/>
                    <w:jc w:val="center"/>
                    <w:rPr>
                      <w:rFonts w:hint="default"/>
                      <w:color w:val="auto"/>
                    </w:rPr>
                  </w:pPr>
                  <w:r>
                    <w:rPr>
                      <w:rFonts w:hint="default"/>
                      <w:color w:val="auto"/>
                    </w:rPr>
                    <w:t>等效</w:t>
                  </w:r>
                  <w:r>
                    <w:rPr>
                      <w:rFonts w:hint="eastAsia"/>
                      <w:color w:val="auto"/>
                      <w:lang w:val="en-US" w:eastAsia="zh-CN"/>
                    </w:rPr>
                    <w:t>A</w:t>
                  </w:r>
                  <w:r>
                    <w:rPr>
                      <w:rFonts w:hint="default"/>
                      <w:color w:val="auto"/>
                    </w:rPr>
                    <w:t>声级</w:t>
                  </w:r>
                </w:p>
              </w:tc>
              <w:tc>
                <w:tcPr>
                  <w:tcW w:w="1384" w:type="dxa"/>
                  <w:vAlign w:val="center"/>
                </w:tcPr>
                <w:p>
                  <w:pPr>
                    <w:snapToGrid w:val="0"/>
                    <w:contextualSpacing/>
                    <w:jc w:val="center"/>
                    <w:rPr>
                      <w:rFonts w:hint="default"/>
                      <w:color w:val="auto"/>
                    </w:rPr>
                  </w:pPr>
                  <w:r>
                    <w:rPr>
                      <w:rFonts w:hint="default"/>
                      <w:color w:val="auto"/>
                    </w:rPr>
                    <w:t>每季度一次</w:t>
                  </w:r>
                </w:p>
              </w:tc>
              <w:tc>
                <w:tcPr>
                  <w:tcW w:w="3694" w:type="dxa"/>
                  <w:vAlign w:val="center"/>
                </w:tcPr>
                <w:p>
                  <w:pPr>
                    <w:snapToGrid w:val="0"/>
                    <w:contextualSpacing/>
                    <w:jc w:val="center"/>
                    <w:rPr>
                      <w:rFonts w:hint="eastAsia" w:eastAsiaTheme="minorEastAsia"/>
                      <w:color w:val="auto"/>
                      <w:lang w:val="en-US" w:eastAsia="zh-CN"/>
                    </w:rPr>
                  </w:pPr>
                  <w:r>
                    <w:rPr>
                      <w:rFonts w:hint="default"/>
                      <w:color w:val="auto"/>
                    </w:rPr>
                    <w:t>《工业企业厂界环境噪声排放标准》（GB12348-2008）</w:t>
                  </w:r>
                  <w:r>
                    <w:rPr>
                      <w:rFonts w:hint="eastAsia"/>
                      <w:color w:val="auto"/>
                      <w:lang w:val="en-US" w:eastAsia="zh-CN"/>
                    </w:rPr>
                    <w:t>2</w:t>
                  </w:r>
                  <w:r>
                    <w:rPr>
                      <w:rFonts w:hint="default"/>
                      <w:color w:val="auto"/>
                    </w:rPr>
                    <w:t>类标准限</w:t>
                  </w:r>
                  <w:r>
                    <w:rPr>
                      <w:rFonts w:hint="eastAsia"/>
                      <w:color w:val="auto"/>
                      <w:lang w:val="en-US" w:eastAsia="zh-CN"/>
                    </w:rPr>
                    <w:t>值</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4、固体废物环境影响及保护措施</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color w:val="auto"/>
                <w:sz w:val="21"/>
                <w:szCs w:val="21"/>
              </w:rPr>
            </w:pPr>
            <w:r>
              <w:rPr>
                <w:rFonts w:hint="default"/>
                <w:color w:val="auto"/>
              </w:rPr>
              <w:t>本项目</w:t>
            </w:r>
            <w:r>
              <w:rPr>
                <w:rFonts w:hint="eastAsia"/>
                <w:color w:val="auto"/>
                <w:lang w:val="en-US" w:eastAsia="zh-CN"/>
              </w:rPr>
              <w:t>不新增劳动</w:t>
            </w:r>
            <w:r>
              <w:rPr>
                <w:rFonts w:hint="default"/>
                <w:color w:val="auto"/>
              </w:rPr>
              <w:t>定员</w:t>
            </w:r>
            <w:r>
              <w:rPr>
                <w:rFonts w:hint="eastAsia"/>
                <w:color w:val="auto"/>
                <w:lang w:eastAsia="zh-CN"/>
              </w:rPr>
              <w:t>，</w:t>
            </w:r>
            <w:r>
              <w:rPr>
                <w:rFonts w:hint="eastAsia"/>
                <w:color w:val="auto"/>
                <w:lang w:val="en-US" w:eastAsia="zh-CN"/>
              </w:rPr>
              <w:t>不新增</w:t>
            </w:r>
            <w:r>
              <w:rPr>
                <w:rFonts w:hint="default"/>
                <w:color w:val="auto"/>
              </w:rPr>
              <w:t>生活垃圾</w:t>
            </w:r>
            <w:r>
              <w:rPr>
                <w:rFonts w:hint="default" w:ascii="Times New Roman" w:hAnsi="Times New Roman" w:cs="Times New Roman"/>
                <w:color w:val="auto"/>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color w:val="auto"/>
                <w:lang w:val="en-US" w:eastAsia="zh-CN"/>
              </w:rPr>
            </w:pPr>
            <w:r>
              <w:rPr>
                <w:rFonts w:hint="eastAsia"/>
                <w:color w:val="auto"/>
                <w:lang w:val="en-US" w:eastAsia="zh-CN"/>
              </w:rPr>
              <w:t xml:space="preserve">    项目运营期会对锅炉软水系统中离子交换树脂更换，每四年更换一次，会产生废弃离子交换树脂，由厂家更换后回收。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1"/>
                <w:szCs w:val="21"/>
                <w:lang w:val="en-US" w:eastAsia="zh-CN"/>
              </w:rPr>
            </w:pPr>
            <w:r>
              <w:rPr>
                <w:rFonts w:hint="eastAsia"/>
                <w:color w:val="auto"/>
                <w:sz w:val="21"/>
                <w:szCs w:val="21"/>
                <w:lang w:val="en-US" w:eastAsia="zh-CN"/>
              </w:rPr>
              <w:t>5、环境风险分析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1"/>
                <w:szCs w:val="21"/>
                <w:lang w:val="en-US" w:eastAsia="zh-CN"/>
              </w:rPr>
            </w:pPr>
            <w:r>
              <w:rPr>
                <w:rFonts w:hint="eastAsia"/>
                <w:color w:val="auto"/>
                <w:sz w:val="21"/>
                <w:szCs w:val="21"/>
                <w:lang w:val="en-US" w:eastAsia="zh-CN"/>
              </w:rPr>
              <w:t xml:space="preserve">    （1）危险物质及风险源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olor w:val="auto"/>
                <w:sz w:val="21"/>
                <w:szCs w:val="21"/>
                <w:lang w:val="en-US" w:eastAsia="zh-CN"/>
              </w:rPr>
            </w:pPr>
            <w:r>
              <w:rPr>
                <w:color w:val="auto"/>
                <w:sz w:val="21"/>
                <w:szCs w:val="21"/>
                <w:lang w:val="en-US" w:eastAsia="zh-CN"/>
              </w:rPr>
              <w:t>本项目涉及的风险物质主要</w:t>
            </w:r>
            <w:r>
              <w:rPr>
                <w:rFonts w:hint="eastAsia"/>
                <w:color w:val="auto"/>
                <w:sz w:val="21"/>
                <w:szCs w:val="21"/>
                <w:lang w:val="en-US" w:eastAsia="zh-CN"/>
              </w:rPr>
              <w:t>为管道天然气，天然气属于易燃、易爆物质</w:t>
            </w:r>
            <w:r>
              <w:rPr>
                <w:rFonts w:hint="eastAsia" w:ascii="Times New Roman" w:hAnsi="Times New Roman"/>
                <w:color w:val="auto"/>
                <w:sz w:val="21"/>
                <w:szCs w:val="21"/>
                <w:lang w:val="en-US" w:eastAsia="zh-CN"/>
              </w:rPr>
              <w:t>，经对比可燃物质的危险特性，结合生产设施风险识别结果，项目最大可信事故设定为</w:t>
            </w:r>
            <w:r>
              <w:rPr>
                <w:rFonts w:hint="eastAsia"/>
                <w:color w:val="auto"/>
                <w:sz w:val="21"/>
                <w:szCs w:val="21"/>
                <w:lang w:val="en-US" w:eastAsia="zh-CN"/>
              </w:rPr>
              <w:t>天然气</w:t>
            </w:r>
            <w:r>
              <w:rPr>
                <w:rFonts w:hint="eastAsia" w:ascii="Times New Roman" w:hAnsi="Times New Roman"/>
                <w:color w:val="auto"/>
                <w:sz w:val="21"/>
                <w:szCs w:val="21"/>
                <w:lang w:val="en-US" w:eastAsia="zh-CN"/>
              </w:rPr>
              <w:t>在使用过程中发生泄漏、火灾、爆炸事故。天然气主要理化特性见下表。</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lang w:val="zh-CN" w:eastAsia="zh-CN"/>
              </w:rPr>
            </w:pPr>
            <w:r>
              <w:rPr>
                <w:rFonts w:hint="eastAsia"/>
                <w:color w:val="auto"/>
                <w:lang w:val="zh-CN" w:eastAsia="zh-CN"/>
              </w:rPr>
              <w:t>表</w:t>
            </w:r>
            <w:r>
              <w:rPr>
                <w:rFonts w:hint="eastAsia"/>
                <w:color w:val="auto"/>
                <w:lang w:val="en-US" w:eastAsia="zh-CN"/>
              </w:rPr>
              <w:t xml:space="preserve">25  </w:t>
            </w:r>
            <w:r>
              <w:rPr>
                <w:rFonts w:hint="eastAsia"/>
                <w:color w:val="auto"/>
                <w:lang w:val="zh-CN" w:eastAsia="zh-CN"/>
              </w:rPr>
              <w:t xml:space="preserve">    天然气主要特性一览表</w:t>
            </w:r>
          </w:p>
          <w:tbl>
            <w:tblPr>
              <w:tblStyle w:val="29"/>
              <w:tblW w:w="8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8000" w:type="dxa"/>
                  <w:vAlign w:val="top"/>
                </w:tcPr>
                <w:p>
                  <w:pPr>
                    <w:spacing w:line="360" w:lineRule="auto"/>
                    <w:rPr>
                      <w:rFonts w:hint="eastAsia"/>
                      <w:color w:val="auto"/>
                      <w:szCs w:val="21"/>
                    </w:rPr>
                  </w:pPr>
                  <w:r>
                    <w:rPr>
                      <w:rFonts w:hint="eastAsia"/>
                      <w:b/>
                      <w:color w:val="auto"/>
                      <w:szCs w:val="21"/>
                    </w:rPr>
                    <w:t>英文名称</w:t>
                  </w:r>
                  <w:r>
                    <w:rPr>
                      <w:rFonts w:hint="eastAsia"/>
                      <w:color w:val="auto"/>
                      <w:szCs w:val="21"/>
                    </w:rPr>
                    <w:t>：</w:t>
                  </w:r>
                  <w:r>
                    <w:rPr>
                      <w:rFonts w:hint="eastAsia"/>
                      <w:color w:val="auto"/>
                      <w:sz w:val="24"/>
                    </w:rPr>
                    <w:t>natural gas</w:t>
                  </w:r>
                  <w:r>
                    <w:rPr>
                      <w:rFonts w:hint="eastAsia"/>
                      <w:color w:val="auto"/>
                      <w:szCs w:val="21"/>
                    </w:rPr>
                    <w:t>；</w:t>
                  </w:r>
                  <w:r>
                    <w:rPr>
                      <w:rFonts w:hint="eastAsia"/>
                      <w:b/>
                      <w:color w:val="auto"/>
                      <w:szCs w:val="21"/>
                    </w:rPr>
                    <w:t xml:space="preserve">                   CAS号：</w:t>
                  </w:r>
                  <w:r>
                    <w:rPr>
                      <w:rFonts w:hint="eastAsia"/>
                      <w:color w:val="auto"/>
                      <w:szCs w:val="21"/>
                      <w:lang w:val="en-US" w:eastAsia="zh-CN"/>
                    </w:rPr>
                    <w:t>74-82-8</w:t>
                  </w:r>
                  <w:r>
                    <w:rPr>
                      <w:rFonts w:hint="eastAsia"/>
                      <w:color w:val="auto"/>
                      <w:szCs w:val="21"/>
                    </w:rPr>
                    <w:t>；</w:t>
                  </w:r>
                </w:p>
                <w:p>
                  <w:pPr>
                    <w:spacing w:line="360" w:lineRule="auto"/>
                    <w:rPr>
                      <w:rFonts w:hint="eastAsia"/>
                      <w:color w:val="auto"/>
                      <w:szCs w:val="21"/>
                    </w:rPr>
                  </w:pPr>
                  <w:r>
                    <w:rPr>
                      <w:rFonts w:hint="eastAsia"/>
                      <w:b/>
                      <w:color w:val="auto"/>
                      <w:szCs w:val="21"/>
                    </w:rPr>
                    <w:t>危险类别：</w:t>
                  </w:r>
                  <w:r>
                    <w:rPr>
                      <w:rFonts w:hint="eastAsia"/>
                      <w:color w:val="auto"/>
                      <w:szCs w:val="21"/>
                    </w:rPr>
                    <w:t xml:space="preserve">2.1类易燃气体；            </w:t>
                  </w:r>
                  <w:r>
                    <w:rPr>
                      <w:rFonts w:hint="eastAsia"/>
                      <w:b/>
                      <w:color w:val="auto"/>
                      <w:szCs w:val="21"/>
                    </w:rPr>
                    <w:t>化学类别：</w:t>
                  </w:r>
                  <w:r>
                    <w:rPr>
                      <w:rFonts w:hint="eastAsia"/>
                      <w:color w:val="auto"/>
                      <w:szCs w:val="21"/>
                    </w:rPr>
                    <w:t xml:space="preserve">烷烃；     </w:t>
                  </w:r>
                  <w:r>
                    <w:rPr>
                      <w:rFonts w:hint="eastAsia"/>
                      <w:b/>
                      <w:color w:val="auto"/>
                      <w:szCs w:val="21"/>
                    </w:rPr>
                    <w:t>主要成分：</w:t>
                  </w:r>
                  <w:r>
                    <w:rPr>
                      <w:rFonts w:hint="eastAsia"/>
                      <w:color w:val="auto"/>
                      <w:szCs w:val="21"/>
                    </w:rPr>
                    <w:t>甲烷等；</w:t>
                  </w:r>
                </w:p>
                <w:p>
                  <w:pPr>
                    <w:spacing w:line="360" w:lineRule="auto"/>
                    <w:rPr>
                      <w:rFonts w:hint="eastAsia"/>
                      <w:color w:val="auto"/>
                      <w:szCs w:val="21"/>
                    </w:rPr>
                  </w:pPr>
                  <w:r>
                    <w:rPr>
                      <w:rFonts w:hint="eastAsia"/>
                      <w:b/>
                      <w:color w:val="auto"/>
                      <w:szCs w:val="21"/>
                    </w:rPr>
                    <w:t>相对分子量：</w:t>
                  </w:r>
                  <w:r>
                    <w:rPr>
                      <w:rFonts w:hint="eastAsia"/>
                      <w:color w:val="auto"/>
                      <w:szCs w:val="21"/>
                    </w:rPr>
                    <w:t xml:space="preserve">40；  </w:t>
                  </w:r>
                  <w:r>
                    <w:rPr>
                      <w:rFonts w:hint="eastAsia"/>
                      <w:b/>
                      <w:color w:val="auto"/>
                      <w:szCs w:val="21"/>
                    </w:rPr>
                    <w:t>物化性质：</w:t>
                  </w:r>
                  <w:r>
                    <w:rPr>
                      <w:rFonts w:hint="eastAsia"/>
                      <w:color w:val="auto"/>
                      <w:szCs w:val="21"/>
                    </w:rPr>
                    <w:t xml:space="preserve">无色气体；   </w:t>
                  </w:r>
                  <w:r>
                    <w:rPr>
                      <w:rFonts w:hint="eastAsia"/>
                      <w:b/>
                      <w:color w:val="auto"/>
                      <w:szCs w:val="21"/>
                    </w:rPr>
                    <w:t>熔点：</w:t>
                  </w:r>
                  <w:r>
                    <w:rPr>
                      <w:rFonts w:hint="eastAsia"/>
                      <w:color w:val="auto"/>
                      <w:szCs w:val="21"/>
                    </w:rPr>
                    <w:t xml:space="preserve">-182.5℃        </w:t>
                  </w:r>
                  <w:r>
                    <w:rPr>
                      <w:rFonts w:hint="eastAsia"/>
                      <w:b/>
                      <w:color w:val="auto"/>
                      <w:szCs w:val="21"/>
                    </w:rPr>
                    <w:t>沸点：</w:t>
                  </w:r>
                  <w:r>
                    <w:rPr>
                      <w:rFonts w:hint="eastAsia"/>
                      <w:color w:val="auto"/>
                      <w:szCs w:val="21"/>
                    </w:rPr>
                    <w:t>-160℃</w:t>
                  </w:r>
                </w:p>
                <w:p>
                  <w:pPr>
                    <w:spacing w:line="360" w:lineRule="auto"/>
                    <w:rPr>
                      <w:rFonts w:hint="eastAsia"/>
                      <w:color w:val="auto"/>
                      <w:szCs w:val="21"/>
                    </w:rPr>
                  </w:pPr>
                  <w:r>
                    <w:rPr>
                      <w:rFonts w:hint="eastAsia"/>
                      <w:b/>
                      <w:color w:val="auto"/>
                      <w:szCs w:val="21"/>
                    </w:rPr>
                    <w:t>相对密度：</w:t>
                  </w:r>
                  <w:r>
                    <w:rPr>
                      <w:rFonts w:hint="eastAsia"/>
                      <w:color w:val="auto"/>
                      <w:szCs w:val="21"/>
                    </w:rPr>
                    <w:t xml:space="preserve">0.45；   </w:t>
                  </w:r>
                  <w:r>
                    <w:rPr>
                      <w:rFonts w:hint="eastAsia"/>
                      <w:b/>
                      <w:color w:val="auto"/>
                      <w:szCs w:val="21"/>
                    </w:rPr>
                    <w:t>溶解性：</w:t>
                  </w:r>
                  <w:r>
                    <w:rPr>
                      <w:rFonts w:hint="eastAsia"/>
                      <w:color w:val="auto"/>
                      <w:szCs w:val="21"/>
                    </w:rPr>
                    <w:t xml:space="preserve">微溶于水；    </w:t>
                  </w:r>
                  <w:r>
                    <w:rPr>
                      <w:rFonts w:hint="eastAsia"/>
                      <w:b/>
                      <w:color w:val="auto"/>
                      <w:szCs w:val="21"/>
                    </w:rPr>
                    <w:t>爆炸特性：</w:t>
                  </w:r>
                  <w:r>
                    <w:rPr>
                      <w:rFonts w:hint="eastAsia"/>
                      <w:color w:val="auto"/>
                      <w:szCs w:val="21"/>
                    </w:rPr>
                    <w:t>爆炸极限5%~14%；</w:t>
                  </w:r>
                </w:p>
                <w:p>
                  <w:pPr>
                    <w:spacing w:line="360" w:lineRule="auto"/>
                    <w:rPr>
                      <w:rFonts w:hint="eastAsia"/>
                      <w:color w:val="auto"/>
                      <w:szCs w:val="21"/>
                    </w:rPr>
                  </w:pPr>
                  <w:r>
                    <w:rPr>
                      <w:rFonts w:hint="eastAsia"/>
                      <w:b/>
                      <w:color w:val="auto"/>
                      <w:szCs w:val="21"/>
                    </w:rPr>
                    <w:t>闪点：</w:t>
                  </w:r>
                  <w:r>
                    <w:rPr>
                      <w:rFonts w:hint="eastAsia"/>
                      <w:color w:val="auto"/>
                      <w:szCs w:val="21"/>
                    </w:rPr>
                    <w:t xml:space="preserve">-188℃；     </w:t>
                  </w:r>
                  <w:r>
                    <w:rPr>
                      <w:rFonts w:hint="eastAsia"/>
                      <w:b/>
                      <w:color w:val="auto"/>
                      <w:szCs w:val="21"/>
                    </w:rPr>
                    <w:t>引燃点：</w:t>
                  </w:r>
                  <w:r>
                    <w:rPr>
                      <w:rFonts w:hint="eastAsia"/>
                      <w:color w:val="auto"/>
                      <w:szCs w:val="21"/>
                    </w:rPr>
                    <w:t xml:space="preserve">482℃；     </w:t>
                  </w:r>
                  <w:r>
                    <w:rPr>
                      <w:rFonts w:hint="eastAsia"/>
                      <w:b/>
                      <w:color w:val="auto"/>
                      <w:szCs w:val="21"/>
                    </w:rPr>
                    <w:t>火灾爆炸危险度：</w:t>
                  </w:r>
                  <w:r>
                    <w:rPr>
                      <w:rFonts w:hint="eastAsia"/>
                      <w:color w:val="auto"/>
                      <w:szCs w:val="21"/>
                    </w:rPr>
                    <w:t xml:space="preserve">1.8； </w:t>
                  </w:r>
                  <w:r>
                    <w:rPr>
                      <w:rFonts w:hint="eastAsia"/>
                      <w:b/>
                      <w:color w:val="auto"/>
                      <w:szCs w:val="21"/>
                    </w:rPr>
                    <w:t>火灾危险性：</w:t>
                  </w:r>
                  <w:r>
                    <w:rPr>
                      <w:rFonts w:hint="eastAsia"/>
                      <w:color w:val="auto"/>
                      <w:szCs w:val="21"/>
                    </w:rPr>
                    <w:t>甲</w:t>
                  </w:r>
                </w:p>
                <w:p>
                  <w:pPr>
                    <w:spacing w:line="360" w:lineRule="auto"/>
                    <w:rPr>
                      <w:rFonts w:hint="eastAsia"/>
                      <w:color w:val="auto"/>
                      <w:szCs w:val="21"/>
                    </w:rPr>
                  </w:pPr>
                  <w:r>
                    <w:rPr>
                      <w:rFonts w:hint="eastAsia"/>
                      <w:b/>
                      <w:color w:val="auto"/>
                      <w:szCs w:val="21"/>
                    </w:rPr>
                    <w:t>危险特征：</w:t>
                  </w:r>
                  <w:r>
                    <w:rPr>
                      <w:rFonts w:hint="eastAsia"/>
                      <w:color w:val="auto"/>
                      <w:szCs w:val="21"/>
                    </w:rPr>
                    <w:t>易燃，与空气混合能形成爆炸性混合物，遇热源和明火有燃烧爆炸的危险。与五氧化溴、氯气、次氯酸、三氟化氮及其氧化及接触剧烈反应。</w:t>
                  </w:r>
                </w:p>
                <w:p>
                  <w:pPr>
                    <w:spacing w:line="360" w:lineRule="auto"/>
                    <w:rPr>
                      <w:rFonts w:hint="eastAsia"/>
                      <w:color w:val="auto"/>
                      <w:szCs w:val="21"/>
                    </w:rPr>
                  </w:pPr>
                  <w:r>
                    <w:rPr>
                      <w:rFonts w:hint="eastAsia"/>
                      <w:b/>
                      <w:color w:val="auto"/>
                      <w:szCs w:val="21"/>
                    </w:rPr>
                    <w:t>灭火方法：</w:t>
                  </w:r>
                  <w:r>
                    <w:rPr>
                      <w:rFonts w:hint="eastAsia"/>
                      <w:color w:val="auto"/>
                      <w:szCs w:val="21"/>
                    </w:rPr>
                    <w:t>切断气源。若不能切断气源，则不允许熄灭泄露处的火焰。喷水冷却容器，可能的话将容器从火场移至空旷处。</w:t>
                  </w:r>
                </w:p>
                <w:p>
                  <w:pPr>
                    <w:spacing w:line="360" w:lineRule="auto"/>
                    <w:rPr>
                      <w:rFonts w:hint="eastAsia"/>
                      <w:color w:val="auto"/>
                      <w:szCs w:val="21"/>
                    </w:rPr>
                  </w:pPr>
                  <w:r>
                    <w:rPr>
                      <w:rFonts w:hint="eastAsia"/>
                      <w:b/>
                      <w:color w:val="auto"/>
                      <w:szCs w:val="21"/>
                    </w:rPr>
                    <w:t>灭火剂：</w:t>
                  </w:r>
                  <w:r>
                    <w:rPr>
                      <w:rFonts w:hint="eastAsia"/>
                      <w:color w:val="auto"/>
                      <w:szCs w:val="21"/>
                    </w:rPr>
                    <w:t xml:space="preserve"> 二氧化碳、干粉。            </w:t>
                  </w:r>
                  <w:r>
                    <w:rPr>
                      <w:rFonts w:hint="eastAsia"/>
                      <w:b/>
                      <w:color w:val="auto"/>
                      <w:szCs w:val="21"/>
                    </w:rPr>
                    <w:t>稳定性：</w:t>
                  </w:r>
                  <w:r>
                    <w:rPr>
                      <w:rFonts w:hint="eastAsia"/>
                      <w:color w:val="auto"/>
                      <w:szCs w:val="21"/>
                    </w:rPr>
                    <w:t xml:space="preserve">稳定；       </w:t>
                  </w:r>
                  <w:r>
                    <w:rPr>
                      <w:rFonts w:hint="eastAsia"/>
                      <w:b/>
                      <w:color w:val="auto"/>
                      <w:szCs w:val="21"/>
                    </w:rPr>
                    <w:t>聚合危害：</w:t>
                  </w:r>
                  <w:r>
                    <w:rPr>
                      <w:rFonts w:hint="eastAsia"/>
                      <w:color w:val="auto"/>
                      <w:szCs w:val="21"/>
                    </w:rPr>
                    <w:t>不聚合</w:t>
                  </w:r>
                </w:p>
                <w:p>
                  <w:pPr>
                    <w:spacing w:line="360" w:lineRule="auto"/>
                    <w:rPr>
                      <w:rFonts w:hint="eastAsia"/>
                      <w:color w:val="auto"/>
                      <w:szCs w:val="21"/>
                    </w:rPr>
                  </w:pPr>
                  <w:r>
                    <w:rPr>
                      <w:rFonts w:hint="eastAsia"/>
                      <w:b/>
                      <w:color w:val="auto"/>
                      <w:szCs w:val="21"/>
                    </w:rPr>
                    <w:t>禁忌物：</w:t>
                  </w:r>
                  <w:r>
                    <w:rPr>
                      <w:rFonts w:hint="eastAsia"/>
                      <w:color w:val="auto"/>
                      <w:szCs w:val="21"/>
                    </w:rPr>
                    <w:t xml:space="preserve">强氧化剂、氟、氯；               </w:t>
                  </w:r>
                  <w:r>
                    <w:rPr>
                      <w:rFonts w:hint="eastAsia"/>
                      <w:b/>
                      <w:color w:val="auto"/>
                      <w:szCs w:val="21"/>
                    </w:rPr>
                    <w:t>燃烧分解产物：</w:t>
                  </w:r>
                  <w:r>
                    <w:rPr>
                      <w:rFonts w:hint="eastAsia"/>
                      <w:color w:val="auto"/>
                      <w:szCs w:val="21"/>
                    </w:rPr>
                    <w:t>一氧化碳、二氧化碳；</w:t>
                  </w:r>
                </w:p>
                <w:p>
                  <w:pPr>
                    <w:spacing w:line="360" w:lineRule="auto"/>
                    <w:rPr>
                      <w:rFonts w:hint="eastAsia"/>
                      <w:color w:val="auto"/>
                      <w:szCs w:val="21"/>
                    </w:rPr>
                  </w:pPr>
                  <w:r>
                    <w:rPr>
                      <w:rFonts w:hint="eastAsia"/>
                      <w:b/>
                      <w:color w:val="auto"/>
                      <w:szCs w:val="21"/>
                    </w:rPr>
                    <w:t>健康危害：</w:t>
                  </w:r>
                  <w:r>
                    <w:rPr>
                      <w:rFonts w:hint="eastAsia"/>
                      <w:color w:val="auto"/>
                      <w:szCs w:val="21"/>
                    </w:rPr>
                    <w:t xml:space="preserve">侵入途径：吸入；健康危害：本品对人基本无毒，但浓度过高时，使空气中氧含量明显降低，使人窒息。当空气中甲烷达到25%~30%时，可引起头痛、头晕、乏力、注意力不集中、呼吸和心跳加速、供给失调。若不及时脱离，可致窒息死亡。皮肤接触本品，可致冻伤。                                   </w:t>
                  </w:r>
                </w:p>
                <w:p>
                  <w:pPr>
                    <w:spacing w:line="360" w:lineRule="auto"/>
                    <w:rPr>
                      <w:rFonts w:hint="eastAsia"/>
                      <w:color w:val="auto"/>
                      <w:szCs w:val="21"/>
                    </w:rPr>
                  </w:pPr>
                  <w:r>
                    <w:rPr>
                      <w:rFonts w:hint="eastAsia"/>
                      <w:b/>
                      <w:color w:val="auto"/>
                      <w:szCs w:val="21"/>
                    </w:rPr>
                    <w:t>职业接触限值：</w:t>
                  </w:r>
                  <w:r>
                    <w:rPr>
                      <w:rFonts w:hint="eastAsia"/>
                      <w:color w:val="auto"/>
                      <w:szCs w:val="21"/>
                    </w:rPr>
                    <w:t>300mg/m</w:t>
                  </w:r>
                  <w:r>
                    <w:rPr>
                      <w:rFonts w:hint="eastAsia"/>
                      <w:color w:val="auto"/>
                      <w:szCs w:val="21"/>
                      <w:vertAlign w:val="superscript"/>
                    </w:rPr>
                    <w:t>3</w:t>
                  </w:r>
                  <w:r>
                    <w:rPr>
                      <w:rFonts w:hint="eastAsia"/>
                      <w:color w:val="auto"/>
                      <w:szCs w:val="21"/>
                    </w:rPr>
                    <w:t>（甲烷）</w:t>
                  </w:r>
                </w:p>
                <w:p>
                  <w:pPr>
                    <w:spacing w:line="360" w:lineRule="auto"/>
                    <w:rPr>
                      <w:rFonts w:hint="eastAsia"/>
                      <w:color w:val="auto"/>
                      <w:szCs w:val="21"/>
                    </w:rPr>
                  </w:pPr>
                  <w:r>
                    <w:rPr>
                      <w:rFonts w:hint="eastAsia"/>
                      <w:b/>
                      <w:color w:val="auto"/>
                      <w:szCs w:val="21"/>
                    </w:rPr>
                    <w:t>急救措施：</w:t>
                  </w:r>
                  <w:r>
                    <w:rPr>
                      <w:rFonts w:hint="eastAsia"/>
                      <w:color w:val="auto"/>
                      <w:szCs w:val="21"/>
                    </w:rPr>
                    <w:t>皮肤接触：若在冻伤，就医治疗。吸入：迅速脱离现场至空气新鲜处。保持呼吸道通畅。如呼吸困难，给输氧。如呼吸停止，立即进行人工呼吸、就医。</w:t>
                  </w:r>
                </w:p>
                <w:p>
                  <w:pPr>
                    <w:spacing w:line="360" w:lineRule="auto"/>
                    <w:rPr>
                      <w:rFonts w:hint="eastAsia"/>
                      <w:color w:val="auto"/>
                      <w:szCs w:val="21"/>
                    </w:rPr>
                  </w:pPr>
                  <w:r>
                    <w:rPr>
                      <w:rFonts w:hint="eastAsia"/>
                      <w:b/>
                      <w:color w:val="auto"/>
                      <w:szCs w:val="21"/>
                    </w:rPr>
                    <w:t>泄漏应急处理：</w:t>
                  </w:r>
                  <w:r>
                    <w:rPr>
                      <w:rFonts w:hint="eastAsia"/>
                      <w:color w:val="auto"/>
                      <w:szCs w:val="21"/>
                    </w:rPr>
                    <w:t>迅速撤离泄漏污染区人员至上风处，并进行隔离，严格限制出入。切断火源。建议应急处理管理人员带给正压式呼吸器，穿防静电工作服。尽可能切断泄漏源。合理通风，加速扩散。喷雾状水稀释、溶解。如在可能，交漏出气送至空旷地方或加装适当喷头烧掉。也可以将漏气容器移到空旷处，注意通风。漏气容器要妥善处理，修复、检验后再用。</w:t>
                  </w:r>
                </w:p>
                <w:p>
                  <w:pPr>
                    <w:spacing w:line="360" w:lineRule="auto"/>
                    <w:rPr>
                      <w:rFonts w:hint="eastAsia"/>
                      <w:color w:val="auto"/>
                      <w:szCs w:val="21"/>
                    </w:rPr>
                  </w:pPr>
                  <w:r>
                    <w:rPr>
                      <w:rFonts w:hint="eastAsia"/>
                      <w:b/>
                      <w:color w:val="auto"/>
                      <w:szCs w:val="21"/>
                    </w:rPr>
                    <w:t>贮运注意事项：</w:t>
                  </w:r>
                  <w:r>
                    <w:rPr>
                      <w:rFonts w:hint="eastAsia"/>
                      <w:color w:val="auto"/>
                      <w:szCs w:val="21"/>
                    </w:rPr>
                    <w:t>储存于阴凉、通风的库房。远离火种、热源。库温不宜超过30℃。应与氧化剂等分开存放，切忌混储。采用防爆型照明、通风设施。禁止使用易产生火花的机械设备和工具。储区应备有泄漏应急处理设备。</w:t>
                  </w:r>
                  <w:r>
                    <w:rPr>
                      <w:rFonts w:hint="eastAsia"/>
                      <w:b/>
                      <w:color w:val="auto"/>
                      <w:szCs w:val="21"/>
                    </w:rPr>
                    <w:t>废弃：</w:t>
                  </w:r>
                  <w:r>
                    <w:rPr>
                      <w:rFonts w:hint="eastAsia"/>
                      <w:color w:val="auto"/>
                      <w:szCs w:val="21"/>
                    </w:rPr>
                    <w:t>参阅国家地方有关法规。建议用控制燃烧法处置。</w:t>
                  </w:r>
                </w:p>
                <w:p>
                  <w:pPr>
                    <w:spacing w:line="360" w:lineRule="auto"/>
                    <w:rPr>
                      <w:rFonts w:hint="eastAsia"/>
                      <w:b/>
                      <w:color w:val="auto"/>
                      <w:szCs w:val="21"/>
                    </w:rPr>
                  </w:pPr>
                  <w:r>
                    <w:rPr>
                      <w:rFonts w:hint="eastAsia"/>
                      <w:b/>
                      <w:color w:val="auto"/>
                      <w:szCs w:val="21"/>
                    </w:rPr>
                    <w:t>环境资料：</w:t>
                  </w:r>
                  <w:r>
                    <w:rPr>
                      <w:rFonts w:hint="eastAsia"/>
                      <w:color w:val="auto"/>
                      <w:szCs w:val="21"/>
                    </w:rPr>
                    <w:t xml:space="preserve">该物质对环境可能有危害，对鱼类和水体要给与特别注意。还应特别请注意对地表水、土壤、大气和饮用水的污染。     </w:t>
                  </w:r>
                  <w:r>
                    <w:rPr>
                      <w:rFonts w:hint="eastAsia"/>
                      <w:b/>
                      <w:color w:val="auto"/>
                      <w:szCs w:val="21"/>
                    </w:rPr>
                    <w:t xml:space="preserve">    毒理学资料：</w:t>
                  </w:r>
                  <w:r>
                    <w:rPr>
                      <w:rFonts w:hint="eastAsia"/>
                      <w:color w:val="auto"/>
                      <w:szCs w:val="21"/>
                    </w:rPr>
                    <w:t>暂无</w:t>
                  </w:r>
                </w:p>
              </w:tc>
            </w:tr>
          </w:tbl>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outlineLvl w:val="9"/>
              <w:rPr>
                <w:rFonts w:hint="eastAsia"/>
                <w:color w:val="auto"/>
                <w:sz w:val="21"/>
                <w:szCs w:val="21"/>
                <w:lang w:val="en-US" w:eastAsia="zh-CN"/>
              </w:rPr>
            </w:pPr>
            <w:r>
              <w:rPr>
                <w:rFonts w:hint="eastAsia"/>
                <w:color w:val="auto"/>
                <w:sz w:val="21"/>
                <w:szCs w:val="21"/>
                <w:lang w:eastAsia="zh-CN"/>
              </w:rPr>
              <w:t>根据建设单位资料，本</w:t>
            </w:r>
            <w:r>
              <w:rPr>
                <w:rFonts w:hint="eastAsia"/>
                <w:color w:val="auto"/>
                <w:sz w:val="21"/>
                <w:szCs w:val="21"/>
                <w:lang w:val="en-US" w:eastAsia="zh-CN"/>
              </w:rPr>
              <w:t>锅炉房</w:t>
            </w:r>
            <w:r>
              <w:rPr>
                <w:rFonts w:hint="eastAsia"/>
                <w:color w:val="auto"/>
                <w:sz w:val="21"/>
                <w:szCs w:val="21"/>
                <w:lang w:eastAsia="zh-CN"/>
              </w:rPr>
              <w:t>内天然气管线长度约为</w:t>
            </w:r>
            <w:r>
              <w:rPr>
                <w:rFonts w:hint="eastAsia"/>
                <w:color w:val="auto"/>
                <w:sz w:val="21"/>
                <w:szCs w:val="21"/>
                <w:lang w:val="en-US" w:eastAsia="zh-CN"/>
              </w:rPr>
              <w:t>40m，管内径为0.1m，则锅炉房内天然气管道容量为0.31m</w:t>
            </w:r>
            <w:r>
              <w:rPr>
                <w:rFonts w:hint="eastAsia"/>
                <w:color w:val="auto"/>
                <w:sz w:val="21"/>
                <w:szCs w:val="21"/>
                <w:vertAlign w:val="superscript"/>
                <w:lang w:val="en-US" w:eastAsia="zh-CN"/>
              </w:rPr>
              <w:t>3</w:t>
            </w:r>
            <w:r>
              <w:rPr>
                <w:rFonts w:hint="eastAsia"/>
                <w:color w:val="auto"/>
                <w:sz w:val="21"/>
                <w:szCs w:val="21"/>
                <w:lang w:val="en-US" w:eastAsia="zh-CN"/>
              </w:rPr>
              <w:t>，折算成标准状态为1.25m</w:t>
            </w:r>
            <w:r>
              <w:rPr>
                <w:rFonts w:hint="eastAsia"/>
                <w:color w:val="auto"/>
                <w:sz w:val="21"/>
                <w:szCs w:val="21"/>
                <w:vertAlign w:val="superscript"/>
                <w:lang w:val="en-US" w:eastAsia="zh-CN"/>
              </w:rPr>
              <w:t>3</w:t>
            </w:r>
            <w:r>
              <w:rPr>
                <w:rFonts w:hint="eastAsia"/>
                <w:color w:val="auto"/>
                <w:sz w:val="21"/>
                <w:szCs w:val="21"/>
                <w:lang w:val="en-US" w:eastAsia="zh-CN"/>
              </w:rPr>
              <w:t>，根据相对密度（空气=1）0.45折算，在事故状态下切断进厂天然气管道总阀门后，厂区内管道中天然气质量为0.73kg。</w:t>
            </w:r>
          </w:p>
          <w:p>
            <w:pPr>
              <w:spacing w:line="240" w:lineRule="auto"/>
              <w:ind w:firstLine="420" w:firstLineChars="200"/>
              <w:rPr>
                <w:rFonts w:hint="default"/>
                <w:color w:val="auto"/>
                <w:lang w:val="zh-CN" w:eastAsia="zh-CN"/>
              </w:rPr>
            </w:pPr>
            <w:r>
              <w:rPr>
                <w:rFonts w:hint="eastAsia"/>
                <w:color w:val="auto"/>
                <w:lang w:val="en-US" w:eastAsia="zh-CN"/>
              </w:rPr>
              <w:t xml:space="preserve">            </w:t>
            </w:r>
            <w:r>
              <w:rPr>
                <w:rFonts w:hint="default"/>
                <w:color w:val="auto"/>
                <w:lang w:val="zh-CN" w:eastAsia="zh-CN"/>
              </w:rPr>
              <w:t>表</w:t>
            </w:r>
            <w:r>
              <w:rPr>
                <w:rFonts w:hint="eastAsia"/>
                <w:color w:val="auto"/>
                <w:lang w:val="en-US" w:eastAsia="zh-CN"/>
              </w:rPr>
              <w:t>26</w:t>
            </w:r>
            <w:r>
              <w:rPr>
                <w:rFonts w:hint="default"/>
                <w:color w:val="auto"/>
                <w:lang w:val="en-US" w:eastAsia="zh-CN"/>
              </w:rPr>
              <w:t xml:space="preserve">   </w:t>
            </w:r>
            <w:r>
              <w:rPr>
                <w:rFonts w:hint="default"/>
                <w:color w:val="auto"/>
                <w:lang w:val="zh-CN" w:eastAsia="zh-CN"/>
              </w:rPr>
              <w:t xml:space="preserve"> </w:t>
            </w:r>
            <w:r>
              <w:rPr>
                <w:rFonts w:hint="default"/>
                <w:color w:val="auto"/>
                <w:lang w:val="en-US" w:eastAsia="zh-CN"/>
              </w:rPr>
              <w:t xml:space="preserve">         </w:t>
            </w:r>
            <w:r>
              <w:rPr>
                <w:rFonts w:hint="eastAsia"/>
                <w:color w:val="auto"/>
                <w:lang w:val="en-US" w:eastAsia="zh-CN"/>
              </w:rPr>
              <w:t xml:space="preserve">   环境风险评价等级判定</w:t>
            </w:r>
            <w:r>
              <w:rPr>
                <w:rFonts w:hint="default"/>
                <w:color w:val="auto"/>
                <w:lang w:val="zh-CN" w:eastAsia="zh-CN"/>
              </w:rPr>
              <w:t>表</w:t>
            </w:r>
          </w:p>
          <w:tbl>
            <w:tblPr>
              <w:tblStyle w:val="28"/>
              <w:tblW w:w="769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1358"/>
              <w:gridCol w:w="1365"/>
              <w:gridCol w:w="1142"/>
              <w:gridCol w:w="17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2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环境风险</w:t>
                  </w:r>
                  <w:r>
                    <w:rPr>
                      <w:rFonts w:ascii="宋体" w:hAnsi="宋体" w:eastAsia="宋体" w:cs="宋体"/>
                      <w:color w:val="auto"/>
                      <w:sz w:val="21"/>
                      <w:szCs w:val="21"/>
                    </w:rPr>
                    <w:t>潜势</w:t>
                  </w:r>
                </w:p>
              </w:tc>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ascii="宋体" w:hAnsi="宋体" w:eastAsia="宋体" w:cs="宋体"/>
                      <w:color w:val="auto"/>
                      <w:sz w:val="21"/>
                      <w:szCs w:val="21"/>
                    </w:rPr>
                    <w:t>Ⅳ、Ⅳ</w:t>
                  </w:r>
                  <w:r>
                    <w:rPr>
                      <w:rFonts w:hint="eastAsia" w:ascii="宋体" w:hAnsi="宋体" w:eastAsia="宋体" w:cs="宋体"/>
                      <w:color w:val="auto"/>
                      <w:sz w:val="21"/>
                      <w:szCs w:val="21"/>
                      <w:lang w:val="en-US" w:eastAsia="zh-CN"/>
                    </w:rPr>
                    <w:t>+</w:t>
                  </w:r>
                </w:p>
              </w:tc>
              <w:tc>
                <w:tcPr>
                  <w:tcW w:w="13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ascii="宋体" w:hAnsi="宋体" w:eastAsia="宋体" w:cs="宋体"/>
                      <w:color w:val="auto"/>
                      <w:sz w:val="21"/>
                      <w:szCs w:val="21"/>
                    </w:rPr>
                    <w:t>III</w:t>
                  </w:r>
                </w:p>
              </w:tc>
              <w:tc>
                <w:tcPr>
                  <w:tcW w:w="11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ascii="宋体" w:hAnsi="宋体" w:eastAsia="宋体" w:cs="宋体"/>
                      <w:color w:val="auto"/>
                      <w:sz w:val="21"/>
                      <w:szCs w:val="21"/>
                    </w:rPr>
                    <w:t>II</w:t>
                  </w:r>
                </w:p>
              </w:tc>
              <w:tc>
                <w:tcPr>
                  <w:tcW w:w="17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ascii="宋体" w:hAnsi="宋体" w:eastAsia="宋体" w:cs="宋体"/>
                      <w:color w:val="auto"/>
                      <w:sz w:val="21"/>
                      <w:szCs w:val="21"/>
                    </w:rPr>
                    <w:t>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ascii="宋体" w:hAnsi="宋体" w:eastAsia="宋体" w:cs="宋体"/>
                      <w:color w:val="auto"/>
                      <w:sz w:val="21"/>
                      <w:szCs w:val="21"/>
                    </w:rPr>
                    <w:t>评价工作等级</w:t>
                  </w:r>
                </w:p>
              </w:tc>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一</w:t>
                  </w:r>
                </w:p>
              </w:tc>
              <w:tc>
                <w:tcPr>
                  <w:tcW w:w="13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二</w:t>
                  </w:r>
                </w:p>
              </w:tc>
              <w:tc>
                <w:tcPr>
                  <w:tcW w:w="11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三</w:t>
                  </w:r>
                </w:p>
              </w:tc>
              <w:tc>
                <w:tcPr>
                  <w:tcW w:w="17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ascii="宋体" w:hAnsi="宋体" w:eastAsia="宋体" w:cs="宋体"/>
                      <w:color w:val="auto"/>
                      <w:sz w:val="21"/>
                      <w:szCs w:val="21"/>
                    </w:rPr>
                    <w:t>简单分析</w:t>
                  </w:r>
                  <w:r>
                    <w:rPr>
                      <w:rFonts w:ascii="宋体" w:hAnsi="宋体" w:eastAsia="宋体" w:cs="宋体"/>
                      <w:color w:val="auto"/>
                      <w:sz w:val="21"/>
                      <w:szCs w:val="21"/>
                      <w:vertAlign w:val="superscript"/>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7698"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21"/>
                      <w:szCs w:val="21"/>
                      <w:lang w:val="en-US" w:eastAsia="zh-CN"/>
                    </w:rPr>
                  </w:pPr>
                  <w:r>
                    <w:rPr>
                      <w:rFonts w:ascii="宋体" w:hAnsi="宋体" w:eastAsia="宋体" w:cs="宋体"/>
                      <w:color w:val="auto"/>
                      <w:sz w:val="21"/>
                      <w:szCs w:val="21"/>
                    </w:rPr>
                    <w:t>a 是相对于详细评价工作内容而言，在描述危险物质、环境影响途径、环境危害后果、风险防范措施等方面给出定性的说明。</w:t>
                  </w:r>
                </w:p>
              </w:tc>
            </w:tr>
          </w:tbl>
          <w:p>
            <w:pPr>
              <w:spacing w:line="360" w:lineRule="auto"/>
              <w:ind w:firstLine="420"/>
              <w:jc w:val="both"/>
              <w:rPr>
                <w:rFonts w:hint="eastAsia" w:ascii="Times New Roman" w:hAnsi="Times New Roman" w:cs="Times New Roman"/>
                <w:color w:val="auto"/>
                <w:lang w:val="en-US" w:eastAsia="zh-CN"/>
              </w:rPr>
            </w:pPr>
            <w:r>
              <w:rPr>
                <w:rFonts w:hint="eastAsia" w:ascii="Times New Roman" w:hAnsi="Times New Roman"/>
                <w:color w:val="auto"/>
                <w:sz w:val="21"/>
                <w:szCs w:val="21"/>
                <w:highlight w:val="none"/>
                <w:lang w:eastAsia="zh-CN"/>
              </w:rPr>
              <w:t>天然气主要成分为甲烷，</w:t>
            </w:r>
            <w:r>
              <w:rPr>
                <w:rFonts w:hint="eastAsia" w:ascii="Times New Roman" w:hAnsi="Times New Roman"/>
                <w:color w:val="auto"/>
                <w:sz w:val="21"/>
                <w:szCs w:val="21"/>
                <w:highlight w:val="none"/>
              </w:rPr>
              <w:t>根据《建设项目环境风险评价技术导则》（</w:t>
            </w:r>
            <w:r>
              <w:rPr>
                <w:rFonts w:ascii="Times New Roman" w:hAnsi="Times New Roman"/>
                <w:color w:val="auto"/>
                <w:sz w:val="21"/>
                <w:szCs w:val="21"/>
                <w:highlight w:val="none"/>
              </w:rPr>
              <w:t>HJ169-2018</w:t>
            </w:r>
            <w:r>
              <w:rPr>
                <w:rFonts w:hint="eastAsia" w:ascii="Times New Roman" w:hAnsi="Times New Roman"/>
                <w:color w:val="auto"/>
                <w:sz w:val="21"/>
                <w:szCs w:val="21"/>
                <w:highlight w:val="none"/>
              </w:rPr>
              <w:t>）</w:t>
            </w:r>
            <w:r>
              <w:rPr>
                <w:rFonts w:hint="eastAsia" w:ascii="Times New Roman" w:hAnsi="Times New Roman"/>
                <w:color w:val="auto"/>
                <w:sz w:val="21"/>
                <w:szCs w:val="21"/>
                <w:highlight w:val="none"/>
                <w:lang w:eastAsia="zh-CN"/>
              </w:rPr>
              <w:t>附录</w:t>
            </w:r>
            <w:r>
              <w:rPr>
                <w:rFonts w:hint="eastAsia" w:ascii="Times New Roman" w:hAnsi="Times New Roman"/>
                <w:color w:val="auto"/>
                <w:sz w:val="21"/>
                <w:szCs w:val="21"/>
                <w:highlight w:val="none"/>
                <w:lang w:val="en-US" w:eastAsia="zh-CN"/>
              </w:rPr>
              <w:t>B</w:t>
            </w:r>
            <w:r>
              <w:rPr>
                <w:rFonts w:hint="eastAsia" w:ascii="Times New Roman" w:hAnsi="Times New Roman"/>
                <w:color w:val="auto"/>
                <w:sz w:val="21"/>
                <w:szCs w:val="21"/>
                <w:highlight w:val="none"/>
              </w:rPr>
              <w:t>，</w:t>
            </w:r>
            <w:r>
              <w:rPr>
                <w:rFonts w:hint="eastAsia" w:ascii="Times New Roman" w:hAnsi="Times New Roman"/>
                <w:color w:val="auto"/>
                <w:sz w:val="21"/>
                <w:szCs w:val="21"/>
                <w:highlight w:val="none"/>
                <w:lang w:eastAsia="zh-CN"/>
              </w:rPr>
              <w:t>甲烷的临界量为</w:t>
            </w:r>
            <w:r>
              <w:rPr>
                <w:rFonts w:hint="eastAsia" w:ascii="Times New Roman" w:hAnsi="Times New Roman"/>
                <w:color w:val="auto"/>
                <w:sz w:val="21"/>
                <w:szCs w:val="21"/>
                <w:highlight w:val="none"/>
                <w:lang w:val="en-US" w:eastAsia="zh-CN"/>
              </w:rPr>
              <w:t>10吨，因此本项目天然气</w:t>
            </w:r>
            <w:r>
              <w:rPr>
                <w:rFonts w:hint="eastAsia"/>
                <w:color w:val="auto"/>
                <w:sz w:val="21"/>
                <w:szCs w:val="21"/>
                <w:highlight w:val="none"/>
              </w:rPr>
              <w:t>q/Q</w:t>
            </w:r>
            <w:r>
              <w:rPr>
                <w:rFonts w:hint="eastAsia"/>
                <w:color w:val="auto"/>
                <w:sz w:val="21"/>
                <w:szCs w:val="21"/>
                <w:highlight w:val="none"/>
                <w:lang w:eastAsia="zh-CN"/>
              </w:rPr>
              <w:t>值</w:t>
            </w:r>
            <w:r>
              <w:rPr>
                <w:rFonts w:hint="eastAsia"/>
                <w:color w:val="auto"/>
                <w:sz w:val="21"/>
                <w:szCs w:val="21"/>
                <w:highlight w:val="none"/>
              </w:rPr>
              <w:t>为</w:t>
            </w:r>
            <w:r>
              <w:rPr>
                <w:rFonts w:hint="eastAsia"/>
                <w:color w:val="auto"/>
                <w:sz w:val="21"/>
                <w:szCs w:val="21"/>
                <w:highlight w:val="none"/>
                <w:lang w:val="en-US" w:eastAsia="zh-CN"/>
              </w:rPr>
              <w:t>0.000073</w:t>
            </w:r>
            <w:r>
              <w:rPr>
                <w:rFonts w:hint="eastAsia" w:ascii="Times New Roman" w:hAnsi="Times New Roman" w:cs="Times New Roman"/>
                <w:color w:val="auto"/>
                <w:lang w:val="en-US" w:eastAsia="zh-CN"/>
              </w:rPr>
              <w:t>＜1</w:t>
            </w:r>
            <w:r>
              <w:rPr>
                <w:rFonts w:hint="eastAsia"/>
                <w:color w:val="auto"/>
                <w:sz w:val="21"/>
                <w:szCs w:val="21"/>
                <w:highlight w:val="none"/>
                <w:lang w:val="en-US" w:eastAsia="zh-CN"/>
              </w:rPr>
              <w:t>，</w:t>
            </w:r>
            <w:r>
              <w:rPr>
                <w:rFonts w:hint="eastAsia" w:ascii="Times New Roman" w:hAnsi="Times New Roman" w:cs="Times New Roman"/>
                <w:color w:val="auto"/>
                <w:lang w:val="en-US" w:eastAsia="zh-CN"/>
              </w:rPr>
              <w:t>风险潜势为 I，根据上表可知，本项目开展简单分析。</w:t>
            </w:r>
          </w:p>
          <w:p>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9"/>
              <w:rPr>
                <w:rFonts w:hint="eastAsia"/>
                <w:color w:val="auto"/>
                <w:sz w:val="21"/>
                <w:szCs w:val="21"/>
                <w:lang w:val="en-US" w:eastAsia="zh-CN"/>
              </w:rPr>
            </w:pPr>
            <w:r>
              <w:rPr>
                <w:rFonts w:hint="eastAsia"/>
                <w:color w:val="auto"/>
                <w:sz w:val="21"/>
                <w:szCs w:val="21"/>
                <w:lang w:val="en-US" w:eastAsia="zh-CN"/>
              </w:rPr>
              <w:t xml:space="preserve">   （2）风险影响分析</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outlineLvl w:val="9"/>
              <w:rPr>
                <w:rFonts w:hint="eastAsia" w:eastAsia="宋体"/>
                <w:color w:val="auto"/>
                <w:sz w:val="21"/>
                <w:szCs w:val="21"/>
                <w:lang w:eastAsia="zh-CN"/>
              </w:rPr>
            </w:pPr>
            <w:r>
              <w:rPr>
                <w:rFonts w:hint="eastAsia"/>
                <w:color w:val="auto"/>
                <w:sz w:val="21"/>
                <w:szCs w:val="21"/>
                <w:lang w:eastAsia="zh-CN"/>
              </w:rPr>
              <w:t>天然气发生火灾、爆炸事故后，爆炸产生的冲击波会对一定范围内的人员造成伤亡，以及财物损失</w:t>
            </w:r>
            <w:r>
              <w:rPr>
                <w:rFonts w:hint="eastAsia"/>
                <w:color w:val="auto"/>
                <w:sz w:val="21"/>
                <w:szCs w:val="21"/>
                <w:lang w:val="en-US" w:eastAsia="zh-CN"/>
              </w:rPr>
              <w:t>。</w:t>
            </w:r>
            <w:r>
              <w:rPr>
                <w:color w:val="auto"/>
                <w:sz w:val="21"/>
                <w:szCs w:val="21"/>
              </w:rPr>
              <w:t>火灾事故发生时，火灾释放物中除完全燃烧产物CO</w:t>
            </w:r>
            <w:r>
              <w:rPr>
                <w:color w:val="auto"/>
                <w:sz w:val="21"/>
                <w:szCs w:val="21"/>
                <w:vertAlign w:val="subscript"/>
              </w:rPr>
              <w:t>2</w:t>
            </w:r>
            <w:r>
              <w:rPr>
                <w:color w:val="auto"/>
                <w:sz w:val="21"/>
                <w:szCs w:val="21"/>
              </w:rPr>
              <w:t>外，不完全燃烧部分包括CO、烟尘等。CO为毒性物质，CO经人呼吸进入肺部，被血液吸收后能与体内血红蛋白结合成一氧化碳—血红蛋白。CO与血红蛋白的亲和力比氧与血红蛋白的亲和力要大250倍。一氧化碳—血红蛋白一经形成，离解很慢，容易造成低氧血症，从而导致人体组织缺氧。当大气中的一氧化碳浓度达到70～80ppm以上时，人在接触几小时后，一氧化碳—血红蛋白含量为20%左右时，就会引起中毒；当含量达到60%时，即可因窒息而死亡。一旦发生火灾，其周围环境温度较高，辐射热强烈，热辐射强度与发生火灾的时间成正比，时间越长，热辐射越强。</w:t>
            </w:r>
            <w:r>
              <w:rPr>
                <w:rFonts w:hint="eastAsia"/>
                <w:color w:val="auto"/>
                <w:sz w:val="21"/>
                <w:szCs w:val="21"/>
                <w:lang w:eastAsia="zh-CN"/>
              </w:rPr>
              <w:t>天然气泄漏可能造成人员窒息，</w:t>
            </w:r>
            <w:r>
              <w:rPr>
                <w:rFonts w:hint="eastAsia"/>
                <w:color w:val="auto"/>
                <w:sz w:val="21"/>
                <w:szCs w:val="21"/>
              </w:rPr>
              <w:t>引起头痛、头晕、乏力、注意力不集中、呼吸和心跳加速、供给失调</w:t>
            </w:r>
            <w:r>
              <w:rPr>
                <w:rFonts w:hint="eastAsia"/>
                <w:color w:val="auto"/>
                <w:sz w:val="21"/>
                <w:szCs w:val="21"/>
                <w:lang w:eastAsia="zh-CN"/>
              </w:rPr>
              <w:t>，</w:t>
            </w:r>
            <w:r>
              <w:rPr>
                <w:rFonts w:hint="eastAsia"/>
                <w:color w:val="auto"/>
                <w:sz w:val="21"/>
                <w:szCs w:val="21"/>
              </w:rPr>
              <w:t>若不及时脱离，可</w:t>
            </w:r>
            <w:r>
              <w:rPr>
                <w:rFonts w:hint="eastAsia"/>
                <w:color w:val="auto"/>
                <w:sz w:val="21"/>
                <w:szCs w:val="21"/>
                <w:lang w:eastAsia="zh-CN"/>
              </w:rPr>
              <w:t>导</w:t>
            </w:r>
            <w:r>
              <w:rPr>
                <w:rFonts w:hint="eastAsia"/>
                <w:color w:val="auto"/>
                <w:sz w:val="21"/>
                <w:szCs w:val="21"/>
              </w:rPr>
              <w:t>致窒息死亡。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1"/>
                <w:szCs w:val="21"/>
                <w:lang w:val="en-US" w:eastAsia="zh-CN"/>
              </w:rPr>
            </w:pPr>
            <w:r>
              <w:rPr>
                <w:rFonts w:hint="eastAsia"/>
                <w:color w:val="auto"/>
                <w:sz w:val="21"/>
                <w:szCs w:val="21"/>
                <w:lang w:val="en-US" w:eastAsia="zh-CN"/>
              </w:rPr>
              <w:t xml:space="preserve">   （3）风险防范措施</w:t>
            </w:r>
          </w:p>
          <w:p>
            <w:pPr>
              <w:pStyle w:val="47"/>
              <w:keepNext w:val="0"/>
              <w:keepLines w:val="0"/>
              <w:pageBreakBefore w:val="0"/>
              <w:kinsoku/>
              <w:wordWrap/>
              <w:overflowPunct/>
              <w:topLinePunct w:val="0"/>
              <w:autoSpaceDE/>
              <w:autoSpaceDN/>
              <w:bidi w:val="0"/>
              <w:snapToGrid/>
              <w:spacing w:after="0"/>
              <w:textAlignment w:val="auto"/>
              <w:rPr>
                <w:color w:val="auto"/>
                <w:sz w:val="21"/>
                <w:szCs w:val="21"/>
              </w:rPr>
            </w:pPr>
            <w:r>
              <w:rPr>
                <w:rFonts w:hint="eastAsia"/>
                <w:color w:val="auto"/>
                <w:sz w:val="21"/>
                <w:szCs w:val="21"/>
                <w:lang w:val="en-US" w:eastAsia="zh-CN"/>
              </w:rPr>
              <w:t>1</w:t>
            </w:r>
            <w:r>
              <w:rPr>
                <w:color w:val="auto"/>
                <w:sz w:val="21"/>
                <w:szCs w:val="21"/>
              </w:rPr>
              <w:t>）严格按照设计规范来设计和建设管道的走向，并请专业单位进行安装；天然气管道的设计应按照和委托专业单位负责。</w:t>
            </w:r>
          </w:p>
          <w:p>
            <w:pPr>
              <w:pStyle w:val="47"/>
              <w:keepNext w:val="0"/>
              <w:keepLines w:val="0"/>
              <w:pageBreakBefore w:val="0"/>
              <w:kinsoku/>
              <w:wordWrap/>
              <w:overflowPunct/>
              <w:topLinePunct w:val="0"/>
              <w:autoSpaceDE/>
              <w:autoSpaceDN/>
              <w:bidi w:val="0"/>
              <w:snapToGrid/>
              <w:spacing w:after="0"/>
              <w:textAlignment w:val="auto"/>
              <w:rPr>
                <w:rFonts w:hint="eastAsia" w:ascii="宋体" w:hAnsi="宋体" w:eastAsia="宋体" w:cs="宋体"/>
                <w:color w:val="auto"/>
                <w:sz w:val="21"/>
                <w:szCs w:val="21"/>
              </w:rPr>
            </w:pPr>
            <w:r>
              <w:rPr>
                <w:rFonts w:hint="eastAsia" w:asciiTheme="minorHAnsi" w:hAnsiTheme="minorHAnsi" w:eastAsiaTheme="minorEastAsia" w:cstheme="minorBidi"/>
                <w:snapToGrid/>
                <w:color w:val="auto"/>
                <w:kern w:val="2"/>
                <w:sz w:val="21"/>
                <w:szCs w:val="21"/>
                <w:lang w:val="en-US" w:eastAsia="zh-CN" w:bidi="ar-SA"/>
              </w:rPr>
              <w:t>2）</w:t>
            </w:r>
            <w:r>
              <w:rPr>
                <w:rFonts w:hint="eastAsia" w:ascii="宋体" w:hAnsi="宋体" w:eastAsia="宋体" w:cs="宋体"/>
                <w:color w:val="auto"/>
                <w:sz w:val="21"/>
                <w:szCs w:val="21"/>
              </w:rPr>
              <w:t>对管线、阀门等进行定期巡查和检测，确保不发生“跑、冒”等污染事故。</w:t>
            </w:r>
          </w:p>
          <w:p>
            <w:pPr>
              <w:pStyle w:val="47"/>
              <w:keepNext w:val="0"/>
              <w:keepLines w:val="0"/>
              <w:pageBreakBefore w:val="0"/>
              <w:kinsoku/>
              <w:wordWrap/>
              <w:overflowPunct/>
              <w:topLinePunct w:val="0"/>
              <w:autoSpaceDE/>
              <w:autoSpaceDN/>
              <w:bidi w:val="0"/>
              <w:snapToGrid/>
              <w:spacing w:after="0"/>
              <w:textAlignment w:val="auto"/>
              <w:rPr>
                <w:color w:val="auto"/>
                <w:sz w:val="21"/>
                <w:szCs w:val="21"/>
              </w:rPr>
            </w:pPr>
            <w:r>
              <w:rPr>
                <w:rFonts w:hint="eastAsia" w:asciiTheme="minorHAnsi" w:hAnsiTheme="minorHAnsi" w:eastAsiaTheme="minorEastAsia" w:cstheme="minorBidi"/>
                <w:snapToGrid/>
                <w:color w:val="auto"/>
                <w:kern w:val="2"/>
                <w:sz w:val="21"/>
                <w:szCs w:val="21"/>
                <w:lang w:val="en-US" w:eastAsia="zh-CN" w:bidi="ar-SA"/>
              </w:rPr>
              <w:t>3）</w:t>
            </w:r>
            <w:r>
              <w:rPr>
                <w:rFonts w:hint="eastAsia" w:ascii="宋体" w:hAnsi="宋体" w:eastAsia="宋体" w:cs="宋体"/>
                <w:color w:val="auto"/>
                <w:sz w:val="21"/>
                <w:szCs w:val="21"/>
              </w:rPr>
              <w:t>一旦发生泄漏，</w:t>
            </w:r>
            <w:r>
              <w:rPr>
                <w:color w:val="auto"/>
                <w:sz w:val="21"/>
                <w:szCs w:val="21"/>
              </w:rPr>
              <w:t>应立即</w:t>
            </w:r>
            <w:r>
              <w:rPr>
                <w:rFonts w:hint="eastAsia"/>
                <w:color w:val="auto"/>
                <w:sz w:val="21"/>
                <w:szCs w:val="21"/>
                <w:lang w:eastAsia="zh-CN"/>
              </w:rPr>
              <w:t>关闭总阀门，</w:t>
            </w:r>
            <w:r>
              <w:rPr>
                <w:color w:val="auto"/>
                <w:sz w:val="21"/>
                <w:szCs w:val="21"/>
              </w:rPr>
              <w:t>将所有人员车辆隔离泄漏区；使用适当防护器具；检测浓度，若天然气超过5%会有火灾与爆炸危害存在，人员车辆禁止进入泄漏区</w:t>
            </w:r>
            <w:r>
              <w:rPr>
                <w:rFonts w:hint="eastAsia"/>
                <w:color w:val="auto"/>
                <w:sz w:val="21"/>
                <w:szCs w:val="21"/>
                <w:lang w:eastAsia="zh-CN"/>
              </w:rPr>
              <w:t>，</w:t>
            </w:r>
            <w:r>
              <w:rPr>
                <w:color w:val="auto"/>
                <w:sz w:val="21"/>
                <w:szCs w:val="21"/>
              </w:rPr>
              <w:t>消除所有引火源。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rPr>
            </w:pPr>
            <w:r>
              <w:rPr>
                <w:rFonts w:hint="eastAsia"/>
                <w:color w:val="auto"/>
                <w:sz w:val="21"/>
                <w:szCs w:val="21"/>
                <w:lang w:val="en-US" w:eastAsia="zh-CN"/>
              </w:rPr>
              <w:t>4）</w:t>
            </w:r>
            <w:r>
              <w:rPr>
                <w:color w:val="auto"/>
                <w:sz w:val="21"/>
                <w:szCs w:val="21"/>
              </w:rPr>
              <w:t>定期对设备进行安全检测，检测内容、时间、人员应有记录保存。安全检测应根据设备的安全性、危险性设定检测频次。</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ascii="Times New Roman" w:hAnsi="Times New Roman"/>
                <w:color w:val="auto"/>
                <w:sz w:val="21"/>
                <w:szCs w:val="21"/>
              </w:rPr>
            </w:pPr>
            <w:r>
              <w:rPr>
                <w:rFonts w:hint="eastAsia"/>
                <w:color w:val="auto"/>
                <w:sz w:val="21"/>
                <w:szCs w:val="21"/>
                <w:lang w:val="en-US" w:eastAsia="zh-CN"/>
              </w:rPr>
              <w:t>5）</w:t>
            </w:r>
            <w:r>
              <w:rPr>
                <w:color w:val="auto"/>
                <w:sz w:val="21"/>
                <w:szCs w:val="21"/>
              </w:rPr>
              <w:t>在</w:t>
            </w:r>
            <w:r>
              <w:rPr>
                <w:rFonts w:hint="eastAsia"/>
                <w:color w:val="auto"/>
                <w:sz w:val="21"/>
                <w:szCs w:val="21"/>
                <w:lang w:eastAsia="zh-CN"/>
              </w:rPr>
              <w:t>厂</w:t>
            </w:r>
            <w:r>
              <w:rPr>
                <w:color w:val="auto"/>
                <w:sz w:val="21"/>
                <w:szCs w:val="21"/>
              </w:rPr>
              <w:t>区内的所有运营设备，电气装置都应满足防爆防火的要求。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rPr>
            </w:pPr>
            <w:r>
              <w:rPr>
                <w:rFonts w:hint="eastAsia"/>
                <w:color w:val="auto"/>
                <w:sz w:val="21"/>
                <w:szCs w:val="21"/>
                <w:lang w:val="en-US" w:eastAsia="zh-CN"/>
              </w:rPr>
              <w:t>6）</w:t>
            </w:r>
            <w:r>
              <w:rPr>
                <w:rFonts w:hint="eastAsia"/>
                <w:color w:val="auto"/>
                <w:sz w:val="21"/>
                <w:szCs w:val="21"/>
              </w:rPr>
              <w:t>厂内</w:t>
            </w:r>
            <w:r>
              <w:rPr>
                <w:rFonts w:hint="eastAsia" w:ascii="宋体" w:hAnsi="宋体"/>
                <w:color w:val="auto"/>
                <w:sz w:val="21"/>
                <w:szCs w:val="21"/>
              </w:rPr>
              <w:t>按规范设置手提式灭火器和消火栓。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auto"/>
                <w:sz w:val="21"/>
                <w:szCs w:val="21"/>
              </w:rPr>
            </w:pPr>
            <w:r>
              <w:rPr>
                <w:rFonts w:hint="eastAsia" w:ascii="宋体" w:hAnsi="宋体"/>
                <w:color w:val="auto"/>
                <w:sz w:val="21"/>
                <w:szCs w:val="21"/>
                <w:lang w:val="en-US" w:eastAsia="zh-CN"/>
              </w:rPr>
              <w:t>7）</w:t>
            </w:r>
            <w:r>
              <w:rPr>
                <w:rFonts w:hint="eastAsia" w:ascii="宋体" w:hAnsi="宋体"/>
                <w:color w:val="auto"/>
                <w:sz w:val="21"/>
                <w:szCs w:val="21"/>
              </w:rPr>
              <w:t>在各区域出入口设置安全出口应急标志灯。</w:t>
            </w:r>
          </w:p>
          <w:p>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Times New Roman" w:hAnsi="Times New Roman"/>
                <w:color w:val="auto"/>
                <w:kern w:val="2"/>
                <w:sz w:val="21"/>
                <w:szCs w:val="21"/>
                <w:lang w:val="en-US" w:eastAsia="zh-CN" w:bidi="ar-SA"/>
              </w:rPr>
            </w:pPr>
            <w:r>
              <w:rPr>
                <w:rFonts w:hint="eastAsia" w:ascii="Times New Roman" w:hAnsi="Times New Roman"/>
                <w:color w:val="auto"/>
                <w:kern w:val="2"/>
                <w:sz w:val="21"/>
                <w:szCs w:val="21"/>
                <w:lang w:val="en-US" w:eastAsia="zh-CN" w:bidi="ar-SA"/>
              </w:rPr>
              <w:t>8）主要通道、有工作人员的场地设置应急事故照明。</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6、排污口规范化建设要求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lang w:val="en-US" w:eastAsia="zh-CN"/>
              </w:rPr>
            </w:pPr>
            <w:r>
              <w:rPr>
                <w:rFonts w:hint="default"/>
                <w:color w:val="auto"/>
                <w:sz w:val="21"/>
                <w:szCs w:val="21"/>
                <w:lang w:val="en-US" w:eastAsia="zh-CN"/>
              </w:rPr>
              <w:t>排污口是企业排放污染物进入环境、污染环境的通道，强化排污口管理是实施污染物总量控制的基础工作之一，也是环境管理逐步实现污染物排放科学化、定量化的重要手段。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lang w:val="en-US" w:eastAsia="zh-CN"/>
              </w:rPr>
            </w:pPr>
            <w:r>
              <w:rPr>
                <w:rFonts w:hint="default"/>
                <w:color w:val="auto"/>
                <w:sz w:val="21"/>
                <w:szCs w:val="21"/>
                <w:lang w:val="en-US" w:eastAsia="zh-CN"/>
              </w:rPr>
              <w:t>①排污口实行规范化管理;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lang w:val="en-US" w:eastAsia="zh-CN"/>
              </w:rPr>
            </w:pPr>
            <w:r>
              <w:rPr>
                <w:rFonts w:hint="default"/>
                <w:color w:val="auto"/>
                <w:sz w:val="21"/>
                <w:szCs w:val="21"/>
                <w:lang w:val="en-US" w:eastAsia="zh-CN"/>
              </w:rPr>
              <w:t>②排污口应便于采样与计量监测，便于日常现场监督检查</w:t>
            </w:r>
            <w:r>
              <w:rPr>
                <w:rFonts w:hint="eastAsia"/>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lang w:val="en-US" w:eastAsia="zh-CN"/>
              </w:rPr>
            </w:pPr>
            <w:r>
              <w:rPr>
                <w:rFonts w:hint="default"/>
                <w:color w:val="auto"/>
                <w:sz w:val="21"/>
                <w:szCs w:val="21"/>
                <w:lang w:val="en-US" w:eastAsia="zh-CN"/>
              </w:rPr>
              <w:t>③如实向环保管理部门申报排污口数量、位置及所排放的主要污染物种类、数量、浓度、排放去向等情况;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olor w:val="auto"/>
                <w:kern w:val="2"/>
                <w:sz w:val="21"/>
                <w:szCs w:val="21"/>
                <w:lang w:val="en-US" w:eastAsia="zh-CN" w:bidi="ar-SA"/>
              </w:rPr>
            </w:pPr>
            <w:r>
              <w:rPr>
                <w:rFonts w:hint="default"/>
                <w:color w:val="auto"/>
                <w:sz w:val="21"/>
                <w:szCs w:val="21"/>
                <w:lang w:val="en-US" w:eastAsia="zh-CN"/>
              </w:rPr>
              <w:t>④废气排气装置应设置便于采样、监测的采样孔和监测平台。</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7、环境保护投资及“三同时”验收</w:t>
            </w:r>
          </w:p>
          <w:p>
            <w:pPr>
              <w:spacing w:line="360" w:lineRule="auto"/>
              <w:ind w:firstLine="420" w:firstLineChars="200"/>
              <w:rPr>
                <w:rFonts w:hint="default"/>
                <w:color w:val="auto"/>
              </w:rPr>
            </w:pPr>
            <w:r>
              <w:rPr>
                <w:rFonts w:hint="default"/>
                <w:color w:val="auto"/>
              </w:rPr>
              <w:t>本项目总投资</w:t>
            </w:r>
            <w:r>
              <w:rPr>
                <w:rFonts w:hint="eastAsia"/>
                <w:color w:val="auto"/>
                <w:lang w:val="en-US" w:eastAsia="zh-CN"/>
              </w:rPr>
              <w:t>100</w:t>
            </w:r>
            <w:r>
              <w:rPr>
                <w:rFonts w:hint="default"/>
                <w:color w:val="auto"/>
              </w:rPr>
              <w:t>万元，其中用于环境保护方面的投资约</w:t>
            </w:r>
            <w:r>
              <w:rPr>
                <w:rFonts w:hint="eastAsia"/>
                <w:color w:val="auto"/>
                <w:lang w:val="en-US" w:eastAsia="zh-CN"/>
              </w:rPr>
              <w:t>25.5</w:t>
            </w:r>
            <w:r>
              <w:rPr>
                <w:rFonts w:hint="default"/>
                <w:color w:val="auto"/>
              </w:rPr>
              <w:t>万元，占项目总投资额的</w:t>
            </w:r>
            <w:r>
              <w:rPr>
                <w:rFonts w:hint="eastAsia"/>
                <w:color w:val="auto"/>
                <w:lang w:val="en-US" w:eastAsia="zh-CN"/>
              </w:rPr>
              <w:t>25.5</w:t>
            </w:r>
            <w:r>
              <w:rPr>
                <w:rFonts w:hint="default"/>
                <w:color w:val="auto"/>
              </w:rPr>
              <w:t>%，主要环保设施及投资见表</w:t>
            </w:r>
            <w:r>
              <w:rPr>
                <w:rFonts w:hint="eastAsia"/>
                <w:color w:val="auto"/>
                <w:lang w:val="en-US" w:eastAsia="zh-CN"/>
              </w:rPr>
              <w:t>27</w:t>
            </w:r>
            <w:r>
              <w:rPr>
                <w:rFonts w:hint="default"/>
                <w:color w:val="auto"/>
              </w:rPr>
              <w:t>。</w:t>
            </w:r>
          </w:p>
          <w:p>
            <w:pPr>
              <w:spacing w:line="240" w:lineRule="auto"/>
              <w:ind w:firstLine="420" w:firstLineChars="200"/>
              <w:rPr>
                <w:rFonts w:hint="default"/>
                <w:color w:val="auto"/>
              </w:rPr>
            </w:pPr>
            <w:r>
              <w:rPr>
                <w:rFonts w:hint="eastAsia"/>
                <w:color w:val="auto"/>
                <w:lang w:val="en-US" w:eastAsia="zh-CN"/>
              </w:rPr>
              <w:t xml:space="preserve">               </w:t>
            </w:r>
            <w:r>
              <w:rPr>
                <w:rFonts w:hint="default"/>
                <w:color w:val="auto"/>
              </w:rPr>
              <w:t>表</w:t>
            </w:r>
            <w:r>
              <w:rPr>
                <w:rFonts w:hint="eastAsia"/>
                <w:color w:val="auto"/>
                <w:lang w:val="en-US" w:eastAsia="zh-CN"/>
              </w:rPr>
              <w:t>27</w:t>
            </w:r>
            <w:r>
              <w:rPr>
                <w:rFonts w:hint="default"/>
                <w:color w:val="auto"/>
              </w:rPr>
              <w:t xml:space="preserve">                  环保设施投资</w:t>
            </w:r>
          </w:p>
          <w:tbl>
            <w:tblPr>
              <w:tblStyle w:val="28"/>
              <w:tblW w:w="7859"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784"/>
              <w:gridCol w:w="5427"/>
              <w:gridCol w:w="100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jc w:val="center"/>
              </w:trPr>
              <w:tc>
                <w:tcPr>
                  <w:tcW w:w="648" w:type="dxa"/>
                  <w:vAlign w:val="center"/>
                </w:tcPr>
                <w:p>
                  <w:pPr>
                    <w:jc w:val="center"/>
                    <w:rPr>
                      <w:rFonts w:hint="default"/>
                      <w:color w:val="auto"/>
                    </w:rPr>
                  </w:pPr>
                  <w:r>
                    <w:rPr>
                      <w:rFonts w:hint="default"/>
                      <w:color w:val="auto"/>
                    </w:rPr>
                    <w:t>序号</w:t>
                  </w:r>
                </w:p>
              </w:tc>
              <w:tc>
                <w:tcPr>
                  <w:tcW w:w="784" w:type="dxa"/>
                  <w:vAlign w:val="center"/>
                </w:tcPr>
                <w:p>
                  <w:pPr>
                    <w:jc w:val="center"/>
                    <w:rPr>
                      <w:rFonts w:hint="default"/>
                      <w:color w:val="auto"/>
                    </w:rPr>
                  </w:pPr>
                  <w:r>
                    <w:rPr>
                      <w:rFonts w:hint="default"/>
                      <w:color w:val="auto"/>
                    </w:rPr>
                    <w:t>类别</w:t>
                  </w:r>
                </w:p>
              </w:tc>
              <w:tc>
                <w:tcPr>
                  <w:tcW w:w="5427" w:type="dxa"/>
                  <w:vAlign w:val="center"/>
                </w:tcPr>
                <w:p>
                  <w:pPr>
                    <w:jc w:val="center"/>
                    <w:rPr>
                      <w:rFonts w:hint="default"/>
                      <w:color w:val="auto"/>
                    </w:rPr>
                  </w:pPr>
                  <w:r>
                    <w:rPr>
                      <w:rFonts w:hint="default"/>
                      <w:color w:val="auto"/>
                    </w:rPr>
                    <w:t>环保措施</w:t>
                  </w:r>
                </w:p>
              </w:tc>
              <w:tc>
                <w:tcPr>
                  <w:tcW w:w="1000" w:type="dxa"/>
                  <w:vAlign w:val="center"/>
                </w:tcPr>
                <w:p>
                  <w:pPr>
                    <w:jc w:val="center"/>
                    <w:rPr>
                      <w:rFonts w:hint="default"/>
                      <w:color w:val="auto"/>
                    </w:rPr>
                  </w:pPr>
                  <w:r>
                    <w:rPr>
                      <w:rFonts w:hint="default"/>
                      <w:color w:val="auto"/>
                    </w:rPr>
                    <w:t>环保</w:t>
                  </w:r>
                </w:p>
                <w:p>
                  <w:pPr>
                    <w:jc w:val="center"/>
                    <w:rPr>
                      <w:rFonts w:hint="default"/>
                      <w:color w:val="auto"/>
                    </w:rPr>
                  </w:pPr>
                  <w:r>
                    <w:rPr>
                      <w:rFonts w:hint="default"/>
                      <w:color w:val="auto"/>
                    </w:rPr>
                    <w:t>投资</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36" w:hRule="atLeast"/>
                <w:jc w:val="center"/>
              </w:trPr>
              <w:tc>
                <w:tcPr>
                  <w:tcW w:w="648" w:type="dxa"/>
                  <w:vMerge w:val="restart"/>
                  <w:vAlign w:val="center"/>
                </w:tcPr>
                <w:p>
                  <w:pPr>
                    <w:jc w:val="center"/>
                    <w:rPr>
                      <w:rFonts w:hint="eastAsia"/>
                      <w:color w:val="auto"/>
                      <w:lang w:val="en-US" w:eastAsia="zh-CN"/>
                    </w:rPr>
                  </w:pPr>
                  <w:r>
                    <w:rPr>
                      <w:rFonts w:hint="eastAsia"/>
                      <w:color w:val="auto"/>
                      <w:lang w:val="en-US" w:eastAsia="zh-CN"/>
                    </w:rPr>
                    <w:t>1</w:t>
                  </w:r>
                </w:p>
              </w:tc>
              <w:tc>
                <w:tcPr>
                  <w:tcW w:w="784" w:type="dxa"/>
                  <w:vMerge w:val="restart"/>
                  <w:vAlign w:val="center"/>
                </w:tcPr>
                <w:p>
                  <w:pPr>
                    <w:jc w:val="center"/>
                    <w:rPr>
                      <w:rFonts w:hint="eastAsia" w:eastAsiaTheme="minorEastAsia"/>
                      <w:color w:val="auto"/>
                      <w:lang w:eastAsia="zh-CN"/>
                    </w:rPr>
                  </w:pPr>
                  <w:r>
                    <w:rPr>
                      <w:rFonts w:hint="default"/>
                      <w:color w:val="auto"/>
                    </w:rPr>
                    <w:t>废</w:t>
                  </w:r>
                  <w:r>
                    <w:rPr>
                      <w:rFonts w:hint="eastAsia"/>
                      <w:color w:val="auto"/>
                      <w:lang w:val="en-US" w:eastAsia="zh-CN"/>
                    </w:rPr>
                    <w:t>气</w:t>
                  </w:r>
                </w:p>
              </w:tc>
              <w:tc>
                <w:tcPr>
                  <w:tcW w:w="5427" w:type="dxa"/>
                  <w:vAlign w:val="center"/>
                </w:tcPr>
                <w:p>
                  <w:pPr>
                    <w:jc w:val="center"/>
                    <w:rPr>
                      <w:rFonts w:hint="eastAsia"/>
                      <w:color w:val="auto"/>
                      <w:lang w:val="en-US" w:eastAsia="zh-CN"/>
                    </w:rPr>
                  </w:pPr>
                  <w:r>
                    <w:rPr>
                      <w:rFonts w:hint="eastAsia" w:ascii="Times New Roman" w:hAnsi="Times New Roman" w:eastAsia="宋体" w:cs="Times New Roman"/>
                      <w:color w:val="auto"/>
                      <w:sz w:val="21"/>
                      <w:szCs w:val="21"/>
                      <w:lang w:val="en-US" w:eastAsia="zh-CN"/>
                    </w:rPr>
                    <w:t>锅炉</w:t>
                  </w:r>
                  <w:r>
                    <w:rPr>
                      <w:rFonts w:hint="default" w:ascii="Times New Roman" w:hAnsi="Times New Roman" w:cs="Times New Roman"/>
                      <w:color w:val="auto"/>
                      <w:sz w:val="21"/>
                    </w:rPr>
                    <w:t>加装低氮燃烧器</w:t>
                  </w:r>
                  <w:r>
                    <w:rPr>
                      <w:rFonts w:hint="default" w:ascii="Times New Roman" w:hAnsi="Times New Roman" w:cs="Times New Roman"/>
                      <w:color w:val="auto"/>
                      <w:sz w:val="21"/>
                      <w:lang w:val="en-US" w:eastAsia="zh-CN"/>
                    </w:rPr>
                    <w:t>+烟气</w:t>
                  </w:r>
                  <w:r>
                    <w:rPr>
                      <w:rFonts w:hint="eastAsia" w:ascii="Times New Roman" w:hAnsi="Times New Roman" w:cs="Times New Roman"/>
                      <w:color w:val="auto"/>
                      <w:sz w:val="21"/>
                      <w:lang w:val="en-US" w:eastAsia="zh-CN"/>
                    </w:rPr>
                    <w:t>再</w:t>
                  </w:r>
                  <w:r>
                    <w:rPr>
                      <w:rFonts w:hint="default" w:ascii="Times New Roman" w:hAnsi="Times New Roman" w:cs="Times New Roman"/>
                      <w:color w:val="auto"/>
                      <w:sz w:val="21"/>
                      <w:lang w:val="en-US" w:eastAsia="zh-CN"/>
                    </w:rPr>
                    <w:t>循环</w:t>
                  </w:r>
                  <w:r>
                    <w:rPr>
                      <w:rFonts w:hint="eastAsia" w:ascii="Times New Roman" w:hAnsi="Times New Roman" w:eastAsia="宋体" w:cs="Times New Roman"/>
                      <w:color w:val="auto"/>
                      <w:sz w:val="21"/>
                      <w:szCs w:val="21"/>
                      <w:lang w:val="en-US" w:eastAsia="zh-CN"/>
                    </w:rPr>
                    <w:t>，</w:t>
                  </w:r>
                  <w:r>
                    <w:rPr>
                      <w:rFonts w:hint="eastAsia"/>
                      <w:color w:val="auto"/>
                      <w:lang w:val="en-US" w:eastAsia="zh-CN"/>
                    </w:rPr>
                    <w:t>废气经原有一根</w:t>
                  </w:r>
                  <w:r>
                    <w:rPr>
                      <w:rFonts w:hint="eastAsia"/>
                      <w:color w:val="auto"/>
                      <w:sz w:val="21"/>
                      <w:szCs w:val="21"/>
                      <w:lang w:val="en-US" w:eastAsia="zh-CN"/>
                    </w:rPr>
                    <w:t>不低于8m</w:t>
                  </w:r>
                  <w:r>
                    <w:rPr>
                      <w:rFonts w:hint="eastAsia"/>
                      <w:color w:val="auto"/>
                      <w:lang w:val="en-US" w:eastAsia="zh-CN"/>
                    </w:rPr>
                    <w:t>高烟囱排放</w:t>
                  </w:r>
                </w:p>
              </w:tc>
              <w:tc>
                <w:tcPr>
                  <w:tcW w:w="1000" w:type="dxa"/>
                  <w:vAlign w:val="center"/>
                </w:tcPr>
                <w:p>
                  <w:pPr>
                    <w:jc w:val="center"/>
                    <w:rPr>
                      <w:rFonts w:hint="default"/>
                      <w:color w:val="auto"/>
                      <w:lang w:val="en-US" w:eastAsia="zh-CN"/>
                    </w:rPr>
                  </w:pPr>
                  <w:r>
                    <w:rPr>
                      <w:rFonts w:hint="eastAsia"/>
                      <w:color w:val="auto"/>
                      <w:lang w:val="en-US" w:eastAsia="zh-CN"/>
                    </w:rPr>
                    <w:t>20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36" w:hRule="atLeast"/>
                <w:jc w:val="center"/>
              </w:trPr>
              <w:tc>
                <w:tcPr>
                  <w:tcW w:w="648" w:type="dxa"/>
                  <w:vMerge w:val="continue"/>
                  <w:vAlign w:val="center"/>
                </w:tcPr>
                <w:p>
                  <w:pPr>
                    <w:jc w:val="center"/>
                    <w:rPr>
                      <w:rFonts w:hint="eastAsia"/>
                      <w:color w:val="auto"/>
                      <w:lang w:val="en-US" w:eastAsia="zh-CN"/>
                    </w:rPr>
                  </w:pPr>
                </w:p>
              </w:tc>
              <w:tc>
                <w:tcPr>
                  <w:tcW w:w="784" w:type="dxa"/>
                  <w:vMerge w:val="continue"/>
                  <w:vAlign w:val="center"/>
                </w:tcPr>
                <w:p>
                  <w:pPr>
                    <w:jc w:val="center"/>
                    <w:rPr>
                      <w:rFonts w:hint="default"/>
                      <w:color w:val="auto"/>
                    </w:rPr>
                  </w:pPr>
                </w:p>
              </w:tc>
              <w:tc>
                <w:tcPr>
                  <w:tcW w:w="5427" w:type="dxa"/>
                  <w:vAlign w:val="center"/>
                </w:tcPr>
                <w:p>
                  <w:pPr>
                    <w:jc w:val="center"/>
                    <w:rPr>
                      <w:rFonts w:hint="eastAsia" w:ascii="Times New Roman" w:hAnsi="Times New Roman" w:eastAsia="宋体" w:cs="Times New Roman"/>
                      <w:color w:val="auto"/>
                      <w:sz w:val="21"/>
                      <w:szCs w:val="21"/>
                      <w:lang w:val="en-US" w:eastAsia="zh-CN"/>
                    </w:rPr>
                  </w:pPr>
                  <w:r>
                    <w:rPr>
                      <w:rFonts w:hint="eastAsia" w:ascii="宋体" w:hAnsi="宋体" w:eastAsia="宋体" w:cs="宋体"/>
                      <w:color w:val="auto"/>
                      <w:kern w:val="0"/>
                      <w:sz w:val="21"/>
                      <w:szCs w:val="21"/>
                      <w:lang w:val="en-US" w:eastAsia="zh-CN" w:bidi="ar"/>
                    </w:rPr>
                    <w:t>氮氧化物自动监测设施</w:t>
                  </w:r>
                </w:p>
              </w:tc>
              <w:tc>
                <w:tcPr>
                  <w:tcW w:w="1000" w:type="dxa"/>
                  <w:vAlign w:val="center"/>
                </w:tcPr>
                <w:p>
                  <w:pPr>
                    <w:jc w:val="center"/>
                    <w:rPr>
                      <w:rFonts w:hint="default"/>
                      <w:color w:val="auto"/>
                      <w:lang w:val="en-US" w:eastAsia="zh-CN"/>
                    </w:rPr>
                  </w:pPr>
                  <w:r>
                    <w:rPr>
                      <w:rFonts w:hint="eastAsia"/>
                      <w:color w:val="auto"/>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648" w:type="dxa"/>
                  <w:vAlign w:val="center"/>
                </w:tcPr>
                <w:p>
                  <w:pPr>
                    <w:jc w:val="center"/>
                    <w:rPr>
                      <w:rFonts w:hint="eastAsia"/>
                      <w:color w:val="auto"/>
                      <w:lang w:eastAsia="zh-CN"/>
                    </w:rPr>
                  </w:pPr>
                  <w:r>
                    <w:rPr>
                      <w:rFonts w:hint="eastAsia"/>
                      <w:color w:val="auto"/>
                      <w:lang w:val="en-US" w:eastAsia="zh-CN"/>
                    </w:rPr>
                    <w:t>2</w:t>
                  </w:r>
                </w:p>
              </w:tc>
              <w:tc>
                <w:tcPr>
                  <w:tcW w:w="784" w:type="dxa"/>
                  <w:vAlign w:val="center"/>
                </w:tcPr>
                <w:p>
                  <w:pPr>
                    <w:jc w:val="center"/>
                    <w:rPr>
                      <w:rFonts w:hint="default"/>
                      <w:color w:val="auto"/>
                    </w:rPr>
                  </w:pPr>
                  <w:r>
                    <w:rPr>
                      <w:rFonts w:hint="default"/>
                      <w:color w:val="auto"/>
                    </w:rPr>
                    <w:t>噪声</w:t>
                  </w:r>
                </w:p>
              </w:tc>
              <w:tc>
                <w:tcPr>
                  <w:tcW w:w="5427" w:type="dxa"/>
                  <w:vAlign w:val="center"/>
                </w:tcPr>
                <w:p>
                  <w:pPr>
                    <w:jc w:val="center"/>
                    <w:rPr>
                      <w:rFonts w:hint="default"/>
                      <w:color w:val="auto"/>
                    </w:rPr>
                  </w:pPr>
                  <w:r>
                    <w:rPr>
                      <w:rFonts w:hint="default"/>
                      <w:color w:val="auto"/>
                      <w:lang w:val="en-US" w:eastAsia="zh-CN"/>
                    </w:rPr>
                    <w:t>设备采用</w:t>
                  </w:r>
                  <w:r>
                    <w:rPr>
                      <w:rFonts w:hint="default"/>
                      <w:color w:val="auto"/>
                    </w:rPr>
                    <w:t>基础减</w:t>
                  </w:r>
                  <w:r>
                    <w:rPr>
                      <w:rFonts w:hint="default"/>
                      <w:color w:val="auto"/>
                      <w:lang w:val="en-US" w:eastAsia="zh-CN"/>
                    </w:rPr>
                    <w:t>振</w:t>
                  </w:r>
                  <w:r>
                    <w:rPr>
                      <w:rFonts w:hint="eastAsia"/>
                      <w:color w:val="auto"/>
                      <w:lang w:val="en-US" w:eastAsia="zh-CN"/>
                    </w:rPr>
                    <w:t>，鼓风机进气口装设消声器，风机进出风口软性连接，厂房</w:t>
                  </w:r>
                  <w:r>
                    <w:rPr>
                      <w:rFonts w:hint="default"/>
                      <w:color w:val="auto"/>
                    </w:rPr>
                    <w:t>隔声等</w:t>
                  </w:r>
                </w:p>
              </w:tc>
              <w:tc>
                <w:tcPr>
                  <w:tcW w:w="1000" w:type="dxa"/>
                  <w:vAlign w:val="center"/>
                </w:tcPr>
                <w:p>
                  <w:pPr>
                    <w:jc w:val="center"/>
                    <w:rPr>
                      <w:rFonts w:hint="default"/>
                      <w:color w:val="auto"/>
                      <w:lang w:val="en-US" w:eastAsia="zh-CN"/>
                    </w:rPr>
                  </w:pPr>
                  <w:r>
                    <w:rPr>
                      <w:rFonts w:hint="eastAsia"/>
                      <w:color w:val="auto"/>
                      <w:lang w:val="en-US" w:eastAsia="zh-CN"/>
                    </w:rPr>
                    <w:t>0.5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62" w:hRule="atLeast"/>
                <w:jc w:val="center"/>
              </w:trPr>
              <w:tc>
                <w:tcPr>
                  <w:tcW w:w="648" w:type="dxa"/>
                  <w:vAlign w:val="center"/>
                </w:tcPr>
                <w:p>
                  <w:pPr>
                    <w:jc w:val="center"/>
                    <w:rPr>
                      <w:rFonts w:hint="eastAsia"/>
                      <w:color w:val="auto"/>
                      <w:lang w:val="en-US" w:eastAsia="zh-CN"/>
                    </w:rPr>
                  </w:pPr>
                  <w:r>
                    <w:rPr>
                      <w:rFonts w:hint="eastAsia"/>
                      <w:color w:val="auto"/>
                      <w:lang w:val="en-US" w:eastAsia="zh-CN"/>
                    </w:rPr>
                    <w:t>3</w:t>
                  </w:r>
                </w:p>
              </w:tc>
              <w:tc>
                <w:tcPr>
                  <w:tcW w:w="6211" w:type="dxa"/>
                  <w:gridSpan w:val="2"/>
                  <w:vAlign w:val="center"/>
                </w:tcPr>
                <w:p>
                  <w:pPr>
                    <w:jc w:val="center"/>
                    <w:rPr>
                      <w:rFonts w:hint="default"/>
                      <w:color w:val="auto"/>
                    </w:rPr>
                  </w:pPr>
                  <w:r>
                    <w:rPr>
                      <w:rFonts w:hint="default"/>
                      <w:color w:val="auto"/>
                    </w:rPr>
                    <w:t>总计</w:t>
                  </w:r>
                </w:p>
              </w:tc>
              <w:tc>
                <w:tcPr>
                  <w:tcW w:w="1000" w:type="dxa"/>
                  <w:vAlign w:val="center"/>
                </w:tcPr>
                <w:p>
                  <w:pPr>
                    <w:jc w:val="center"/>
                    <w:rPr>
                      <w:rFonts w:hint="default"/>
                      <w:color w:val="auto"/>
                      <w:lang w:val="en-US" w:eastAsia="zh-CN"/>
                    </w:rPr>
                  </w:pPr>
                  <w:r>
                    <w:rPr>
                      <w:rFonts w:hint="eastAsia"/>
                      <w:color w:val="auto"/>
                      <w:lang w:val="en-US" w:eastAsia="zh-CN"/>
                    </w:rPr>
                    <w:t>25.5</w:t>
                  </w:r>
                </w:p>
              </w:tc>
            </w:tr>
          </w:tbl>
          <w:p>
            <w:pPr>
              <w:spacing w:line="360" w:lineRule="auto"/>
              <w:ind w:firstLine="420" w:firstLineChars="200"/>
              <w:rPr>
                <w:rFonts w:hint="eastAsia"/>
                <w:color w:val="auto"/>
                <w:lang w:val="en-US" w:eastAsia="zh-CN"/>
              </w:rPr>
            </w:pPr>
            <w:r>
              <w:rPr>
                <w:rFonts w:hint="default"/>
                <w:color w:val="auto"/>
              </w:rPr>
              <w:t>根据《建设项目环境保护管理条例》及《建设项目竣工环境保护验收暂行办法》相关要求，建设单位应当依据建设项目环境影响报告表及其审批意见，自行</w:t>
            </w:r>
            <w:r>
              <w:rPr>
                <w:rFonts w:hint="eastAsia"/>
                <w:color w:val="auto"/>
                <w:lang w:val="en-US" w:eastAsia="zh-CN"/>
              </w:rPr>
              <w:t>开展</w:t>
            </w:r>
            <w:r>
              <w:rPr>
                <w:rFonts w:hint="default"/>
                <w:color w:val="auto"/>
              </w:rPr>
              <w:t>项目环境保护设施和措施竣工验收报告，经验收合格后，项目方可正式投入生产或使用。</w:t>
            </w: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五、</w:t>
      </w:r>
      <w:bookmarkStart w:id="6" w:name="_Hlk54167917"/>
      <w:r>
        <w:rPr>
          <w:rFonts w:hint="eastAsia" w:ascii="黑体" w:hAnsi="黑体" w:eastAsia="黑体"/>
          <w:snapToGrid w:val="0"/>
          <w:color w:val="auto"/>
          <w:sz w:val="30"/>
          <w:szCs w:val="30"/>
        </w:rPr>
        <w:t>环境保护措施监督检查清单</w:t>
      </w:r>
      <w:bookmarkEnd w:id="6"/>
    </w:p>
    <w:tbl>
      <w:tblPr>
        <w:tblStyle w:val="28"/>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65"/>
        <w:gridCol w:w="1410"/>
        <w:gridCol w:w="2260"/>
        <w:gridCol w:w="22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560" w:type="dxa"/>
            <w:tcBorders>
              <w:tl2br w:val="single" w:color="auto" w:sz="4" w:space="0"/>
            </w:tcBorders>
            <w:vAlign w:val="top"/>
          </w:tcPr>
          <w:p>
            <w:pPr>
              <w:adjustRightInd w:val="0"/>
              <w:snapToGrid w:val="0"/>
              <w:ind w:firstLine="840"/>
              <w:rPr>
                <w:rFonts w:hint="eastAsia" w:ascii="宋体" w:hAnsi="宋体" w:cs="宋体"/>
                <w:color w:val="auto"/>
                <w:szCs w:val="21"/>
              </w:rPr>
            </w:pPr>
            <w:r>
              <w:rPr>
                <w:rFonts w:hint="eastAsia" w:ascii="宋体" w:hAnsi="宋体" w:cs="宋体"/>
                <w:color w:val="auto"/>
                <w:szCs w:val="21"/>
              </w:rPr>
              <w:t>内容</w:t>
            </w:r>
          </w:p>
          <w:p>
            <w:pPr>
              <w:adjustRightInd w:val="0"/>
              <w:snapToGrid w:val="0"/>
              <w:rPr>
                <w:rFonts w:hint="eastAsia" w:ascii="宋体" w:hAnsi="宋体" w:cs="宋体"/>
                <w:color w:val="auto"/>
                <w:szCs w:val="21"/>
              </w:rPr>
            </w:pPr>
            <w:r>
              <w:rPr>
                <w:rFonts w:hint="eastAsia" w:ascii="宋体" w:hAnsi="宋体" w:cs="宋体"/>
                <w:color w:val="auto"/>
                <w:szCs w:val="21"/>
              </w:rPr>
              <w:t>要素</w:t>
            </w:r>
          </w:p>
        </w:tc>
        <w:tc>
          <w:tcPr>
            <w:tcW w:w="1565"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排放口(编号、</w:t>
            </w:r>
          </w:p>
          <w:p>
            <w:pPr>
              <w:adjustRightInd w:val="0"/>
              <w:snapToGrid w:val="0"/>
              <w:jc w:val="center"/>
              <w:rPr>
                <w:rFonts w:hint="eastAsia" w:ascii="宋体" w:hAnsi="宋体" w:cs="宋体"/>
                <w:color w:val="auto"/>
                <w:szCs w:val="21"/>
              </w:rPr>
            </w:pPr>
            <w:r>
              <w:rPr>
                <w:rFonts w:hint="eastAsia" w:ascii="宋体" w:hAnsi="宋体" w:cs="宋体"/>
                <w:color w:val="auto"/>
                <w:szCs w:val="21"/>
              </w:rPr>
              <w:t>名称)/污染源</w:t>
            </w:r>
          </w:p>
        </w:tc>
        <w:tc>
          <w:tcPr>
            <w:tcW w:w="1410"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污染物项目</w:t>
            </w:r>
          </w:p>
        </w:tc>
        <w:tc>
          <w:tcPr>
            <w:tcW w:w="2260"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环境保护措施</w:t>
            </w:r>
          </w:p>
        </w:tc>
        <w:tc>
          <w:tcPr>
            <w:tcW w:w="2265"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74" w:hRule="atLeast"/>
          <w:jc w:val="center"/>
        </w:trPr>
        <w:tc>
          <w:tcPr>
            <w:tcW w:w="1560"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大气环境</w:t>
            </w:r>
          </w:p>
        </w:tc>
        <w:tc>
          <w:tcPr>
            <w:tcW w:w="1565" w:type="dxa"/>
            <w:tcBorders>
              <w:bottom w:val="single" w:color="000000" w:sz="4" w:space="0"/>
            </w:tcBorders>
            <w:vAlign w:val="center"/>
          </w:tcPr>
          <w:p>
            <w:pPr>
              <w:adjustRightInd w:val="0"/>
              <w:snapToGrid w:val="0"/>
              <w:jc w:val="center"/>
              <w:rPr>
                <w:rFonts w:hint="default" w:ascii="宋体" w:hAnsi="宋体" w:cs="宋体"/>
                <w:color w:val="auto"/>
                <w:szCs w:val="21"/>
                <w:lang w:val="en-US" w:eastAsia="zh-CN"/>
              </w:rPr>
            </w:pPr>
            <w:r>
              <w:rPr>
                <w:rFonts w:hint="eastAsia" w:ascii="Times New Roman" w:hAnsi="Times New Roman" w:eastAsia="宋体" w:cs="Times New Roman"/>
                <w:color w:val="auto"/>
                <w:sz w:val="21"/>
                <w:szCs w:val="21"/>
                <w:lang w:val="en-US" w:eastAsia="zh-CN"/>
              </w:rPr>
              <w:t>锅炉烟囱</w:t>
            </w:r>
          </w:p>
        </w:tc>
        <w:tc>
          <w:tcPr>
            <w:tcW w:w="1410" w:type="dxa"/>
            <w:vAlign w:val="center"/>
          </w:tcPr>
          <w:p>
            <w:pPr>
              <w:adjustRightInd w:val="0"/>
              <w:snapToGrid w:val="0"/>
              <w:jc w:val="center"/>
              <w:rPr>
                <w:rFonts w:hint="default" w:ascii="宋体" w:hAnsi="宋体" w:cs="宋体"/>
                <w:color w:val="auto"/>
                <w:szCs w:val="21"/>
                <w:lang w:val="en-US" w:eastAsia="zh-CN"/>
              </w:rPr>
            </w:pPr>
            <w:r>
              <w:rPr>
                <w:rFonts w:hint="eastAsia" w:ascii="Times New Roman" w:hAnsi="Times New Roman" w:eastAsia="宋体" w:cs="Times New Roman"/>
                <w:color w:val="auto"/>
                <w:szCs w:val="21"/>
                <w:lang w:val="en-US" w:eastAsia="zh-CN"/>
              </w:rPr>
              <w:t>颗粒物、</w:t>
            </w:r>
            <w:r>
              <w:rPr>
                <w:rFonts w:hint="eastAsia"/>
                <w:color w:val="auto"/>
                <w:kern w:val="2"/>
                <w:sz w:val="21"/>
                <w:szCs w:val="21"/>
              </w:rPr>
              <w:t>二氧化硫</w:t>
            </w:r>
            <w:r>
              <w:rPr>
                <w:rFonts w:hint="eastAsia"/>
                <w:color w:val="auto"/>
                <w:kern w:val="2"/>
                <w:sz w:val="21"/>
                <w:szCs w:val="21"/>
                <w:lang w:eastAsia="zh-CN"/>
              </w:rPr>
              <w:t>、</w:t>
            </w:r>
            <w:r>
              <w:rPr>
                <w:rFonts w:hint="eastAsia"/>
                <w:color w:val="auto"/>
                <w:kern w:val="2"/>
                <w:sz w:val="21"/>
                <w:szCs w:val="21"/>
              </w:rPr>
              <w:t>氮氧化物</w:t>
            </w:r>
          </w:p>
        </w:tc>
        <w:tc>
          <w:tcPr>
            <w:tcW w:w="2260" w:type="dxa"/>
            <w:vAlign w:val="center"/>
          </w:tcPr>
          <w:p>
            <w:pPr>
              <w:spacing w:beforeLines="0" w:afterLines="0"/>
              <w:jc w:val="left"/>
              <w:rPr>
                <w:rFonts w:hint="default" w:ascii="宋体" w:hAnsi="宋体" w:eastAsia="宋体"/>
                <w:color w:val="auto"/>
                <w:sz w:val="21"/>
                <w:lang w:val="en-US" w:eastAsia="zh-CN"/>
              </w:rPr>
            </w:pPr>
            <w:r>
              <w:rPr>
                <w:rFonts w:hint="eastAsia" w:ascii="Times New Roman" w:hAnsi="Times New Roman" w:eastAsia="宋体" w:cs="Times New Roman"/>
                <w:color w:val="auto"/>
                <w:sz w:val="21"/>
                <w:szCs w:val="21"/>
                <w:lang w:val="en-US" w:eastAsia="zh-CN"/>
              </w:rPr>
              <w:t>锅炉采</w:t>
            </w:r>
            <w:r>
              <w:rPr>
                <w:rFonts w:hint="default" w:ascii="Times New Roman" w:hAnsi="Times New Roman" w:eastAsia="宋体" w:cs="Times New Roman"/>
                <w:color w:val="auto"/>
                <w:sz w:val="21"/>
                <w:szCs w:val="21"/>
                <w:lang w:val="en-US" w:eastAsia="zh-CN"/>
              </w:rPr>
              <w:t>用</w:t>
            </w:r>
            <w:r>
              <w:rPr>
                <w:rFonts w:hint="default" w:ascii="Times New Roman" w:hAnsi="Times New Roman" w:cs="Times New Roman"/>
                <w:color w:val="auto"/>
                <w:sz w:val="21"/>
              </w:rPr>
              <w:t>加装低氮燃烧器</w:t>
            </w:r>
            <w:r>
              <w:rPr>
                <w:rFonts w:hint="default" w:ascii="Times New Roman" w:hAnsi="Times New Roman" w:cs="Times New Roman"/>
                <w:color w:val="auto"/>
                <w:sz w:val="21"/>
                <w:lang w:val="en-US" w:eastAsia="zh-CN"/>
              </w:rPr>
              <w:t>+烟气</w:t>
            </w:r>
            <w:r>
              <w:rPr>
                <w:rFonts w:hint="eastAsia" w:ascii="Times New Roman" w:hAnsi="Times New Roman" w:cs="Times New Roman"/>
                <w:color w:val="auto"/>
                <w:sz w:val="21"/>
                <w:lang w:val="en-US" w:eastAsia="zh-CN"/>
              </w:rPr>
              <w:t>再</w:t>
            </w:r>
            <w:r>
              <w:rPr>
                <w:rFonts w:hint="default" w:ascii="Times New Roman" w:hAnsi="Times New Roman" w:cs="Times New Roman"/>
                <w:color w:val="auto"/>
                <w:sz w:val="21"/>
                <w:lang w:val="en-US" w:eastAsia="zh-CN"/>
              </w:rPr>
              <w:t>循环</w:t>
            </w:r>
            <w:r>
              <w:rPr>
                <w:rFonts w:hint="eastAsia" w:ascii="Times New Roman" w:hAnsi="Times New Roman" w:eastAsia="宋体" w:cs="Times New Roman"/>
                <w:color w:val="auto"/>
                <w:sz w:val="21"/>
                <w:szCs w:val="21"/>
                <w:lang w:val="en-US" w:eastAsia="zh-CN"/>
              </w:rPr>
              <w:t>，</w:t>
            </w:r>
            <w:r>
              <w:rPr>
                <w:rFonts w:hint="eastAsia"/>
                <w:color w:val="auto"/>
                <w:sz w:val="21"/>
                <w:szCs w:val="21"/>
                <w:lang w:val="en-US" w:eastAsia="zh-CN"/>
              </w:rPr>
              <w:t>废气经</w:t>
            </w:r>
            <w:r>
              <w:rPr>
                <w:rFonts w:hint="eastAsia"/>
                <w:color w:val="auto"/>
                <w:lang w:val="en-US" w:eastAsia="zh-CN"/>
              </w:rPr>
              <w:t>一根</w:t>
            </w:r>
            <w:r>
              <w:rPr>
                <w:rFonts w:hint="eastAsia"/>
                <w:color w:val="auto"/>
                <w:sz w:val="21"/>
                <w:szCs w:val="21"/>
                <w:lang w:val="en-US" w:eastAsia="zh-CN"/>
              </w:rPr>
              <w:t>不低于8m</w:t>
            </w:r>
            <w:r>
              <w:rPr>
                <w:rFonts w:hint="eastAsia"/>
                <w:color w:val="auto"/>
                <w:lang w:val="en-US" w:eastAsia="zh-CN"/>
              </w:rPr>
              <w:t>高烟囱排放</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Cs w:val="21"/>
                <w:lang w:eastAsia="zh-CN"/>
              </w:rPr>
            </w:pPr>
            <w:r>
              <w:rPr>
                <w:rFonts w:hint="default"/>
                <w:color w:val="FF0000"/>
                <w:lang w:val="en-US" w:eastAsia="zh-CN"/>
              </w:rPr>
              <w:t>SO</w:t>
            </w:r>
            <w:r>
              <w:rPr>
                <w:rFonts w:hint="default"/>
                <w:color w:val="FF0000"/>
                <w:vertAlign w:val="subscript"/>
                <w:lang w:val="en-US" w:eastAsia="zh-CN"/>
              </w:rPr>
              <w:t>2</w:t>
            </w:r>
            <w:r>
              <w:rPr>
                <w:rFonts w:hint="eastAsia"/>
                <w:color w:val="FF0000"/>
                <w:vertAlign w:val="baseline"/>
                <w:lang w:val="en-US" w:eastAsia="zh-CN"/>
              </w:rPr>
              <w:t>、</w:t>
            </w:r>
            <w:r>
              <w:rPr>
                <w:rFonts w:hint="eastAsia"/>
                <w:color w:val="FF0000"/>
                <w:sz w:val="21"/>
                <w:szCs w:val="21"/>
                <w:lang w:val="en-US" w:eastAsia="zh-CN"/>
              </w:rPr>
              <w:t>颗粒物</w:t>
            </w:r>
            <w:r>
              <w:rPr>
                <w:rFonts w:hint="default"/>
                <w:color w:val="FF0000"/>
                <w:lang w:val="en-US" w:eastAsia="zh-CN"/>
              </w:rPr>
              <w:t>排放浓度</w:t>
            </w:r>
            <w:r>
              <w:rPr>
                <w:rFonts w:hint="eastAsia"/>
                <w:color w:val="FF0000"/>
                <w:lang w:val="en-US" w:eastAsia="zh-CN"/>
              </w:rPr>
              <w:t>执行</w:t>
            </w:r>
            <w:r>
              <w:rPr>
                <w:rFonts w:hint="eastAsia" w:ascii="Times New Roman" w:hAnsi="Times New Roman"/>
                <w:color w:val="FF0000"/>
                <w:kern w:val="2"/>
                <w:sz w:val="21"/>
                <w:szCs w:val="21"/>
              </w:rPr>
              <w:t>《锅炉大气污染物排放标准》（GB13271-2014）</w:t>
            </w:r>
            <w:r>
              <w:rPr>
                <w:rFonts w:hint="eastAsia" w:ascii="Times New Roman" w:hAnsi="Times New Roman"/>
                <w:color w:val="FF0000"/>
                <w:kern w:val="2"/>
                <w:sz w:val="21"/>
                <w:szCs w:val="21"/>
                <w:lang w:val="en-US" w:eastAsia="zh-CN"/>
              </w:rPr>
              <w:t>表3大气污染物特别排放限值；</w:t>
            </w:r>
            <w:r>
              <w:rPr>
                <w:rFonts w:hint="default"/>
                <w:color w:val="FF0000"/>
                <w:lang w:val="en-US" w:eastAsia="zh-CN"/>
              </w:rPr>
              <w:t>NOx排放浓度</w:t>
            </w:r>
            <w:r>
              <w:rPr>
                <w:rFonts w:hint="eastAsia"/>
                <w:color w:val="FF0000"/>
                <w:lang w:val="en-US" w:eastAsia="zh-CN"/>
              </w:rPr>
              <w:t>执行</w:t>
            </w:r>
            <w:r>
              <w:rPr>
                <w:rFonts w:hint="default"/>
                <w:color w:val="FF0000"/>
                <w:lang w:val="en-US" w:eastAsia="zh-CN"/>
              </w:rPr>
              <w:t>《关于开展自治区2021年度夏秋季大气污染防治“</w:t>
            </w:r>
            <w:r>
              <w:rPr>
                <w:rFonts w:hint="eastAsia"/>
                <w:color w:val="FF0000"/>
                <w:lang w:val="en-US" w:eastAsia="zh-CN"/>
              </w:rPr>
              <w:t>冬</w:t>
            </w:r>
            <w:r>
              <w:rPr>
                <w:rFonts w:hint="default"/>
                <w:color w:val="FF0000"/>
                <w:lang w:val="en-US" w:eastAsia="zh-CN"/>
              </w:rPr>
              <w:t>病夏治”工作的通知</w:t>
            </w:r>
            <w:r>
              <w:rPr>
                <w:rFonts w:hint="eastAsia"/>
                <w:color w:val="FF0000"/>
                <w:lang w:val="en-US" w:eastAsia="zh-CN"/>
              </w:rPr>
              <w:t>》中</w:t>
            </w:r>
            <w:r>
              <w:rPr>
                <w:rFonts w:hint="eastAsia"/>
                <w:color w:val="FF0000"/>
                <w:sz w:val="21"/>
                <w:szCs w:val="21"/>
                <w:lang w:val="en-US" w:eastAsia="zh-CN"/>
              </w:rPr>
              <w:t>5</w:t>
            </w:r>
            <w:r>
              <w:rPr>
                <w:rFonts w:hint="eastAsia"/>
                <w:color w:val="FF0000"/>
                <w:sz w:val="21"/>
                <w:szCs w:val="21"/>
              </w:rPr>
              <w:t>0</w:t>
            </w:r>
            <w:r>
              <w:rPr>
                <w:color w:val="FF0000"/>
                <w:sz w:val="21"/>
                <w:szCs w:val="21"/>
              </w:rPr>
              <w:t>mg/m</w:t>
            </w:r>
            <w:r>
              <w:rPr>
                <w:color w:val="FF0000"/>
                <w:sz w:val="21"/>
                <w:szCs w:val="21"/>
                <w:vertAlign w:val="superscript"/>
              </w:rPr>
              <w:t>3</w:t>
            </w:r>
            <w:r>
              <w:rPr>
                <w:rFonts w:hint="eastAsia"/>
                <w:color w:val="FF0000"/>
                <w:sz w:val="21"/>
                <w:szCs w:val="21"/>
              </w:rPr>
              <w:t>的要求</w:t>
            </w:r>
            <w:r>
              <w:rPr>
                <w:rFonts w:hint="eastAsia"/>
                <w:color w:val="FF000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21" w:hRule="atLeast"/>
          <w:jc w:val="center"/>
        </w:trPr>
        <w:tc>
          <w:tcPr>
            <w:tcW w:w="1560"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地表水环境</w:t>
            </w:r>
          </w:p>
        </w:tc>
        <w:tc>
          <w:tcPr>
            <w:tcW w:w="1565" w:type="dxa"/>
            <w:vAlign w:val="center"/>
          </w:tcPr>
          <w:p>
            <w:pPr>
              <w:adjustRightInd w:val="0"/>
              <w:snapToGrid w:val="0"/>
              <w:jc w:val="center"/>
              <w:rPr>
                <w:rFonts w:hint="eastAsia" w:ascii="宋体" w:hAnsi="宋体" w:cs="宋体" w:eastAsiaTheme="minorEastAsia"/>
                <w:color w:val="auto"/>
                <w:szCs w:val="21"/>
                <w:lang w:val="en-US" w:eastAsia="zh-CN"/>
              </w:rPr>
            </w:pPr>
            <w:r>
              <w:rPr>
                <w:rFonts w:hint="eastAsia"/>
                <w:color w:val="auto"/>
                <w:lang w:val="en-US" w:eastAsia="zh-CN"/>
              </w:rPr>
              <w:t>锅炉排水、软化水系统排水</w:t>
            </w:r>
          </w:p>
        </w:tc>
        <w:tc>
          <w:tcPr>
            <w:tcW w:w="1410" w:type="dxa"/>
            <w:vAlign w:val="center"/>
          </w:tcPr>
          <w:p>
            <w:pPr>
              <w:snapToGrid w:val="0"/>
              <w:contextualSpacing/>
              <w:jc w:val="center"/>
              <w:rPr>
                <w:rFonts w:hint="eastAsia" w:ascii="宋体" w:hAnsi="宋体" w:cs="宋体" w:eastAsiaTheme="minorEastAsia"/>
                <w:color w:val="auto"/>
                <w:szCs w:val="21"/>
                <w:lang w:eastAsia="zh-CN"/>
              </w:rPr>
            </w:pPr>
            <w:r>
              <w:rPr>
                <w:rFonts w:hint="default" w:ascii="Times New Roman" w:hAnsi="Times New Roman" w:cs="Times New Roman"/>
                <w:color w:val="auto"/>
                <w:szCs w:val="21"/>
              </w:rPr>
              <w:t>pH、COD、SS、</w:t>
            </w:r>
            <w:r>
              <w:rPr>
                <w:rFonts w:hint="eastAsia" w:ascii="Times New Roman" w:hAnsi="Times New Roman" w:cs="Times New Roman"/>
                <w:color w:val="auto"/>
                <w:szCs w:val="21"/>
                <w:lang w:val="en-US" w:eastAsia="zh-CN"/>
              </w:rPr>
              <w:t>溶解性总固体</w:t>
            </w:r>
          </w:p>
        </w:tc>
        <w:tc>
          <w:tcPr>
            <w:tcW w:w="2260" w:type="dxa"/>
            <w:vAlign w:val="center"/>
          </w:tcPr>
          <w:p>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排入市政污水管网，最终进入</w:t>
            </w:r>
            <w:r>
              <w:rPr>
                <w:rFonts w:hint="default"/>
                <w:color w:val="auto"/>
              </w:rPr>
              <w:t>昌吉市第二</w:t>
            </w:r>
            <w:r>
              <w:rPr>
                <w:rFonts w:hint="eastAsia"/>
                <w:color w:val="auto"/>
              </w:rPr>
              <w:fldChar w:fldCharType="begin"/>
            </w:r>
            <w:r>
              <w:rPr>
                <w:rFonts w:hint="eastAsia"/>
                <w:color w:val="auto"/>
              </w:rPr>
              <w:instrText xml:space="preserve"> HYPERLINK "http://www.chinapipe.net/project/?id=1014" \t "http://www.chinapipe.net/news/2020/_blank" </w:instrText>
            </w:r>
            <w:r>
              <w:rPr>
                <w:rFonts w:hint="eastAsia"/>
                <w:color w:val="auto"/>
              </w:rPr>
              <w:fldChar w:fldCharType="separate"/>
            </w:r>
            <w:r>
              <w:rPr>
                <w:rFonts w:hint="eastAsia"/>
                <w:color w:val="auto"/>
              </w:rPr>
              <w:t>污水处理厂</w:t>
            </w:r>
            <w:r>
              <w:rPr>
                <w:rFonts w:hint="eastAsia"/>
                <w:color w:val="auto"/>
              </w:rPr>
              <w:fldChar w:fldCharType="end"/>
            </w:r>
            <w:r>
              <w:rPr>
                <w:rFonts w:hint="eastAsia"/>
                <w:color w:val="auto"/>
                <w:lang w:val="en-US" w:eastAsia="zh-CN"/>
              </w:rPr>
              <w:t>处理</w:t>
            </w:r>
          </w:p>
        </w:tc>
        <w:tc>
          <w:tcPr>
            <w:tcW w:w="2265" w:type="dxa"/>
            <w:vAlign w:val="center"/>
          </w:tcPr>
          <w:p>
            <w:pPr>
              <w:spacing w:beforeLines="0" w:afterLines="0"/>
              <w:jc w:val="left"/>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eastAsia="宋体" w:cs="Times New Roman"/>
                <w:color w:val="auto"/>
                <w:sz w:val="21"/>
              </w:rPr>
              <w:t>《污水综合排放标准》</w:t>
            </w:r>
            <w:r>
              <w:rPr>
                <w:rFonts w:hint="default" w:ascii="Times New Roman" w:hAnsi="Times New Roman" w:eastAsia="TimesNewRomanPSMT" w:cs="Times New Roman"/>
                <w:color w:val="auto"/>
                <w:sz w:val="21"/>
              </w:rPr>
              <w:t>(GB8978-1996)</w:t>
            </w:r>
            <w:r>
              <w:rPr>
                <w:rFonts w:hint="default" w:ascii="Times New Roman" w:hAnsi="Times New Roman" w:eastAsia="宋体" w:cs="Times New Roman"/>
                <w:color w:val="auto"/>
                <w:sz w:val="21"/>
              </w:rPr>
              <w:t>表</w:t>
            </w:r>
            <w:r>
              <w:rPr>
                <w:rFonts w:hint="default" w:ascii="Times New Roman" w:hAnsi="Times New Roman" w:eastAsia="TimesNewRomanPSMT" w:cs="Times New Roman"/>
                <w:color w:val="auto"/>
                <w:sz w:val="21"/>
              </w:rPr>
              <w:t>4</w:t>
            </w:r>
            <w:r>
              <w:rPr>
                <w:rFonts w:hint="default" w:ascii="Times New Roman" w:hAnsi="Times New Roman" w:eastAsia="宋体" w:cs="Times New Roman"/>
                <w:color w:val="auto"/>
                <w:sz w:val="21"/>
              </w:rPr>
              <w:t>中三级标准限值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jc w:val="center"/>
        </w:trPr>
        <w:tc>
          <w:tcPr>
            <w:tcW w:w="1560" w:type="dxa"/>
            <w:tcBorders>
              <w:bottom w:val="single" w:color="000000" w:sz="4" w:space="0"/>
            </w:tcBorders>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声环境</w:t>
            </w:r>
          </w:p>
        </w:tc>
        <w:tc>
          <w:tcPr>
            <w:tcW w:w="1565" w:type="dxa"/>
            <w:tcBorders>
              <w:bottom w:val="single" w:color="000000" w:sz="4" w:space="0"/>
            </w:tcBorders>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生产</w:t>
            </w:r>
            <w:r>
              <w:rPr>
                <w:rFonts w:hint="eastAsia" w:ascii="Times New Roman" w:hAnsi="Times New Roman" w:cs="Times New Roman"/>
                <w:color w:val="auto"/>
                <w:szCs w:val="21"/>
                <w:lang w:val="en-US" w:eastAsia="zh-CN"/>
              </w:rPr>
              <w:t>设备</w:t>
            </w:r>
          </w:p>
        </w:tc>
        <w:tc>
          <w:tcPr>
            <w:tcW w:w="1410"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等效A 声级</w:t>
            </w:r>
          </w:p>
        </w:tc>
        <w:tc>
          <w:tcPr>
            <w:tcW w:w="2260" w:type="dxa"/>
            <w:vAlign w:val="center"/>
          </w:tcPr>
          <w:p>
            <w:pPr>
              <w:adjustRightInd w:val="0"/>
              <w:snapToGrid w:val="0"/>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选用</w:t>
            </w:r>
            <w:r>
              <w:rPr>
                <w:rFonts w:hint="default" w:ascii="Times New Roman" w:hAnsi="Times New Roman" w:cs="Times New Roman"/>
                <w:color w:val="auto"/>
                <w:szCs w:val="21"/>
              </w:rPr>
              <w:t>低噪声设备，</w:t>
            </w:r>
            <w:r>
              <w:rPr>
                <w:rFonts w:hint="default" w:ascii="Times New Roman" w:hAnsi="Times New Roman" w:cs="Times New Roman"/>
                <w:color w:val="auto"/>
                <w:szCs w:val="21"/>
                <w:lang w:val="en-US" w:eastAsia="zh-CN"/>
              </w:rPr>
              <w:t>基础减震、厂房</w:t>
            </w:r>
            <w:r>
              <w:rPr>
                <w:rFonts w:hint="default" w:ascii="Times New Roman" w:hAnsi="Times New Roman" w:cs="Times New Roman"/>
                <w:color w:val="auto"/>
                <w:szCs w:val="21"/>
              </w:rPr>
              <w:t>隔声</w:t>
            </w:r>
            <w:r>
              <w:rPr>
                <w:rFonts w:hint="default" w:ascii="Times New Roman" w:hAnsi="Times New Roman" w:cs="Times New Roman"/>
                <w:color w:val="auto"/>
                <w:szCs w:val="21"/>
                <w:lang w:val="en-US" w:eastAsia="zh-CN"/>
              </w:rPr>
              <w:t>等措施</w:t>
            </w:r>
          </w:p>
        </w:tc>
        <w:tc>
          <w:tcPr>
            <w:tcW w:w="2265"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《工业企业厂界环境噪声排放标准》</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（GB12348-2008）中</w:t>
            </w: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rPr>
              <w:t>类标准限值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560" w:type="dxa"/>
            <w:tcBorders>
              <w:bottom w:val="single" w:color="000000" w:sz="4" w:space="0"/>
            </w:tcBorders>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电磁辐射</w:t>
            </w:r>
          </w:p>
        </w:tc>
        <w:tc>
          <w:tcPr>
            <w:tcW w:w="1565" w:type="dxa"/>
            <w:tcBorders>
              <w:bottom w:val="single" w:color="000000" w:sz="4" w:space="0"/>
            </w:tcBorders>
            <w:vAlign w:val="center"/>
          </w:tcPr>
          <w:p>
            <w:pPr>
              <w:adjustRightInd w:val="0"/>
              <w:snapToGrid w:val="0"/>
              <w:jc w:val="cente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w:t>
            </w:r>
          </w:p>
        </w:tc>
        <w:tc>
          <w:tcPr>
            <w:tcW w:w="1410" w:type="dxa"/>
            <w:vAlign w:val="center"/>
          </w:tcPr>
          <w:p>
            <w:pPr>
              <w:adjustRightInd w:val="0"/>
              <w:snapToGrid w:val="0"/>
              <w:jc w:val="cente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w:t>
            </w:r>
          </w:p>
        </w:tc>
        <w:tc>
          <w:tcPr>
            <w:tcW w:w="2260" w:type="dxa"/>
            <w:vAlign w:val="center"/>
          </w:tcPr>
          <w:p>
            <w:pPr>
              <w:adjustRightInd w:val="0"/>
              <w:snapToGrid w:val="0"/>
              <w:jc w:val="cente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w:t>
            </w:r>
          </w:p>
        </w:tc>
        <w:tc>
          <w:tcPr>
            <w:tcW w:w="2265" w:type="dxa"/>
            <w:vAlign w:val="center"/>
          </w:tcPr>
          <w:p>
            <w:pPr>
              <w:adjustRightInd w:val="0"/>
              <w:snapToGrid w:val="0"/>
              <w:jc w:val="cente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560"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固体废物</w:t>
            </w:r>
          </w:p>
        </w:tc>
        <w:tc>
          <w:tcPr>
            <w:tcW w:w="7500"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cs="宋体" w:eastAsiaTheme="minorEastAsia"/>
                <w:color w:val="auto"/>
                <w:szCs w:val="21"/>
                <w:lang w:val="en-US" w:eastAsia="zh-CN"/>
              </w:rPr>
            </w:pPr>
            <w:r>
              <w:rPr>
                <w:rFonts w:hint="eastAsia"/>
                <w:color w:val="auto"/>
                <w:lang w:val="en-US" w:eastAsia="zh-CN"/>
              </w:rPr>
              <w:t>废离子交换树脂由厂家更换后回收</w:t>
            </w:r>
            <w:r>
              <w:rPr>
                <w:rFonts w:hint="eastAsia" w:ascii="Times New Roman" w:hAnsi="Times New Roman" w:cs="Times New Roman"/>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560"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土壤及地下水</w:t>
            </w:r>
          </w:p>
          <w:p>
            <w:pPr>
              <w:adjustRightInd w:val="0"/>
              <w:snapToGrid w:val="0"/>
              <w:jc w:val="center"/>
              <w:rPr>
                <w:rFonts w:hint="eastAsia" w:ascii="宋体" w:hAnsi="宋体" w:cs="宋体"/>
                <w:color w:val="auto"/>
                <w:szCs w:val="21"/>
              </w:rPr>
            </w:pPr>
            <w:r>
              <w:rPr>
                <w:rFonts w:hint="eastAsia" w:ascii="宋体" w:hAnsi="宋体" w:cs="宋体"/>
                <w:color w:val="auto"/>
                <w:szCs w:val="21"/>
              </w:rPr>
              <w:t>污染防治措施</w:t>
            </w:r>
          </w:p>
        </w:tc>
        <w:tc>
          <w:tcPr>
            <w:tcW w:w="750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560"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生态保护措施</w:t>
            </w:r>
          </w:p>
        </w:tc>
        <w:tc>
          <w:tcPr>
            <w:tcW w:w="7500" w:type="dxa"/>
            <w:gridSpan w:val="4"/>
            <w:vAlign w:val="center"/>
          </w:tcPr>
          <w:p>
            <w:pPr>
              <w:adjustRightInd w:val="0"/>
              <w:snapToGrid w:val="0"/>
              <w:jc w:val="cente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560" w:type="dxa"/>
            <w:vAlign w:val="center"/>
          </w:tcPr>
          <w:p>
            <w:pPr>
              <w:adjustRightInd w:val="0"/>
              <w:snapToGrid w:val="0"/>
              <w:jc w:val="center"/>
              <w:rPr>
                <w:rFonts w:ascii="宋体" w:hAnsi="宋体" w:cs="宋体"/>
                <w:color w:val="auto"/>
                <w:spacing w:val="-8"/>
                <w:szCs w:val="21"/>
              </w:rPr>
            </w:pPr>
            <w:r>
              <w:rPr>
                <w:rFonts w:hint="eastAsia" w:ascii="宋体" w:hAnsi="宋体" w:cs="宋体"/>
                <w:color w:val="auto"/>
                <w:spacing w:val="-8"/>
                <w:szCs w:val="21"/>
              </w:rPr>
              <w:t>环境风险</w:t>
            </w:r>
          </w:p>
          <w:p>
            <w:pPr>
              <w:adjustRightInd w:val="0"/>
              <w:snapToGrid w:val="0"/>
              <w:jc w:val="center"/>
              <w:rPr>
                <w:rFonts w:hint="eastAsia" w:ascii="宋体" w:hAnsi="宋体" w:cs="宋体"/>
                <w:color w:val="auto"/>
                <w:spacing w:val="-8"/>
                <w:szCs w:val="21"/>
              </w:rPr>
            </w:pPr>
            <w:r>
              <w:rPr>
                <w:rFonts w:hint="eastAsia" w:ascii="宋体" w:hAnsi="宋体" w:cs="宋体"/>
                <w:color w:val="auto"/>
                <w:spacing w:val="-8"/>
                <w:szCs w:val="21"/>
              </w:rPr>
              <w:t>防范措施</w:t>
            </w:r>
          </w:p>
        </w:tc>
        <w:tc>
          <w:tcPr>
            <w:tcW w:w="7500" w:type="dxa"/>
            <w:gridSpan w:val="4"/>
            <w:vAlign w:val="center"/>
          </w:tcPr>
          <w:p>
            <w:pPr>
              <w:adjustRightInd w:val="0"/>
              <w:snapToGrid w:val="0"/>
              <w:jc w:val="cente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961" w:hRule="atLeast"/>
          <w:jc w:val="center"/>
        </w:trPr>
        <w:tc>
          <w:tcPr>
            <w:tcW w:w="1560" w:type="dxa"/>
            <w:vAlign w:val="center"/>
          </w:tcPr>
          <w:p>
            <w:pPr>
              <w:adjustRightInd w:val="0"/>
              <w:snapToGrid w:val="0"/>
              <w:jc w:val="center"/>
              <w:rPr>
                <w:rFonts w:ascii="宋体" w:hAnsi="宋体" w:cs="宋体"/>
                <w:color w:val="auto"/>
                <w:spacing w:val="-8"/>
                <w:szCs w:val="21"/>
              </w:rPr>
            </w:pPr>
            <w:r>
              <w:rPr>
                <w:rFonts w:hint="eastAsia" w:ascii="宋体" w:hAnsi="宋体" w:cs="宋体"/>
                <w:color w:val="auto"/>
                <w:spacing w:val="-8"/>
                <w:szCs w:val="21"/>
              </w:rPr>
              <w:t>其他环境</w:t>
            </w:r>
          </w:p>
          <w:p>
            <w:pPr>
              <w:adjustRightInd w:val="0"/>
              <w:snapToGrid w:val="0"/>
              <w:jc w:val="center"/>
              <w:rPr>
                <w:rFonts w:hint="eastAsia" w:ascii="宋体" w:hAnsi="宋体" w:cs="宋体"/>
                <w:color w:val="auto"/>
                <w:spacing w:val="-8"/>
                <w:szCs w:val="21"/>
              </w:rPr>
            </w:pPr>
            <w:r>
              <w:rPr>
                <w:rFonts w:hint="eastAsia" w:ascii="宋体" w:hAnsi="宋体" w:cs="宋体"/>
                <w:color w:val="auto"/>
                <w:spacing w:val="-8"/>
                <w:szCs w:val="21"/>
              </w:rPr>
              <w:t>管理要求</w:t>
            </w:r>
          </w:p>
        </w:tc>
        <w:tc>
          <w:tcPr>
            <w:tcW w:w="750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color w:val="FF0000"/>
              </w:rPr>
            </w:pPr>
            <w:r>
              <w:rPr>
                <w:rFonts w:hint="eastAsia"/>
                <w:color w:val="auto"/>
              </w:rPr>
              <w:t>①根据《固定污染源排污许可分类管理名录（2019年版）》，</w:t>
            </w:r>
            <w:r>
              <w:rPr>
                <w:rFonts w:hint="eastAsia"/>
                <w:color w:val="FF0000"/>
                <w:lang w:val="en-US" w:eastAsia="zh-CN"/>
              </w:rPr>
              <w:t>本项目扩建完成后，</w:t>
            </w:r>
            <w:r>
              <w:rPr>
                <w:rFonts w:hint="eastAsia"/>
                <w:color w:val="FF0000"/>
              </w:rPr>
              <w:t>本</w:t>
            </w:r>
            <w:r>
              <w:rPr>
                <w:rFonts w:hint="eastAsia"/>
                <w:color w:val="FF0000"/>
                <w:lang w:val="en-US" w:eastAsia="zh-CN"/>
              </w:rPr>
              <w:t>锅炉房</w:t>
            </w:r>
            <w:r>
              <w:rPr>
                <w:rFonts w:hint="eastAsia"/>
                <w:color w:val="FF0000"/>
              </w:rPr>
              <w:t>应实行</w:t>
            </w:r>
            <w:r>
              <w:rPr>
                <w:rFonts w:hint="eastAsia"/>
                <w:color w:val="FF0000"/>
                <w:lang w:val="en-US" w:eastAsia="zh-CN"/>
              </w:rPr>
              <w:t>重点</w:t>
            </w:r>
            <w:r>
              <w:rPr>
                <w:rFonts w:hint="eastAsia" w:ascii="Times New Roman" w:hAnsi="Times New Roman" w:eastAsia="宋体" w:cs="Times New Roman"/>
                <w:color w:val="FF0000"/>
              </w:rPr>
              <w:t>管理</w:t>
            </w:r>
            <w:r>
              <w:rPr>
                <w:rFonts w:hint="eastAsia" w:ascii="Times New Roman" w:hAnsi="Times New Roman" w:eastAsia="宋体" w:cs="Times New Roman"/>
                <w:color w:val="FF0000"/>
                <w:lang w:eastAsia="zh-CN"/>
              </w:rPr>
              <w:t>，</w:t>
            </w:r>
            <w:r>
              <w:rPr>
                <w:rFonts w:hint="eastAsia"/>
                <w:color w:val="FF0000"/>
                <w:lang w:val="en-US" w:eastAsia="zh-CN"/>
              </w:rPr>
              <w:t>严禁无证排污</w:t>
            </w:r>
            <w:r>
              <w:rPr>
                <w:rFonts w:hint="eastAsia" w:ascii="Times New Roman" w:hAnsi="Times New Roman" w:eastAsia="宋体" w:cs="Times New Roman"/>
                <w:color w:val="FF0000"/>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color w:val="auto"/>
              </w:rPr>
            </w:pPr>
            <w:r>
              <w:rPr>
                <w:rFonts w:hint="eastAsia"/>
                <w:color w:val="auto"/>
              </w:rPr>
              <w:t>②根据《建设项目竣工环境保护验收暂行办法》的规定，建设项目竣工后，建设单位应当</w:t>
            </w:r>
            <w:r>
              <w:rPr>
                <w:rFonts w:hint="eastAsia"/>
                <w:color w:val="auto"/>
                <w:lang w:val="en-US" w:eastAsia="zh-CN"/>
              </w:rPr>
              <w:t>自行开展竣工环境保护工作，</w:t>
            </w:r>
            <w:r>
              <w:rPr>
                <w:rFonts w:hint="eastAsia"/>
                <w:color w:val="auto"/>
              </w:rPr>
              <w:t>编制验收监测报告</w:t>
            </w:r>
            <w:r>
              <w:rPr>
                <w:rFonts w:hint="eastAsia"/>
                <w:color w:val="auto"/>
                <w:lang w:eastAsia="zh-CN"/>
              </w:rPr>
              <w:t>，</w:t>
            </w:r>
            <w:r>
              <w:rPr>
                <w:rFonts w:hint="eastAsia"/>
                <w:color w:val="auto"/>
                <w:lang w:val="en-US" w:eastAsia="zh-CN"/>
              </w:rPr>
              <w:t>经验收合格后方可投入使用</w:t>
            </w:r>
            <w:r>
              <w:rPr>
                <w:rFonts w:hint="eastAsia"/>
                <w:color w:val="auto"/>
              </w:rPr>
              <w:t xml:space="preserve">。 </w:t>
            </w: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六、结论</w:t>
      </w:r>
    </w:p>
    <w:tbl>
      <w:tblPr>
        <w:tblStyle w:val="28"/>
        <w:tblW w:w="88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jc w:val="center"/>
        </w:trPr>
        <w:tc>
          <w:tcPr>
            <w:tcW w:w="8865"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r>
              <w:rPr>
                <w:rFonts w:hint="eastAsia" w:ascii="宋体" w:hAnsi="宋体" w:eastAsia="宋体" w:cs="宋体"/>
                <w:color w:val="auto"/>
                <w:sz w:val="21"/>
                <w:szCs w:val="21"/>
                <w:u w:val="none"/>
              </w:rPr>
              <w:t>丁香园北区扩建1台</w:t>
            </w:r>
            <w:r>
              <w:rPr>
                <w:rFonts w:hint="eastAsia"/>
                <w:color w:val="auto"/>
                <w:lang w:val="en-US" w:eastAsia="zh-CN"/>
              </w:rPr>
              <w:t>7MW</w:t>
            </w:r>
            <w:r>
              <w:rPr>
                <w:rFonts w:hint="eastAsia" w:ascii="宋体" w:hAnsi="宋体" w:eastAsia="宋体" w:cs="宋体"/>
                <w:color w:val="auto"/>
                <w:sz w:val="21"/>
                <w:szCs w:val="21"/>
                <w:u w:val="none"/>
              </w:rPr>
              <w:t>燃气常压热水锅炉项目</w:t>
            </w:r>
            <w:r>
              <w:rPr>
                <w:rFonts w:hint="eastAsia" w:ascii="宋体" w:hAnsi="宋体" w:eastAsia="宋体"/>
                <w:color w:val="auto"/>
                <w:sz w:val="21"/>
                <w:szCs w:val="21"/>
                <w:lang w:val="en-US" w:eastAsia="zh-CN"/>
              </w:rPr>
              <w:t>符合国家及自治区相关法律法规、</w:t>
            </w:r>
            <w:r>
              <w:rPr>
                <w:rFonts w:hint="eastAsia"/>
                <w:color w:val="auto"/>
                <w:lang w:val="en-US" w:eastAsia="zh-CN"/>
              </w:rPr>
              <w:t>昌吉回族自治州</w:t>
            </w:r>
            <w:r>
              <w:rPr>
                <w:rFonts w:hint="eastAsia" w:ascii="宋体" w:hAnsi="宋体" w:eastAsia="宋体"/>
                <w:color w:val="auto"/>
                <w:sz w:val="21"/>
                <w:szCs w:val="21"/>
                <w:lang w:val="en-US" w:eastAsia="zh-CN"/>
              </w:rPr>
              <w:t>“三线一单”要求</w:t>
            </w:r>
            <w:r>
              <w:rPr>
                <w:rFonts w:hint="eastAsia" w:ascii="宋体" w:hAnsi="宋体" w:eastAsia="宋体"/>
                <w:color w:val="auto"/>
                <w:sz w:val="21"/>
                <w:szCs w:val="21"/>
              </w:rPr>
              <w:t>，采取的环保措施可实现达标排放，对周边环境的影响也能控制在可接受程度，从环保的角度分析，本项目的建设是可行的。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tc>
      </w:tr>
    </w:tbl>
    <w:p>
      <w:pPr>
        <w:jc w:val="both"/>
        <w:rPr>
          <w:rFonts w:hint="eastAsia" w:ascii="方正小标宋_GBK" w:hAnsi="黑体" w:eastAsia="方正小标宋_GBK"/>
          <w:snapToGrid w:val="0"/>
          <w:color w:val="auto"/>
          <w:sz w:val="38"/>
          <w:szCs w:val="38"/>
        </w:rPr>
        <w:sectPr>
          <w:headerReference r:id="rId3" w:type="default"/>
          <w:footerReference r:id="rId4"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28"/>
        <w:tblW w:w="141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803"/>
        <w:gridCol w:w="902"/>
        <w:gridCol w:w="1713"/>
        <w:gridCol w:w="1224"/>
        <w:gridCol w:w="1893"/>
        <w:gridCol w:w="1449"/>
        <w:gridCol w:w="1736"/>
        <w:gridCol w:w="1892"/>
        <w:gridCol w:w="14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1141" w:type="dxa"/>
            <w:tcBorders>
              <w:tl2br w:val="single" w:color="auto" w:sz="4" w:space="0"/>
            </w:tcBorders>
            <w:tcMar>
              <w:left w:w="28" w:type="dxa"/>
              <w:right w:w="28" w:type="dxa"/>
            </w:tcMar>
            <w:vAlign w:val="center"/>
          </w:tcPr>
          <w:p>
            <w:pPr>
              <w:pStyle w:val="30"/>
              <w:spacing w:beforeLines="0" w:afterLines="0" w:line="240" w:lineRule="auto"/>
              <w:jc w:val="right"/>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项目</w:t>
            </w:r>
          </w:p>
          <w:p>
            <w:pPr>
              <w:pStyle w:val="30"/>
              <w:spacing w:beforeLines="0" w:afterLines="0" w:line="240" w:lineRule="auto"/>
              <w:jc w:val="left"/>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分类</w:t>
            </w:r>
          </w:p>
        </w:tc>
        <w:tc>
          <w:tcPr>
            <w:tcW w:w="1705" w:type="dxa"/>
            <w:gridSpan w:val="2"/>
            <w:tcMar>
              <w:left w:w="28" w:type="dxa"/>
              <w:right w:w="28" w:type="dxa"/>
            </w:tcMar>
            <w:vAlign w:val="center"/>
          </w:tcPr>
          <w:p>
            <w:pPr>
              <w:pStyle w:val="30"/>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污染物名称</w:t>
            </w:r>
          </w:p>
        </w:tc>
        <w:tc>
          <w:tcPr>
            <w:tcW w:w="1713" w:type="dxa"/>
            <w:tcMar>
              <w:left w:w="28" w:type="dxa"/>
              <w:right w:w="28" w:type="dxa"/>
            </w:tcMar>
            <w:vAlign w:val="center"/>
          </w:tcPr>
          <w:p>
            <w:pPr>
              <w:pStyle w:val="30"/>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现有工程</w:t>
            </w:r>
          </w:p>
          <w:p>
            <w:pPr>
              <w:pStyle w:val="30"/>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1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①</w:t>
            </w:r>
            <w:r>
              <w:rPr>
                <w:rFonts w:hint="default" w:ascii="Times New Roman" w:hAnsi="Times New Roman" w:eastAsia="黑体" w:cs="Times New Roman"/>
                <w:snapToGrid w:val="0"/>
                <w:color w:val="auto"/>
                <w:spacing w:val="-6"/>
                <w:kern w:val="21"/>
                <w:szCs w:val="21"/>
              </w:rPr>
              <w:fldChar w:fldCharType="end"/>
            </w:r>
          </w:p>
        </w:tc>
        <w:tc>
          <w:tcPr>
            <w:tcW w:w="1224" w:type="dxa"/>
            <w:tcMar>
              <w:left w:w="28" w:type="dxa"/>
              <w:right w:w="28" w:type="dxa"/>
            </w:tcMar>
            <w:vAlign w:val="center"/>
          </w:tcPr>
          <w:p>
            <w:pPr>
              <w:pStyle w:val="30"/>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现有工程</w:t>
            </w:r>
          </w:p>
          <w:p>
            <w:pPr>
              <w:pStyle w:val="30"/>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许可排放量</w:t>
            </w:r>
          </w:p>
          <w:p>
            <w:pPr>
              <w:pStyle w:val="30"/>
              <w:spacing w:beforeLines="0" w:afterLine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2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snapToGrid w:val="0"/>
                <w:color w:val="auto"/>
                <w:spacing w:val="-6"/>
                <w:kern w:val="21"/>
                <w:szCs w:val="21"/>
              </w:rPr>
              <w:t>②</w:t>
            </w:r>
            <w:r>
              <w:rPr>
                <w:rFonts w:hint="default" w:ascii="Times New Roman" w:hAnsi="Times New Roman" w:eastAsia="黑体" w:cs="Times New Roman"/>
                <w:snapToGrid w:val="0"/>
                <w:color w:val="auto"/>
                <w:spacing w:val="-6"/>
                <w:kern w:val="21"/>
                <w:szCs w:val="21"/>
              </w:rPr>
              <w:fldChar w:fldCharType="end"/>
            </w:r>
          </w:p>
        </w:tc>
        <w:tc>
          <w:tcPr>
            <w:tcW w:w="1893" w:type="dxa"/>
            <w:tcMar>
              <w:left w:w="28" w:type="dxa"/>
              <w:right w:w="28" w:type="dxa"/>
            </w:tcMar>
            <w:vAlign w:val="center"/>
          </w:tcPr>
          <w:p>
            <w:pPr>
              <w:pStyle w:val="30"/>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在建工程</w:t>
            </w:r>
          </w:p>
          <w:p>
            <w:pPr>
              <w:pStyle w:val="30"/>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3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③</w:t>
            </w:r>
            <w:r>
              <w:rPr>
                <w:rFonts w:hint="default" w:ascii="Times New Roman" w:hAnsi="Times New Roman" w:eastAsia="黑体" w:cs="Times New Roman"/>
                <w:snapToGrid w:val="0"/>
                <w:color w:val="auto"/>
                <w:spacing w:val="-6"/>
                <w:kern w:val="21"/>
                <w:szCs w:val="21"/>
              </w:rPr>
              <w:fldChar w:fldCharType="end"/>
            </w:r>
          </w:p>
        </w:tc>
        <w:tc>
          <w:tcPr>
            <w:tcW w:w="1449" w:type="dxa"/>
            <w:tcMar>
              <w:left w:w="28" w:type="dxa"/>
              <w:right w:w="28" w:type="dxa"/>
            </w:tcMar>
            <w:vAlign w:val="center"/>
          </w:tcPr>
          <w:p>
            <w:pPr>
              <w:pStyle w:val="30"/>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本项目</w:t>
            </w:r>
          </w:p>
          <w:p>
            <w:pPr>
              <w:pStyle w:val="30"/>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4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④</w:t>
            </w:r>
            <w:r>
              <w:rPr>
                <w:rFonts w:hint="default" w:ascii="Times New Roman" w:hAnsi="Times New Roman" w:eastAsia="黑体" w:cs="Times New Roman"/>
                <w:snapToGrid w:val="0"/>
                <w:color w:val="auto"/>
                <w:spacing w:val="-6"/>
                <w:kern w:val="21"/>
                <w:szCs w:val="21"/>
              </w:rPr>
              <w:fldChar w:fldCharType="end"/>
            </w:r>
          </w:p>
        </w:tc>
        <w:tc>
          <w:tcPr>
            <w:tcW w:w="1736" w:type="dxa"/>
            <w:tcMar>
              <w:left w:w="28" w:type="dxa"/>
              <w:right w:w="28" w:type="dxa"/>
            </w:tcMar>
            <w:vAlign w:val="center"/>
          </w:tcPr>
          <w:p>
            <w:pPr>
              <w:pStyle w:val="30"/>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以新带老削减量</w:t>
            </w:r>
          </w:p>
          <w:p>
            <w:pPr>
              <w:pStyle w:val="30"/>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（新建项目不填）</w:t>
            </w:r>
            <w:r>
              <w:rPr>
                <w:rFonts w:hint="default" w:ascii="Times New Roman" w:hAnsi="Times New Roman" w:eastAsia="黑体" w:cs="Times New Roman"/>
                <w:snapToGrid w:val="0"/>
                <w:color w:val="auto"/>
                <w:spacing w:val="-16"/>
                <w:kern w:val="21"/>
                <w:szCs w:val="21"/>
              </w:rPr>
              <w:fldChar w:fldCharType="begin"/>
            </w:r>
            <w:r>
              <w:rPr>
                <w:rFonts w:hint="default" w:ascii="Times New Roman" w:hAnsi="Times New Roman" w:eastAsia="黑体" w:cs="Times New Roman"/>
                <w:snapToGrid w:val="0"/>
                <w:color w:val="auto"/>
                <w:spacing w:val="-16"/>
                <w:kern w:val="21"/>
                <w:szCs w:val="21"/>
              </w:rPr>
              <w:instrText xml:space="preserve"> = 5 \* GB3 \* MERGEFORMAT </w:instrText>
            </w:r>
            <w:r>
              <w:rPr>
                <w:rFonts w:hint="default" w:ascii="Times New Roman" w:hAnsi="Times New Roman" w:eastAsia="黑体" w:cs="Times New Roman"/>
                <w:snapToGrid w:val="0"/>
                <w:color w:val="auto"/>
                <w:spacing w:val="-16"/>
                <w:kern w:val="21"/>
                <w:szCs w:val="21"/>
              </w:rPr>
              <w:fldChar w:fldCharType="separate"/>
            </w:r>
            <w:r>
              <w:rPr>
                <w:rFonts w:hint="default" w:ascii="Times New Roman" w:hAnsi="Times New Roman" w:eastAsia="黑体" w:cs="Times New Roman"/>
                <w:color w:val="auto"/>
                <w:kern w:val="2"/>
                <w:szCs w:val="21"/>
              </w:rPr>
              <w:t>⑤</w:t>
            </w:r>
            <w:r>
              <w:rPr>
                <w:rFonts w:hint="default" w:ascii="Times New Roman" w:hAnsi="Times New Roman" w:eastAsia="黑体" w:cs="Times New Roman"/>
                <w:snapToGrid w:val="0"/>
                <w:color w:val="auto"/>
                <w:spacing w:val="-16"/>
                <w:kern w:val="21"/>
                <w:szCs w:val="21"/>
              </w:rPr>
              <w:fldChar w:fldCharType="end"/>
            </w:r>
          </w:p>
        </w:tc>
        <w:tc>
          <w:tcPr>
            <w:tcW w:w="1892" w:type="dxa"/>
            <w:tcMar>
              <w:left w:w="28" w:type="dxa"/>
              <w:right w:w="28" w:type="dxa"/>
            </w:tcMar>
            <w:vAlign w:val="center"/>
          </w:tcPr>
          <w:p>
            <w:pPr>
              <w:pStyle w:val="30"/>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本项目建成后</w:t>
            </w:r>
          </w:p>
          <w:p>
            <w:pPr>
              <w:pStyle w:val="30"/>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全厂排放量（固体废物产生量）</w:t>
            </w:r>
            <w:r>
              <w:rPr>
                <w:rFonts w:hint="default" w:ascii="Times New Roman" w:hAnsi="Times New Roman" w:eastAsia="黑体" w:cs="Times New Roman"/>
                <w:snapToGrid w:val="0"/>
                <w:color w:val="auto"/>
                <w:spacing w:val="-16"/>
                <w:kern w:val="21"/>
                <w:szCs w:val="21"/>
              </w:rPr>
              <w:fldChar w:fldCharType="begin"/>
            </w:r>
            <w:r>
              <w:rPr>
                <w:rFonts w:hint="default" w:ascii="Times New Roman" w:hAnsi="Times New Roman" w:eastAsia="黑体" w:cs="Times New Roman"/>
                <w:snapToGrid w:val="0"/>
                <w:color w:val="auto"/>
                <w:spacing w:val="-16"/>
                <w:kern w:val="21"/>
                <w:szCs w:val="21"/>
              </w:rPr>
              <w:instrText xml:space="preserve"> = 6 \* GB3 \* MERGEFORMAT </w:instrText>
            </w:r>
            <w:r>
              <w:rPr>
                <w:rFonts w:hint="default" w:ascii="Times New Roman" w:hAnsi="Times New Roman" w:eastAsia="黑体" w:cs="Times New Roman"/>
                <w:snapToGrid w:val="0"/>
                <w:color w:val="auto"/>
                <w:spacing w:val="-16"/>
                <w:kern w:val="21"/>
                <w:szCs w:val="21"/>
              </w:rPr>
              <w:fldChar w:fldCharType="separate"/>
            </w:r>
            <w:r>
              <w:rPr>
                <w:rFonts w:hint="default" w:ascii="Times New Roman" w:hAnsi="Times New Roman" w:eastAsia="黑体" w:cs="Times New Roman"/>
                <w:color w:val="auto"/>
                <w:kern w:val="2"/>
                <w:szCs w:val="21"/>
              </w:rPr>
              <w:t>⑥</w:t>
            </w:r>
            <w:r>
              <w:rPr>
                <w:rFonts w:hint="default" w:ascii="Times New Roman" w:hAnsi="Times New Roman" w:eastAsia="黑体" w:cs="Times New Roman"/>
                <w:snapToGrid w:val="0"/>
                <w:color w:val="auto"/>
                <w:spacing w:val="-16"/>
                <w:kern w:val="21"/>
                <w:szCs w:val="21"/>
              </w:rPr>
              <w:fldChar w:fldCharType="end"/>
            </w:r>
          </w:p>
        </w:tc>
        <w:tc>
          <w:tcPr>
            <w:tcW w:w="1407" w:type="dxa"/>
            <w:tcMar>
              <w:left w:w="28" w:type="dxa"/>
              <w:right w:w="28" w:type="dxa"/>
            </w:tcMar>
            <w:vAlign w:val="center"/>
          </w:tcPr>
          <w:p>
            <w:pPr>
              <w:pStyle w:val="30"/>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变化量</w:t>
            </w:r>
          </w:p>
          <w:p>
            <w:pPr>
              <w:pStyle w:val="30"/>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7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⑦</w:t>
            </w:r>
            <w:r>
              <w:rPr>
                <w:rFonts w:hint="default" w:ascii="Times New Roman" w:hAnsi="Times New Roman" w:eastAsia="黑体" w:cs="Times New Roman"/>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141" w:type="dxa"/>
            <w:vMerge w:val="restart"/>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废气</w:t>
            </w:r>
          </w:p>
        </w:tc>
        <w:tc>
          <w:tcPr>
            <w:tcW w:w="1705" w:type="dxa"/>
            <w:gridSpan w:val="2"/>
            <w:vAlign w:val="center"/>
          </w:tcPr>
          <w:p>
            <w:pPr>
              <w:pStyle w:val="42"/>
              <w:spacing w:line="240" w:lineRule="auto"/>
              <w:rPr>
                <w:rFonts w:hint="eastAsia" w:ascii="Times New Roman" w:hAnsi="Times New Roman" w:cs="Times New Roman" w:eastAsiaTheme="minorEastAsia"/>
                <w:snapToGrid w:val="0"/>
                <w:color w:val="auto"/>
                <w:kern w:val="21"/>
                <w:szCs w:val="21"/>
                <w:lang w:val="en-US" w:eastAsia="zh-CN"/>
              </w:rPr>
            </w:pPr>
            <w:r>
              <w:rPr>
                <w:rFonts w:hint="eastAsia"/>
                <w:color w:val="auto"/>
                <w:kern w:val="2"/>
                <w:sz w:val="21"/>
                <w:szCs w:val="21"/>
                <w:lang w:val="en-US" w:eastAsia="zh-CN"/>
              </w:rPr>
              <w:t>颗粒物</w:t>
            </w:r>
          </w:p>
        </w:tc>
        <w:tc>
          <w:tcPr>
            <w:tcW w:w="1713" w:type="dxa"/>
            <w:vAlign w:val="center"/>
          </w:tcPr>
          <w:p>
            <w:pPr>
              <w:pStyle w:val="30"/>
              <w:spacing w:beforeLines="0" w:afterLines="0" w:line="240" w:lineRule="auto"/>
              <w:rPr>
                <w:rFonts w:hint="eastAsia" w:ascii="Times New Roman" w:hAnsi="Times New Roman" w:cs="Times New Roman"/>
                <w:snapToGrid w:val="0"/>
                <w:color w:val="FF0000"/>
                <w:kern w:val="21"/>
                <w:szCs w:val="21"/>
                <w:lang w:val="en-US" w:eastAsia="zh-CN"/>
              </w:rPr>
            </w:pPr>
            <w:r>
              <w:rPr>
                <w:rFonts w:hint="eastAsia" w:ascii="Times New Roman" w:hAnsi="Times New Roman" w:cs="Times New Roman" w:eastAsiaTheme="minorEastAsia"/>
                <w:color w:val="FF0000"/>
                <w:kern w:val="2"/>
                <w:sz w:val="21"/>
                <w:szCs w:val="21"/>
                <w:lang w:val="en-US" w:eastAsia="zh-CN" w:bidi="ar-SA"/>
              </w:rPr>
              <w:t>0.575</w:t>
            </w:r>
            <w:r>
              <w:rPr>
                <w:rFonts w:hint="default" w:ascii="Times New Roman" w:hAnsi="Times New Roman" w:cs="Times New Roman" w:eastAsiaTheme="minorEastAsia"/>
                <w:color w:val="FF0000"/>
                <w:kern w:val="2"/>
                <w:sz w:val="21"/>
                <w:szCs w:val="21"/>
                <w:lang w:val="en-US" w:eastAsia="zh-CN" w:bidi="ar-SA"/>
              </w:rPr>
              <w:t>t</w:t>
            </w:r>
            <w:r>
              <w:rPr>
                <w:rFonts w:hint="eastAsia" w:ascii="Times New Roman" w:hAnsi="Times New Roman" w:cs="Times New Roman" w:eastAsiaTheme="minorEastAsia"/>
                <w:color w:val="FF0000"/>
                <w:kern w:val="2"/>
                <w:sz w:val="21"/>
                <w:szCs w:val="21"/>
                <w:lang w:val="en-US" w:eastAsia="zh-CN" w:bidi="ar-SA"/>
              </w:rPr>
              <w:t>/a</w:t>
            </w:r>
          </w:p>
        </w:tc>
        <w:tc>
          <w:tcPr>
            <w:tcW w:w="1224" w:type="dxa"/>
            <w:vAlign w:val="center"/>
          </w:tcPr>
          <w:p>
            <w:pPr>
              <w:pStyle w:val="30"/>
              <w:spacing w:beforeLines="0" w:afterLines="0" w:line="240" w:lineRule="auto"/>
              <w:rPr>
                <w:rFonts w:hint="eastAsia" w:ascii="Times New Roman" w:hAnsi="Times New Roman" w:cs="Times New Roman"/>
                <w:snapToGrid w:val="0"/>
                <w:color w:val="FF0000"/>
                <w:kern w:val="21"/>
                <w:szCs w:val="21"/>
                <w:lang w:val="en-US" w:eastAsia="zh-CN"/>
              </w:rPr>
            </w:pPr>
            <w:r>
              <w:rPr>
                <w:rFonts w:hint="eastAsia" w:ascii="Times New Roman" w:hAnsi="Times New Roman" w:cs="Times New Roman"/>
                <w:snapToGrid w:val="0"/>
                <w:color w:val="FF0000"/>
                <w:kern w:val="21"/>
                <w:szCs w:val="21"/>
                <w:lang w:val="en-US" w:eastAsia="zh-CN"/>
              </w:rPr>
              <w:t>/</w:t>
            </w:r>
          </w:p>
        </w:tc>
        <w:tc>
          <w:tcPr>
            <w:tcW w:w="1893" w:type="dxa"/>
            <w:vAlign w:val="center"/>
          </w:tcPr>
          <w:p>
            <w:pPr>
              <w:pStyle w:val="30"/>
              <w:spacing w:beforeLines="0" w:afterLines="0" w:line="240" w:lineRule="auto"/>
              <w:rPr>
                <w:rFonts w:hint="eastAsia" w:ascii="Times New Roman" w:hAnsi="Times New Roman" w:cs="Times New Roman"/>
                <w:snapToGrid w:val="0"/>
                <w:color w:val="FF0000"/>
                <w:kern w:val="21"/>
                <w:szCs w:val="21"/>
                <w:lang w:val="en-US" w:eastAsia="zh-CN"/>
              </w:rPr>
            </w:pPr>
            <w:r>
              <w:rPr>
                <w:rFonts w:hint="eastAsia" w:ascii="Times New Roman" w:hAnsi="Times New Roman" w:cs="Times New Roman"/>
                <w:snapToGrid w:val="0"/>
                <w:color w:val="FF0000"/>
                <w:kern w:val="21"/>
                <w:szCs w:val="21"/>
                <w:lang w:val="en-US" w:eastAsia="zh-CN"/>
              </w:rPr>
              <w:t>/</w:t>
            </w:r>
          </w:p>
        </w:tc>
        <w:tc>
          <w:tcPr>
            <w:tcW w:w="1449" w:type="dxa"/>
            <w:vAlign w:val="center"/>
          </w:tcPr>
          <w:p>
            <w:pPr>
              <w:snapToGrid w:val="0"/>
              <w:contextualSpacing/>
              <w:jc w:val="center"/>
              <w:rPr>
                <w:rFonts w:hint="default" w:ascii="Times New Roman" w:hAnsi="Times New Roman" w:cs="Times New Roman"/>
                <w:snapToGrid w:val="0"/>
                <w:color w:val="FF0000"/>
                <w:kern w:val="21"/>
                <w:szCs w:val="21"/>
                <w:lang w:val="en-US" w:eastAsia="zh-CN"/>
              </w:rPr>
            </w:pPr>
            <w:r>
              <w:rPr>
                <w:rFonts w:hint="eastAsia" w:ascii="Times New Roman" w:hAnsi="Times New Roman" w:cs="Times New Roman"/>
                <w:color w:val="FF0000"/>
                <w:szCs w:val="21"/>
                <w:lang w:val="en-US" w:eastAsia="zh-CN"/>
              </w:rPr>
              <w:t>0.42</w:t>
            </w:r>
            <w:r>
              <w:rPr>
                <w:rFonts w:hint="default" w:ascii="Times New Roman" w:hAnsi="Times New Roman" w:cs="Times New Roman"/>
                <w:color w:val="FF0000"/>
                <w:sz w:val="21"/>
                <w:szCs w:val="21"/>
              </w:rPr>
              <w:t>t</w:t>
            </w:r>
            <w:r>
              <w:rPr>
                <w:rFonts w:hint="eastAsia"/>
                <w:color w:val="FF0000"/>
                <w:kern w:val="2"/>
                <w:sz w:val="21"/>
                <w:szCs w:val="21"/>
              </w:rPr>
              <w:t>/</w:t>
            </w:r>
            <w:r>
              <w:rPr>
                <w:rFonts w:hint="eastAsia"/>
                <w:color w:val="FF0000"/>
                <w:kern w:val="2"/>
                <w:sz w:val="21"/>
                <w:szCs w:val="21"/>
                <w:lang w:val="en-US" w:eastAsia="zh-CN"/>
              </w:rPr>
              <w:t>a</w:t>
            </w:r>
          </w:p>
        </w:tc>
        <w:tc>
          <w:tcPr>
            <w:tcW w:w="1736" w:type="dxa"/>
            <w:vAlign w:val="center"/>
          </w:tcPr>
          <w:p>
            <w:pPr>
              <w:pStyle w:val="30"/>
              <w:spacing w:beforeLines="0" w:afterLines="0" w:line="240" w:lineRule="auto"/>
              <w:rPr>
                <w:rFonts w:hint="eastAsia" w:ascii="Times New Roman" w:hAnsi="Times New Roman" w:cs="Times New Roman"/>
                <w:snapToGrid w:val="0"/>
                <w:color w:val="FF0000"/>
                <w:kern w:val="21"/>
                <w:szCs w:val="21"/>
                <w:lang w:val="en-US" w:eastAsia="zh-CN"/>
              </w:rPr>
            </w:pPr>
            <w:r>
              <w:rPr>
                <w:rFonts w:hint="eastAsia" w:ascii="Times New Roman" w:hAnsi="Times New Roman" w:cs="Times New Roman"/>
                <w:snapToGrid w:val="0"/>
                <w:color w:val="FF0000"/>
                <w:kern w:val="21"/>
                <w:szCs w:val="21"/>
                <w:lang w:val="en-US" w:eastAsia="zh-CN"/>
              </w:rPr>
              <w:t>/</w:t>
            </w:r>
          </w:p>
        </w:tc>
        <w:tc>
          <w:tcPr>
            <w:tcW w:w="1892" w:type="dxa"/>
            <w:vAlign w:val="center"/>
          </w:tcPr>
          <w:p>
            <w:pPr>
              <w:snapToGrid w:val="0"/>
              <w:contextualSpacing/>
              <w:jc w:val="center"/>
              <w:rPr>
                <w:rFonts w:hint="default" w:ascii="Times New Roman" w:hAnsi="Times New Roman" w:cs="Times New Roman"/>
                <w:snapToGrid w:val="0"/>
                <w:color w:val="FF0000"/>
                <w:kern w:val="21"/>
                <w:szCs w:val="21"/>
                <w:lang w:val="en-US" w:eastAsia="zh-CN"/>
              </w:rPr>
            </w:pPr>
            <w:r>
              <w:rPr>
                <w:rFonts w:hint="eastAsia" w:ascii="Times New Roman" w:hAnsi="Times New Roman" w:cs="Times New Roman"/>
                <w:color w:val="FF0000"/>
                <w:szCs w:val="21"/>
                <w:lang w:val="en-US" w:eastAsia="zh-CN"/>
              </w:rPr>
              <w:t>0.995</w:t>
            </w:r>
            <w:r>
              <w:rPr>
                <w:rFonts w:hint="default" w:ascii="Times New Roman" w:hAnsi="Times New Roman" w:cs="Times New Roman"/>
                <w:color w:val="FF0000"/>
                <w:sz w:val="21"/>
                <w:szCs w:val="21"/>
              </w:rPr>
              <w:t>t</w:t>
            </w:r>
            <w:r>
              <w:rPr>
                <w:rFonts w:hint="eastAsia"/>
                <w:color w:val="FF0000"/>
                <w:kern w:val="2"/>
                <w:sz w:val="21"/>
                <w:szCs w:val="21"/>
              </w:rPr>
              <w:t>/</w:t>
            </w:r>
            <w:r>
              <w:rPr>
                <w:rFonts w:hint="eastAsia"/>
                <w:color w:val="FF0000"/>
                <w:kern w:val="2"/>
                <w:sz w:val="21"/>
                <w:szCs w:val="21"/>
                <w:lang w:val="en-US" w:eastAsia="zh-CN"/>
              </w:rPr>
              <w:t>a</w:t>
            </w:r>
          </w:p>
        </w:tc>
        <w:tc>
          <w:tcPr>
            <w:tcW w:w="1407" w:type="dxa"/>
            <w:textDirection w:val="lrTb"/>
            <w:vAlign w:val="center"/>
          </w:tcPr>
          <w:p>
            <w:pPr>
              <w:snapToGrid w:val="0"/>
              <w:contextualSpacing/>
              <w:jc w:val="center"/>
              <w:rPr>
                <w:rFonts w:hint="default" w:ascii="Times New Roman" w:hAnsi="Times New Roman" w:cs="Times New Roman"/>
                <w:snapToGrid w:val="0"/>
                <w:color w:val="FF0000"/>
                <w:kern w:val="21"/>
                <w:szCs w:val="21"/>
                <w:lang w:val="en-US" w:eastAsia="zh-CN"/>
              </w:rPr>
            </w:pPr>
            <w:r>
              <w:rPr>
                <w:rFonts w:hint="eastAsia" w:ascii="Times New Roman" w:hAnsi="Times New Roman" w:cs="Times New Roman"/>
                <w:color w:val="FF0000"/>
                <w:szCs w:val="21"/>
                <w:lang w:val="en-US" w:eastAsia="zh-CN"/>
              </w:rPr>
              <w:t>+0.42</w:t>
            </w:r>
            <w:r>
              <w:rPr>
                <w:rFonts w:hint="default" w:ascii="Times New Roman" w:hAnsi="Times New Roman" w:cs="Times New Roman"/>
                <w:color w:val="FF0000"/>
                <w:sz w:val="21"/>
                <w:szCs w:val="21"/>
              </w:rPr>
              <w:t>t</w:t>
            </w:r>
            <w:r>
              <w:rPr>
                <w:rFonts w:hint="eastAsia"/>
                <w:color w:val="FF0000"/>
                <w:kern w:val="2"/>
                <w:sz w:val="21"/>
                <w:szCs w:val="21"/>
              </w:rPr>
              <w:t>/</w:t>
            </w:r>
            <w:r>
              <w:rPr>
                <w:rFonts w:hint="eastAsia"/>
                <w:color w:val="FF0000"/>
                <w:kern w:val="2"/>
                <w:sz w:val="21"/>
                <w:szCs w:val="21"/>
                <w:lang w:val="en-US" w:eastAsia="zh-CN"/>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141" w:type="dxa"/>
            <w:vMerge w:val="continue"/>
            <w:vAlign w:val="center"/>
          </w:tcPr>
          <w:p>
            <w:pPr>
              <w:pStyle w:val="30"/>
              <w:spacing w:beforeLines="0" w:afterLines="0" w:line="240" w:lineRule="auto"/>
              <w:rPr>
                <w:rFonts w:hint="default" w:ascii="Times New Roman" w:hAnsi="Times New Roman" w:cs="Times New Roman"/>
                <w:snapToGrid w:val="0"/>
                <w:color w:val="auto"/>
                <w:kern w:val="21"/>
                <w:szCs w:val="21"/>
              </w:rPr>
            </w:pPr>
          </w:p>
        </w:tc>
        <w:tc>
          <w:tcPr>
            <w:tcW w:w="1705" w:type="dxa"/>
            <w:gridSpan w:val="2"/>
            <w:vAlign w:val="center"/>
          </w:tcPr>
          <w:p>
            <w:pPr>
              <w:pStyle w:val="42"/>
              <w:spacing w:line="240" w:lineRule="auto"/>
              <w:rPr>
                <w:rFonts w:hint="eastAsia" w:ascii="Times New Roman" w:hAnsi="Times New Roman" w:cs="Times New Roman"/>
                <w:snapToGrid w:val="0"/>
                <w:color w:val="auto"/>
                <w:kern w:val="21"/>
                <w:szCs w:val="21"/>
                <w:lang w:val="en-US" w:eastAsia="zh-CN"/>
              </w:rPr>
            </w:pPr>
            <w:r>
              <w:rPr>
                <w:rFonts w:hint="eastAsia"/>
                <w:color w:val="auto"/>
                <w:kern w:val="2"/>
                <w:sz w:val="21"/>
                <w:szCs w:val="21"/>
              </w:rPr>
              <w:t>二氧化硫</w:t>
            </w:r>
          </w:p>
        </w:tc>
        <w:tc>
          <w:tcPr>
            <w:tcW w:w="1713" w:type="dxa"/>
            <w:vAlign w:val="center"/>
          </w:tcPr>
          <w:p>
            <w:pPr>
              <w:pStyle w:val="30"/>
              <w:spacing w:beforeLines="0" w:afterLines="0" w:line="240" w:lineRule="auto"/>
              <w:rPr>
                <w:rFonts w:hint="eastAsia" w:ascii="Times New Roman" w:hAnsi="Times New Roman" w:cs="Times New Roman"/>
                <w:snapToGrid w:val="0"/>
                <w:color w:val="FF0000"/>
                <w:kern w:val="21"/>
                <w:szCs w:val="21"/>
                <w:lang w:val="en-US" w:eastAsia="zh-CN"/>
              </w:rPr>
            </w:pPr>
            <w:r>
              <w:rPr>
                <w:rFonts w:hint="eastAsia" w:ascii="Times New Roman" w:hAnsi="Times New Roman" w:cs="Times New Roman" w:eastAsiaTheme="minorEastAsia"/>
                <w:color w:val="FF0000"/>
                <w:kern w:val="2"/>
                <w:sz w:val="21"/>
                <w:szCs w:val="21"/>
                <w:lang w:val="en-US" w:eastAsia="zh-CN" w:bidi="ar-SA"/>
              </w:rPr>
              <w:t>0.086</w:t>
            </w:r>
            <w:r>
              <w:rPr>
                <w:rFonts w:hint="default" w:ascii="Times New Roman" w:hAnsi="Times New Roman" w:cs="Times New Roman" w:eastAsiaTheme="minorEastAsia"/>
                <w:color w:val="FF0000"/>
                <w:kern w:val="2"/>
                <w:sz w:val="21"/>
                <w:szCs w:val="21"/>
                <w:lang w:val="en-US" w:eastAsia="zh-CN" w:bidi="ar-SA"/>
              </w:rPr>
              <w:t>t</w:t>
            </w:r>
            <w:r>
              <w:rPr>
                <w:rFonts w:hint="eastAsia" w:ascii="Times New Roman" w:hAnsi="Times New Roman" w:cs="Times New Roman" w:eastAsiaTheme="minorEastAsia"/>
                <w:color w:val="FF0000"/>
                <w:kern w:val="2"/>
                <w:sz w:val="21"/>
                <w:szCs w:val="21"/>
                <w:lang w:val="en-US" w:eastAsia="zh-CN" w:bidi="ar-SA"/>
              </w:rPr>
              <w:t>/a</w:t>
            </w:r>
          </w:p>
        </w:tc>
        <w:tc>
          <w:tcPr>
            <w:tcW w:w="1224" w:type="dxa"/>
            <w:vAlign w:val="center"/>
          </w:tcPr>
          <w:p>
            <w:pPr>
              <w:pStyle w:val="30"/>
              <w:spacing w:beforeLines="0" w:afterLines="0" w:line="240" w:lineRule="auto"/>
              <w:rPr>
                <w:rFonts w:hint="eastAsia" w:ascii="Times New Roman" w:hAnsi="Times New Roman" w:cs="Times New Roman"/>
                <w:snapToGrid w:val="0"/>
                <w:color w:val="FF0000"/>
                <w:kern w:val="21"/>
                <w:szCs w:val="21"/>
                <w:lang w:val="en-US" w:eastAsia="zh-CN"/>
              </w:rPr>
            </w:pPr>
            <w:r>
              <w:rPr>
                <w:rFonts w:hint="eastAsia" w:ascii="Times New Roman" w:hAnsi="Times New Roman" w:cs="Times New Roman"/>
                <w:snapToGrid w:val="0"/>
                <w:color w:val="FF0000"/>
                <w:kern w:val="21"/>
                <w:szCs w:val="21"/>
                <w:lang w:val="en-US" w:eastAsia="zh-CN"/>
              </w:rPr>
              <w:t>/</w:t>
            </w:r>
          </w:p>
        </w:tc>
        <w:tc>
          <w:tcPr>
            <w:tcW w:w="1893" w:type="dxa"/>
            <w:vAlign w:val="center"/>
          </w:tcPr>
          <w:p>
            <w:pPr>
              <w:pStyle w:val="30"/>
              <w:spacing w:beforeLines="0" w:afterLines="0" w:line="240" w:lineRule="auto"/>
              <w:rPr>
                <w:rFonts w:hint="eastAsia" w:ascii="Times New Roman" w:hAnsi="Times New Roman" w:cs="Times New Roman"/>
                <w:snapToGrid w:val="0"/>
                <w:color w:val="FF0000"/>
                <w:kern w:val="21"/>
                <w:szCs w:val="21"/>
                <w:lang w:val="en-US" w:eastAsia="zh-CN"/>
              </w:rPr>
            </w:pPr>
            <w:r>
              <w:rPr>
                <w:rFonts w:hint="eastAsia" w:ascii="Times New Roman" w:hAnsi="Times New Roman" w:cs="Times New Roman"/>
                <w:snapToGrid w:val="0"/>
                <w:color w:val="FF0000"/>
                <w:kern w:val="21"/>
                <w:szCs w:val="21"/>
                <w:lang w:val="en-US" w:eastAsia="zh-CN"/>
              </w:rPr>
              <w:t>/</w:t>
            </w:r>
          </w:p>
        </w:tc>
        <w:tc>
          <w:tcPr>
            <w:tcW w:w="1449" w:type="dxa"/>
            <w:vAlign w:val="center"/>
          </w:tcPr>
          <w:p>
            <w:pPr>
              <w:snapToGrid w:val="0"/>
              <w:contextualSpacing/>
              <w:jc w:val="center"/>
              <w:rPr>
                <w:rFonts w:hint="eastAsia" w:ascii="Times New Roman" w:hAnsi="Times New Roman" w:cs="Times New Roman"/>
                <w:snapToGrid w:val="0"/>
                <w:color w:val="FF0000"/>
                <w:kern w:val="21"/>
                <w:szCs w:val="21"/>
                <w:lang w:val="en-US" w:eastAsia="zh-CN"/>
              </w:rPr>
            </w:pPr>
            <w:r>
              <w:rPr>
                <w:rFonts w:hint="eastAsia" w:ascii="Times New Roman" w:hAnsi="Times New Roman" w:cs="Times New Roman"/>
                <w:color w:val="FF0000"/>
                <w:szCs w:val="21"/>
                <w:lang w:val="en-US" w:eastAsia="zh-CN"/>
              </w:rPr>
              <w:t>0.42</w:t>
            </w:r>
            <w:r>
              <w:rPr>
                <w:rFonts w:hint="default" w:ascii="Times New Roman" w:hAnsi="Times New Roman" w:cs="Times New Roman"/>
                <w:color w:val="FF0000"/>
                <w:sz w:val="21"/>
                <w:szCs w:val="21"/>
              </w:rPr>
              <w:t>t</w:t>
            </w:r>
            <w:r>
              <w:rPr>
                <w:rFonts w:hint="eastAsia"/>
                <w:color w:val="FF0000"/>
                <w:kern w:val="2"/>
                <w:sz w:val="21"/>
                <w:szCs w:val="21"/>
              </w:rPr>
              <w:t>/</w:t>
            </w:r>
            <w:r>
              <w:rPr>
                <w:rFonts w:hint="eastAsia"/>
                <w:color w:val="FF0000"/>
                <w:kern w:val="2"/>
                <w:sz w:val="21"/>
                <w:szCs w:val="21"/>
                <w:lang w:val="en-US" w:eastAsia="zh-CN"/>
              </w:rPr>
              <w:t>a</w:t>
            </w:r>
          </w:p>
        </w:tc>
        <w:tc>
          <w:tcPr>
            <w:tcW w:w="1736" w:type="dxa"/>
            <w:vAlign w:val="center"/>
          </w:tcPr>
          <w:p>
            <w:pPr>
              <w:pStyle w:val="30"/>
              <w:spacing w:beforeLines="0" w:afterLines="0" w:line="240" w:lineRule="auto"/>
              <w:rPr>
                <w:rFonts w:hint="eastAsia" w:ascii="Times New Roman" w:hAnsi="Times New Roman" w:cs="Times New Roman"/>
                <w:snapToGrid w:val="0"/>
                <w:color w:val="FF0000"/>
                <w:kern w:val="21"/>
                <w:szCs w:val="21"/>
                <w:lang w:val="en-US" w:eastAsia="zh-CN"/>
              </w:rPr>
            </w:pPr>
            <w:r>
              <w:rPr>
                <w:rFonts w:hint="eastAsia" w:ascii="Times New Roman" w:hAnsi="Times New Roman" w:cs="Times New Roman"/>
                <w:snapToGrid w:val="0"/>
                <w:color w:val="FF0000"/>
                <w:kern w:val="21"/>
                <w:szCs w:val="21"/>
                <w:lang w:val="en-US" w:eastAsia="zh-CN"/>
              </w:rPr>
              <w:t>/</w:t>
            </w:r>
          </w:p>
        </w:tc>
        <w:tc>
          <w:tcPr>
            <w:tcW w:w="1892" w:type="dxa"/>
            <w:vAlign w:val="center"/>
          </w:tcPr>
          <w:p>
            <w:pPr>
              <w:snapToGrid w:val="0"/>
              <w:contextualSpacing/>
              <w:jc w:val="center"/>
              <w:rPr>
                <w:rFonts w:hint="eastAsia" w:ascii="Times New Roman" w:hAnsi="Times New Roman" w:cs="Times New Roman"/>
                <w:snapToGrid w:val="0"/>
                <w:color w:val="FF0000"/>
                <w:kern w:val="21"/>
                <w:szCs w:val="21"/>
                <w:lang w:val="en-US" w:eastAsia="zh-CN"/>
              </w:rPr>
            </w:pPr>
            <w:r>
              <w:rPr>
                <w:rFonts w:hint="eastAsia" w:ascii="Times New Roman" w:hAnsi="Times New Roman" w:cs="Times New Roman"/>
                <w:color w:val="FF0000"/>
                <w:szCs w:val="21"/>
                <w:lang w:val="en-US" w:eastAsia="zh-CN"/>
              </w:rPr>
              <w:t>0.506</w:t>
            </w:r>
            <w:r>
              <w:rPr>
                <w:rFonts w:hint="default" w:ascii="Times New Roman" w:hAnsi="Times New Roman" w:cs="Times New Roman"/>
                <w:color w:val="FF0000"/>
                <w:sz w:val="21"/>
                <w:szCs w:val="21"/>
              </w:rPr>
              <w:t>t</w:t>
            </w:r>
            <w:r>
              <w:rPr>
                <w:rFonts w:hint="eastAsia"/>
                <w:color w:val="FF0000"/>
                <w:kern w:val="2"/>
                <w:sz w:val="21"/>
                <w:szCs w:val="21"/>
              </w:rPr>
              <w:t>/</w:t>
            </w:r>
            <w:r>
              <w:rPr>
                <w:rFonts w:hint="eastAsia"/>
                <w:color w:val="FF0000"/>
                <w:kern w:val="2"/>
                <w:sz w:val="21"/>
                <w:szCs w:val="21"/>
                <w:lang w:val="en-US" w:eastAsia="zh-CN"/>
              </w:rPr>
              <w:t>a</w:t>
            </w:r>
          </w:p>
        </w:tc>
        <w:tc>
          <w:tcPr>
            <w:tcW w:w="1407" w:type="dxa"/>
            <w:textDirection w:val="lrTb"/>
            <w:vAlign w:val="center"/>
          </w:tcPr>
          <w:p>
            <w:pPr>
              <w:snapToGrid w:val="0"/>
              <w:contextualSpacing/>
              <w:jc w:val="center"/>
              <w:rPr>
                <w:rFonts w:hint="eastAsia" w:ascii="Times New Roman" w:hAnsi="Times New Roman" w:cs="Times New Roman"/>
                <w:snapToGrid w:val="0"/>
                <w:color w:val="FF0000"/>
                <w:kern w:val="21"/>
                <w:szCs w:val="21"/>
                <w:lang w:val="en-US" w:eastAsia="zh-CN"/>
              </w:rPr>
            </w:pPr>
            <w:r>
              <w:rPr>
                <w:rFonts w:hint="eastAsia" w:ascii="Times New Roman" w:hAnsi="Times New Roman" w:cs="Times New Roman"/>
                <w:color w:val="FF0000"/>
                <w:szCs w:val="21"/>
                <w:lang w:val="en-US" w:eastAsia="zh-CN"/>
              </w:rPr>
              <w:t>+0.42</w:t>
            </w:r>
            <w:r>
              <w:rPr>
                <w:rFonts w:hint="default" w:ascii="Times New Roman" w:hAnsi="Times New Roman" w:cs="Times New Roman"/>
                <w:color w:val="FF0000"/>
                <w:sz w:val="21"/>
                <w:szCs w:val="21"/>
              </w:rPr>
              <w:t>t</w:t>
            </w:r>
            <w:r>
              <w:rPr>
                <w:rFonts w:hint="eastAsia"/>
                <w:color w:val="FF0000"/>
                <w:kern w:val="2"/>
                <w:sz w:val="21"/>
                <w:szCs w:val="21"/>
              </w:rPr>
              <w:t>/</w:t>
            </w:r>
            <w:r>
              <w:rPr>
                <w:rFonts w:hint="eastAsia"/>
                <w:color w:val="FF0000"/>
                <w:kern w:val="2"/>
                <w:sz w:val="21"/>
                <w:szCs w:val="21"/>
                <w:lang w:val="en-US" w:eastAsia="zh-CN"/>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141" w:type="dxa"/>
            <w:vMerge w:val="continue"/>
            <w:vAlign w:val="center"/>
          </w:tcPr>
          <w:p>
            <w:pPr>
              <w:pStyle w:val="30"/>
              <w:spacing w:beforeLines="0" w:afterLines="0" w:line="240" w:lineRule="auto"/>
              <w:rPr>
                <w:rFonts w:hint="default" w:ascii="Times New Roman" w:hAnsi="Times New Roman" w:cs="Times New Roman"/>
                <w:snapToGrid w:val="0"/>
                <w:color w:val="auto"/>
                <w:kern w:val="21"/>
                <w:szCs w:val="21"/>
              </w:rPr>
            </w:pPr>
          </w:p>
        </w:tc>
        <w:tc>
          <w:tcPr>
            <w:tcW w:w="1705" w:type="dxa"/>
            <w:gridSpan w:val="2"/>
            <w:vAlign w:val="center"/>
          </w:tcPr>
          <w:p>
            <w:pPr>
              <w:pStyle w:val="42"/>
              <w:spacing w:line="240" w:lineRule="auto"/>
              <w:rPr>
                <w:rFonts w:hint="eastAsia"/>
                <w:color w:val="auto"/>
                <w:kern w:val="2"/>
                <w:sz w:val="21"/>
                <w:szCs w:val="21"/>
              </w:rPr>
            </w:pPr>
            <w:r>
              <w:rPr>
                <w:rFonts w:hint="eastAsia"/>
                <w:color w:val="auto"/>
                <w:kern w:val="2"/>
                <w:sz w:val="21"/>
                <w:szCs w:val="21"/>
              </w:rPr>
              <w:t>氮氧化物</w:t>
            </w:r>
          </w:p>
        </w:tc>
        <w:tc>
          <w:tcPr>
            <w:tcW w:w="1713" w:type="dxa"/>
            <w:vAlign w:val="center"/>
          </w:tcPr>
          <w:p>
            <w:pPr>
              <w:pStyle w:val="30"/>
              <w:spacing w:beforeLines="0" w:afterLines="0" w:line="240" w:lineRule="auto"/>
              <w:rPr>
                <w:rFonts w:hint="eastAsia" w:ascii="Times New Roman" w:hAnsi="Times New Roman" w:cs="Times New Roman"/>
                <w:snapToGrid w:val="0"/>
                <w:color w:val="FF0000"/>
                <w:kern w:val="21"/>
                <w:szCs w:val="21"/>
                <w:lang w:val="en-US" w:eastAsia="zh-CN"/>
              </w:rPr>
            </w:pPr>
            <w:r>
              <w:rPr>
                <w:rFonts w:hint="eastAsia" w:ascii="Times New Roman" w:hAnsi="Times New Roman" w:cs="Times New Roman" w:eastAsiaTheme="minorEastAsia"/>
                <w:color w:val="FF0000"/>
                <w:kern w:val="2"/>
                <w:sz w:val="21"/>
                <w:szCs w:val="21"/>
                <w:lang w:val="en-US" w:eastAsia="zh-CN" w:bidi="ar-SA"/>
              </w:rPr>
              <w:t>1.81</w:t>
            </w:r>
            <w:r>
              <w:rPr>
                <w:rFonts w:hint="default" w:ascii="Times New Roman" w:hAnsi="Times New Roman" w:cs="Times New Roman" w:eastAsiaTheme="minorEastAsia"/>
                <w:color w:val="FF0000"/>
                <w:kern w:val="2"/>
                <w:sz w:val="21"/>
                <w:szCs w:val="21"/>
                <w:lang w:val="en-US" w:eastAsia="zh-CN" w:bidi="ar-SA"/>
              </w:rPr>
              <w:t>t</w:t>
            </w:r>
            <w:r>
              <w:rPr>
                <w:rFonts w:hint="eastAsia" w:ascii="Times New Roman" w:hAnsi="Times New Roman" w:cs="Times New Roman" w:eastAsiaTheme="minorEastAsia"/>
                <w:color w:val="FF0000"/>
                <w:kern w:val="2"/>
                <w:sz w:val="21"/>
                <w:szCs w:val="21"/>
                <w:lang w:val="en-US" w:eastAsia="zh-CN" w:bidi="ar-SA"/>
              </w:rPr>
              <w:t>/a</w:t>
            </w:r>
          </w:p>
        </w:tc>
        <w:tc>
          <w:tcPr>
            <w:tcW w:w="1224" w:type="dxa"/>
            <w:vAlign w:val="center"/>
          </w:tcPr>
          <w:p>
            <w:pPr>
              <w:pStyle w:val="30"/>
              <w:spacing w:beforeLines="0" w:afterLines="0" w:line="240" w:lineRule="auto"/>
              <w:rPr>
                <w:rFonts w:hint="eastAsia" w:ascii="Times New Roman" w:hAnsi="Times New Roman" w:cs="Times New Roman"/>
                <w:snapToGrid w:val="0"/>
                <w:color w:val="FF0000"/>
                <w:kern w:val="21"/>
                <w:szCs w:val="21"/>
                <w:lang w:val="en-US" w:eastAsia="zh-CN"/>
              </w:rPr>
            </w:pPr>
            <w:r>
              <w:rPr>
                <w:rFonts w:hint="eastAsia" w:ascii="Times New Roman" w:hAnsi="Times New Roman" w:cs="Times New Roman"/>
                <w:snapToGrid w:val="0"/>
                <w:color w:val="FF0000"/>
                <w:kern w:val="21"/>
                <w:szCs w:val="21"/>
                <w:lang w:val="en-US" w:eastAsia="zh-CN"/>
              </w:rPr>
              <w:t>/</w:t>
            </w:r>
          </w:p>
        </w:tc>
        <w:tc>
          <w:tcPr>
            <w:tcW w:w="1893" w:type="dxa"/>
            <w:vAlign w:val="center"/>
          </w:tcPr>
          <w:p>
            <w:pPr>
              <w:pStyle w:val="30"/>
              <w:spacing w:beforeLines="0" w:afterLines="0" w:line="240" w:lineRule="auto"/>
              <w:rPr>
                <w:rFonts w:hint="eastAsia" w:ascii="Times New Roman" w:hAnsi="Times New Roman" w:cs="Times New Roman"/>
                <w:snapToGrid w:val="0"/>
                <w:color w:val="FF0000"/>
                <w:kern w:val="21"/>
                <w:szCs w:val="21"/>
                <w:lang w:val="en-US" w:eastAsia="zh-CN"/>
              </w:rPr>
            </w:pPr>
            <w:r>
              <w:rPr>
                <w:rFonts w:hint="eastAsia" w:ascii="Times New Roman" w:hAnsi="Times New Roman" w:cs="Times New Roman"/>
                <w:snapToGrid w:val="0"/>
                <w:color w:val="FF0000"/>
                <w:kern w:val="21"/>
                <w:szCs w:val="21"/>
                <w:lang w:val="en-US" w:eastAsia="zh-CN"/>
              </w:rPr>
              <w:t>/</w:t>
            </w:r>
          </w:p>
        </w:tc>
        <w:tc>
          <w:tcPr>
            <w:tcW w:w="1449" w:type="dxa"/>
            <w:vAlign w:val="center"/>
          </w:tcPr>
          <w:p>
            <w:pPr>
              <w:snapToGrid w:val="0"/>
              <w:contextualSpacing/>
              <w:jc w:val="center"/>
              <w:rPr>
                <w:rFonts w:hint="eastAsia" w:ascii="Times New Roman" w:hAnsi="Times New Roman" w:cs="Times New Roman"/>
                <w:color w:val="FF0000"/>
                <w:szCs w:val="21"/>
                <w:lang w:val="en-US" w:eastAsia="zh-CN"/>
              </w:rPr>
            </w:pPr>
            <w:r>
              <w:rPr>
                <w:rFonts w:hint="eastAsia" w:ascii="Times New Roman" w:hAnsi="Times New Roman" w:cs="Times New Roman"/>
                <w:color w:val="FF0000"/>
                <w:szCs w:val="21"/>
                <w:lang w:val="en-US" w:eastAsia="zh-CN"/>
              </w:rPr>
              <w:t>1.06</w:t>
            </w:r>
            <w:r>
              <w:rPr>
                <w:rFonts w:hint="default" w:ascii="Times New Roman" w:hAnsi="Times New Roman" w:cs="Times New Roman"/>
                <w:color w:val="FF0000"/>
                <w:szCs w:val="21"/>
                <w:lang w:val="en-US" w:eastAsia="zh-CN"/>
              </w:rPr>
              <w:t>t</w:t>
            </w:r>
            <w:r>
              <w:rPr>
                <w:rFonts w:hint="eastAsia" w:ascii="Times New Roman" w:hAnsi="Times New Roman" w:cs="Times New Roman"/>
                <w:color w:val="FF0000"/>
                <w:szCs w:val="21"/>
                <w:lang w:val="en-US" w:eastAsia="zh-CN"/>
              </w:rPr>
              <w:t>/a</w:t>
            </w:r>
          </w:p>
        </w:tc>
        <w:tc>
          <w:tcPr>
            <w:tcW w:w="1736" w:type="dxa"/>
            <w:vAlign w:val="center"/>
          </w:tcPr>
          <w:p>
            <w:pPr>
              <w:snapToGrid w:val="0"/>
              <w:contextualSpacing/>
              <w:jc w:val="center"/>
              <w:rPr>
                <w:rFonts w:hint="default" w:ascii="Times New Roman" w:hAnsi="Times New Roman" w:cs="Times New Roman"/>
                <w:color w:val="FF0000"/>
                <w:szCs w:val="21"/>
                <w:lang w:val="en-US" w:eastAsia="zh-CN"/>
              </w:rPr>
            </w:pPr>
            <w:r>
              <w:rPr>
                <w:rFonts w:hint="eastAsia" w:ascii="Times New Roman" w:hAnsi="Times New Roman" w:cs="Times New Roman"/>
                <w:color w:val="FF0000"/>
                <w:szCs w:val="21"/>
                <w:lang w:val="en-US" w:eastAsia="zh-CN"/>
              </w:rPr>
              <w:t>0.38</w:t>
            </w:r>
          </w:p>
        </w:tc>
        <w:tc>
          <w:tcPr>
            <w:tcW w:w="1892" w:type="dxa"/>
            <w:vAlign w:val="center"/>
          </w:tcPr>
          <w:p>
            <w:pPr>
              <w:snapToGrid w:val="0"/>
              <w:contextualSpacing/>
              <w:jc w:val="center"/>
              <w:rPr>
                <w:rFonts w:hint="eastAsia" w:ascii="Times New Roman" w:hAnsi="Times New Roman" w:cs="Times New Roman"/>
                <w:color w:val="FF0000"/>
                <w:szCs w:val="21"/>
                <w:lang w:val="en-US" w:eastAsia="zh-CN"/>
              </w:rPr>
            </w:pPr>
            <w:r>
              <w:rPr>
                <w:rFonts w:hint="eastAsia" w:ascii="Times New Roman" w:hAnsi="Times New Roman" w:cs="Times New Roman"/>
                <w:color w:val="FF0000"/>
                <w:szCs w:val="21"/>
                <w:lang w:val="en-US" w:eastAsia="zh-CN"/>
              </w:rPr>
              <w:t>2.49</w:t>
            </w:r>
            <w:r>
              <w:rPr>
                <w:rFonts w:hint="default" w:ascii="Times New Roman" w:hAnsi="Times New Roman" w:cs="Times New Roman"/>
                <w:color w:val="FF0000"/>
                <w:szCs w:val="21"/>
                <w:lang w:val="en-US" w:eastAsia="zh-CN"/>
              </w:rPr>
              <w:t>t</w:t>
            </w:r>
            <w:r>
              <w:rPr>
                <w:rFonts w:hint="eastAsia" w:ascii="Times New Roman" w:hAnsi="Times New Roman" w:cs="Times New Roman"/>
                <w:color w:val="FF0000"/>
                <w:szCs w:val="21"/>
                <w:lang w:val="en-US" w:eastAsia="zh-CN"/>
              </w:rPr>
              <w:t>/a</w:t>
            </w:r>
          </w:p>
        </w:tc>
        <w:tc>
          <w:tcPr>
            <w:tcW w:w="1407" w:type="dxa"/>
            <w:textDirection w:val="lrTb"/>
            <w:vAlign w:val="center"/>
          </w:tcPr>
          <w:p>
            <w:pPr>
              <w:snapToGrid w:val="0"/>
              <w:contextualSpacing/>
              <w:jc w:val="center"/>
              <w:rPr>
                <w:rFonts w:hint="eastAsia" w:ascii="Times New Roman" w:hAnsi="Times New Roman" w:cs="Times New Roman"/>
                <w:color w:val="FF0000"/>
                <w:szCs w:val="21"/>
                <w:lang w:val="en-US" w:eastAsia="zh-CN"/>
              </w:rPr>
            </w:pPr>
            <w:r>
              <w:rPr>
                <w:rFonts w:hint="eastAsia" w:ascii="Times New Roman" w:hAnsi="Times New Roman" w:cs="Times New Roman"/>
                <w:color w:val="0000FF"/>
                <w:szCs w:val="21"/>
                <w:lang w:val="en-US" w:eastAsia="zh-CN"/>
              </w:rPr>
              <w:t>+0.68</w:t>
            </w:r>
            <w:r>
              <w:rPr>
                <w:rFonts w:hint="default" w:ascii="Times New Roman" w:hAnsi="Times New Roman" w:cs="Times New Roman"/>
                <w:color w:val="FF0000"/>
                <w:szCs w:val="21"/>
                <w:lang w:val="en-US" w:eastAsia="zh-CN"/>
              </w:rPr>
              <w:t>t</w:t>
            </w:r>
            <w:r>
              <w:rPr>
                <w:rFonts w:hint="eastAsia" w:ascii="Times New Roman" w:hAnsi="Times New Roman" w:cs="Times New Roman"/>
                <w:color w:val="FF0000"/>
                <w:szCs w:val="21"/>
                <w:lang w:val="en-US" w:eastAsia="zh-CN"/>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141" w:type="dxa"/>
            <w:vMerge w:val="restart"/>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废水</w:t>
            </w:r>
          </w:p>
        </w:tc>
        <w:tc>
          <w:tcPr>
            <w:tcW w:w="803" w:type="dxa"/>
            <w:vMerge w:val="restart"/>
            <w:vAlign w:val="center"/>
          </w:tcPr>
          <w:p>
            <w:pPr>
              <w:pStyle w:val="30"/>
              <w:spacing w:beforeLines="0" w:afterLines="0" w:line="240" w:lineRule="auto"/>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生</w:t>
            </w:r>
            <w:r>
              <w:rPr>
                <w:rFonts w:hint="eastAsia" w:ascii="Times New Roman" w:hAnsi="Times New Roman" w:cs="Times New Roman"/>
                <w:snapToGrid w:val="0"/>
                <w:color w:val="auto"/>
                <w:kern w:val="21"/>
                <w:szCs w:val="21"/>
                <w:lang w:val="en-US" w:eastAsia="zh-CN"/>
              </w:rPr>
              <w:t>产</w:t>
            </w:r>
          </w:p>
          <w:p>
            <w:pPr>
              <w:pStyle w:val="30"/>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废水</w:t>
            </w:r>
          </w:p>
        </w:tc>
        <w:tc>
          <w:tcPr>
            <w:tcW w:w="902" w:type="dxa"/>
            <w:vAlign w:val="center"/>
          </w:tcPr>
          <w:p>
            <w:pPr>
              <w:pStyle w:val="30"/>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排水量</w:t>
            </w:r>
          </w:p>
        </w:tc>
        <w:tc>
          <w:tcPr>
            <w:tcW w:w="1713" w:type="dxa"/>
            <w:vAlign w:val="center"/>
          </w:tcPr>
          <w:p>
            <w:pPr>
              <w:pStyle w:val="30"/>
              <w:spacing w:beforeLines="0" w:afterLines="0" w:line="240" w:lineRule="auto"/>
              <w:rPr>
                <w:rFonts w:hint="default" w:ascii="Times New Roman" w:hAnsi="Times New Roman" w:cs="Times New Roman"/>
                <w:snapToGrid w:val="0"/>
                <w:color w:val="FF0000"/>
                <w:kern w:val="21"/>
                <w:szCs w:val="21"/>
              </w:rPr>
            </w:pPr>
            <w:r>
              <w:rPr>
                <w:rFonts w:hint="eastAsia" w:ascii="Times New Roman" w:hAnsi="Times New Roman" w:cs="Times New Roman"/>
                <w:snapToGrid w:val="0"/>
                <w:color w:val="FF0000"/>
                <w:kern w:val="21"/>
                <w:szCs w:val="21"/>
                <w:lang w:val="en-US" w:eastAsia="zh-CN"/>
              </w:rPr>
              <w:t>9665.55</w:t>
            </w:r>
            <w:r>
              <w:rPr>
                <w:rFonts w:hint="default" w:ascii="Times New Roman" w:hAnsi="Times New Roman" w:cs="Times New Roman"/>
                <w:color w:val="FF0000"/>
                <w:sz w:val="21"/>
                <w:szCs w:val="21"/>
              </w:rPr>
              <w:t>t/a</w:t>
            </w:r>
          </w:p>
        </w:tc>
        <w:tc>
          <w:tcPr>
            <w:tcW w:w="1224" w:type="dxa"/>
            <w:vAlign w:val="center"/>
          </w:tcPr>
          <w:p>
            <w:pPr>
              <w:pStyle w:val="30"/>
              <w:spacing w:beforeLines="0" w:afterLines="0" w:line="240" w:lineRule="auto"/>
              <w:rPr>
                <w:rFonts w:hint="default" w:ascii="Times New Roman" w:hAnsi="Times New Roman" w:cs="Times New Roman"/>
                <w:snapToGrid w:val="0"/>
                <w:color w:val="FF0000"/>
                <w:kern w:val="21"/>
                <w:szCs w:val="21"/>
              </w:rPr>
            </w:pPr>
            <w:r>
              <w:rPr>
                <w:rFonts w:hint="eastAsia" w:ascii="Times New Roman" w:hAnsi="Times New Roman" w:cs="Times New Roman"/>
                <w:snapToGrid w:val="0"/>
                <w:color w:val="FF0000"/>
                <w:kern w:val="21"/>
                <w:szCs w:val="21"/>
                <w:lang w:val="en-US" w:eastAsia="zh-CN"/>
              </w:rPr>
              <w:t>/</w:t>
            </w:r>
          </w:p>
        </w:tc>
        <w:tc>
          <w:tcPr>
            <w:tcW w:w="1893" w:type="dxa"/>
            <w:vAlign w:val="center"/>
          </w:tcPr>
          <w:p>
            <w:pPr>
              <w:pStyle w:val="30"/>
              <w:spacing w:beforeLines="0" w:afterLines="0" w:line="240" w:lineRule="auto"/>
              <w:rPr>
                <w:rFonts w:hint="default" w:ascii="Times New Roman" w:hAnsi="Times New Roman" w:cs="Times New Roman"/>
                <w:snapToGrid w:val="0"/>
                <w:color w:val="FF0000"/>
                <w:kern w:val="21"/>
                <w:szCs w:val="21"/>
              </w:rPr>
            </w:pPr>
            <w:r>
              <w:rPr>
                <w:rFonts w:hint="eastAsia" w:ascii="Times New Roman" w:hAnsi="Times New Roman" w:cs="Times New Roman"/>
                <w:snapToGrid w:val="0"/>
                <w:color w:val="FF0000"/>
                <w:kern w:val="21"/>
                <w:szCs w:val="21"/>
                <w:lang w:val="en-US" w:eastAsia="zh-CN"/>
              </w:rPr>
              <w:t>/</w:t>
            </w:r>
          </w:p>
        </w:tc>
        <w:tc>
          <w:tcPr>
            <w:tcW w:w="1449" w:type="dxa"/>
            <w:vAlign w:val="center"/>
          </w:tcPr>
          <w:p>
            <w:pPr>
              <w:pStyle w:val="30"/>
              <w:spacing w:beforeLines="0" w:afterLines="0" w:line="240" w:lineRule="auto"/>
              <w:rPr>
                <w:rFonts w:hint="default" w:ascii="Times New Roman" w:hAnsi="Times New Roman" w:cs="Times New Roman" w:eastAsiaTheme="minorEastAsia"/>
                <w:snapToGrid w:val="0"/>
                <w:color w:val="FF0000"/>
                <w:kern w:val="21"/>
                <w:szCs w:val="21"/>
                <w:lang w:val="en-US" w:eastAsia="zh-CN"/>
              </w:rPr>
            </w:pPr>
            <w:r>
              <w:rPr>
                <w:rFonts w:hint="eastAsia" w:ascii="Times New Roman" w:hAnsi="Times New Roman" w:cs="Times New Roman" w:eastAsiaTheme="minorEastAsia"/>
                <w:color w:val="FF0000"/>
                <w:kern w:val="2"/>
                <w:sz w:val="21"/>
                <w:szCs w:val="21"/>
                <w:lang w:val="en-US" w:eastAsia="zh-CN" w:bidi="ar-SA"/>
              </w:rPr>
              <w:t>3221.85</w:t>
            </w:r>
            <w:r>
              <w:rPr>
                <w:rFonts w:hint="default" w:ascii="Times New Roman" w:hAnsi="Times New Roman" w:cs="Times New Roman"/>
                <w:color w:val="FF0000"/>
                <w:sz w:val="21"/>
                <w:szCs w:val="21"/>
              </w:rPr>
              <w:t>t/a</w:t>
            </w:r>
          </w:p>
        </w:tc>
        <w:tc>
          <w:tcPr>
            <w:tcW w:w="1736" w:type="dxa"/>
            <w:vAlign w:val="center"/>
          </w:tcPr>
          <w:p>
            <w:pPr>
              <w:pStyle w:val="30"/>
              <w:spacing w:beforeLines="0" w:afterLines="0" w:line="240" w:lineRule="auto"/>
              <w:rPr>
                <w:rFonts w:hint="default" w:ascii="Times New Roman" w:hAnsi="Times New Roman" w:cs="Times New Roman"/>
                <w:snapToGrid w:val="0"/>
                <w:color w:val="FF0000"/>
                <w:kern w:val="21"/>
                <w:szCs w:val="21"/>
              </w:rPr>
            </w:pPr>
            <w:r>
              <w:rPr>
                <w:rFonts w:hint="eastAsia" w:ascii="Times New Roman" w:hAnsi="Times New Roman" w:cs="Times New Roman"/>
                <w:snapToGrid w:val="0"/>
                <w:color w:val="FF0000"/>
                <w:kern w:val="21"/>
                <w:szCs w:val="21"/>
                <w:lang w:val="en-US" w:eastAsia="zh-CN"/>
              </w:rPr>
              <w:t>/</w:t>
            </w:r>
          </w:p>
        </w:tc>
        <w:tc>
          <w:tcPr>
            <w:tcW w:w="1892" w:type="dxa"/>
            <w:vAlign w:val="center"/>
          </w:tcPr>
          <w:p>
            <w:pPr>
              <w:pStyle w:val="30"/>
              <w:spacing w:beforeLines="0" w:afterLines="0" w:line="240" w:lineRule="auto"/>
              <w:rPr>
                <w:rFonts w:hint="default" w:ascii="Times New Roman" w:hAnsi="Times New Roman" w:cs="Times New Roman"/>
                <w:snapToGrid w:val="0"/>
                <w:color w:val="FF0000"/>
                <w:kern w:val="21"/>
                <w:szCs w:val="21"/>
              </w:rPr>
            </w:pPr>
            <w:r>
              <w:rPr>
                <w:rFonts w:hint="eastAsia" w:ascii="Times New Roman" w:hAnsi="Times New Roman" w:cs="Times New Roman"/>
                <w:snapToGrid w:val="0"/>
                <w:color w:val="FF0000"/>
                <w:kern w:val="21"/>
                <w:szCs w:val="21"/>
                <w:lang w:val="en-US" w:eastAsia="zh-CN"/>
              </w:rPr>
              <w:t>12887.4</w:t>
            </w:r>
            <w:r>
              <w:rPr>
                <w:rFonts w:hint="default" w:ascii="Times New Roman" w:hAnsi="Times New Roman" w:cs="Times New Roman"/>
                <w:color w:val="FF0000"/>
                <w:sz w:val="21"/>
                <w:szCs w:val="21"/>
              </w:rPr>
              <w:t>t/a</w:t>
            </w:r>
          </w:p>
        </w:tc>
        <w:tc>
          <w:tcPr>
            <w:tcW w:w="1407" w:type="dxa"/>
            <w:textDirection w:val="lrTb"/>
            <w:vAlign w:val="center"/>
          </w:tcPr>
          <w:p>
            <w:pPr>
              <w:pStyle w:val="30"/>
              <w:spacing w:beforeLines="0" w:afterLines="0" w:line="240" w:lineRule="auto"/>
              <w:rPr>
                <w:rFonts w:hint="default" w:ascii="Times New Roman" w:hAnsi="Times New Roman" w:cs="Times New Roman"/>
                <w:snapToGrid w:val="0"/>
                <w:color w:val="FF0000"/>
                <w:kern w:val="21"/>
                <w:szCs w:val="21"/>
              </w:rPr>
            </w:pPr>
            <w:r>
              <w:rPr>
                <w:rFonts w:hint="eastAsia" w:ascii="Times New Roman" w:hAnsi="Times New Roman" w:cs="Times New Roman"/>
                <w:color w:val="FF0000"/>
                <w:kern w:val="2"/>
                <w:sz w:val="21"/>
                <w:szCs w:val="21"/>
                <w:lang w:val="en-US" w:eastAsia="zh-CN" w:bidi="ar-SA"/>
              </w:rPr>
              <w:t>+</w:t>
            </w:r>
            <w:r>
              <w:rPr>
                <w:rFonts w:hint="eastAsia" w:ascii="Times New Roman" w:hAnsi="Times New Roman" w:cs="Times New Roman" w:eastAsiaTheme="minorEastAsia"/>
                <w:color w:val="FF0000"/>
                <w:kern w:val="2"/>
                <w:sz w:val="21"/>
                <w:szCs w:val="21"/>
                <w:lang w:val="en-US" w:eastAsia="zh-CN" w:bidi="ar-SA"/>
              </w:rPr>
              <w:t>3221.85</w:t>
            </w:r>
            <w:r>
              <w:rPr>
                <w:rFonts w:hint="default" w:ascii="Times New Roman" w:hAnsi="Times New Roman" w:cs="Times New Roman"/>
                <w:color w:val="FF0000"/>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141" w:type="dxa"/>
            <w:vMerge w:val="continue"/>
            <w:vAlign w:val="center"/>
          </w:tcPr>
          <w:p>
            <w:pPr>
              <w:pStyle w:val="30"/>
              <w:spacing w:beforeLines="0" w:afterLines="0" w:line="240" w:lineRule="auto"/>
              <w:rPr>
                <w:rFonts w:hint="default" w:ascii="Times New Roman" w:hAnsi="Times New Roman" w:cs="Times New Roman"/>
                <w:snapToGrid w:val="0"/>
                <w:color w:val="auto"/>
                <w:kern w:val="21"/>
                <w:szCs w:val="21"/>
              </w:rPr>
            </w:pPr>
          </w:p>
        </w:tc>
        <w:tc>
          <w:tcPr>
            <w:tcW w:w="803" w:type="dxa"/>
            <w:vMerge w:val="continue"/>
            <w:vAlign w:val="center"/>
          </w:tcPr>
          <w:p>
            <w:pPr>
              <w:pStyle w:val="30"/>
              <w:spacing w:beforeLines="0" w:afterLines="0" w:line="240" w:lineRule="auto"/>
              <w:rPr>
                <w:rFonts w:hint="default" w:ascii="Times New Roman" w:hAnsi="Times New Roman" w:cs="Times New Roman" w:eastAsiaTheme="minorEastAsia"/>
                <w:snapToGrid w:val="0"/>
                <w:color w:val="auto"/>
                <w:kern w:val="21"/>
                <w:szCs w:val="21"/>
                <w:lang w:val="en-US" w:eastAsia="zh-CN"/>
              </w:rPr>
            </w:pPr>
          </w:p>
        </w:tc>
        <w:tc>
          <w:tcPr>
            <w:tcW w:w="902" w:type="dxa"/>
            <w:vAlign w:val="center"/>
          </w:tcPr>
          <w:p>
            <w:pPr>
              <w:pStyle w:val="30"/>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default" w:ascii="Times New Roman" w:hAnsi="Times New Roman" w:cs="Times New Roman"/>
                <w:color w:val="auto"/>
                <w:sz w:val="21"/>
                <w:szCs w:val="21"/>
              </w:rPr>
              <w:t>COD</w:t>
            </w:r>
            <w:r>
              <w:rPr>
                <w:rFonts w:hint="default" w:ascii="Times New Roman" w:hAnsi="Times New Roman" w:cs="Times New Roman"/>
                <w:color w:val="auto"/>
                <w:sz w:val="21"/>
                <w:szCs w:val="21"/>
                <w:vertAlign w:val="subscript"/>
              </w:rPr>
              <w:t>Cr</w:t>
            </w:r>
          </w:p>
        </w:tc>
        <w:tc>
          <w:tcPr>
            <w:tcW w:w="1713" w:type="dxa"/>
            <w:vAlign w:val="center"/>
          </w:tcPr>
          <w:p>
            <w:pPr>
              <w:pStyle w:val="30"/>
              <w:spacing w:beforeLines="0" w:afterLines="0" w:line="240" w:lineRule="auto"/>
              <w:rPr>
                <w:rFonts w:hint="default" w:ascii="Times New Roman" w:hAnsi="Times New Roman" w:cs="Times New Roman" w:eastAsiaTheme="minorEastAsia"/>
                <w:snapToGrid w:val="0"/>
                <w:color w:val="FF0000"/>
                <w:kern w:val="21"/>
                <w:sz w:val="21"/>
                <w:szCs w:val="21"/>
                <w:lang w:val="en-US" w:eastAsia="zh-CN" w:bidi="ar-SA"/>
              </w:rPr>
            </w:pPr>
            <w:r>
              <w:rPr>
                <w:rFonts w:hint="eastAsia" w:ascii="Times New Roman" w:hAnsi="Times New Roman" w:cs="Times New Roman"/>
                <w:snapToGrid w:val="0"/>
                <w:color w:val="FF0000"/>
                <w:kern w:val="21"/>
                <w:szCs w:val="21"/>
                <w:lang w:val="en-US" w:eastAsia="zh-CN"/>
              </w:rPr>
              <w:t>0.78</w:t>
            </w:r>
            <w:r>
              <w:rPr>
                <w:rFonts w:hint="default" w:ascii="Times New Roman" w:hAnsi="Times New Roman" w:cs="Times New Roman"/>
                <w:color w:val="FF0000"/>
                <w:sz w:val="21"/>
                <w:szCs w:val="21"/>
              </w:rPr>
              <w:t>t/a</w:t>
            </w:r>
          </w:p>
        </w:tc>
        <w:tc>
          <w:tcPr>
            <w:tcW w:w="1224" w:type="dxa"/>
            <w:vAlign w:val="center"/>
          </w:tcPr>
          <w:p>
            <w:pPr>
              <w:pStyle w:val="30"/>
              <w:spacing w:beforeLines="0" w:afterLines="0" w:line="240" w:lineRule="auto"/>
              <w:rPr>
                <w:rFonts w:hint="default" w:ascii="Times New Roman" w:hAnsi="Times New Roman" w:cs="Times New Roman" w:eastAsiaTheme="minorEastAsia"/>
                <w:snapToGrid w:val="0"/>
                <w:color w:val="FF0000"/>
                <w:kern w:val="21"/>
                <w:sz w:val="21"/>
                <w:szCs w:val="21"/>
                <w:lang w:val="en-US" w:eastAsia="zh-CN" w:bidi="ar-SA"/>
              </w:rPr>
            </w:pPr>
            <w:r>
              <w:rPr>
                <w:rFonts w:hint="eastAsia" w:ascii="Times New Roman" w:hAnsi="Times New Roman" w:cs="Times New Roman"/>
                <w:snapToGrid w:val="0"/>
                <w:color w:val="FF0000"/>
                <w:kern w:val="21"/>
                <w:szCs w:val="21"/>
                <w:lang w:val="en-US" w:eastAsia="zh-CN"/>
              </w:rPr>
              <w:t>/</w:t>
            </w:r>
          </w:p>
        </w:tc>
        <w:tc>
          <w:tcPr>
            <w:tcW w:w="1893" w:type="dxa"/>
            <w:vAlign w:val="center"/>
          </w:tcPr>
          <w:p>
            <w:pPr>
              <w:pStyle w:val="30"/>
              <w:spacing w:beforeLines="0" w:afterLines="0" w:line="240" w:lineRule="auto"/>
              <w:rPr>
                <w:rFonts w:hint="default" w:ascii="Times New Roman" w:hAnsi="Times New Roman" w:cs="Times New Roman" w:eastAsiaTheme="minorEastAsia"/>
                <w:snapToGrid w:val="0"/>
                <w:color w:val="FF0000"/>
                <w:kern w:val="21"/>
                <w:sz w:val="21"/>
                <w:szCs w:val="21"/>
                <w:lang w:val="en-US" w:eastAsia="zh-CN" w:bidi="ar-SA"/>
              </w:rPr>
            </w:pPr>
            <w:r>
              <w:rPr>
                <w:rFonts w:hint="eastAsia" w:ascii="Times New Roman" w:hAnsi="Times New Roman" w:cs="Times New Roman"/>
                <w:snapToGrid w:val="0"/>
                <w:color w:val="FF0000"/>
                <w:kern w:val="21"/>
                <w:szCs w:val="21"/>
                <w:lang w:val="en-US" w:eastAsia="zh-CN"/>
              </w:rPr>
              <w:t>/</w:t>
            </w:r>
          </w:p>
        </w:tc>
        <w:tc>
          <w:tcPr>
            <w:tcW w:w="1449" w:type="dxa"/>
            <w:vAlign w:val="center"/>
          </w:tcPr>
          <w:p>
            <w:pPr>
              <w:pStyle w:val="30"/>
              <w:spacing w:beforeLines="0" w:afterLines="0" w:line="240" w:lineRule="auto"/>
              <w:rPr>
                <w:rFonts w:hint="default" w:ascii="Times New Roman" w:hAnsi="Times New Roman" w:cs="Times New Roman" w:eastAsiaTheme="minorEastAsia"/>
                <w:snapToGrid w:val="0"/>
                <w:color w:val="FF0000"/>
                <w:kern w:val="21"/>
                <w:szCs w:val="21"/>
                <w:lang w:val="en-US" w:eastAsia="zh-CN"/>
              </w:rPr>
            </w:pPr>
            <w:r>
              <w:rPr>
                <w:rFonts w:hint="eastAsia" w:ascii="Times New Roman" w:hAnsi="Times New Roman" w:cs="Times New Roman"/>
                <w:b w:val="0"/>
                <w:bCs/>
                <w:color w:val="FF0000"/>
                <w:sz w:val="21"/>
                <w:highlight w:val="none"/>
                <w:vertAlign w:val="baseline"/>
                <w:lang w:val="en-US" w:eastAsia="zh-CN"/>
              </w:rPr>
              <w:t>0.26</w:t>
            </w:r>
            <w:r>
              <w:rPr>
                <w:rFonts w:hint="default" w:ascii="Times New Roman" w:hAnsi="Times New Roman" w:cs="Times New Roman"/>
                <w:color w:val="FF0000"/>
                <w:sz w:val="21"/>
                <w:szCs w:val="21"/>
              </w:rPr>
              <w:t>t/a</w:t>
            </w:r>
          </w:p>
        </w:tc>
        <w:tc>
          <w:tcPr>
            <w:tcW w:w="1736" w:type="dxa"/>
            <w:vAlign w:val="center"/>
          </w:tcPr>
          <w:p>
            <w:pPr>
              <w:pStyle w:val="30"/>
              <w:spacing w:beforeLines="0" w:afterLines="0" w:line="240" w:lineRule="auto"/>
              <w:rPr>
                <w:rFonts w:hint="default" w:ascii="Times New Roman" w:hAnsi="Times New Roman" w:cs="Times New Roman"/>
                <w:snapToGrid w:val="0"/>
                <w:color w:val="FF0000"/>
                <w:kern w:val="21"/>
                <w:szCs w:val="21"/>
              </w:rPr>
            </w:pPr>
            <w:r>
              <w:rPr>
                <w:rFonts w:hint="eastAsia" w:ascii="Times New Roman" w:hAnsi="Times New Roman" w:cs="Times New Roman"/>
                <w:snapToGrid w:val="0"/>
                <w:color w:val="FF0000"/>
                <w:kern w:val="21"/>
                <w:szCs w:val="21"/>
                <w:lang w:val="en-US" w:eastAsia="zh-CN"/>
              </w:rPr>
              <w:t>/</w:t>
            </w:r>
          </w:p>
        </w:tc>
        <w:tc>
          <w:tcPr>
            <w:tcW w:w="1892" w:type="dxa"/>
            <w:vAlign w:val="center"/>
          </w:tcPr>
          <w:p>
            <w:pPr>
              <w:pStyle w:val="30"/>
              <w:spacing w:beforeLines="0" w:afterLines="0" w:line="240" w:lineRule="auto"/>
              <w:rPr>
                <w:rFonts w:hint="default" w:ascii="Times New Roman" w:hAnsi="Times New Roman" w:cs="Times New Roman"/>
                <w:snapToGrid w:val="0"/>
                <w:color w:val="FF0000"/>
                <w:kern w:val="21"/>
                <w:szCs w:val="21"/>
              </w:rPr>
            </w:pPr>
            <w:r>
              <w:rPr>
                <w:rFonts w:hint="eastAsia" w:ascii="Times New Roman" w:hAnsi="Times New Roman" w:cs="Times New Roman"/>
                <w:b w:val="0"/>
                <w:bCs/>
                <w:color w:val="FF0000"/>
                <w:sz w:val="21"/>
                <w:highlight w:val="none"/>
                <w:vertAlign w:val="baseline"/>
                <w:lang w:val="en-US" w:eastAsia="zh-CN"/>
              </w:rPr>
              <w:t>1.04</w:t>
            </w:r>
            <w:r>
              <w:rPr>
                <w:rFonts w:hint="default" w:ascii="Times New Roman" w:hAnsi="Times New Roman" w:cs="Times New Roman"/>
                <w:color w:val="FF0000"/>
                <w:sz w:val="21"/>
                <w:szCs w:val="21"/>
              </w:rPr>
              <w:t>t/a</w:t>
            </w:r>
          </w:p>
        </w:tc>
        <w:tc>
          <w:tcPr>
            <w:tcW w:w="1407" w:type="dxa"/>
            <w:textDirection w:val="lrTb"/>
            <w:vAlign w:val="center"/>
          </w:tcPr>
          <w:p>
            <w:pPr>
              <w:pStyle w:val="30"/>
              <w:spacing w:beforeLines="0" w:afterLines="0" w:line="240" w:lineRule="auto"/>
              <w:rPr>
                <w:rFonts w:hint="default" w:ascii="Times New Roman" w:hAnsi="Times New Roman" w:cs="Times New Roman"/>
                <w:snapToGrid w:val="0"/>
                <w:color w:val="FF0000"/>
                <w:kern w:val="21"/>
                <w:szCs w:val="21"/>
              </w:rPr>
            </w:pPr>
            <w:r>
              <w:rPr>
                <w:rFonts w:hint="eastAsia" w:ascii="Times New Roman" w:hAnsi="Times New Roman" w:cs="Times New Roman"/>
                <w:b w:val="0"/>
                <w:bCs/>
                <w:color w:val="FF0000"/>
                <w:sz w:val="21"/>
                <w:highlight w:val="none"/>
                <w:vertAlign w:val="baseline"/>
                <w:lang w:val="en-US" w:eastAsia="zh-CN"/>
              </w:rPr>
              <w:t>+0.26</w:t>
            </w:r>
            <w:r>
              <w:rPr>
                <w:rFonts w:hint="default" w:ascii="Times New Roman" w:hAnsi="Times New Roman" w:cs="Times New Roman"/>
                <w:color w:val="FF0000"/>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141" w:type="dxa"/>
            <w:vMerge w:val="restart"/>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一般工业</w:t>
            </w:r>
          </w:p>
          <w:p>
            <w:pPr>
              <w:pStyle w:val="30"/>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固体废物</w:t>
            </w:r>
          </w:p>
        </w:tc>
        <w:tc>
          <w:tcPr>
            <w:tcW w:w="1705" w:type="dxa"/>
            <w:gridSpan w:val="2"/>
            <w:vAlign w:val="center"/>
          </w:tcPr>
          <w:p>
            <w:pPr>
              <w:pStyle w:val="30"/>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713" w:type="dxa"/>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224" w:type="dxa"/>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893" w:type="dxa"/>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449" w:type="dxa"/>
            <w:vAlign w:val="center"/>
          </w:tcPr>
          <w:p>
            <w:pPr>
              <w:pStyle w:val="30"/>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736" w:type="dxa"/>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892" w:type="dxa"/>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407" w:type="dxa"/>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141" w:type="dxa"/>
            <w:vMerge w:val="continue"/>
            <w:vAlign w:val="center"/>
          </w:tcPr>
          <w:p>
            <w:pPr>
              <w:pStyle w:val="30"/>
              <w:spacing w:beforeLines="0" w:afterLines="0" w:line="240" w:lineRule="auto"/>
              <w:rPr>
                <w:rFonts w:hint="default" w:ascii="Times New Roman" w:hAnsi="Times New Roman" w:cs="Times New Roman"/>
                <w:snapToGrid w:val="0"/>
                <w:color w:val="auto"/>
                <w:kern w:val="21"/>
                <w:szCs w:val="21"/>
              </w:rPr>
            </w:pPr>
          </w:p>
        </w:tc>
        <w:tc>
          <w:tcPr>
            <w:tcW w:w="1705" w:type="dxa"/>
            <w:gridSpan w:val="2"/>
            <w:vAlign w:val="center"/>
          </w:tcPr>
          <w:p>
            <w:pPr>
              <w:pStyle w:val="30"/>
              <w:spacing w:beforeLines="0" w:afterLines="0" w:line="240" w:lineRule="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713" w:type="dxa"/>
            <w:vAlign w:val="center"/>
          </w:tcPr>
          <w:p>
            <w:pPr>
              <w:pStyle w:val="30"/>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224" w:type="dxa"/>
            <w:vAlign w:val="center"/>
          </w:tcPr>
          <w:p>
            <w:pPr>
              <w:pStyle w:val="30"/>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893" w:type="dxa"/>
            <w:vAlign w:val="center"/>
          </w:tcPr>
          <w:p>
            <w:pPr>
              <w:pStyle w:val="30"/>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449" w:type="dxa"/>
            <w:vAlign w:val="center"/>
          </w:tcPr>
          <w:p>
            <w:pPr>
              <w:pStyle w:val="30"/>
              <w:spacing w:beforeLines="0" w:afterLines="0" w:line="240" w:lineRule="auto"/>
              <w:rPr>
                <w:rFonts w:hint="default" w:ascii="Times New Roman" w:hAnsi="Times New Roman" w:cs="Times New Roman"/>
                <w:color w:val="auto"/>
                <w:sz w:val="21"/>
                <w:szCs w:val="21"/>
              </w:rPr>
            </w:pPr>
            <w:r>
              <w:rPr>
                <w:rFonts w:hint="eastAsia" w:ascii="Times New Roman" w:hAnsi="Times New Roman" w:cs="Times New Roman"/>
                <w:snapToGrid w:val="0"/>
                <w:color w:val="auto"/>
                <w:kern w:val="21"/>
                <w:szCs w:val="21"/>
                <w:lang w:val="en-US" w:eastAsia="zh-CN"/>
              </w:rPr>
              <w:t>/</w:t>
            </w:r>
          </w:p>
        </w:tc>
        <w:tc>
          <w:tcPr>
            <w:tcW w:w="1736" w:type="dxa"/>
            <w:vAlign w:val="center"/>
          </w:tcPr>
          <w:p>
            <w:pPr>
              <w:pStyle w:val="30"/>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892" w:type="dxa"/>
            <w:vAlign w:val="center"/>
          </w:tcPr>
          <w:p>
            <w:pPr>
              <w:pStyle w:val="30"/>
              <w:spacing w:beforeLines="0" w:afterLines="0" w:line="240" w:lineRule="auto"/>
              <w:rPr>
                <w:rFonts w:hint="default" w:ascii="Times New Roman" w:hAnsi="Times New Roman" w:cs="Times New Roman"/>
                <w:color w:val="auto"/>
                <w:sz w:val="21"/>
                <w:szCs w:val="21"/>
              </w:rPr>
            </w:pPr>
            <w:r>
              <w:rPr>
                <w:rFonts w:hint="eastAsia" w:ascii="Times New Roman" w:hAnsi="Times New Roman" w:cs="Times New Roman"/>
                <w:snapToGrid w:val="0"/>
                <w:color w:val="auto"/>
                <w:kern w:val="21"/>
                <w:szCs w:val="21"/>
                <w:lang w:val="en-US" w:eastAsia="zh-CN"/>
              </w:rPr>
              <w:t>/</w:t>
            </w:r>
          </w:p>
        </w:tc>
        <w:tc>
          <w:tcPr>
            <w:tcW w:w="1407" w:type="dxa"/>
            <w:vAlign w:val="center"/>
          </w:tcPr>
          <w:p>
            <w:pPr>
              <w:pStyle w:val="30"/>
              <w:spacing w:beforeLines="0" w:afterLines="0" w:line="240" w:lineRule="auto"/>
              <w:rPr>
                <w:rFonts w:hint="eastAsia" w:ascii="Times New Roman" w:hAnsi="Times New Roman" w:cs="Times New Roman"/>
                <w:color w:val="auto"/>
                <w:sz w:val="21"/>
                <w:szCs w:val="21"/>
                <w:lang w:val="en-US" w:eastAsia="zh-CN"/>
              </w:rPr>
            </w:pPr>
            <w:r>
              <w:rPr>
                <w:rFonts w:hint="eastAsia" w:ascii="Times New Roman" w:hAnsi="Times New Roman"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141" w:type="dxa"/>
            <w:vMerge w:val="restart"/>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危险废物</w:t>
            </w:r>
          </w:p>
        </w:tc>
        <w:tc>
          <w:tcPr>
            <w:tcW w:w="1705" w:type="dxa"/>
            <w:gridSpan w:val="2"/>
            <w:vAlign w:val="center"/>
          </w:tcPr>
          <w:p>
            <w:pPr>
              <w:pStyle w:val="30"/>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713" w:type="dxa"/>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224" w:type="dxa"/>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893" w:type="dxa"/>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449" w:type="dxa"/>
            <w:vAlign w:val="center"/>
          </w:tcPr>
          <w:p>
            <w:pPr>
              <w:pStyle w:val="30"/>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736" w:type="dxa"/>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892" w:type="dxa"/>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407" w:type="dxa"/>
            <w:vAlign w:val="center"/>
          </w:tcPr>
          <w:p>
            <w:pPr>
              <w:pStyle w:val="30"/>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141" w:type="dxa"/>
            <w:vMerge w:val="continue"/>
            <w:vAlign w:val="center"/>
          </w:tcPr>
          <w:p>
            <w:pPr>
              <w:pStyle w:val="30"/>
              <w:spacing w:beforeLines="0" w:afterLines="0" w:line="240" w:lineRule="auto"/>
              <w:rPr>
                <w:rFonts w:hint="default" w:ascii="Times New Roman" w:hAnsi="Times New Roman" w:cs="Times New Roman"/>
                <w:snapToGrid w:val="0"/>
                <w:color w:val="auto"/>
                <w:kern w:val="21"/>
                <w:szCs w:val="21"/>
              </w:rPr>
            </w:pPr>
          </w:p>
        </w:tc>
        <w:tc>
          <w:tcPr>
            <w:tcW w:w="1705" w:type="dxa"/>
            <w:gridSpan w:val="2"/>
            <w:vAlign w:val="center"/>
          </w:tcPr>
          <w:p>
            <w:pPr>
              <w:pStyle w:val="30"/>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713" w:type="dxa"/>
            <w:vAlign w:val="center"/>
          </w:tcPr>
          <w:p>
            <w:pPr>
              <w:pStyle w:val="30"/>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224" w:type="dxa"/>
            <w:vAlign w:val="center"/>
          </w:tcPr>
          <w:p>
            <w:pPr>
              <w:pStyle w:val="30"/>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893" w:type="dxa"/>
            <w:vAlign w:val="center"/>
          </w:tcPr>
          <w:p>
            <w:pPr>
              <w:pStyle w:val="30"/>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449" w:type="dxa"/>
            <w:vAlign w:val="center"/>
          </w:tcPr>
          <w:p>
            <w:pPr>
              <w:pStyle w:val="30"/>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736" w:type="dxa"/>
            <w:vAlign w:val="center"/>
          </w:tcPr>
          <w:p>
            <w:pPr>
              <w:pStyle w:val="30"/>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892" w:type="dxa"/>
            <w:vAlign w:val="center"/>
          </w:tcPr>
          <w:p>
            <w:pPr>
              <w:pStyle w:val="30"/>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407" w:type="dxa"/>
            <w:vAlign w:val="center"/>
          </w:tcPr>
          <w:p>
            <w:pPr>
              <w:pStyle w:val="30"/>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r>
    </w:tbl>
    <w:p>
      <w:pPr>
        <w:pStyle w:val="30"/>
        <w:spacing w:before="192" w:beforeLines="80" w:after="24"/>
        <w:jc w:val="left"/>
        <w:rPr>
          <w:rFonts w:hint="eastAsia"/>
          <w:color w:val="auto"/>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pgSz w:w="16838" w:h="11906" w:orient="landscape"/>
      <w:pgMar w:top="1803" w:right="1440" w:bottom="1803" w:left="1440" w:header="851"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美黑简体">
    <w:altName w:val="黑体"/>
    <w:panose1 w:val="00000000000000000000"/>
    <w:charset w:val="86"/>
    <w:family w:val="script"/>
    <w:pitch w:val="default"/>
    <w:sig w:usb0="00000000" w:usb1="00000000" w:usb2="00000010" w:usb3="00000000" w:csb0="0004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FangSong-Z02">
    <w:altName w:val="宋体"/>
    <w:panose1 w:val="00000000000000000000"/>
    <w:charset w:val="86"/>
    <w:family w:val="swiss"/>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0"/>
    <w:family w:val="auto"/>
    <w:pitch w:val="default"/>
    <w:sig w:usb0="00000000" w:usb1="00000000" w:usb2="00000000" w:usb3="00000000" w:csb0="0002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Adobe 仿宋 Std R">
    <w:altName w:val="仿宋"/>
    <w:panose1 w:val="00000000000000000000"/>
    <w:charset w:val="86"/>
    <w:family w:val="roman"/>
    <w:pitch w:val="default"/>
    <w:sig w:usb0="00000000" w:usb1="00000000" w:usb2="00000016" w:usb3="00000000" w:csb0="00060007" w:csb1="00000000"/>
  </w:font>
  <w:font w:name="新宋体">
    <w:panose1 w:val="02010609030101010101"/>
    <w:charset w:val="86"/>
    <w:family w:val="modern"/>
    <w:pitch w:val="default"/>
    <w:sig w:usb0="00000283" w:usb1="288F0000" w:usb2="00000006" w:usb3="00000000" w:csb0="00040001" w:csb1="00000000"/>
  </w:font>
  <w:font w:name="MS Gothic">
    <w:panose1 w:val="020B0609070205080204"/>
    <w:charset w:val="80"/>
    <w:family w:val="auto"/>
    <w:pitch w:val="default"/>
    <w:sig w:usb0="E00002FF" w:usb1="6AC7FDFB" w:usb2="08000012" w:usb3="00000000" w:csb0="4002009F" w:csb1="DFD70000"/>
  </w:font>
  <w:font w:name="DejaVu Sans">
    <w:altName w:val="Times New Roman"/>
    <w:panose1 w:val="02020603050405020304"/>
    <w:charset w:val="00"/>
    <w:family w:val="roman"/>
    <w:pitch w:val="default"/>
    <w:sig w:usb0="00000000" w:usb1="00000000" w:usb2="00000008" w:usb3="00000000" w:csb0="000001FF" w:csb1="00000000"/>
  </w:font>
  <w:font w:name="方正书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方正小标宋简体">
    <w:altName w:val="微软雅黑"/>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Wingdings 2">
    <w:panose1 w:val="05020102010507070707"/>
    <w:charset w:val="02"/>
    <w:family w:val="roman"/>
    <w:pitch w:val="default"/>
    <w:sig w:usb0="00000000" w:usb1="00000000" w:usb2="00000000" w:usb3="00000000" w:csb0="8000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汉仪楷体简">
    <w:altName w:val="宋体"/>
    <w:panose1 w:val="02010600000101010101"/>
    <w:charset w:val="86"/>
    <w:family w:val="auto"/>
    <w:pitch w:val="default"/>
    <w:sig w:usb0="00000000" w:usb1="00000000" w:usb2="00000002"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ESRI AMFM Electric"/>
    <w:panose1 w:val="05050102010706020507"/>
    <w:charset w:val="00"/>
    <w:family w:val="auto"/>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16" w:usb3="00000000" w:csb0="0004001F" w:csb1="00000000"/>
  </w:font>
  <w:font w:name="汉仪楷体KW">
    <w:altName w:val="宋体"/>
    <w:panose1 w:val="00020600040101010101"/>
    <w:charset w:val="86"/>
    <w:family w:val="auto"/>
    <w:pitch w:val="default"/>
    <w:sig w:usb0="00000000" w:usb1="00000000" w:usb2="00000016" w:usb3="00000000" w:csb0="00040000" w:csb1="00000000"/>
  </w:font>
  <w:font w:name="汉仪旗黑">
    <w:altName w:val="黑体"/>
    <w:panose1 w:val="00020600040101010101"/>
    <w:charset w:val="86"/>
    <w:family w:val="auto"/>
    <w:pitch w:val="default"/>
    <w:sig w:usb0="00000000" w:usb1="00000000" w:usb2="00000016" w:usb3="00000000" w:csb0="0004009F" w:csb1="DFD70000"/>
  </w:font>
  <w:font w:name="宋体-简">
    <w:altName w:val="宋体"/>
    <w:panose1 w:val="02010800040101010101"/>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ESRI AMFM Electric">
    <w:panose1 w:val="02000400000000000000"/>
    <w:charset w:val="00"/>
    <w:family w:val="auto"/>
    <w:pitch w:val="default"/>
    <w:sig w:usb0="00000003"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文鼎CS中宋">
    <w:altName w:val="宋体"/>
    <w:panose1 w:val="02010609010101010101"/>
    <w:charset w:val="86"/>
    <w:family w:val="modern"/>
    <w:pitch w:val="default"/>
    <w:sig w:usb0="00000000" w:usb1="00000000" w:usb2="00000010" w:usb3="00000000" w:csb0="00040000" w:csb1="00000000"/>
  </w:font>
  <w:font w:name="锟斤拷锟斤拷">
    <w:altName w:val="Segoe Print"/>
    <w:panose1 w:val="00000000000000000000"/>
    <w:charset w:val="00"/>
    <w:family w:val="auto"/>
    <w:pitch w:val="default"/>
    <w:sig w:usb0="00000000" w:usb1="00000000" w:usb2="00000000" w:usb3="00000000" w:csb0="00040001" w:csb1="00000000"/>
  </w:font>
  <w:font w:name="宋体_x0002_ā">
    <w:altName w:val="宋体"/>
    <w:panose1 w:val="00000000000000000000"/>
    <w:charset w:val="86"/>
    <w:family w:val="roman"/>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ingFang SC">
    <w:altName w:val="ESRI AMFM Electric"/>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rPr>
                            <w:t>1</w:t>
                          </w:r>
                          <w:r>
                            <w:rPr>
                              <w:rFonts w:hint="default" w:ascii="Times New Roman" w:hAnsi="Times New Roman" w:cs="Times New Roman"/>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rPr>
                      <w:t>1</w:t>
                    </w:r>
                    <w:r>
                      <w:rPr>
                        <w:rFonts w:hint="default" w:ascii="Times New Roman" w:hAnsi="Times New Roman" w:cs="Times New Roman"/>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53B201"/>
    <w:multiLevelType w:val="singleLevel"/>
    <w:tmpl w:val="8753B201"/>
    <w:lvl w:ilvl="0" w:tentative="0">
      <w:start w:val="1"/>
      <w:numFmt w:val="decimal"/>
      <w:suff w:val="nothing"/>
      <w:lvlText w:val="%1、"/>
      <w:lvlJc w:val="left"/>
    </w:lvl>
  </w:abstractNum>
  <w:abstractNum w:abstractNumId="1">
    <w:nsid w:val="B4333D00"/>
    <w:multiLevelType w:val="singleLevel"/>
    <w:tmpl w:val="B4333D00"/>
    <w:lvl w:ilvl="0" w:tentative="0">
      <w:start w:val="1"/>
      <w:numFmt w:val="decimal"/>
      <w:suff w:val="nothing"/>
      <w:lvlText w:val="（%1）"/>
      <w:lvlJc w:val="left"/>
    </w:lvl>
  </w:abstractNum>
  <w:abstractNum w:abstractNumId="2">
    <w:nsid w:val="DE2F90E6"/>
    <w:multiLevelType w:val="singleLevel"/>
    <w:tmpl w:val="DE2F90E6"/>
    <w:lvl w:ilvl="0" w:tentative="0">
      <w:start w:val="1"/>
      <w:numFmt w:val="decimal"/>
      <w:suff w:val="nothing"/>
      <w:lvlText w:val="（%1）"/>
      <w:lvlJc w:val="left"/>
    </w:lvl>
  </w:abstractNum>
  <w:abstractNum w:abstractNumId="3">
    <w:nsid w:val="0000000A"/>
    <w:multiLevelType w:val="multilevel"/>
    <w:tmpl w:val="0000000A"/>
    <w:lvl w:ilvl="0" w:tentative="0">
      <w:start w:val="1"/>
      <w:numFmt w:val="decimal"/>
      <w:lvlText w:val="%1"/>
      <w:lvlJc w:val="left"/>
      <w:pPr>
        <w:ind w:left="2310" w:firstLine="0"/>
      </w:pPr>
      <w:rPr>
        <w:rFonts w:hint="eastAsia"/>
      </w:rPr>
    </w:lvl>
    <w:lvl w:ilvl="1" w:tentative="0">
      <w:start w:val="1"/>
      <w:numFmt w:val="decimal"/>
      <w:lvlText w:val="%1.%2"/>
      <w:lvlJc w:val="left"/>
      <w:pPr>
        <w:ind w:left="576" w:hanging="576"/>
      </w:pPr>
      <w:rPr>
        <w:rFonts w:hint="eastAsia"/>
      </w:rPr>
    </w:lvl>
    <w:lvl w:ilvl="2" w:tentative="0">
      <w:start w:val="1"/>
      <w:numFmt w:val="decimal"/>
      <w:pStyle w:val="4"/>
      <w:lvlText w:val="%1.%2.%3"/>
      <w:lvlJc w:val="left"/>
      <w:pPr>
        <w:ind w:left="840" w:firstLine="0"/>
      </w:pPr>
      <w:rPr>
        <w:rFonts w:hint="eastAsia"/>
      </w:rPr>
    </w:lvl>
    <w:lvl w:ilvl="3" w:tentative="0">
      <w:start w:val="1"/>
      <w:numFmt w:val="decimal"/>
      <w:lvlText w:val="%1.%2.%3.%4"/>
      <w:lvlJc w:val="left"/>
      <w:pPr>
        <w:ind w:left="1844" w:hanging="184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60C09DF9"/>
    <w:multiLevelType w:val="singleLevel"/>
    <w:tmpl w:val="60C09DF9"/>
    <w:lvl w:ilvl="0" w:tentative="0">
      <w:start w:val="1"/>
      <w:numFmt w:val="decimal"/>
      <w:suff w:val="nothing"/>
      <w:lvlText w:val="%1、"/>
      <w:lvlJc w:val="left"/>
    </w:lvl>
  </w:abstractNum>
  <w:abstractNum w:abstractNumId="5">
    <w:nsid w:val="60CC7F3C"/>
    <w:multiLevelType w:val="singleLevel"/>
    <w:tmpl w:val="60CC7F3C"/>
    <w:lvl w:ilvl="0" w:tentative="0">
      <w:start w:val="3"/>
      <w:numFmt w:val="decimal"/>
      <w:suff w:val="nothing"/>
      <w:lvlText w:val="%1、"/>
      <w:lvlJc w:val="left"/>
    </w:lvl>
  </w:abstractNum>
  <w:abstractNum w:abstractNumId="6">
    <w:nsid w:val="60E2DDD2"/>
    <w:multiLevelType w:val="singleLevel"/>
    <w:tmpl w:val="60E2DDD2"/>
    <w:lvl w:ilvl="0" w:tentative="0">
      <w:start w:val="2"/>
      <w:numFmt w:val="decimal"/>
      <w:suff w:val="nothing"/>
      <w:lvlText w:val="%1、"/>
      <w:lvlJc w:val="left"/>
    </w:lvl>
  </w:abstractNum>
  <w:abstractNum w:abstractNumId="7">
    <w:nsid w:val="6103B131"/>
    <w:multiLevelType w:val="singleLevel"/>
    <w:tmpl w:val="6103B131"/>
    <w:lvl w:ilvl="0" w:tentative="0">
      <w:start w:val="1"/>
      <w:numFmt w:val="decimal"/>
      <w:suff w:val="nothing"/>
      <w:lvlText w:val="%1、"/>
      <w:lvlJc w:val="left"/>
    </w:lvl>
  </w:abstractNum>
  <w:num w:numId="1">
    <w:abstractNumId w:val="3"/>
  </w:num>
  <w:num w:numId="2">
    <w:abstractNumId w:val="0"/>
  </w:num>
  <w:num w:numId="3">
    <w:abstractNumId w:val="1"/>
  </w:num>
  <w:num w:numId="4">
    <w:abstractNumId w:val="4"/>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C5E"/>
    <w:rsid w:val="00110B1F"/>
    <w:rsid w:val="00116B05"/>
    <w:rsid w:val="00203EAD"/>
    <w:rsid w:val="002310B3"/>
    <w:rsid w:val="00282748"/>
    <w:rsid w:val="003035D8"/>
    <w:rsid w:val="004562ED"/>
    <w:rsid w:val="004B6D0E"/>
    <w:rsid w:val="00503F24"/>
    <w:rsid w:val="00591FD1"/>
    <w:rsid w:val="0059250F"/>
    <w:rsid w:val="005F1502"/>
    <w:rsid w:val="00651E9F"/>
    <w:rsid w:val="006B22F2"/>
    <w:rsid w:val="006E0994"/>
    <w:rsid w:val="00753CCD"/>
    <w:rsid w:val="008E6906"/>
    <w:rsid w:val="00901AAB"/>
    <w:rsid w:val="00AE6BFA"/>
    <w:rsid w:val="00B756BE"/>
    <w:rsid w:val="00CE2046"/>
    <w:rsid w:val="00DA0ED4"/>
    <w:rsid w:val="00EF7CF2"/>
    <w:rsid w:val="01193F2D"/>
    <w:rsid w:val="011A41E3"/>
    <w:rsid w:val="011B7770"/>
    <w:rsid w:val="01237B15"/>
    <w:rsid w:val="01323B0D"/>
    <w:rsid w:val="013718A4"/>
    <w:rsid w:val="013B2AA6"/>
    <w:rsid w:val="014516EC"/>
    <w:rsid w:val="0155094A"/>
    <w:rsid w:val="015F0D4B"/>
    <w:rsid w:val="01722FC0"/>
    <w:rsid w:val="018A3C01"/>
    <w:rsid w:val="01917007"/>
    <w:rsid w:val="019D6547"/>
    <w:rsid w:val="01A77A51"/>
    <w:rsid w:val="01AC6FB6"/>
    <w:rsid w:val="01C2546F"/>
    <w:rsid w:val="01CB2142"/>
    <w:rsid w:val="01DC58D9"/>
    <w:rsid w:val="01E614B6"/>
    <w:rsid w:val="02176388"/>
    <w:rsid w:val="02177B47"/>
    <w:rsid w:val="0225197C"/>
    <w:rsid w:val="02265DCB"/>
    <w:rsid w:val="022A1D69"/>
    <w:rsid w:val="02301941"/>
    <w:rsid w:val="02312192"/>
    <w:rsid w:val="0241377C"/>
    <w:rsid w:val="02424ABA"/>
    <w:rsid w:val="024751D3"/>
    <w:rsid w:val="02492A04"/>
    <w:rsid w:val="025259A7"/>
    <w:rsid w:val="025A1817"/>
    <w:rsid w:val="02660F29"/>
    <w:rsid w:val="02786567"/>
    <w:rsid w:val="028D03A1"/>
    <w:rsid w:val="029218C3"/>
    <w:rsid w:val="029F15DF"/>
    <w:rsid w:val="02AF4A2D"/>
    <w:rsid w:val="02C02808"/>
    <w:rsid w:val="02C375AD"/>
    <w:rsid w:val="02C428CD"/>
    <w:rsid w:val="02D00280"/>
    <w:rsid w:val="02F31A2F"/>
    <w:rsid w:val="02F7681B"/>
    <w:rsid w:val="02F969D2"/>
    <w:rsid w:val="031241B5"/>
    <w:rsid w:val="03147A88"/>
    <w:rsid w:val="031A60A6"/>
    <w:rsid w:val="031C3C2F"/>
    <w:rsid w:val="03282BFF"/>
    <w:rsid w:val="03316D2F"/>
    <w:rsid w:val="033778FB"/>
    <w:rsid w:val="033C337A"/>
    <w:rsid w:val="03420A6B"/>
    <w:rsid w:val="03491008"/>
    <w:rsid w:val="035C04E9"/>
    <w:rsid w:val="039A5E03"/>
    <w:rsid w:val="03A94D0E"/>
    <w:rsid w:val="03B0096E"/>
    <w:rsid w:val="03B0337D"/>
    <w:rsid w:val="03C376DD"/>
    <w:rsid w:val="03C6350F"/>
    <w:rsid w:val="03ED524D"/>
    <w:rsid w:val="03F0508D"/>
    <w:rsid w:val="03F446E0"/>
    <w:rsid w:val="03F97F3B"/>
    <w:rsid w:val="040B66DB"/>
    <w:rsid w:val="043B4D09"/>
    <w:rsid w:val="04453F68"/>
    <w:rsid w:val="04496A8E"/>
    <w:rsid w:val="0450016C"/>
    <w:rsid w:val="0458383D"/>
    <w:rsid w:val="0461460C"/>
    <w:rsid w:val="046532CE"/>
    <w:rsid w:val="046A4065"/>
    <w:rsid w:val="046C6B33"/>
    <w:rsid w:val="0473549B"/>
    <w:rsid w:val="047D1E53"/>
    <w:rsid w:val="04843482"/>
    <w:rsid w:val="048648C7"/>
    <w:rsid w:val="04895ADB"/>
    <w:rsid w:val="048C1478"/>
    <w:rsid w:val="04BB0EBF"/>
    <w:rsid w:val="04C52232"/>
    <w:rsid w:val="04C9217C"/>
    <w:rsid w:val="04E618E8"/>
    <w:rsid w:val="04E71B2F"/>
    <w:rsid w:val="04EC193B"/>
    <w:rsid w:val="04EE62EA"/>
    <w:rsid w:val="04F06813"/>
    <w:rsid w:val="04FE417B"/>
    <w:rsid w:val="050F11BF"/>
    <w:rsid w:val="050F1B37"/>
    <w:rsid w:val="05152BD1"/>
    <w:rsid w:val="052F2B61"/>
    <w:rsid w:val="053B2285"/>
    <w:rsid w:val="055535D9"/>
    <w:rsid w:val="055A5EBC"/>
    <w:rsid w:val="056347E2"/>
    <w:rsid w:val="056414F9"/>
    <w:rsid w:val="05670DD7"/>
    <w:rsid w:val="056B1CE5"/>
    <w:rsid w:val="056E30E6"/>
    <w:rsid w:val="057B23D8"/>
    <w:rsid w:val="057E6625"/>
    <w:rsid w:val="058352E1"/>
    <w:rsid w:val="058B1E47"/>
    <w:rsid w:val="058C299B"/>
    <w:rsid w:val="058C72E3"/>
    <w:rsid w:val="059473F4"/>
    <w:rsid w:val="05981687"/>
    <w:rsid w:val="059A4E83"/>
    <w:rsid w:val="05A267AD"/>
    <w:rsid w:val="05AD2576"/>
    <w:rsid w:val="05B45706"/>
    <w:rsid w:val="05B75484"/>
    <w:rsid w:val="05C73B1D"/>
    <w:rsid w:val="05CB4F40"/>
    <w:rsid w:val="05CD2B23"/>
    <w:rsid w:val="05ED43A3"/>
    <w:rsid w:val="05F87584"/>
    <w:rsid w:val="060B545A"/>
    <w:rsid w:val="060F49FC"/>
    <w:rsid w:val="06122BBE"/>
    <w:rsid w:val="062B2E63"/>
    <w:rsid w:val="063466FE"/>
    <w:rsid w:val="06485F22"/>
    <w:rsid w:val="064C1DDD"/>
    <w:rsid w:val="064F6B5F"/>
    <w:rsid w:val="065D2EBF"/>
    <w:rsid w:val="066325F0"/>
    <w:rsid w:val="06661387"/>
    <w:rsid w:val="068468E3"/>
    <w:rsid w:val="068B5569"/>
    <w:rsid w:val="06916B65"/>
    <w:rsid w:val="069B1F01"/>
    <w:rsid w:val="06AC18B0"/>
    <w:rsid w:val="06B41237"/>
    <w:rsid w:val="06B61922"/>
    <w:rsid w:val="06B94BBC"/>
    <w:rsid w:val="06CC1F12"/>
    <w:rsid w:val="06D137F0"/>
    <w:rsid w:val="06E00A24"/>
    <w:rsid w:val="06FC0CD8"/>
    <w:rsid w:val="071438C4"/>
    <w:rsid w:val="071E17A9"/>
    <w:rsid w:val="07317B3B"/>
    <w:rsid w:val="07382C02"/>
    <w:rsid w:val="073D799D"/>
    <w:rsid w:val="074A56A1"/>
    <w:rsid w:val="07534342"/>
    <w:rsid w:val="075A6F74"/>
    <w:rsid w:val="075A72E9"/>
    <w:rsid w:val="075C26B7"/>
    <w:rsid w:val="0778641C"/>
    <w:rsid w:val="078D44F4"/>
    <w:rsid w:val="078F7817"/>
    <w:rsid w:val="079B7C39"/>
    <w:rsid w:val="07A146CA"/>
    <w:rsid w:val="07A338CD"/>
    <w:rsid w:val="07AA57DD"/>
    <w:rsid w:val="07BB54CA"/>
    <w:rsid w:val="07BC7C97"/>
    <w:rsid w:val="07C04060"/>
    <w:rsid w:val="07D665CF"/>
    <w:rsid w:val="07DE2AEA"/>
    <w:rsid w:val="07FE2EB9"/>
    <w:rsid w:val="08040FE8"/>
    <w:rsid w:val="08053F9B"/>
    <w:rsid w:val="080750A0"/>
    <w:rsid w:val="08091D23"/>
    <w:rsid w:val="080B5339"/>
    <w:rsid w:val="08246123"/>
    <w:rsid w:val="08286A6B"/>
    <w:rsid w:val="082D3B8D"/>
    <w:rsid w:val="08303218"/>
    <w:rsid w:val="0836284F"/>
    <w:rsid w:val="083D0902"/>
    <w:rsid w:val="08420ECD"/>
    <w:rsid w:val="085441FF"/>
    <w:rsid w:val="086464E2"/>
    <w:rsid w:val="086535E0"/>
    <w:rsid w:val="086A56CB"/>
    <w:rsid w:val="087218D5"/>
    <w:rsid w:val="0878755D"/>
    <w:rsid w:val="087D487B"/>
    <w:rsid w:val="088453A4"/>
    <w:rsid w:val="08976B4D"/>
    <w:rsid w:val="08A33784"/>
    <w:rsid w:val="08C459D3"/>
    <w:rsid w:val="08C741D3"/>
    <w:rsid w:val="08CA7C6E"/>
    <w:rsid w:val="08E72968"/>
    <w:rsid w:val="08EA42E4"/>
    <w:rsid w:val="08ED67AF"/>
    <w:rsid w:val="090B7C40"/>
    <w:rsid w:val="09103E9C"/>
    <w:rsid w:val="091B273C"/>
    <w:rsid w:val="09231B28"/>
    <w:rsid w:val="09263BDF"/>
    <w:rsid w:val="092B6E53"/>
    <w:rsid w:val="092D6AE5"/>
    <w:rsid w:val="09417E11"/>
    <w:rsid w:val="09455A5D"/>
    <w:rsid w:val="0949092D"/>
    <w:rsid w:val="094F0E5C"/>
    <w:rsid w:val="095F2514"/>
    <w:rsid w:val="0967691C"/>
    <w:rsid w:val="096B1927"/>
    <w:rsid w:val="096D5BD4"/>
    <w:rsid w:val="09750E93"/>
    <w:rsid w:val="097828BA"/>
    <w:rsid w:val="097B6AC4"/>
    <w:rsid w:val="097C7143"/>
    <w:rsid w:val="097E7DD6"/>
    <w:rsid w:val="09805C3E"/>
    <w:rsid w:val="09835413"/>
    <w:rsid w:val="099B3CAF"/>
    <w:rsid w:val="09AA056F"/>
    <w:rsid w:val="09AB02DC"/>
    <w:rsid w:val="09AC22E0"/>
    <w:rsid w:val="09AE649D"/>
    <w:rsid w:val="09B51E7E"/>
    <w:rsid w:val="09C501D7"/>
    <w:rsid w:val="09E025A9"/>
    <w:rsid w:val="09E104A9"/>
    <w:rsid w:val="09E143EE"/>
    <w:rsid w:val="09E52130"/>
    <w:rsid w:val="09E72FC1"/>
    <w:rsid w:val="0A0279ED"/>
    <w:rsid w:val="0A046F3F"/>
    <w:rsid w:val="0A0B6B03"/>
    <w:rsid w:val="0A1100B3"/>
    <w:rsid w:val="0A1B11A9"/>
    <w:rsid w:val="0A2C33CD"/>
    <w:rsid w:val="0A325215"/>
    <w:rsid w:val="0A356932"/>
    <w:rsid w:val="0A36464E"/>
    <w:rsid w:val="0A383501"/>
    <w:rsid w:val="0A6B26CC"/>
    <w:rsid w:val="0A790E28"/>
    <w:rsid w:val="0A8068F0"/>
    <w:rsid w:val="0A820208"/>
    <w:rsid w:val="0A841810"/>
    <w:rsid w:val="0A984D8B"/>
    <w:rsid w:val="0AAE3A5B"/>
    <w:rsid w:val="0AB4205F"/>
    <w:rsid w:val="0AC2288A"/>
    <w:rsid w:val="0ACD5E27"/>
    <w:rsid w:val="0AD566D3"/>
    <w:rsid w:val="0AE62DA3"/>
    <w:rsid w:val="0AFC3BDC"/>
    <w:rsid w:val="0AFE651C"/>
    <w:rsid w:val="0B052BDE"/>
    <w:rsid w:val="0B1D6D46"/>
    <w:rsid w:val="0B206916"/>
    <w:rsid w:val="0B26151F"/>
    <w:rsid w:val="0B317F29"/>
    <w:rsid w:val="0B35198D"/>
    <w:rsid w:val="0B3C7FE9"/>
    <w:rsid w:val="0B3E2135"/>
    <w:rsid w:val="0B3E4C4E"/>
    <w:rsid w:val="0B3F5046"/>
    <w:rsid w:val="0B465055"/>
    <w:rsid w:val="0B5E107B"/>
    <w:rsid w:val="0B614734"/>
    <w:rsid w:val="0B717102"/>
    <w:rsid w:val="0B726E36"/>
    <w:rsid w:val="0B783689"/>
    <w:rsid w:val="0B916D6B"/>
    <w:rsid w:val="0BB74E0C"/>
    <w:rsid w:val="0BB87FCF"/>
    <w:rsid w:val="0BBC66C4"/>
    <w:rsid w:val="0BBD7A70"/>
    <w:rsid w:val="0BC609E0"/>
    <w:rsid w:val="0BCB7656"/>
    <w:rsid w:val="0BCE4A0E"/>
    <w:rsid w:val="0BD41C0F"/>
    <w:rsid w:val="0BEB777B"/>
    <w:rsid w:val="0C147706"/>
    <w:rsid w:val="0C162B21"/>
    <w:rsid w:val="0C1630E2"/>
    <w:rsid w:val="0C1A24D7"/>
    <w:rsid w:val="0C200009"/>
    <w:rsid w:val="0C2D039F"/>
    <w:rsid w:val="0C365D6A"/>
    <w:rsid w:val="0C3A0B94"/>
    <w:rsid w:val="0C4831C3"/>
    <w:rsid w:val="0C5321FF"/>
    <w:rsid w:val="0C7C5B04"/>
    <w:rsid w:val="0C7C7517"/>
    <w:rsid w:val="0C823689"/>
    <w:rsid w:val="0C9246EB"/>
    <w:rsid w:val="0C9F09ED"/>
    <w:rsid w:val="0CB9167E"/>
    <w:rsid w:val="0CBC7EA2"/>
    <w:rsid w:val="0CBF4989"/>
    <w:rsid w:val="0CC24F9E"/>
    <w:rsid w:val="0CC933D9"/>
    <w:rsid w:val="0CCA690C"/>
    <w:rsid w:val="0CE2223D"/>
    <w:rsid w:val="0CE22587"/>
    <w:rsid w:val="0CE542F2"/>
    <w:rsid w:val="0CE85034"/>
    <w:rsid w:val="0CEA2E2A"/>
    <w:rsid w:val="0CED6017"/>
    <w:rsid w:val="0CF74A71"/>
    <w:rsid w:val="0D036938"/>
    <w:rsid w:val="0D1163B3"/>
    <w:rsid w:val="0D1F4A80"/>
    <w:rsid w:val="0D2A6FAF"/>
    <w:rsid w:val="0D2B1186"/>
    <w:rsid w:val="0D2D7F9F"/>
    <w:rsid w:val="0D3A5F0B"/>
    <w:rsid w:val="0D4E2CC0"/>
    <w:rsid w:val="0D57166D"/>
    <w:rsid w:val="0D5A0E8D"/>
    <w:rsid w:val="0D63456C"/>
    <w:rsid w:val="0D636046"/>
    <w:rsid w:val="0D6C157E"/>
    <w:rsid w:val="0D743CF7"/>
    <w:rsid w:val="0D8942DF"/>
    <w:rsid w:val="0D8E4D36"/>
    <w:rsid w:val="0D9411D9"/>
    <w:rsid w:val="0D9E6A58"/>
    <w:rsid w:val="0D9F25E8"/>
    <w:rsid w:val="0DAD3310"/>
    <w:rsid w:val="0DB84644"/>
    <w:rsid w:val="0DB9259F"/>
    <w:rsid w:val="0DD13476"/>
    <w:rsid w:val="0DE243B4"/>
    <w:rsid w:val="0DED4182"/>
    <w:rsid w:val="0E192D5D"/>
    <w:rsid w:val="0E192E34"/>
    <w:rsid w:val="0E2C2861"/>
    <w:rsid w:val="0E3419BC"/>
    <w:rsid w:val="0E3A606D"/>
    <w:rsid w:val="0E490DB4"/>
    <w:rsid w:val="0E53132A"/>
    <w:rsid w:val="0E6928DE"/>
    <w:rsid w:val="0E73598D"/>
    <w:rsid w:val="0E837B27"/>
    <w:rsid w:val="0E844F69"/>
    <w:rsid w:val="0E8842FB"/>
    <w:rsid w:val="0E8A6911"/>
    <w:rsid w:val="0E916BE0"/>
    <w:rsid w:val="0E9E1E21"/>
    <w:rsid w:val="0EA24979"/>
    <w:rsid w:val="0EA37E27"/>
    <w:rsid w:val="0EA61976"/>
    <w:rsid w:val="0EAB510A"/>
    <w:rsid w:val="0EAB5E82"/>
    <w:rsid w:val="0EBB3F3B"/>
    <w:rsid w:val="0EC11B75"/>
    <w:rsid w:val="0EC16A7D"/>
    <w:rsid w:val="0ED151FD"/>
    <w:rsid w:val="0EF57844"/>
    <w:rsid w:val="0EF57979"/>
    <w:rsid w:val="0EFA7935"/>
    <w:rsid w:val="0F066611"/>
    <w:rsid w:val="0F1755A5"/>
    <w:rsid w:val="0F1D0068"/>
    <w:rsid w:val="0F2D372D"/>
    <w:rsid w:val="0F365551"/>
    <w:rsid w:val="0F3E0ECD"/>
    <w:rsid w:val="0F461DCB"/>
    <w:rsid w:val="0F4D0E58"/>
    <w:rsid w:val="0F4D13C0"/>
    <w:rsid w:val="0F4D3847"/>
    <w:rsid w:val="0F525E77"/>
    <w:rsid w:val="0F5A4E63"/>
    <w:rsid w:val="0F5E7AE0"/>
    <w:rsid w:val="0F662F28"/>
    <w:rsid w:val="0F6E182C"/>
    <w:rsid w:val="0F782910"/>
    <w:rsid w:val="0F977868"/>
    <w:rsid w:val="0F984777"/>
    <w:rsid w:val="0FAD2DB1"/>
    <w:rsid w:val="0FB21042"/>
    <w:rsid w:val="0FB715F7"/>
    <w:rsid w:val="0FC36311"/>
    <w:rsid w:val="0FE35BF0"/>
    <w:rsid w:val="10064D2C"/>
    <w:rsid w:val="10125F23"/>
    <w:rsid w:val="101F49C6"/>
    <w:rsid w:val="10320848"/>
    <w:rsid w:val="10342379"/>
    <w:rsid w:val="1042157B"/>
    <w:rsid w:val="10441748"/>
    <w:rsid w:val="1051513E"/>
    <w:rsid w:val="10557CD8"/>
    <w:rsid w:val="105A2522"/>
    <w:rsid w:val="10637F6E"/>
    <w:rsid w:val="10686A6D"/>
    <w:rsid w:val="10724875"/>
    <w:rsid w:val="10882B3A"/>
    <w:rsid w:val="109E6EDD"/>
    <w:rsid w:val="10A938A7"/>
    <w:rsid w:val="10AB62D4"/>
    <w:rsid w:val="10B44D4D"/>
    <w:rsid w:val="10B65430"/>
    <w:rsid w:val="10B7109A"/>
    <w:rsid w:val="10BD512E"/>
    <w:rsid w:val="10C53C26"/>
    <w:rsid w:val="10C556CD"/>
    <w:rsid w:val="10CB5DD1"/>
    <w:rsid w:val="10CF5719"/>
    <w:rsid w:val="10DD2AC5"/>
    <w:rsid w:val="10DD5148"/>
    <w:rsid w:val="10E349B1"/>
    <w:rsid w:val="10ED0688"/>
    <w:rsid w:val="10FF3260"/>
    <w:rsid w:val="11067ED4"/>
    <w:rsid w:val="110C0E89"/>
    <w:rsid w:val="111013A9"/>
    <w:rsid w:val="1110172A"/>
    <w:rsid w:val="111B7F32"/>
    <w:rsid w:val="111C3109"/>
    <w:rsid w:val="112B2C20"/>
    <w:rsid w:val="112C473D"/>
    <w:rsid w:val="112F2873"/>
    <w:rsid w:val="11300988"/>
    <w:rsid w:val="115D1CFC"/>
    <w:rsid w:val="116D3B4A"/>
    <w:rsid w:val="117471A7"/>
    <w:rsid w:val="117537E2"/>
    <w:rsid w:val="11763667"/>
    <w:rsid w:val="119118A5"/>
    <w:rsid w:val="1191440D"/>
    <w:rsid w:val="119A7DD1"/>
    <w:rsid w:val="11A007DF"/>
    <w:rsid w:val="11A26F3D"/>
    <w:rsid w:val="11B241F6"/>
    <w:rsid w:val="11B83956"/>
    <w:rsid w:val="11BE1538"/>
    <w:rsid w:val="11BE3BF4"/>
    <w:rsid w:val="11C07657"/>
    <w:rsid w:val="11C534E0"/>
    <w:rsid w:val="11D96C80"/>
    <w:rsid w:val="11FD5C0A"/>
    <w:rsid w:val="1221719C"/>
    <w:rsid w:val="123E7225"/>
    <w:rsid w:val="12501267"/>
    <w:rsid w:val="12597017"/>
    <w:rsid w:val="126975A0"/>
    <w:rsid w:val="1277783F"/>
    <w:rsid w:val="1281432E"/>
    <w:rsid w:val="128C4449"/>
    <w:rsid w:val="12957723"/>
    <w:rsid w:val="129735A4"/>
    <w:rsid w:val="12985FA5"/>
    <w:rsid w:val="129D39BE"/>
    <w:rsid w:val="12A02541"/>
    <w:rsid w:val="12B42F95"/>
    <w:rsid w:val="12C42AD4"/>
    <w:rsid w:val="12C963EE"/>
    <w:rsid w:val="12D46AE1"/>
    <w:rsid w:val="12D5269E"/>
    <w:rsid w:val="12DD2B6C"/>
    <w:rsid w:val="12E36361"/>
    <w:rsid w:val="12E83424"/>
    <w:rsid w:val="12F46064"/>
    <w:rsid w:val="12FB5B1D"/>
    <w:rsid w:val="130375D8"/>
    <w:rsid w:val="13056BF2"/>
    <w:rsid w:val="131730B2"/>
    <w:rsid w:val="131F6AEA"/>
    <w:rsid w:val="13201278"/>
    <w:rsid w:val="13227736"/>
    <w:rsid w:val="13237CDB"/>
    <w:rsid w:val="13342B8E"/>
    <w:rsid w:val="13364099"/>
    <w:rsid w:val="133F4CBD"/>
    <w:rsid w:val="13502C93"/>
    <w:rsid w:val="135E5F5F"/>
    <w:rsid w:val="135F74B9"/>
    <w:rsid w:val="13B02CF6"/>
    <w:rsid w:val="13B920F8"/>
    <w:rsid w:val="13BC259B"/>
    <w:rsid w:val="13BC503F"/>
    <w:rsid w:val="13DA3D65"/>
    <w:rsid w:val="13DA62F1"/>
    <w:rsid w:val="13DC51B5"/>
    <w:rsid w:val="13DC7D05"/>
    <w:rsid w:val="13DF4874"/>
    <w:rsid w:val="13E0446A"/>
    <w:rsid w:val="13EA612F"/>
    <w:rsid w:val="13FC05CF"/>
    <w:rsid w:val="14050BC1"/>
    <w:rsid w:val="140A00DE"/>
    <w:rsid w:val="141F5645"/>
    <w:rsid w:val="142904AD"/>
    <w:rsid w:val="142B2B7A"/>
    <w:rsid w:val="14374A54"/>
    <w:rsid w:val="14392BFE"/>
    <w:rsid w:val="1444512C"/>
    <w:rsid w:val="14477CF7"/>
    <w:rsid w:val="144A55DD"/>
    <w:rsid w:val="144E3E57"/>
    <w:rsid w:val="14505B1B"/>
    <w:rsid w:val="145F1E31"/>
    <w:rsid w:val="14863FC2"/>
    <w:rsid w:val="148C6DF2"/>
    <w:rsid w:val="1495273A"/>
    <w:rsid w:val="149D0FE6"/>
    <w:rsid w:val="149F2647"/>
    <w:rsid w:val="14B168C6"/>
    <w:rsid w:val="14B82009"/>
    <w:rsid w:val="14BE4809"/>
    <w:rsid w:val="14D423B8"/>
    <w:rsid w:val="14D46689"/>
    <w:rsid w:val="14E9560E"/>
    <w:rsid w:val="152D1ACD"/>
    <w:rsid w:val="153D55E1"/>
    <w:rsid w:val="15466521"/>
    <w:rsid w:val="154A0262"/>
    <w:rsid w:val="154B1102"/>
    <w:rsid w:val="155030AD"/>
    <w:rsid w:val="1556476C"/>
    <w:rsid w:val="1556752E"/>
    <w:rsid w:val="156379C1"/>
    <w:rsid w:val="15841D83"/>
    <w:rsid w:val="15913ACC"/>
    <w:rsid w:val="159631F3"/>
    <w:rsid w:val="159A4B8D"/>
    <w:rsid w:val="159E1014"/>
    <w:rsid w:val="15A22918"/>
    <w:rsid w:val="15A4276C"/>
    <w:rsid w:val="15B24987"/>
    <w:rsid w:val="15B42C3C"/>
    <w:rsid w:val="15C37260"/>
    <w:rsid w:val="15D54968"/>
    <w:rsid w:val="15DA62DC"/>
    <w:rsid w:val="15DF20AB"/>
    <w:rsid w:val="15FF37CF"/>
    <w:rsid w:val="161B115F"/>
    <w:rsid w:val="16220143"/>
    <w:rsid w:val="16315C86"/>
    <w:rsid w:val="16392032"/>
    <w:rsid w:val="16411302"/>
    <w:rsid w:val="16443720"/>
    <w:rsid w:val="164627B4"/>
    <w:rsid w:val="164D634E"/>
    <w:rsid w:val="1650734C"/>
    <w:rsid w:val="165622DC"/>
    <w:rsid w:val="16570ADF"/>
    <w:rsid w:val="16623510"/>
    <w:rsid w:val="1666130B"/>
    <w:rsid w:val="166A6665"/>
    <w:rsid w:val="166C0646"/>
    <w:rsid w:val="16771340"/>
    <w:rsid w:val="167A42F0"/>
    <w:rsid w:val="16867DC2"/>
    <w:rsid w:val="168A7C78"/>
    <w:rsid w:val="168E3F83"/>
    <w:rsid w:val="16920AEF"/>
    <w:rsid w:val="1699771B"/>
    <w:rsid w:val="16A837CE"/>
    <w:rsid w:val="16B817B9"/>
    <w:rsid w:val="16CD0DCE"/>
    <w:rsid w:val="16DD3F47"/>
    <w:rsid w:val="16F06D6A"/>
    <w:rsid w:val="16FB6562"/>
    <w:rsid w:val="1702204C"/>
    <w:rsid w:val="172103F9"/>
    <w:rsid w:val="172120CD"/>
    <w:rsid w:val="174557C0"/>
    <w:rsid w:val="174726A8"/>
    <w:rsid w:val="174E4464"/>
    <w:rsid w:val="175042BA"/>
    <w:rsid w:val="17597500"/>
    <w:rsid w:val="175E31D1"/>
    <w:rsid w:val="17625BEE"/>
    <w:rsid w:val="176D11A6"/>
    <w:rsid w:val="177154E2"/>
    <w:rsid w:val="1775117A"/>
    <w:rsid w:val="177F0424"/>
    <w:rsid w:val="1781216D"/>
    <w:rsid w:val="17890489"/>
    <w:rsid w:val="178C697B"/>
    <w:rsid w:val="17A131B9"/>
    <w:rsid w:val="17CB6220"/>
    <w:rsid w:val="17D1085A"/>
    <w:rsid w:val="17D93708"/>
    <w:rsid w:val="18083ED0"/>
    <w:rsid w:val="18224B85"/>
    <w:rsid w:val="182C174C"/>
    <w:rsid w:val="1843460E"/>
    <w:rsid w:val="184C68FC"/>
    <w:rsid w:val="185B309D"/>
    <w:rsid w:val="188070A3"/>
    <w:rsid w:val="1888583F"/>
    <w:rsid w:val="188F4079"/>
    <w:rsid w:val="1894436B"/>
    <w:rsid w:val="18A63E73"/>
    <w:rsid w:val="18A87B81"/>
    <w:rsid w:val="18B453E2"/>
    <w:rsid w:val="18B52219"/>
    <w:rsid w:val="18B54CDF"/>
    <w:rsid w:val="18C37BA4"/>
    <w:rsid w:val="18CF10B4"/>
    <w:rsid w:val="18D02242"/>
    <w:rsid w:val="18D25E6F"/>
    <w:rsid w:val="18D2635F"/>
    <w:rsid w:val="18D73F77"/>
    <w:rsid w:val="18DE3CE7"/>
    <w:rsid w:val="18F64841"/>
    <w:rsid w:val="19144ED0"/>
    <w:rsid w:val="194254D8"/>
    <w:rsid w:val="194C7707"/>
    <w:rsid w:val="195403A0"/>
    <w:rsid w:val="195E7D3D"/>
    <w:rsid w:val="196B4E38"/>
    <w:rsid w:val="19721C44"/>
    <w:rsid w:val="197A329C"/>
    <w:rsid w:val="197B66E9"/>
    <w:rsid w:val="19881614"/>
    <w:rsid w:val="19AF7D80"/>
    <w:rsid w:val="19B83B10"/>
    <w:rsid w:val="19E74A44"/>
    <w:rsid w:val="19E85A1A"/>
    <w:rsid w:val="19F04203"/>
    <w:rsid w:val="19F16B7D"/>
    <w:rsid w:val="1A0570F0"/>
    <w:rsid w:val="1A0F2BCC"/>
    <w:rsid w:val="1A182F69"/>
    <w:rsid w:val="1A1C5075"/>
    <w:rsid w:val="1A235033"/>
    <w:rsid w:val="1A2A6185"/>
    <w:rsid w:val="1A2E11D7"/>
    <w:rsid w:val="1A2F4D1B"/>
    <w:rsid w:val="1A386C4C"/>
    <w:rsid w:val="1A3A4FC9"/>
    <w:rsid w:val="1A4625ED"/>
    <w:rsid w:val="1A48412A"/>
    <w:rsid w:val="1A604837"/>
    <w:rsid w:val="1A757E02"/>
    <w:rsid w:val="1A7A0D42"/>
    <w:rsid w:val="1A92107B"/>
    <w:rsid w:val="1A9C5AFC"/>
    <w:rsid w:val="1AA64FB9"/>
    <w:rsid w:val="1AAC3F7F"/>
    <w:rsid w:val="1AB16F31"/>
    <w:rsid w:val="1AB7076C"/>
    <w:rsid w:val="1ABB0522"/>
    <w:rsid w:val="1AC4362E"/>
    <w:rsid w:val="1ADC452D"/>
    <w:rsid w:val="1ADF1D26"/>
    <w:rsid w:val="1AEE2DD0"/>
    <w:rsid w:val="1AF523CC"/>
    <w:rsid w:val="1AF5361F"/>
    <w:rsid w:val="1B012800"/>
    <w:rsid w:val="1B026ED6"/>
    <w:rsid w:val="1B093FDC"/>
    <w:rsid w:val="1B1E192E"/>
    <w:rsid w:val="1B1F6B94"/>
    <w:rsid w:val="1B23288B"/>
    <w:rsid w:val="1B336AE8"/>
    <w:rsid w:val="1B3C09BF"/>
    <w:rsid w:val="1B42098C"/>
    <w:rsid w:val="1B5124A1"/>
    <w:rsid w:val="1B7167A4"/>
    <w:rsid w:val="1B9D40D1"/>
    <w:rsid w:val="1BB37AC0"/>
    <w:rsid w:val="1BC41878"/>
    <w:rsid w:val="1BC82648"/>
    <w:rsid w:val="1BC90B87"/>
    <w:rsid w:val="1BCB2FE8"/>
    <w:rsid w:val="1BD35389"/>
    <w:rsid w:val="1BE35F0A"/>
    <w:rsid w:val="1BFD77CB"/>
    <w:rsid w:val="1C3E4489"/>
    <w:rsid w:val="1C6C0148"/>
    <w:rsid w:val="1C6F4663"/>
    <w:rsid w:val="1C7C57A0"/>
    <w:rsid w:val="1C803BB3"/>
    <w:rsid w:val="1C891F4B"/>
    <w:rsid w:val="1C8F46C9"/>
    <w:rsid w:val="1CA74B09"/>
    <w:rsid w:val="1CA93AB0"/>
    <w:rsid w:val="1CAD0DB7"/>
    <w:rsid w:val="1CBC0158"/>
    <w:rsid w:val="1CD74790"/>
    <w:rsid w:val="1CDD0FBF"/>
    <w:rsid w:val="1CE15BCC"/>
    <w:rsid w:val="1CEC2E4C"/>
    <w:rsid w:val="1D023725"/>
    <w:rsid w:val="1D16363E"/>
    <w:rsid w:val="1D311C58"/>
    <w:rsid w:val="1D313D02"/>
    <w:rsid w:val="1D3969DD"/>
    <w:rsid w:val="1D4F624D"/>
    <w:rsid w:val="1D5B5F0F"/>
    <w:rsid w:val="1D607F66"/>
    <w:rsid w:val="1D6355A9"/>
    <w:rsid w:val="1D6502CF"/>
    <w:rsid w:val="1D674C5E"/>
    <w:rsid w:val="1D6D1B2D"/>
    <w:rsid w:val="1D6D5A61"/>
    <w:rsid w:val="1D6E1997"/>
    <w:rsid w:val="1D89436F"/>
    <w:rsid w:val="1D8E63AF"/>
    <w:rsid w:val="1D9C3D07"/>
    <w:rsid w:val="1DA03098"/>
    <w:rsid w:val="1DB5255C"/>
    <w:rsid w:val="1DB54179"/>
    <w:rsid w:val="1DBD123F"/>
    <w:rsid w:val="1DCB40CF"/>
    <w:rsid w:val="1DD64BD9"/>
    <w:rsid w:val="1E037B7D"/>
    <w:rsid w:val="1E0665D7"/>
    <w:rsid w:val="1E3E2912"/>
    <w:rsid w:val="1E482380"/>
    <w:rsid w:val="1E5C2ECB"/>
    <w:rsid w:val="1E835721"/>
    <w:rsid w:val="1E8531F9"/>
    <w:rsid w:val="1E962A73"/>
    <w:rsid w:val="1E9655C1"/>
    <w:rsid w:val="1EBF701C"/>
    <w:rsid w:val="1ED278A6"/>
    <w:rsid w:val="1EE27E53"/>
    <w:rsid w:val="1EF42CDD"/>
    <w:rsid w:val="1EF77261"/>
    <w:rsid w:val="1EFE4210"/>
    <w:rsid w:val="1F0514A8"/>
    <w:rsid w:val="1F08764F"/>
    <w:rsid w:val="1F0C4983"/>
    <w:rsid w:val="1F122D6C"/>
    <w:rsid w:val="1F162D6B"/>
    <w:rsid w:val="1F1B3E77"/>
    <w:rsid w:val="1F1E3F53"/>
    <w:rsid w:val="1F2E5A4C"/>
    <w:rsid w:val="1F304433"/>
    <w:rsid w:val="1F405473"/>
    <w:rsid w:val="1F435B8B"/>
    <w:rsid w:val="1F4D18BE"/>
    <w:rsid w:val="1F5E7056"/>
    <w:rsid w:val="1F6117DF"/>
    <w:rsid w:val="1F9D5325"/>
    <w:rsid w:val="1FA07319"/>
    <w:rsid w:val="1FA52ED6"/>
    <w:rsid w:val="1FB12E62"/>
    <w:rsid w:val="1FBB042E"/>
    <w:rsid w:val="1FBF0756"/>
    <w:rsid w:val="1FC44AE4"/>
    <w:rsid w:val="1FCD5653"/>
    <w:rsid w:val="1FD770FE"/>
    <w:rsid w:val="1FDF62C2"/>
    <w:rsid w:val="1FEA2534"/>
    <w:rsid w:val="1FEA75B7"/>
    <w:rsid w:val="20095C5B"/>
    <w:rsid w:val="200E00B8"/>
    <w:rsid w:val="20166A8E"/>
    <w:rsid w:val="20310CED"/>
    <w:rsid w:val="2056636E"/>
    <w:rsid w:val="205B5863"/>
    <w:rsid w:val="207109FD"/>
    <w:rsid w:val="20796704"/>
    <w:rsid w:val="207D3915"/>
    <w:rsid w:val="207E3DBF"/>
    <w:rsid w:val="207E5662"/>
    <w:rsid w:val="2080386A"/>
    <w:rsid w:val="20913A48"/>
    <w:rsid w:val="20AA5DB9"/>
    <w:rsid w:val="20AD0787"/>
    <w:rsid w:val="20B25B89"/>
    <w:rsid w:val="20E40FBB"/>
    <w:rsid w:val="20F4611B"/>
    <w:rsid w:val="20F53880"/>
    <w:rsid w:val="20F711B1"/>
    <w:rsid w:val="20FB1948"/>
    <w:rsid w:val="20FB5ACB"/>
    <w:rsid w:val="20FE0493"/>
    <w:rsid w:val="21117211"/>
    <w:rsid w:val="211E18EE"/>
    <w:rsid w:val="211E5766"/>
    <w:rsid w:val="21296072"/>
    <w:rsid w:val="21332689"/>
    <w:rsid w:val="21352EAA"/>
    <w:rsid w:val="21385CDD"/>
    <w:rsid w:val="215C34A3"/>
    <w:rsid w:val="21780FBE"/>
    <w:rsid w:val="217863F0"/>
    <w:rsid w:val="217B780C"/>
    <w:rsid w:val="21832D42"/>
    <w:rsid w:val="21895F3A"/>
    <w:rsid w:val="21B1456D"/>
    <w:rsid w:val="21C96C78"/>
    <w:rsid w:val="21CB061C"/>
    <w:rsid w:val="21CB5861"/>
    <w:rsid w:val="21CE44BB"/>
    <w:rsid w:val="21D5504E"/>
    <w:rsid w:val="21D74599"/>
    <w:rsid w:val="21DB0381"/>
    <w:rsid w:val="21E51649"/>
    <w:rsid w:val="21EB0C3A"/>
    <w:rsid w:val="21ED6A00"/>
    <w:rsid w:val="21F9582C"/>
    <w:rsid w:val="21FB796E"/>
    <w:rsid w:val="222B6ADC"/>
    <w:rsid w:val="222D4DD4"/>
    <w:rsid w:val="222E57C1"/>
    <w:rsid w:val="22384A31"/>
    <w:rsid w:val="22400730"/>
    <w:rsid w:val="22431E43"/>
    <w:rsid w:val="224D5FC0"/>
    <w:rsid w:val="22590822"/>
    <w:rsid w:val="225C66C5"/>
    <w:rsid w:val="226255A7"/>
    <w:rsid w:val="226726F1"/>
    <w:rsid w:val="226C7BAC"/>
    <w:rsid w:val="22790BE2"/>
    <w:rsid w:val="227F4C3F"/>
    <w:rsid w:val="22825EA3"/>
    <w:rsid w:val="228B2C1D"/>
    <w:rsid w:val="228C192B"/>
    <w:rsid w:val="22916C18"/>
    <w:rsid w:val="229F18D7"/>
    <w:rsid w:val="22BB2852"/>
    <w:rsid w:val="22C94D33"/>
    <w:rsid w:val="22CC5B82"/>
    <w:rsid w:val="22CE3382"/>
    <w:rsid w:val="22D1656D"/>
    <w:rsid w:val="22D55DD9"/>
    <w:rsid w:val="22DE1452"/>
    <w:rsid w:val="22E903E5"/>
    <w:rsid w:val="22EE431B"/>
    <w:rsid w:val="22F808CD"/>
    <w:rsid w:val="22FF6476"/>
    <w:rsid w:val="23075F39"/>
    <w:rsid w:val="2315592C"/>
    <w:rsid w:val="231F0629"/>
    <w:rsid w:val="23205618"/>
    <w:rsid w:val="232517C4"/>
    <w:rsid w:val="23322930"/>
    <w:rsid w:val="23472EF5"/>
    <w:rsid w:val="234B240D"/>
    <w:rsid w:val="23525DFC"/>
    <w:rsid w:val="23540A5C"/>
    <w:rsid w:val="23547031"/>
    <w:rsid w:val="235654C1"/>
    <w:rsid w:val="2367445A"/>
    <w:rsid w:val="236D0708"/>
    <w:rsid w:val="23704A78"/>
    <w:rsid w:val="23725159"/>
    <w:rsid w:val="239A49ED"/>
    <w:rsid w:val="239B6805"/>
    <w:rsid w:val="23A66151"/>
    <w:rsid w:val="23AC34DE"/>
    <w:rsid w:val="23B92019"/>
    <w:rsid w:val="23BF5813"/>
    <w:rsid w:val="23D03647"/>
    <w:rsid w:val="23D45C3F"/>
    <w:rsid w:val="23F029A0"/>
    <w:rsid w:val="24157061"/>
    <w:rsid w:val="242C71CC"/>
    <w:rsid w:val="243960BA"/>
    <w:rsid w:val="24457B3C"/>
    <w:rsid w:val="244E3D8F"/>
    <w:rsid w:val="245C51AD"/>
    <w:rsid w:val="2464623D"/>
    <w:rsid w:val="246C27BB"/>
    <w:rsid w:val="246D441B"/>
    <w:rsid w:val="2471304C"/>
    <w:rsid w:val="24714871"/>
    <w:rsid w:val="248728B1"/>
    <w:rsid w:val="249972A7"/>
    <w:rsid w:val="249B151A"/>
    <w:rsid w:val="24A44CCC"/>
    <w:rsid w:val="24AF4A68"/>
    <w:rsid w:val="24BA0C48"/>
    <w:rsid w:val="24BC2350"/>
    <w:rsid w:val="24C13228"/>
    <w:rsid w:val="24C84CBC"/>
    <w:rsid w:val="24CD561F"/>
    <w:rsid w:val="24D04C64"/>
    <w:rsid w:val="24EC0984"/>
    <w:rsid w:val="24F91BE8"/>
    <w:rsid w:val="25022AF3"/>
    <w:rsid w:val="251525BA"/>
    <w:rsid w:val="251B2A67"/>
    <w:rsid w:val="251F1C3A"/>
    <w:rsid w:val="2523574C"/>
    <w:rsid w:val="252A576E"/>
    <w:rsid w:val="254F770A"/>
    <w:rsid w:val="25622ED7"/>
    <w:rsid w:val="257E50E5"/>
    <w:rsid w:val="258472C8"/>
    <w:rsid w:val="25874651"/>
    <w:rsid w:val="25887151"/>
    <w:rsid w:val="25B368B2"/>
    <w:rsid w:val="25B901EB"/>
    <w:rsid w:val="25BE2B81"/>
    <w:rsid w:val="25BF78C9"/>
    <w:rsid w:val="25BF7E37"/>
    <w:rsid w:val="25C20C03"/>
    <w:rsid w:val="25D77372"/>
    <w:rsid w:val="260654E2"/>
    <w:rsid w:val="261F0E38"/>
    <w:rsid w:val="26274517"/>
    <w:rsid w:val="26346017"/>
    <w:rsid w:val="264735CF"/>
    <w:rsid w:val="264739C3"/>
    <w:rsid w:val="265F75E8"/>
    <w:rsid w:val="26631D2C"/>
    <w:rsid w:val="26671A05"/>
    <w:rsid w:val="26672879"/>
    <w:rsid w:val="2668501B"/>
    <w:rsid w:val="26697691"/>
    <w:rsid w:val="266E77DB"/>
    <w:rsid w:val="268F5426"/>
    <w:rsid w:val="26995BA1"/>
    <w:rsid w:val="26A26DE0"/>
    <w:rsid w:val="26A80506"/>
    <w:rsid w:val="26AF1520"/>
    <w:rsid w:val="26B455C4"/>
    <w:rsid w:val="26CE3992"/>
    <w:rsid w:val="26D62950"/>
    <w:rsid w:val="26F6146E"/>
    <w:rsid w:val="26FE4A6A"/>
    <w:rsid w:val="26FF3C4B"/>
    <w:rsid w:val="270946AF"/>
    <w:rsid w:val="272C4D67"/>
    <w:rsid w:val="27331115"/>
    <w:rsid w:val="273640A2"/>
    <w:rsid w:val="273E38B4"/>
    <w:rsid w:val="274253F0"/>
    <w:rsid w:val="275555EC"/>
    <w:rsid w:val="275674A0"/>
    <w:rsid w:val="276162B0"/>
    <w:rsid w:val="27645116"/>
    <w:rsid w:val="27657DBC"/>
    <w:rsid w:val="276A28DA"/>
    <w:rsid w:val="277628A1"/>
    <w:rsid w:val="27795600"/>
    <w:rsid w:val="277A2830"/>
    <w:rsid w:val="2780551A"/>
    <w:rsid w:val="27815CE2"/>
    <w:rsid w:val="27912E18"/>
    <w:rsid w:val="27A8169D"/>
    <w:rsid w:val="27C51810"/>
    <w:rsid w:val="27C905DC"/>
    <w:rsid w:val="27D4123F"/>
    <w:rsid w:val="27E157F3"/>
    <w:rsid w:val="27EF0E2A"/>
    <w:rsid w:val="27F77B3D"/>
    <w:rsid w:val="27FA562A"/>
    <w:rsid w:val="28007F61"/>
    <w:rsid w:val="280D4BAA"/>
    <w:rsid w:val="28121C92"/>
    <w:rsid w:val="281B6598"/>
    <w:rsid w:val="281B7CEA"/>
    <w:rsid w:val="281C21CB"/>
    <w:rsid w:val="28357D8B"/>
    <w:rsid w:val="283B0145"/>
    <w:rsid w:val="283E6919"/>
    <w:rsid w:val="28434864"/>
    <w:rsid w:val="284E337B"/>
    <w:rsid w:val="284F07A5"/>
    <w:rsid w:val="285A0043"/>
    <w:rsid w:val="285B05DC"/>
    <w:rsid w:val="2864641F"/>
    <w:rsid w:val="28704231"/>
    <w:rsid w:val="287C2615"/>
    <w:rsid w:val="28876A75"/>
    <w:rsid w:val="288D1BFD"/>
    <w:rsid w:val="288D1F9B"/>
    <w:rsid w:val="288F3B81"/>
    <w:rsid w:val="289C53B7"/>
    <w:rsid w:val="289D1014"/>
    <w:rsid w:val="28A557C3"/>
    <w:rsid w:val="28A8374F"/>
    <w:rsid w:val="28BA1044"/>
    <w:rsid w:val="28E878A7"/>
    <w:rsid w:val="28EE593F"/>
    <w:rsid w:val="290B1812"/>
    <w:rsid w:val="290E4025"/>
    <w:rsid w:val="291D7ECA"/>
    <w:rsid w:val="292163F6"/>
    <w:rsid w:val="29251A24"/>
    <w:rsid w:val="29342BEB"/>
    <w:rsid w:val="293E04D8"/>
    <w:rsid w:val="294A0518"/>
    <w:rsid w:val="2954607D"/>
    <w:rsid w:val="295E4444"/>
    <w:rsid w:val="2982458F"/>
    <w:rsid w:val="29885003"/>
    <w:rsid w:val="2990383D"/>
    <w:rsid w:val="299E003E"/>
    <w:rsid w:val="29A174EF"/>
    <w:rsid w:val="29B161C9"/>
    <w:rsid w:val="29C20636"/>
    <w:rsid w:val="29C72BFF"/>
    <w:rsid w:val="29CF70EF"/>
    <w:rsid w:val="29E17BDE"/>
    <w:rsid w:val="2A0B35D5"/>
    <w:rsid w:val="2A0C72CF"/>
    <w:rsid w:val="2A185197"/>
    <w:rsid w:val="2A1B5837"/>
    <w:rsid w:val="2A1E0CD3"/>
    <w:rsid w:val="2A2051EF"/>
    <w:rsid w:val="2A22517F"/>
    <w:rsid w:val="2A2D45FB"/>
    <w:rsid w:val="2A2E2911"/>
    <w:rsid w:val="2A3C5AE6"/>
    <w:rsid w:val="2A453E14"/>
    <w:rsid w:val="2A4B3DFE"/>
    <w:rsid w:val="2A4E00E4"/>
    <w:rsid w:val="2A5C4360"/>
    <w:rsid w:val="2A5C7C57"/>
    <w:rsid w:val="2A751DCE"/>
    <w:rsid w:val="2A7B6DFC"/>
    <w:rsid w:val="2A8060D9"/>
    <w:rsid w:val="2A8B3E7D"/>
    <w:rsid w:val="2A8D34C4"/>
    <w:rsid w:val="2AA13CD5"/>
    <w:rsid w:val="2AA9634F"/>
    <w:rsid w:val="2AB15E6C"/>
    <w:rsid w:val="2ADF7A16"/>
    <w:rsid w:val="2AF17E4E"/>
    <w:rsid w:val="2AF4495B"/>
    <w:rsid w:val="2AF55953"/>
    <w:rsid w:val="2B05237A"/>
    <w:rsid w:val="2B1E3053"/>
    <w:rsid w:val="2B24537E"/>
    <w:rsid w:val="2B366C7F"/>
    <w:rsid w:val="2B397A77"/>
    <w:rsid w:val="2B41457F"/>
    <w:rsid w:val="2B44645E"/>
    <w:rsid w:val="2B456A93"/>
    <w:rsid w:val="2B464D12"/>
    <w:rsid w:val="2B4E1941"/>
    <w:rsid w:val="2B576013"/>
    <w:rsid w:val="2B652DAF"/>
    <w:rsid w:val="2B687699"/>
    <w:rsid w:val="2B6B5007"/>
    <w:rsid w:val="2B8566E0"/>
    <w:rsid w:val="2B8F1FA5"/>
    <w:rsid w:val="2B9122CF"/>
    <w:rsid w:val="2BAC1091"/>
    <w:rsid w:val="2BBB6579"/>
    <w:rsid w:val="2BCD6826"/>
    <w:rsid w:val="2BD95FFD"/>
    <w:rsid w:val="2BF01B9E"/>
    <w:rsid w:val="2BF02096"/>
    <w:rsid w:val="2BF30742"/>
    <w:rsid w:val="2BF452C7"/>
    <w:rsid w:val="2BFE3952"/>
    <w:rsid w:val="2C2A1E79"/>
    <w:rsid w:val="2C307D5C"/>
    <w:rsid w:val="2C4A0200"/>
    <w:rsid w:val="2C701006"/>
    <w:rsid w:val="2C7972FE"/>
    <w:rsid w:val="2C837FA2"/>
    <w:rsid w:val="2C846580"/>
    <w:rsid w:val="2C866DCC"/>
    <w:rsid w:val="2C9D668D"/>
    <w:rsid w:val="2CB57D7B"/>
    <w:rsid w:val="2CB94733"/>
    <w:rsid w:val="2CBB161E"/>
    <w:rsid w:val="2CC348A3"/>
    <w:rsid w:val="2CD0572F"/>
    <w:rsid w:val="2CE007C2"/>
    <w:rsid w:val="2CE6635D"/>
    <w:rsid w:val="2CEE3413"/>
    <w:rsid w:val="2CEE480A"/>
    <w:rsid w:val="2CEF759B"/>
    <w:rsid w:val="2D0143D8"/>
    <w:rsid w:val="2D0B4DE7"/>
    <w:rsid w:val="2D10158B"/>
    <w:rsid w:val="2D160A44"/>
    <w:rsid w:val="2D1945F6"/>
    <w:rsid w:val="2D374219"/>
    <w:rsid w:val="2D412322"/>
    <w:rsid w:val="2D4207FF"/>
    <w:rsid w:val="2D522978"/>
    <w:rsid w:val="2D544E29"/>
    <w:rsid w:val="2D5628C7"/>
    <w:rsid w:val="2D564572"/>
    <w:rsid w:val="2D7B5E39"/>
    <w:rsid w:val="2D82073D"/>
    <w:rsid w:val="2D8A005E"/>
    <w:rsid w:val="2DA3176E"/>
    <w:rsid w:val="2DA826ED"/>
    <w:rsid w:val="2DA93A99"/>
    <w:rsid w:val="2DB00B6B"/>
    <w:rsid w:val="2DB32F9A"/>
    <w:rsid w:val="2DBC7C8C"/>
    <w:rsid w:val="2DC72451"/>
    <w:rsid w:val="2DCD0FB0"/>
    <w:rsid w:val="2DD741C9"/>
    <w:rsid w:val="2DF00EFF"/>
    <w:rsid w:val="2DF259BD"/>
    <w:rsid w:val="2DFB07A6"/>
    <w:rsid w:val="2DFE17A9"/>
    <w:rsid w:val="2E013F6C"/>
    <w:rsid w:val="2E0F1235"/>
    <w:rsid w:val="2E1676FD"/>
    <w:rsid w:val="2E1E3A40"/>
    <w:rsid w:val="2E22450F"/>
    <w:rsid w:val="2E234AB8"/>
    <w:rsid w:val="2E255099"/>
    <w:rsid w:val="2E285D42"/>
    <w:rsid w:val="2E2E5F03"/>
    <w:rsid w:val="2E3D5C0B"/>
    <w:rsid w:val="2E4B00C0"/>
    <w:rsid w:val="2E4C3F8E"/>
    <w:rsid w:val="2E4F3494"/>
    <w:rsid w:val="2E5549B1"/>
    <w:rsid w:val="2E5660D5"/>
    <w:rsid w:val="2E5A4293"/>
    <w:rsid w:val="2E5C032A"/>
    <w:rsid w:val="2E5D5F9C"/>
    <w:rsid w:val="2E63784A"/>
    <w:rsid w:val="2E6C788F"/>
    <w:rsid w:val="2E835C86"/>
    <w:rsid w:val="2E852055"/>
    <w:rsid w:val="2E875E1A"/>
    <w:rsid w:val="2E9E0FE6"/>
    <w:rsid w:val="2E9F22A8"/>
    <w:rsid w:val="2EA353ED"/>
    <w:rsid w:val="2EA41D60"/>
    <w:rsid w:val="2EB87BA9"/>
    <w:rsid w:val="2EBA4787"/>
    <w:rsid w:val="2EC14271"/>
    <w:rsid w:val="2EDA284B"/>
    <w:rsid w:val="2EEA191A"/>
    <w:rsid w:val="2EEA72B5"/>
    <w:rsid w:val="2EEC2D2C"/>
    <w:rsid w:val="2EEE3CCE"/>
    <w:rsid w:val="2EF63ADA"/>
    <w:rsid w:val="2EF84491"/>
    <w:rsid w:val="2EFA535E"/>
    <w:rsid w:val="2F17393F"/>
    <w:rsid w:val="2F1A0163"/>
    <w:rsid w:val="2F1E3DA7"/>
    <w:rsid w:val="2F281481"/>
    <w:rsid w:val="2F45126A"/>
    <w:rsid w:val="2F5563A5"/>
    <w:rsid w:val="2F6642A5"/>
    <w:rsid w:val="2F6C788A"/>
    <w:rsid w:val="2F776FBB"/>
    <w:rsid w:val="2F796D46"/>
    <w:rsid w:val="2F8B747C"/>
    <w:rsid w:val="2F9819AE"/>
    <w:rsid w:val="2FA72E53"/>
    <w:rsid w:val="2FAC56C6"/>
    <w:rsid w:val="2FB75B14"/>
    <w:rsid w:val="2FBC5667"/>
    <w:rsid w:val="2FC00BF1"/>
    <w:rsid w:val="2FC37B9E"/>
    <w:rsid w:val="2FC405AC"/>
    <w:rsid w:val="2FC43958"/>
    <w:rsid w:val="2FC730A6"/>
    <w:rsid w:val="2FC74767"/>
    <w:rsid w:val="2FD02E25"/>
    <w:rsid w:val="2FE72D7B"/>
    <w:rsid w:val="2FEA09D3"/>
    <w:rsid w:val="2FF246B5"/>
    <w:rsid w:val="3004649F"/>
    <w:rsid w:val="301066F3"/>
    <w:rsid w:val="3019263C"/>
    <w:rsid w:val="302147B2"/>
    <w:rsid w:val="30231A0C"/>
    <w:rsid w:val="302834BD"/>
    <w:rsid w:val="302D08E4"/>
    <w:rsid w:val="302E1A83"/>
    <w:rsid w:val="30326F3A"/>
    <w:rsid w:val="30424D24"/>
    <w:rsid w:val="304B2383"/>
    <w:rsid w:val="30506CFA"/>
    <w:rsid w:val="305609BF"/>
    <w:rsid w:val="30624B65"/>
    <w:rsid w:val="30683B1D"/>
    <w:rsid w:val="306840D4"/>
    <w:rsid w:val="306E7AFA"/>
    <w:rsid w:val="306F2DEB"/>
    <w:rsid w:val="306F535B"/>
    <w:rsid w:val="30756720"/>
    <w:rsid w:val="3076107A"/>
    <w:rsid w:val="30813BB5"/>
    <w:rsid w:val="3084169C"/>
    <w:rsid w:val="3086188B"/>
    <w:rsid w:val="30A853ED"/>
    <w:rsid w:val="30AA0D94"/>
    <w:rsid w:val="30B85BF6"/>
    <w:rsid w:val="30B949E0"/>
    <w:rsid w:val="30BA4265"/>
    <w:rsid w:val="30BF6E96"/>
    <w:rsid w:val="30C5434A"/>
    <w:rsid w:val="30E50BB6"/>
    <w:rsid w:val="30E71C2C"/>
    <w:rsid w:val="30ED092F"/>
    <w:rsid w:val="30F72CA0"/>
    <w:rsid w:val="30FD33DA"/>
    <w:rsid w:val="30FF363C"/>
    <w:rsid w:val="310D0152"/>
    <w:rsid w:val="312B253A"/>
    <w:rsid w:val="313C4BD7"/>
    <w:rsid w:val="315718BA"/>
    <w:rsid w:val="31604378"/>
    <w:rsid w:val="31621D8B"/>
    <w:rsid w:val="3163135F"/>
    <w:rsid w:val="316B0C91"/>
    <w:rsid w:val="3172721A"/>
    <w:rsid w:val="31792ACF"/>
    <w:rsid w:val="317C29D0"/>
    <w:rsid w:val="3196266A"/>
    <w:rsid w:val="319F241E"/>
    <w:rsid w:val="31B12982"/>
    <w:rsid w:val="31BA0233"/>
    <w:rsid w:val="31BA2DD5"/>
    <w:rsid w:val="31CD0B60"/>
    <w:rsid w:val="31E62936"/>
    <w:rsid w:val="31F2568B"/>
    <w:rsid w:val="320027C8"/>
    <w:rsid w:val="320816BC"/>
    <w:rsid w:val="32082F6E"/>
    <w:rsid w:val="321A493A"/>
    <w:rsid w:val="322C1338"/>
    <w:rsid w:val="322F7534"/>
    <w:rsid w:val="3238509C"/>
    <w:rsid w:val="323A7182"/>
    <w:rsid w:val="323C275B"/>
    <w:rsid w:val="325F3074"/>
    <w:rsid w:val="327A5E20"/>
    <w:rsid w:val="32885057"/>
    <w:rsid w:val="328E0429"/>
    <w:rsid w:val="32951532"/>
    <w:rsid w:val="329C53E1"/>
    <w:rsid w:val="32A03811"/>
    <w:rsid w:val="32A044C6"/>
    <w:rsid w:val="32A94DEC"/>
    <w:rsid w:val="32AA0070"/>
    <w:rsid w:val="32B11BD7"/>
    <w:rsid w:val="32BC0413"/>
    <w:rsid w:val="32C24352"/>
    <w:rsid w:val="32DC3BF3"/>
    <w:rsid w:val="32DE09B1"/>
    <w:rsid w:val="32F21589"/>
    <w:rsid w:val="32F879EC"/>
    <w:rsid w:val="33027586"/>
    <w:rsid w:val="3307618A"/>
    <w:rsid w:val="33080A15"/>
    <w:rsid w:val="33121531"/>
    <w:rsid w:val="33153C46"/>
    <w:rsid w:val="331B4D89"/>
    <w:rsid w:val="331F6B86"/>
    <w:rsid w:val="333A72BD"/>
    <w:rsid w:val="33456BEA"/>
    <w:rsid w:val="33534540"/>
    <w:rsid w:val="33621A51"/>
    <w:rsid w:val="33681A34"/>
    <w:rsid w:val="3382186D"/>
    <w:rsid w:val="33843487"/>
    <w:rsid w:val="33932C57"/>
    <w:rsid w:val="33934B30"/>
    <w:rsid w:val="33965519"/>
    <w:rsid w:val="33A018CD"/>
    <w:rsid w:val="33AB2BD5"/>
    <w:rsid w:val="33C224FB"/>
    <w:rsid w:val="33C34180"/>
    <w:rsid w:val="33CA7E5C"/>
    <w:rsid w:val="33D06B30"/>
    <w:rsid w:val="33D532A2"/>
    <w:rsid w:val="33D91C79"/>
    <w:rsid w:val="33F05D17"/>
    <w:rsid w:val="33F25709"/>
    <w:rsid w:val="33FA5BBF"/>
    <w:rsid w:val="34191ADA"/>
    <w:rsid w:val="341A4012"/>
    <w:rsid w:val="341B56DC"/>
    <w:rsid w:val="342C0D0F"/>
    <w:rsid w:val="342D6042"/>
    <w:rsid w:val="342F7A16"/>
    <w:rsid w:val="343D359B"/>
    <w:rsid w:val="344F65C6"/>
    <w:rsid w:val="345A09EA"/>
    <w:rsid w:val="34696610"/>
    <w:rsid w:val="346A3F42"/>
    <w:rsid w:val="34740C34"/>
    <w:rsid w:val="34842115"/>
    <w:rsid w:val="348876A6"/>
    <w:rsid w:val="34931975"/>
    <w:rsid w:val="34931C0A"/>
    <w:rsid w:val="349808D3"/>
    <w:rsid w:val="34984067"/>
    <w:rsid w:val="349B4A35"/>
    <w:rsid w:val="349D781F"/>
    <w:rsid w:val="34A42769"/>
    <w:rsid w:val="34A80711"/>
    <w:rsid w:val="34AB3545"/>
    <w:rsid w:val="34B1328E"/>
    <w:rsid w:val="34C14BBF"/>
    <w:rsid w:val="34DC14E4"/>
    <w:rsid w:val="34E3045F"/>
    <w:rsid w:val="34E43027"/>
    <w:rsid w:val="350122D8"/>
    <w:rsid w:val="35085E36"/>
    <w:rsid w:val="350905C0"/>
    <w:rsid w:val="35175886"/>
    <w:rsid w:val="35195848"/>
    <w:rsid w:val="3523380C"/>
    <w:rsid w:val="352F3371"/>
    <w:rsid w:val="352F4A8F"/>
    <w:rsid w:val="353F3EC8"/>
    <w:rsid w:val="354A53CE"/>
    <w:rsid w:val="355754CD"/>
    <w:rsid w:val="35632C89"/>
    <w:rsid w:val="357507DB"/>
    <w:rsid w:val="35753B38"/>
    <w:rsid w:val="357F223A"/>
    <w:rsid w:val="35885201"/>
    <w:rsid w:val="35891DD7"/>
    <w:rsid w:val="358D65B9"/>
    <w:rsid w:val="359E79E8"/>
    <w:rsid w:val="35A34F73"/>
    <w:rsid w:val="35A57BB6"/>
    <w:rsid w:val="35AA5672"/>
    <w:rsid w:val="35B16915"/>
    <w:rsid w:val="35BA1584"/>
    <w:rsid w:val="35DA7E11"/>
    <w:rsid w:val="35EC6A77"/>
    <w:rsid w:val="35EE6ECC"/>
    <w:rsid w:val="35F84DEE"/>
    <w:rsid w:val="35FC1EA9"/>
    <w:rsid w:val="360430F1"/>
    <w:rsid w:val="360A5CEB"/>
    <w:rsid w:val="360C0508"/>
    <w:rsid w:val="360F7131"/>
    <w:rsid w:val="361B0F6C"/>
    <w:rsid w:val="36203CB2"/>
    <w:rsid w:val="36227E01"/>
    <w:rsid w:val="362E023C"/>
    <w:rsid w:val="363E745A"/>
    <w:rsid w:val="364023A6"/>
    <w:rsid w:val="36456592"/>
    <w:rsid w:val="36495EB3"/>
    <w:rsid w:val="364D0DF5"/>
    <w:rsid w:val="364E616C"/>
    <w:rsid w:val="36574DD9"/>
    <w:rsid w:val="367020EA"/>
    <w:rsid w:val="36811876"/>
    <w:rsid w:val="3683372A"/>
    <w:rsid w:val="368F0657"/>
    <w:rsid w:val="36A05158"/>
    <w:rsid w:val="36A12FA1"/>
    <w:rsid w:val="36B23B23"/>
    <w:rsid w:val="36CF1B47"/>
    <w:rsid w:val="36D15A75"/>
    <w:rsid w:val="36F0650D"/>
    <w:rsid w:val="36FD6F68"/>
    <w:rsid w:val="37127616"/>
    <w:rsid w:val="37182699"/>
    <w:rsid w:val="3718470D"/>
    <w:rsid w:val="37206C27"/>
    <w:rsid w:val="372731BA"/>
    <w:rsid w:val="37294235"/>
    <w:rsid w:val="373338A5"/>
    <w:rsid w:val="3737215B"/>
    <w:rsid w:val="373A0A99"/>
    <w:rsid w:val="374A7ADC"/>
    <w:rsid w:val="374E4FBA"/>
    <w:rsid w:val="37531A01"/>
    <w:rsid w:val="376528B2"/>
    <w:rsid w:val="377341A6"/>
    <w:rsid w:val="377D2E4F"/>
    <w:rsid w:val="3780322D"/>
    <w:rsid w:val="37950A5B"/>
    <w:rsid w:val="37994C0F"/>
    <w:rsid w:val="37A70FF1"/>
    <w:rsid w:val="37AC15B8"/>
    <w:rsid w:val="37B5675C"/>
    <w:rsid w:val="37DE35D0"/>
    <w:rsid w:val="37DF21FD"/>
    <w:rsid w:val="37E37C46"/>
    <w:rsid w:val="37E779DE"/>
    <w:rsid w:val="37EB76BC"/>
    <w:rsid w:val="37F828A2"/>
    <w:rsid w:val="37FA2A7A"/>
    <w:rsid w:val="38087608"/>
    <w:rsid w:val="38151E40"/>
    <w:rsid w:val="38191A55"/>
    <w:rsid w:val="382C1672"/>
    <w:rsid w:val="38330B95"/>
    <w:rsid w:val="3833469D"/>
    <w:rsid w:val="383E1885"/>
    <w:rsid w:val="38537496"/>
    <w:rsid w:val="38540630"/>
    <w:rsid w:val="38612D80"/>
    <w:rsid w:val="386B1513"/>
    <w:rsid w:val="386E60EC"/>
    <w:rsid w:val="38925531"/>
    <w:rsid w:val="389306D7"/>
    <w:rsid w:val="389F4678"/>
    <w:rsid w:val="38A05CB9"/>
    <w:rsid w:val="38AE2CAD"/>
    <w:rsid w:val="38E15B68"/>
    <w:rsid w:val="38E92E84"/>
    <w:rsid w:val="38F145ED"/>
    <w:rsid w:val="38F30F4F"/>
    <w:rsid w:val="39057FD3"/>
    <w:rsid w:val="390A1D13"/>
    <w:rsid w:val="39164BF5"/>
    <w:rsid w:val="391B1005"/>
    <w:rsid w:val="391D1023"/>
    <w:rsid w:val="392C0F70"/>
    <w:rsid w:val="392E063C"/>
    <w:rsid w:val="39382F10"/>
    <w:rsid w:val="393A6378"/>
    <w:rsid w:val="393B274D"/>
    <w:rsid w:val="394379C8"/>
    <w:rsid w:val="394D216A"/>
    <w:rsid w:val="39555F58"/>
    <w:rsid w:val="39577F1B"/>
    <w:rsid w:val="395E4826"/>
    <w:rsid w:val="396B71A4"/>
    <w:rsid w:val="39810BBD"/>
    <w:rsid w:val="398842E0"/>
    <w:rsid w:val="39967A20"/>
    <w:rsid w:val="39992293"/>
    <w:rsid w:val="399E405B"/>
    <w:rsid w:val="399E5554"/>
    <w:rsid w:val="39A0339E"/>
    <w:rsid w:val="39A42471"/>
    <w:rsid w:val="39BF6C7F"/>
    <w:rsid w:val="39C66F26"/>
    <w:rsid w:val="39D67F70"/>
    <w:rsid w:val="39EB2F67"/>
    <w:rsid w:val="3A0076E8"/>
    <w:rsid w:val="3A0D6CB3"/>
    <w:rsid w:val="3A164690"/>
    <w:rsid w:val="3A335C58"/>
    <w:rsid w:val="3A3E2951"/>
    <w:rsid w:val="3A425101"/>
    <w:rsid w:val="3A504BB4"/>
    <w:rsid w:val="3A564E44"/>
    <w:rsid w:val="3A5D167B"/>
    <w:rsid w:val="3A69435F"/>
    <w:rsid w:val="3A772836"/>
    <w:rsid w:val="3A7D702E"/>
    <w:rsid w:val="3A9802C4"/>
    <w:rsid w:val="3AA61944"/>
    <w:rsid w:val="3AAB3040"/>
    <w:rsid w:val="3AAD1BCB"/>
    <w:rsid w:val="3AB113E8"/>
    <w:rsid w:val="3ABD7880"/>
    <w:rsid w:val="3AC95EB9"/>
    <w:rsid w:val="3AD012D2"/>
    <w:rsid w:val="3AD27452"/>
    <w:rsid w:val="3AD91EC8"/>
    <w:rsid w:val="3ADA6948"/>
    <w:rsid w:val="3AE67E1B"/>
    <w:rsid w:val="3AE80CDF"/>
    <w:rsid w:val="3AFB7AF2"/>
    <w:rsid w:val="3B132DDD"/>
    <w:rsid w:val="3B143A26"/>
    <w:rsid w:val="3B200EF2"/>
    <w:rsid w:val="3B242657"/>
    <w:rsid w:val="3B2722DA"/>
    <w:rsid w:val="3B2A5B1D"/>
    <w:rsid w:val="3B2B26A3"/>
    <w:rsid w:val="3B2B7D6B"/>
    <w:rsid w:val="3B2E41C5"/>
    <w:rsid w:val="3B2F2F08"/>
    <w:rsid w:val="3B3245FE"/>
    <w:rsid w:val="3B396431"/>
    <w:rsid w:val="3B4051F4"/>
    <w:rsid w:val="3B4D7B65"/>
    <w:rsid w:val="3B4E2E09"/>
    <w:rsid w:val="3B5F03AE"/>
    <w:rsid w:val="3B676655"/>
    <w:rsid w:val="3B8A61BE"/>
    <w:rsid w:val="3BA26EF4"/>
    <w:rsid w:val="3BA55E85"/>
    <w:rsid w:val="3BA772EF"/>
    <w:rsid w:val="3BBA4839"/>
    <w:rsid w:val="3BBC315E"/>
    <w:rsid w:val="3BD23FDC"/>
    <w:rsid w:val="3BD44F09"/>
    <w:rsid w:val="3BEB0AF9"/>
    <w:rsid w:val="3BEE670D"/>
    <w:rsid w:val="3C0845F5"/>
    <w:rsid w:val="3C1A4C86"/>
    <w:rsid w:val="3C2034B7"/>
    <w:rsid w:val="3C261093"/>
    <w:rsid w:val="3C2A2FFB"/>
    <w:rsid w:val="3C2D2A2C"/>
    <w:rsid w:val="3C4021E4"/>
    <w:rsid w:val="3C447687"/>
    <w:rsid w:val="3C480B52"/>
    <w:rsid w:val="3C4A6D73"/>
    <w:rsid w:val="3C554B73"/>
    <w:rsid w:val="3C5C6D27"/>
    <w:rsid w:val="3C6353DC"/>
    <w:rsid w:val="3C66556A"/>
    <w:rsid w:val="3C716004"/>
    <w:rsid w:val="3C7571D3"/>
    <w:rsid w:val="3C7F002E"/>
    <w:rsid w:val="3C887A83"/>
    <w:rsid w:val="3C8E355B"/>
    <w:rsid w:val="3C8E7C8F"/>
    <w:rsid w:val="3C99357C"/>
    <w:rsid w:val="3CA20176"/>
    <w:rsid w:val="3CA54DDE"/>
    <w:rsid w:val="3CC22E05"/>
    <w:rsid w:val="3CD00700"/>
    <w:rsid w:val="3CD5357B"/>
    <w:rsid w:val="3CED1B10"/>
    <w:rsid w:val="3D06503D"/>
    <w:rsid w:val="3D072F30"/>
    <w:rsid w:val="3D0E0365"/>
    <w:rsid w:val="3D134C63"/>
    <w:rsid w:val="3D1812F9"/>
    <w:rsid w:val="3D2916A1"/>
    <w:rsid w:val="3D33483F"/>
    <w:rsid w:val="3D4E6650"/>
    <w:rsid w:val="3D507BF5"/>
    <w:rsid w:val="3D564193"/>
    <w:rsid w:val="3D5B71DC"/>
    <w:rsid w:val="3D6D1D5D"/>
    <w:rsid w:val="3D794344"/>
    <w:rsid w:val="3D86120F"/>
    <w:rsid w:val="3DCB7546"/>
    <w:rsid w:val="3DCF1599"/>
    <w:rsid w:val="3DEC34B6"/>
    <w:rsid w:val="3DEF1757"/>
    <w:rsid w:val="3DF3200C"/>
    <w:rsid w:val="3DF73D01"/>
    <w:rsid w:val="3DFF59BD"/>
    <w:rsid w:val="3E0850A4"/>
    <w:rsid w:val="3E1E619A"/>
    <w:rsid w:val="3E2E18EC"/>
    <w:rsid w:val="3E4B49E8"/>
    <w:rsid w:val="3E4B7F4E"/>
    <w:rsid w:val="3E654386"/>
    <w:rsid w:val="3E7F1FE4"/>
    <w:rsid w:val="3E81287B"/>
    <w:rsid w:val="3E914969"/>
    <w:rsid w:val="3EA015EC"/>
    <w:rsid w:val="3EA1086B"/>
    <w:rsid w:val="3EB02E2D"/>
    <w:rsid w:val="3EB24839"/>
    <w:rsid w:val="3EB35491"/>
    <w:rsid w:val="3EB8316F"/>
    <w:rsid w:val="3EB95E43"/>
    <w:rsid w:val="3EC966CF"/>
    <w:rsid w:val="3ECA6C43"/>
    <w:rsid w:val="3EE31EA6"/>
    <w:rsid w:val="3EE74946"/>
    <w:rsid w:val="3EF11B92"/>
    <w:rsid w:val="3EF277F9"/>
    <w:rsid w:val="3F0724A4"/>
    <w:rsid w:val="3F0D515D"/>
    <w:rsid w:val="3F0F796A"/>
    <w:rsid w:val="3F250C9E"/>
    <w:rsid w:val="3F2727F8"/>
    <w:rsid w:val="3F2F2D8E"/>
    <w:rsid w:val="3F522568"/>
    <w:rsid w:val="3F595D3C"/>
    <w:rsid w:val="3F656E79"/>
    <w:rsid w:val="3F8A17FF"/>
    <w:rsid w:val="3FA02720"/>
    <w:rsid w:val="3FA35BA4"/>
    <w:rsid w:val="3FAC1997"/>
    <w:rsid w:val="3FB911F5"/>
    <w:rsid w:val="3FC60FC8"/>
    <w:rsid w:val="3FD35EFE"/>
    <w:rsid w:val="3FFC71E9"/>
    <w:rsid w:val="40012E41"/>
    <w:rsid w:val="40094FF5"/>
    <w:rsid w:val="4011166F"/>
    <w:rsid w:val="401B0998"/>
    <w:rsid w:val="40294F5F"/>
    <w:rsid w:val="40322C2D"/>
    <w:rsid w:val="4033280B"/>
    <w:rsid w:val="40462383"/>
    <w:rsid w:val="404A78DD"/>
    <w:rsid w:val="404B1BED"/>
    <w:rsid w:val="404C7127"/>
    <w:rsid w:val="405A41D9"/>
    <w:rsid w:val="405C77AF"/>
    <w:rsid w:val="40845E58"/>
    <w:rsid w:val="409C765F"/>
    <w:rsid w:val="40A370C7"/>
    <w:rsid w:val="40A62914"/>
    <w:rsid w:val="40B23B72"/>
    <w:rsid w:val="40C750AA"/>
    <w:rsid w:val="40CC3F40"/>
    <w:rsid w:val="40CD6321"/>
    <w:rsid w:val="40D26604"/>
    <w:rsid w:val="40FA3575"/>
    <w:rsid w:val="40FE66E5"/>
    <w:rsid w:val="41023748"/>
    <w:rsid w:val="41035097"/>
    <w:rsid w:val="410A1889"/>
    <w:rsid w:val="410B16EF"/>
    <w:rsid w:val="41181366"/>
    <w:rsid w:val="41443D64"/>
    <w:rsid w:val="41490D31"/>
    <w:rsid w:val="415C417C"/>
    <w:rsid w:val="41686E62"/>
    <w:rsid w:val="416A0E3B"/>
    <w:rsid w:val="41717848"/>
    <w:rsid w:val="41771554"/>
    <w:rsid w:val="41816FB0"/>
    <w:rsid w:val="41925115"/>
    <w:rsid w:val="419558CE"/>
    <w:rsid w:val="41AB5AEF"/>
    <w:rsid w:val="41DA3647"/>
    <w:rsid w:val="41E032FE"/>
    <w:rsid w:val="41E955AA"/>
    <w:rsid w:val="41EA2076"/>
    <w:rsid w:val="41EA6B81"/>
    <w:rsid w:val="41F11145"/>
    <w:rsid w:val="41F74508"/>
    <w:rsid w:val="41F97720"/>
    <w:rsid w:val="4202289F"/>
    <w:rsid w:val="420516C7"/>
    <w:rsid w:val="42264D17"/>
    <w:rsid w:val="42345E06"/>
    <w:rsid w:val="423D3A9E"/>
    <w:rsid w:val="425778E1"/>
    <w:rsid w:val="425865D7"/>
    <w:rsid w:val="425E0747"/>
    <w:rsid w:val="426869A1"/>
    <w:rsid w:val="42694E0E"/>
    <w:rsid w:val="428D2914"/>
    <w:rsid w:val="429F2ABC"/>
    <w:rsid w:val="42AC3E7C"/>
    <w:rsid w:val="42CB5B28"/>
    <w:rsid w:val="42FC7811"/>
    <w:rsid w:val="430A55F3"/>
    <w:rsid w:val="430C3A34"/>
    <w:rsid w:val="43104C39"/>
    <w:rsid w:val="431052A6"/>
    <w:rsid w:val="43110A35"/>
    <w:rsid w:val="431316A9"/>
    <w:rsid w:val="431D7752"/>
    <w:rsid w:val="43284D8F"/>
    <w:rsid w:val="43507826"/>
    <w:rsid w:val="43545CBE"/>
    <w:rsid w:val="435B52E5"/>
    <w:rsid w:val="436106BA"/>
    <w:rsid w:val="436B466C"/>
    <w:rsid w:val="437A6F67"/>
    <w:rsid w:val="437B18AF"/>
    <w:rsid w:val="43870782"/>
    <w:rsid w:val="43911F54"/>
    <w:rsid w:val="43945F75"/>
    <w:rsid w:val="439B3FD7"/>
    <w:rsid w:val="43B55C46"/>
    <w:rsid w:val="43B5612A"/>
    <w:rsid w:val="43B74172"/>
    <w:rsid w:val="43C17A2F"/>
    <w:rsid w:val="43C44A4E"/>
    <w:rsid w:val="43C75473"/>
    <w:rsid w:val="43D951C1"/>
    <w:rsid w:val="43EC65F0"/>
    <w:rsid w:val="43F34003"/>
    <w:rsid w:val="43F8634B"/>
    <w:rsid w:val="43FC6EDD"/>
    <w:rsid w:val="43FF74C3"/>
    <w:rsid w:val="44095DA6"/>
    <w:rsid w:val="441134BA"/>
    <w:rsid w:val="44204BAD"/>
    <w:rsid w:val="44222FDB"/>
    <w:rsid w:val="442951EE"/>
    <w:rsid w:val="44344496"/>
    <w:rsid w:val="44401406"/>
    <w:rsid w:val="444B343E"/>
    <w:rsid w:val="444D254C"/>
    <w:rsid w:val="445A01A7"/>
    <w:rsid w:val="445D3A4B"/>
    <w:rsid w:val="446B02C1"/>
    <w:rsid w:val="446B0D8F"/>
    <w:rsid w:val="44726A0F"/>
    <w:rsid w:val="44735584"/>
    <w:rsid w:val="44861605"/>
    <w:rsid w:val="448D5DB8"/>
    <w:rsid w:val="44A060B2"/>
    <w:rsid w:val="44A51AA3"/>
    <w:rsid w:val="44B7395D"/>
    <w:rsid w:val="44C57848"/>
    <w:rsid w:val="44E62DF1"/>
    <w:rsid w:val="44E73547"/>
    <w:rsid w:val="44F3248D"/>
    <w:rsid w:val="44F87BF0"/>
    <w:rsid w:val="44FB4294"/>
    <w:rsid w:val="450B5CB2"/>
    <w:rsid w:val="45222610"/>
    <w:rsid w:val="4532123D"/>
    <w:rsid w:val="453C1FC5"/>
    <w:rsid w:val="453D23A7"/>
    <w:rsid w:val="45405164"/>
    <w:rsid w:val="454600A2"/>
    <w:rsid w:val="45477B61"/>
    <w:rsid w:val="454B4708"/>
    <w:rsid w:val="45502BEA"/>
    <w:rsid w:val="45544D3D"/>
    <w:rsid w:val="456569F7"/>
    <w:rsid w:val="457019F1"/>
    <w:rsid w:val="45791ADB"/>
    <w:rsid w:val="4580055A"/>
    <w:rsid w:val="45853741"/>
    <w:rsid w:val="458551C6"/>
    <w:rsid w:val="45855E9B"/>
    <w:rsid w:val="458A38DA"/>
    <w:rsid w:val="45901303"/>
    <w:rsid w:val="459A7709"/>
    <w:rsid w:val="45C26D5A"/>
    <w:rsid w:val="45CA2142"/>
    <w:rsid w:val="45CD5F03"/>
    <w:rsid w:val="45D36AA0"/>
    <w:rsid w:val="45D80932"/>
    <w:rsid w:val="45E00E48"/>
    <w:rsid w:val="45E3144D"/>
    <w:rsid w:val="45F15CCF"/>
    <w:rsid w:val="45FD643C"/>
    <w:rsid w:val="4601278A"/>
    <w:rsid w:val="460551BB"/>
    <w:rsid w:val="460807AA"/>
    <w:rsid w:val="460D2E7A"/>
    <w:rsid w:val="4612475F"/>
    <w:rsid w:val="4621769E"/>
    <w:rsid w:val="46340CE1"/>
    <w:rsid w:val="464523D6"/>
    <w:rsid w:val="46482343"/>
    <w:rsid w:val="464B61C6"/>
    <w:rsid w:val="465364F1"/>
    <w:rsid w:val="465B045A"/>
    <w:rsid w:val="465C6464"/>
    <w:rsid w:val="466C27B5"/>
    <w:rsid w:val="46775747"/>
    <w:rsid w:val="467B3CF3"/>
    <w:rsid w:val="46817CD6"/>
    <w:rsid w:val="46900685"/>
    <w:rsid w:val="469A7F18"/>
    <w:rsid w:val="46A10B7A"/>
    <w:rsid w:val="46AF508A"/>
    <w:rsid w:val="46B01609"/>
    <w:rsid w:val="46B24CE1"/>
    <w:rsid w:val="46B876F4"/>
    <w:rsid w:val="46C04479"/>
    <w:rsid w:val="46C33871"/>
    <w:rsid w:val="46C650FA"/>
    <w:rsid w:val="46DB70C1"/>
    <w:rsid w:val="46E94D99"/>
    <w:rsid w:val="46EA26E1"/>
    <w:rsid w:val="46EE10F9"/>
    <w:rsid w:val="46F67E99"/>
    <w:rsid w:val="47017980"/>
    <w:rsid w:val="47054DE7"/>
    <w:rsid w:val="47060B41"/>
    <w:rsid w:val="470E02AC"/>
    <w:rsid w:val="4712036C"/>
    <w:rsid w:val="47173C04"/>
    <w:rsid w:val="472410E3"/>
    <w:rsid w:val="47254111"/>
    <w:rsid w:val="472F404B"/>
    <w:rsid w:val="47301018"/>
    <w:rsid w:val="473322AD"/>
    <w:rsid w:val="474B2C24"/>
    <w:rsid w:val="474C4E9C"/>
    <w:rsid w:val="474C591F"/>
    <w:rsid w:val="4780351F"/>
    <w:rsid w:val="478157F9"/>
    <w:rsid w:val="478A1520"/>
    <w:rsid w:val="47A00FC1"/>
    <w:rsid w:val="47A75FA1"/>
    <w:rsid w:val="47A83221"/>
    <w:rsid w:val="47B57546"/>
    <w:rsid w:val="47C3155A"/>
    <w:rsid w:val="47CC2A66"/>
    <w:rsid w:val="47D34163"/>
    <w:rsid w:val="47D35790"/>
    <w:rsid w:val="47EB1F42"/>
    <w:rsid w:val="47F648A7"/>
    <w:rsid w:val="47F7474E"/>
    <w:rsid w:val="4809385D"/>
    <w:rsid w:val="48176AAA"/>
    <w:rsid w:val="482136D6"/>
    <w:rsid w:val="482252E7"/>
    <w:rsid w:val="48291A89"/>
    <w:rsid w:val="482C0430"/>
    <w:rsid w:val="48384DA2"/>
    <w:rsid w:val="4842688A"/>
    <w:rsid w:val="48435B96"/>
    <w:rsid w:val="484622AA"/>
    <w:rsid w:val="48474CBD"/>
    <w:rsid w:val="485151BB"/>
    <w:rsid w:val="48523759"/>
    <w:rsid w:val="485435FA"/>
    <w:rsid w:val="485D2F2D"/>
    <w:rsid w:val="48635575"/>
    <w:rsid w:val="487E6FFC"/>
    <w:rsid w:val="488013D8"/>
    <w:rsid w:val="488C78BF"/>
    <w:rsid w:val="48A347DC"/>
    <w:rsid w:val="48B34706"/>
    <w:rsid w:val="48C227BA"/>
    <w:rsid w:val="48C63320"/>
    <w:rsid w:val="48D41966"/>
    <w:rsid w:val="48E7500D"/>
    <w:rsid w:val="48EB30B5"/>
    <w:rsid w:val="48F84A3C"/>
    <w:rsid w:val="48FA6C7D"/>
    <w:rsid w:val="48FB3AF8"/>
    <w:rsid w:val="49050CAD"/>
    <w:rsid w:val="4906782A"/>
    <w:rsid w:val="4908287F"/>
    <w:rsid w:val="49196C68"/>
    <w:rsid w:val="491F23FF"/>
    <w:rsid w:val="49201912"/>
    <w:rsid w:val="492B7D0F"/>
    <w:rsid w:val="49352C9B"/>
    <w:rsid w:val="49395F0F"/>
    <w:rsid w:val="495039F0"/>
    <w:rsid w:val="49602898"/>
    <w:rsid w:val="4970134C"/>
    <w:rsid w:val="4977314E"/>
    <w:rsid w:val="497E05A8"/>
    <w:rsid w:val="498225C8"/>
    <w:rsid w:val="498248ED"/>
    <w:rsid w:val="498B4939"/>
    <w:rsid w:val="499E5C80"/>
    <w:rsid w:val="499F552D"/>
    <w:rsid w:val="49BE6C6F"/>
    <w:rsid w:val="49D15D84"/>
    <w:rsid w:val="49D96DED"/>
    <w:rsid w:val="49E65892"/>
    <w:rsid w:val="49EB7344"/>
    <w:rsid w:val="49ED5B47"/>
    <w:rsid w:val="49EF7B64"/>
    <w:rsid w:val="4A0B5513"/>
    <w:rsid w:val="4A1D4168"/>
    <w:rsid w:val="4A21503A"/>
    <w:rsid w:val="4A2638AF"/>
    <w:rsid w:val="4A295A54"/>
    <w:rsid w:val="4A2D2BE4"/>
    <w:rsid w:val="4A3D1372"/>
    <w:rsid w:val="4A48229A"/>
    <w:rsid w:val="4A5D6430"/>
    <w:rsid w:val="4A673438"/>
    <w:rsid w:val="4A7579D8"/>
    <w:rsid w:val="4A80346C"/>
    <w:rsid w:val="4A861B98"/>
    <w:rsid w:val="4A951F1B"/>
    <w:rsid w:val="4ABC535F"/>
    <w:rsid w:val="4ABE7925"/>
    <w:rsid w:val="4AC07F8F"/>
    <w:rsid w:val="4AC25450"/>
    <w:rsid w:val="4AD13C05"/>
    <w:rsid w:val="4AD7068A"/>
    <w:rsid w:val="4AD75757"/>
    <w:rsid w:val="4AF37469"/>
    <w:rsid w:val="4B164768"/>
    <w:rsid w:val="4B1B0C83"/>
    <w:rsid w:val="4B1C2E55"/>
    <w:rsid w:val="4B2012ED"/>
    <w:rsid w:val="4B21524C"/>
    <w:rsid w:val="4B2E1E22"/>
    <w:rsid w:val="4B350574"/>
    <w:rsid w:val="4B353F1B"/>
    <w:rsid w:val="4B3625D7"/>
    <w:rsid w:val="4B481ACB"/>
    <w:rsid w:val="4B486C1A"/>
    <w:rsid w:val="4B8502B7"/>
    <w:rsid w:val="4B876623"/>
    <w:rsid w:val="4B8B4AF4"/>
    <w:rsid w:val="4B901A3F"/>
    <w:rsid w:val="4B9F5FE4"/>
    <w:rsid w:val="4BAF3150"/>
    <w:rsid w:val="4BAF5523"/>
    <w:rsid w:val="4BB32C9E"/>
    <w:rsid w:val="4BB84D14"/>
    <w:rsid w:val="4BDF77A8"/>
    <w:rsid w:val="4BF41605"/>
    <w:rsid w:val="4C027673"/>
    <w:rsid w:val="4C1D57D3"/>
    <w:rsid w:val="4C2744F4"/>
    <w:rsid w:val="4C296917"/>
    <w:rsid w:val="4C2A4D76"/>
    <w:rsid w:val="4C307622"/>
    <w:rsid w:val="4C483B0E"/>
    <w:rsid w:val="4C524267"/>
    <w:rsid w:val="4C5260E7"/>
    <w:rsid w:val="4C54106F"/>
    <w:rsid w:val="4C5C48B6"/>
    <w:rsid w:val="4C5F4B48"/>
    <w:rsid w:val="4C757559"/>
    <w:rsid w:val="4C7C44FB"/>
    <w:rsid w:val="4C8C1845"/>
    <w:rsid w:val="4C961325"/>
    <w:rsid w:val="4CA5016D"/>
    <w:rsid w:val="4CA843B8"/>
    <w:rsid w:val="4CB31EC8"/>
    <w:rsid w:val="4CD01503"/>
    <w:rsid w:val="4CEF0B5A"/>
    <w:rsid w:val="4CF63519"/>
    <w:rsid w:val="4D055698"/>
    <w:rsid w:val="4D0611AF"/>
    <w:rsid w:val="4D0F29E3"/>
    <w:rsid w:val="4D1644A2"/>
    <w:rsid w:val="4D1C331F"/>
    <w:rsid w:val="4D28647C"/>
    <w:rsid w:val="4D350892"/>
    <w:rsid w:val="4D381FAE"/>
    <w:rsid w:val="4D496B45"/>
    <w:rsid w:val="4D513EF1"/>
    <w:rsid w:val="4D6723CF"/>
    <w:rsid w:val="4D692EF3"/>
    <w:rsid w:val="4D7D60F2"/>
    <w:rsid w:val="4D7F352F"/>
    <w:rsid w:val="4D997446"/>
    <w:rsid w:val="4DAC3BC5"/>
    <w:rsid w:val="4DAE33E7"/>
    <w:rsid w:val="4DB02907"/>
    <w:rsid w:val="4DB14D4E"/>
    <w:rsid w:val="4DB637CE"/>
    <w:rsid w:val="4DC25EA9"/>
    <w:rsid w:val="4DC740E1"/>
    <w:rsid w:val="4DD83BC4"/>
    <w:rsid w:val="4E1D546A"/>
    <w:rsid w:val="4E2161A7"/>
    <w:rsid w:val="4E2B0E45"/>
    <w:rsid w:val="4E493F5E"/>
    <w:rsid w:val="4E515574"/>
    <w:rsid w:val="4E516FF8"/>
    <w:rsid w:val="4E5D2B87"/>
    <w:rsid w:val="4E61632A"/>
    <w:rsid w:val="4E66734D"/>
    <w:rsid w:val="4E6A17B3"/>
    <w:rsid w:val="4E7D229F"/>
    <w:rsid w:val="4E8B072C"/>
    <w:rsid w:val="4E8E7451"/>
    <w:rsid w:val="4E8F502C"/>
    <w:rsid w:val="4E914B9B"/>
    <w:rsid w:val="4E9A5B0F"/>
    <w:rsid w:val="4E9F5356"/>
    <w:rsid w:val="4EB628A4"/>
    <w:rsid w:val="4EC06A0D"/>
    <w:rsid w:val="4EC167C8"/>
    <w:rsid w:val="4ECC4D51"/>
    <w:rsid w:val="4ED05DD6"/>
    <w:rsid w:val="4ED665E7"/>
    <w:rsid w:val="4EF17EE5"/>
    <w:rsid w:val="4EFF5071"/>
    <w:rsid w:val="4F047E64"/>
    <w:rsid w:val="4F063A0B"/>
    <w:rsid w:val="4F0D4CCC"/>
    <w:rsid w:val="4F0E2788"/>
    <w:rsid w:val="4F107C57"/>
    <w:rsid w:val="4F13186D"/>
    <w:rsid w:val="4F30219D"/>
    <w:rsid w:val="4F440C33"/>
    <w:rsid w:val="4F4835FB"/>
    <w:rsid w:val="4F5128E1"/>
    <w:rsid w:val="4F526C80"/>
    <w:rsid w:val="4F6775E4"/>
    <w:rsid w:val="4F7B3317"/>
    <w:rsid w:val="4F870B06"/>
    <w:rsid w:val="4F9E7BDE"/>
    <w:rsid w:val="4FA41C5B"/>
    <w:rsid w:val="4FA47D95"/>
    <w:rsid w:val="4FAB565E"/>
    <w:rsid w:val="4FBE7234"/>
    <w:rsid w:val="4FC32F05"/>
    <w:rsid w:val="4FE21EDC"/>
    <w:rsid w:val="4FE419CE"/>
    <w:rsid w:val="4FF01B09"/>
    <w:rsid w:val="4FF94900"/>
    <w:rsid w:val="50045B48"/>
    <w:rsid w:val="50094D4F"/>
    <w:rsid w:val="502A3165"/>
    <w:rsid w:val="50301046"/>
    <w:rsid w:val="50362872"/>
    <w:rsid w:val="503A34B1"/>
    <w:rsid w:val="503C4584"/>
    <w:rsid w:val="503E5A15"/>
    <w:rsid w:val="504F30C9"/>
    <w:rsid w:val="505919F5"/>
    <w:rsid w:val="505B0EE4"/>
    <w:rsid w:val="506107D9"/>
    <w:rsid w:val="50616D46"/>
    <w:rsid w:val="507C20FC"/>
    <w:rsid w:val="507F0A30"/>
    <w:rsid w:val="508E76EB"/>
    <w:rsid w:val="50945EAB"/>
    <w:rsid w:val="509A6EA1"/>
    <w:rsid w:val="509F1447"/>
    <w:rsid w:val="50A57D57"/>
    <w:rsid w:val="50AE5DFE"/>
    <w:rsid w:val="50B817FF"/>
    <w:rsid w:val="50C55AFE"/>
    <w:rsid w:val="50D15111"/>
    <w:rsid w:val="50EF1AB0"/>
    <w:rsid w:val="51032D19"/>
    <w:rsid w:val="51064320"/>
    <w:rsid w:val="51076BBC"/>
    <w:rsid w:val="510E3376"/>
    <w:rsid w:val="51293BDD"/>
    <w:rsid w:val="513E41A7"/>
    <w:rsid w:val="51412678"/>
    <w:rsid w:val="515D4421"/>
    <w:rsid w:val="515D5ECD"/>
    <w:rsid w:val="515E19EB"/>
    <w:rsid w:val="5182239F"/>
    <w:rsid w:val="51A44A95"/>
    <w:rsid w:val="51A97DC4"/>
    <w:rsid w:val="51AC41BA"/>
    <w:rsid w:val="51AE133D"/>
    <w:rsid w:val="51B27AEE"/>
    <w:rsid w:val="51BF7A56"/>
    <w:rsid w:val="51CC6F2E"/>
    <w:rsid w:val="51DF1C29"/>
    <w:rsid w:val="51E26DF6"/>
    <w:rsid w:val="51E279EE"/>
    <w:rsid w:val="51F87AE6"/>
    <w:rsid w:val="52026112"/>
    <w:rsid w:val="521A1642"/>
    <w:rsid w:val="52241694"/>
    <w:rsid w:val="523E12B7"/>
    <w:rsid w:val="52461F2F"/>
    <w:rsid w:val="525E180B"/>
    <w:rsid w:val="525E3943"/>
    <w:rsid w:val="52604D8C"/>
    <w:rsid w:val="52631544"/>
    <w:rsid w:val="52736F6F"/>
    <w:rsid w:val="52805C53"/>
    <w:rsid w:val="528B3111"/>
    <w:rsid w:val="528E6060"/>
    <w:rsid w:val="52A07821"/>
    <w:rsid w:val="52A54C25"/>
    <w:rsid w:val="52A804D2"/>
    <w:rsid w:val="52B16163"/>
    <w:rsid w:val="52B96402"/>
    <w:rsid w:val="52BA18DD"/>
    <w:rsid w:val="52BF30B7"/>
    <w:rsid w:val="52C016BA"/>
    <w:rsid w:val="52C16118"/>
    <w:rsid w:val="52CF48A6"/>
    <w:rsid w:val="52D0615C"/>
    <w:rsid w:val="52D10442"/>
    <w:rsid w:val="52D7576D"/>
    <w:rsid w:val="52E120E6"/>
    <w:rsid w:val="52E51B1C"/>
    <w:rsid w:val="52FD5BB4"/>
    <w:rsid w:val="52FF4E50"/>
    <w:rsid w:val="52FF5D11"/>
    <w:rsid w:val="53080DD1"/>
    <w:rsid w:val="531A75E1"/>
    <w:rsid w:val="53203A05"/>
    <w:rsid w:val="532242A1"/>
    <w:rsid w:val="53352C2B"/>
    <w:rsid w:val="53491E6F"/>
    <w:rsid w:val="534E3F79"/>
    <w:rsid w:val="53575B42"/>
    <w:rsid w:val="535A5814"/>
    <w:rsid w:val="535E2181"/>
    <w:rsid w:val="53633CE8"/>
    <w:rsid w:val="53683893"/>
    <w:rsid w:val="53807837"/>
    <w:rsid w:val="539461BF"/>
    <w:rsid w:val="539A6CBE"/>
    <w:rsid w:val="53A4491B"/>
    <w:rsid w:val="53B339F3"/>
    <w:rsid w:val="53B455AD"/>
    <w:rsid w:val="53C11125"/>
    <w:rsid w:val="53D36BC5"/>
    <w:rsid w:val="53E0627B"/>
    <w:rsid w:val="54052830"/>
    <w:rsid w:val="5407648A"/>
    <w:rsid w:val="541917E4"/>
    <w:rsid w:val="5425714F"/>
    <w:rsid w:val="54376309"/>
    <w:rsid w:val="544201BF"/>
    <w:rsid w:val="54430B41"/>
    <w:rsid w:val="54451CE7"/>
    <w:rsid w:val="545A257A"/>
    <w:rsid w:val="5466745D"/>
    <w:rsid w:val="54802C70"/>
    <w:rsid w:val="54827BA6"/>
    <w:rsid w:val="548916C3"/>
    <w:rsid w:val="549664CC"/>
    <w:rsid w:val="54967F1F"/>
    <w:rsid w:val="549F5578"/>
    <w:rsid w:val="54AF3BF2"/>
    <w:rsid w:val="54C00160"/>
    <w:rsid w:val="54D02905"/>
    <w:rsid w:val="54D17021"/>
    <w:rsid w:val="54D85725"/>
    <w:rsid w:val="54D94D97"/>
    <w:rsid w:val="54DB08C2"/>
    <w:rsid w:val="54FB040C"/>
    <w:rsid w:val="55054C8E"/>
    <w:rsid w:val="55144BA1"/>
    <w:rsid w:val="55166813"/>
    <w:rsid w:val="5526089D"/>
    <w:rsid w:val="552F4820"/>
    <w:rsid w:val="5535568B"/>
    <w:rsid w:val="55357DEB"/>
    <w:rsid w:val="553F06B6"/>
    <w:rsid w:val="553F2BC3"/>
    <w:rsid w:val="55404587"/>
    <w:rsid w:val="5544059B"/>
    <w:rsid w:val="55481F5E"/>
    <w:rsid w:val="555D37A4"/>
    <w:rsid w:val="556E18A4"/>
    <w:rsid w:val="55701EBB"/>
    <w:rsid w:val="5576250F"/>
    <w:rsid w:val="557D0EDE"/>
    <w:rsid w:val="558343D6"/>
    <w:rsid w:val="55961970"/>
    <w:rsid w:val="55AB64D4"/>
    <w:rsid w:val="55B32D2C"/>
    <w:rsid w:val="55C36EC8"/>
    <w:rsid w:val="55C574EB"/>
    <w:rsid w:val="55D354BA"/>
    <w:rsid w:val="55D852D7"/>
    <w:rsid w:val="55E12AEC"/>
    <w:rsid w:val="55E259AB"/>
    <w:rsid w:val="55E77E72"/>
    <w:rsid w:val="55EE7BC2"/>
    <w:rsid w:val="5613322F"/>
    <w:rsid w:val="563E6BD6"/>
    <w:rsid w:val="564E389C"/>
    <w:rsid w:val="565A15F0"/>
    <w:rsid w:val="566A2D9F"/>
    <w:rsid w:val="568E1F75"/>
    <w:rsid w:val="569E38BC"/>
    <w:rsid w:val="56A67859"/>
    <w:rsid w:val="56BB053D"/>
    <w:rsid w:val="56C4077B"/>
    <w:rsid w:val="56CE5CDD"/>
    <w:rsid w:val="56D166C6"/>
    <w:rsid w:val="56D90A1C"/>
    <w:rsid w:val="56F63737"/>
    <w:rsid w:val="56FB0C90"/>
    <w:rsid w:val="57091BA0"/>
    <w:rsid w:val="570A0786"/>
    <w:rsid w:val="57113508"/>
    <w:rsid w:val="57195E4E"/>
    <w:rsid w:val="571E672C"/>
    <w:rsid w:val="57277C1A"/>
    <w:rsid w:val="572B6A33"/>
    <w:rsid w:val="572E620F"/>
    <w:rsid w:val="573539BC"/>
    <w:rsid w:val="57422C03"/>
    <w:rsid w:val="57541904"/>
    <w:rsid w:val="577730E6"/>
    <w:rsid w:val="57824DD9"/>
    <w:rsid w:val="57965FDE"/>
    <w:rsid w:val="57A56228"/>
    <w:rsid w:val="57B251AF"/>
    <w:rsid w:val="57B63E40"/>
    <w:rsid w:val="57BD205E"/>
    <w:rsid w:val="57BF711C"/>
    <w:rsid w:val="57C1149D"/>
    <w:rsid w:val="57C701C3"/>
    <w:rsid w:val="57CA0836"/>
    <w:rsid w:val="57D0394B"/>
    <w:rsid w:val="57E405A4"/>
    <w:rsid w:val="57F0315A"/>
    <w:rsid w:val="57F27BD1"/>
    <w:rsid w:val="581C72FD"/>
    <w:rsid w:val="58203538"/>
    <w:rsid w:val="582673BB"/>
    <w:rsid w:val="582B382E"/>
    <w:rsid w:val="584078BF"/>
    <w:rsid w:val="584132E2"/>
    <w:rsid w:val="58486C8A"/>
    <w:rsid w:val="585404B6"/>
    <w:rsid w:val="58714D0C"/>
    <w:rsid w:val="58790811"/>
    <w:rsid w:val="58974DAF"/>
    <w:rsid w:val="589F0979"/>
    <w:rsid w:val="58B60599"/>
    <w:rsid w:val="58B9446F"/>
    <w:rsid w:val="58C1740E"/>
    <w:rsid w:val="58CA58DB"/>
    <w:rsid w:val="58CC28C6"/>
    <w:rsid w:val="58CE21AA"/>
    <w:rsid w:val="58DB496E"/>
    <w:rsid w:val="58E15131"/>
    <w:rsid w:val="58E627F6"/>
    <w:rsid w:val="590B6EA3"/>
    <w:rsid w:val="590E7108"/>
    <w:rsid w:val="59234493"/>
    <w:rsid w:val="59326FEE"/>
    <w:rsid w:val="5934056F"/>
    <w:rsid w:val="593B549E"/>
    <w:rsid w:val="593F6ED8"/>
    <w:rsid w:val="59456ACA"/>
    <w:rsid w:val="594A46D2"/>
    <w:rsid w:val="594F61F2"/>
    <w:rsid w:val="595A13EA"/>
    <w:rsid w:val="596360E9"/>
    <w:rsid w:val="59646B88"/>
    <w:rsid w:val="5966599C"/>
    <w:rsid w:val="596B4DF3"/>
    <w:rsid w:val="59792DBD"/>
    <w:rsid w:val="598A780E"/>
    <w:rsid w:val="598B0C3E"/>
    <w:rsid w:val="59983264"/>
    <w:rsid w:val="599D6CAE"/>
    <w:rsid w:val="599E3F51"/>
    <w:rsid w:val="59A624EE"/>
    <w:rsid w:val="59AD3D41"/>
    <w:rsid w:val="59B21091"/>
    <w:rsid w:val="59BE0C4D"/>
    <w:rsid w:val="59C2663D"/>
    <w:rsid w:val="59C83E39"/>
    <w:rsid w:val="59CB12E1"/>
    <w:rsid w:val="59CE5EE3"/>
    <w:rsid w:val="59E61E83"/>
    <w:rsid w:val="5A02136F"/>
    <w:rsid w:val="5A034398"/>
    <w:rsid w:val="5A091F29"/>
    <w:rsid w:val="5A0A78CC"/>
    <w:rsid w:val="5A140085"/>
    <w:rsid w:val="5A1A3A36"/>
    <w:rsid w:val="5A2B501A"/>
    <w:rsid w:val="5A351CBF"/>
    <w:rsid w:val="5A3D6F53"/>
    <w:rsid w:val="5A4243E1"/>
    <w:rsid w:val="5A5000C1"/>
    <w:rsid w:val="5A5275F2"/>
    <w:rsid w:val="5A7279BE"/>
    <w:rsid w:val="5A730650"/>
    <w:rsid w:val="5A7866EC"/>
    <w:rsid w:val="5A7D2384"/>
    <w:rsid w:val="5A992DA6"/>
    <w:rsid w:val="5A9A4E1F"/>
    <w:rsid w:val="5A9D5BD0"/>
    <w:rsid w:val="5AA0544C"/>
    <w:rsid w:val="5AA20697"/>
    <w:rsid w:val="5AA610E0"/>
    <w:rsid w:val="5AAA2995"/>
    <w:rsid w:val="5AAC68A2"/>
    <w:rsid w:val="5AAF6137"/>
    <w:rsid w:val="5ABC4BD3"/>
    <w:rsid w:val="5AC441D8"/>
    <w:rsid w:val="5ACA66AB"/>
    <w:rsid w:val="5AD62E54"/>
    <w:rsid w:val="5AD847ED"/>
    <w:rsid w:val="5ADE031C"/>
    <w:rsid w:val="5AE97E2B"/>
    <w:rsid w:val="5AEF4800"/>
    <w:rsid w:val="5AF060E5"/>
    <w:rsid w:val="5AF357FC"/>
    <w:rsid w:val="5AF43773"/>
    <w:rsid w:val="5B183AC2"/>
    <w:rsid w:val="5B1A3272"/>
    <w:rsid w:val="5B203151"/>
    <w:rsid w:val="5B273110"/>
    <w:rsid w:val="5B2C31A6"/>
    <w:rsid w:val="5B520175"/>
    <w:rsid w:val="5B767FEE"/>
    <w:rsid w:val="5B7F5E9B"/>
    <w:rsid w:val="5B8C1028"/>
    <w:rsid w:val="5B90545F"/>
    <w:rsid w:val="5BA668D3"/>
    <w:rsid w:val="5BAF6589"/>
    <w:rsid w:val="5BB14F47"/>
    <w:rsid w:val="5BB64929"/>
    <w:rsid w:val="5BBD0E4D"/>
    <w:rsid w:val="5BBD1EE9"/>
    <w:rsid w:val="5BC551A3"/>
    <w:rsid w:val="5BD74E9E"/>
    <w:rsid w:val="5BE9125F"/>
    <w:rsid w:val="5BF03202"/>
    <w:rsid w:val="5BF57EA8"/>
    <w:rsid w:val="5BF62A83"/>
    <w:rsid w:val="5BF77482"/>
    <w:rsid w:val="5C066DCD"/>
    <w:rsid w:val="5C0C24BB"/>
    <w:rsid w:val="5C15786F"/>
    <w:rsid w:val="5C1C4A79"/>
    <w:rsid w:val="5C257D12"/>
    <w:rsid w:val="5C2609B8"/>
    <w:rsid w:val="5C2A4177"/>
    <w:rsid w:val="5C3D115F"/>
    <w:rsid w:val="5C466ABF"/>
    <w:rsid w:val="5C491058"/>
    <w:rsid w:val="5C5D40A6"/>
    <w:rsid w:val="5C617961"/>
    <w:rsid w:val="5C7A1CBE"/>
    <w:rsid w:val="5C987DAA"/>
    <w:rsid w:val="5CA00AE8"/>
    <w:rsid w:val="5CAE2CDD"/>
    <w:rsid w:val="5CB41A93"/>
    <w:rsid w:val="5CB46D9C"/>
    <w:rsid w:val="5CBE1EC0"/>
    <w:rsid w:val="5CCF1BEF"/>
    <w:rsid w:val="5CD12812"/>
    <w:rsid w:val="5CD71364"/>
    <w:rsid w:val="5CE12A7F"/>
    <w:rsid w:val="5D02485E"/>
    <w:rsid w:val="5D073273"/>
    <w:rsid w:val="5D0911D4"/>
    <w:rsid w:val="5D1643BE"/>
    <w:rsid w:val="5D1828ED"/>
    <w:rsid w:val="5D305B0B"/>
    <w:rsid w:val="5D3523AF"/>
    <w:rsid w:val="5D376BA4"/>
    <w:rsid w:val="5D436B1B"/>
    <w:rsid w:val="5D546386"/>
    <w:rsid w:val="5D633429"/>
    <w:rsid w:val="5D6337D0"/>
    <w:rsid w:val="5D6C4251"/>
    <w:rsid w:val="5D707517"/>
    <w:rsid w:val="5D975E7F"/>
    <w:rsid w:val="5D9D2CED"/>
    <w:rsid w:val="5D9D5EC0"/>
    <w:rsid w:val="5DA40594"/>
    <w:rsid w:val="5DB721C8"/>
    <w:rsid w:val="5DCF02F1"/>
    <w:rsid w:val="5DCF1038"/>
    <w:rsid w:val="5DEA3ED1"/>
    <w:rsid w:val="5DEB114E"/>
    <w:rsid w:val="5DED0234"/>
    <w:rsid w:val="5E0D1EDD"/>
    <w:rsid w:val="5E196403"/>
    <w:rsid w:val="5E22638A"/>
    <w:rsid w:val="5E3930E1"/>
    <w:rsid w:val="5E3D4216"/>
    <w:rsid w:val="5E3F687B"/>
    <w:rsid w:val="5E415784"/>
    <w:rsid w:val="5E473551"/>
    <w:rsid w:val="5E4871C2"/>
    <w:rsid w:val="5E565B29"/>
    <w:rsid w:val="5E5F48E4"/>
    <w:rsid w:val="5E63573F"/>
    <w:rsid w:val="5E6441C6"/>
    <w:rsid w:val="5E6F3C66"/>
    <w:rsid w:val="5E767B78"/>
    <w:rsid w:val="5E841535"/>
    <w:rsid w:val="5E911564"/>
    <w:rsid w:val="5EA25514"/>
    <w:rsid w:val="5EA55DC2"/>
    <w:rsid w:val="5EA75CB0"/>
    <w:rsid w:val="5EAE4AB7"/>
    <w:rsid w:val="5EC34D24"/>
    <w:rsid w:val="5EE85A29"/>
    <w:rsid w:val="5F1976D8"/>
    <w:rsid w:val="5F1B02D5"/>
    <w:rsid w:val="5F1E783B"/>
    <w:rsid w:val="5F262672"/>
    <w:rsid w:val="5F33093E"/>
    <w:rsid w:val="5F361F01"/>
    <w:rsid w:val="5F410C69"/>
    <w:rsid w:val="5F4536E4"/>
    <w:rsid w:val="5F6434DB"/>
    <w:rsid w:val="5F870DB9"/>
    <w:rsid w:val="5F8804AC"/>
    <w:rsid w:val="5F8B6623"/>
    <w:rsid w:val="5FBE2AC7"/>
    <w:rsid w:val="5FBE37C6"/>
    <w:rsid w:val="5FD17E77"/>
    <w:rsid w:val="5FD621A4"/>
    <w:rsid w:val="5FDB44FB"/>
    <w:rsid w:val="5FDC7142"/>
    <w:rsid w:val="5FE37D4D"/>
    <w:rsid w:val="5FEA0642"/>
    <w:rsid w:val="5FFD16AB"/>
    <w:rsid w:val="6007120F"/>
    <w:rsid w:val="60077CC5"/>
    <w:rsid w:val="600F0F88"/>
    <w:rsid w:val="60301AB6"/>
    <w:rsid w:val="604F6EFF"/>
    <w:rsid w:val="60575B21"/>
    <w:rsid w:val="605A0C66"/>
    <w:rsid w:val="606247CA"/>
    <w:rsid w:val="606302F9"/>
    <w:rsid w:val="60695AC5"/>
    <w:rsid w:val="60745756"/>
    <w:rsid w:val="60780B96"/>
    <w:rsid w:val="608A6CA0"/>
    <w:rsid w:val="608B1E61"/>
    <w:rsid w:val="608C0F26"/>
    <w:rsid w:val="609043A9"/>
    <w:rsid w:val="609D4888"/>
    <w:rsid w:val="60A549D4"/>
    <w:rsid w:val="60AF6D3D"/>
    <w:rsid w:val="60D87A48"/>
    <w:rsid w:val="60DB65DA"/>
    <w:rsid w:val="60DE3D8C"/>
    <w:rsid w:val="60EC641D"/>
    <w:rsid w:val="60FD2FE2"/>
    <w:rsid w:val="60FF46BB"/>
    <w:rsid w:val="610760B7"/>
    <w:rsid w:val="61306DF0"/>
    <w:rsid w:val="61351C9A"/>
    <w:rsid w:val="613C0BFE"/>
    <w:rsid w:val="613F5903"/>
    <w:rsid w:val="614A5D94"/>
    <w:rsid w:val="614B78C6"/>
    <w:rsid w:val="614E24A3"/>
    <w:rsid w:val="61505601"/>
    <w:rsid w:val="616A3728"/>
    <w:rsid w:val="617F4CA3"/>
    <w:rsid w:val="6183496E"/>
    <w:rsid w:val="6197057A"/>
    <w:rsid w:val="619A625E"/>
    <w:rsid w:val="61A043A7"/>
    <w:rsid w:val="61A12736"/>
    <w:rsid w:val="61B17C19"/>
    <w:rsid w:val="61B77E45"/>
    <w:rsid w:val="61D20071"/>
    <w:rsid w:val="61E111F8"/>
    <w:rsid w:val="61E479F6"/>
    <w:rsid w:val="61EC04B0"/>
    <w:rsid w:val="61EF7A65"/>
    <w:rsid w:val="61F25375"/>
    <w:rsid w:val="61F46858"/>
    <w:rsid w:val="61F83DDA"/>
    <w:rsid w:val="61FA70F7"/>
    <w:rsid w:val="61FD24E3"/>
    <w:rsid w:val="6213714C"/>
    <w:rsid w:val="621921D2"/>
    <w:rsid w:val="62211E07"/>
    <w:rsid w:val="62494F4E"/>
    <w:rsid w:val="624F5230"/>
    <w:rsid w:val="625161A2"/>
    <w:rsid w:val="625D154C"/>
    <w:rsid w:val="626C21FC"/>
    <w:rsid w:val="62725461"/>
    <w:rsid w:val="627672C7"/>
    <w:rsid w:val="627B3CF7"/>
    <w:rsid w:val="62AF0FC2"/>
    <w:rsid w:val="62AF7631"/>
    <w:rsid w:val="62B06C67"/>
    <w:rsid w:val="62B178B8"/>
    <w:rsid w:val="62B229AC"/>
    <w:rsid w:val="62BA3D24"/>
    <w:rsid w:val="62C834F0"/>
    <w:rsid w:val="62CA07F9"/>
    <w:rsid w:val="62D521FE"/>
    <w:rsid w:val="62D9648A"/>
    <w:rsid w:val="62DF11B9"/>
    <w:rsid w:val="62F2544C"/>
    <w:rsid w:val="62F34586"/>
    <w:rsid w:val="62F90D38"/>
    <w:rsid w:val="62FB09DA"/>
    <w:rsid w:val="63086047"/>
    <w:rsid w:val="630C02D8"/>
    <w:rsid w:val="63173335"/>
    <w:rsid w:val="631B7E5E"/>
    <w:rsid w:val="63234528"/>
    <w:rsid w:val="632C2F9D"/>
    <w:rsid w:val="633B10F0"/>
    <w:rsid w:val="634339F5"/>
    <w:rsid w:val="63445820"/>
    <w:rsid w:val="636E5626"/>
    <w:rsid w:val="637100D8"/>
    <w:rsid w:val="63835BE3"/>
    <w:rsid w:val="63843A6B"/>
    <w:rsid w:val="63852AF5"/>
    <w:rsid w:val="63860B2A"/>
    <w:rsid w:val="638A52B0"/>
    <w:rsid w:val="639304F7"/>
    <w:rsid w:val="639B7529"/>
    <w:rsid w:val="63A45F3F"/>
    <w:rsid w:val="63A917FA"/>
    <w:rsid w:val="63AB25E6"/>
    <w:rsid w:val="63D11741"/>
    <w:rsid w:val="63D31EFD"/>
    <w:rsid w:val="63D61C5F"/>
    <w:rsid w:val="63DF084E"/>
    <w:rsid w:val="63ED7248"/>
    <w:rsid w:val="63F2612C"/>
    <w:rsid w:val="640275CF"/>
    <w:rsid w:val="64060C1E"/>
    <w:rsid w:val="64127B0E"/>
    <w:rsid w:val="6420094B"/>
    <w:rsid w:val="642B7C8F"/>
    <w:rsid w:val="643614AA"/>
    <w:rsid w:val="64393B1D"/>
    <w:rsid w:val="64496ED6"/>
    <w:rsid w:val="644F6609"/>
    <w:rsid w:val="645237C1"/>
    <w:rsid w:val="64624721"/>
    <w:rsid w:val="64786C6E"/>
    <w:rsid w:val="647B0E18"/>
    <w:rsid w:val="64800A38"/>
    <w:rsid w:val="64800E7D"/>
    <w:rsid w:val="64873B9B"/>
    <w:rsid w:val="64916B2D"/>
    <w:rsid w:val="64996D28"/>
    <w:rsid w:val="64A04D13"/>
    <w:rsid w:val="64A804B7"/>
    <w:rsid w:val="64B55DB0"/>
    <w:rsid w:val="64BA65D2"/>
    <w:rsid w:val="64C95CA3"/>
    <w:rsid w:val="64D2609A"/>
    <w:rsid w:val="64D37A43"/>
    <w:rsid w:val="64DE53D1"/>
    <w:rsid w:val="64E27519"/>
    <w:rsid w:val="64E5771B"/>
    <w:rsid w:val="64FA21E7"/>
    <w:rsid w:val="64FE1F59"/>
    <w:rsid w:val="64FF004B"/>
    <w:rsid w:val="651A3112"/>
    <w:rsid w:val="652E5FD9"/>
    <w:rsid w:val="65370750"/>
    <w:rsid w:val="653715BB"/>
    <w:rsid w:val="653D6DE8"/>
    <w:rsid w:val="65444A55"/>
    <w:rsid w:val="65545021"/>
    <w:rsid w:val="6557612F"/>
    <w:rsid w:val="656624F6"/>
    <w:rsid w:val="65682970"/>
    <w:rsid w:val="656B7535"/>
    <w:rsid w:val="656E1B32"/>
    <w:rsid w:val="656E3788"/>
    <w:rsid w:val="656E7DF2"/>
    <w:rsid w:val="65887B87"/>
    <w:rsid w:val="658F41AA"/>
    <w:rsid w:val="659679A8"/>
    <w:rsid w:val="659B66DC"/>
    <w:rsid w:val="659C7913"/>
    <w:rsid w:val="65B203F2"/>
    <w:rsid w:val="65B40E5D"/>
    <w:rsid w:val="65C06D2A"/>
    <w:rsid w:val="65C25B7B"/>
    <w:rsid w:val="65CD1C39"/>
    <w:rsid w:val="65D47740"/>
    <w:rsid w:val="65D845C5"/>
    <w:rsid w:val="65E47ADC"/>
    <w:rsid w:val="65E53F3A"/>
    <w:rsid w:val="65FF1908"/>
    <w:rsid w:val="66113F7D"/>
    <w:rsid w:val="661504E0"/>
    <w:rsid w:val="66196469"/>
    <w:rsid w:val="66220F0D"/>
    <w:rsid w:val="662446E2"/>
    <w:rsid w:val="6638786B"/>
    <w:rsid w:val="66484076"/>
    <w:rsid w:val="664F0D9A"/>
    <w:rsid w:val="665234A6"/>
    <w:rsid w:val="666929BA"/>
    <w:rsid w:val="667231EC"/>
    <w:rsid w:val="66884514"/>
    <w:rsid w:val="6689561B"/>
    <w:rsid w:val="66917422"/>
    <w:rsid w:val="669E67BA"/>
    <w:rsid w:val="66A20202"/>
    <w:rsid w:val="66B67D71"/>
    <w:rsid w:val="66C018BB"/>
    <w:rsid w:val="66C162A9"/>
    <w:rsid w:val="66CA2EED"/>
    <w:rsid w:val="66CC5A50"/>
    <w:rsid w:val="66CF2390"/>
    <w:rsid w:val="66D96A08"/>
    <w:rsid w:val="66E54664"/>
    <w:rsid w:val="66E94DB8"/>
    <w:rsid w:val="66EA4627"/>
    <w:rsid w:val="67016445"/>
    <w:rsid w:val="670676FA"/>
    <w:rsid w:val="670D5F7B"/>
    <w:rsid w:val="672447DF"/>
    <w:rsid w:val="6728031E"/>
    <w:rsid w:val="67347F0F"/>
    <w:rsid w:val="67423F6F"/>
    <w:rsid w:val="675840FA"/>
    <w:rsid w:val="676835D5"/>
    <w:rsid w:val="67795540"/>
    <w:rsid w:val="677B28DC"/>
    <w:rsid w:val="677B479B"/>
    <w:rsid w:val="67811A27"/>
    <w:rsid w:val="67847534"/>
    <w:rsid w:val="678C11D2"/>
    <w:rsid w:val="67935D65"/>
    <w:rsid w:val="6794336C"/>
    <w:rsid w:val="67A13325"/>
    <w:rsid w:val="67A45B82"/>
    <w:rsid w:val="67A50164"/>
    <w:rsid w:val="67A6363F"/>
    <w:rsid w:val="67CA40DB"/>
    <w:rsid w:val="67D14B0D"/>
    <w:rsid w:val="67D22A5B"/>
    <w:rsid w:val="67D47D4B"/>
    <w:rsid w:val="67D838E1"/>
    <w:rsid w:val="67E2020D"/>
    <w:rsid w:val="67E8268A"/>
    <w:rsid w:val="67F22B8E"/>
    <w:rsid w:val="67FC1BB1"/>
    <w:rsid w:val="682A37BC"/>
    <w:rsid w:val="682F4924"/>
    <w:rsid w:val="683565FD"/>
    <w:rsid w:val="683E0EC0"/>
    <w:rsid w:val="68602179"/>
    <w:rsid w:val="68630234"/>
    <w:rsid w:val="68757CDC"/>
    <w:rsid w:val="687B0E2A"/>
    <w:rsid w:val="687E7E6F"/>
    <w:rsid w:val="687F66D1"/>
    <w:rsid w:val="688064E3"/>
    <w:rsid w:val="68840C68"/>
    <w:rsid w:val="6885568C"/>
    <w:rsid w:val="68966F46"/>
    <w:rsid w:val="68A00203"/>
    <w:rsid w:val="68A4112B"/>
    <w:rsid w:val="68AA7BF7"/>
    <w:rsid w:val="68B603CC"/>
    <w:rsid w:val="68B95B09"/>
    <w:rsid w:val="68BE3A63"/>
    <w:rsid w:val="68BE65D1"/>
    <w:rsid w:val="68CD39AE"/>
    <w:rsid w:val="68CE14DC"/>
    <w:rsid w:val="68DA057D"/>
    <w:rsid w:val="68DC3040"/>
    <w:rsid w:val="68E50EAD"/>
    <w:rsid w:val="68E97C3F"/>
    <w:rsid w:val="68F20564"/>
    <w:rsid w:val="68F300B8"/>
    <w:rsid w:val="68F342EA"/>
    <w:rsid w:val="68FC0451"/>
    <w:rsid w:val="690216D8"/>
    <w:rsid w:val="69034814"/>
    <w:rsid w:val="6905532A"/>
    <w:rsid w:val="690565AF"/>
    <w:rsid w:val="69223B64"/>
    <w:rsid w:val="6925039E"/>
    <w:rsid w:val="692E1EE0"/>
    <w:rsid w:val="693A2B34"/>
    <w:rsid w:val="693D0545"/>
    <w:rsid w:val="69403017"/>
    <w:rsid w:val="69513380"/>
    <w:rsid w:val="695C7075"/>
    <w:rsid w:val="6973225B"/>
    <w:rsid w:val="697D0B98"/>
    <w:rsid w:val="699606DF"/>
    <w:rsid w:val="69A16326"/>
    <w:rsid w:val="69A431ED"/>
    <w:rsid w:val="69AE6E80"/>
    <w:rsid w:val="69B932D0"/>
    <w:rsid w:val="69C271AA"/>
    <w:rsid w:val="69C5593D"/>
    <w:rsid w:val="69C8096C"/>
    <w:rsid w:val="69DF2E7A"/>
    <w:rsid w:val="69E53F39"/>
    <w:rsid w:val="69FB37EF"/>
    <w:rsid w:val="6A010305"/>
    <w:rsid w:val="6A0E1BAA"/>
    <w:rsid w:val="6A155081"/>
    <w:rsid w:val="6A166B1A"/>
    <w:rsid w:val="6A1A689E"/>
    <w:rsid w:val="6A1E6F6E"/>
    <w:rsid w:val="6A202D1D"/>
    <w:rsid w:val="6A241492"/>
    <w:rsid w:val="6A407A08"/>
    <w:rsid w:val="6A444A84"/>
    <w:rsid w:val="6A4A43CB"/>
    <w:rsid w:val="6A553A08"/>
    <w:rsid w:val="6A573ACE"/>
    <w:rsid w:val="6A5A7883"/>
    <w:rsid w:val="6A5C2DE8"/>
    <w:rsid w:val="6A734307"/>
    <w:rsid w:val="6A8960F2"/>
    <w:rsid w:val="6A8F2A78"/>
    <w:rsid w:val="6A9912A0"/>
    <w:rsid w:val="6AA0095B"/>
    <w:rsid w:val="6AB42F9C"/>
    <w:rsid w:val="6ABA5440"/>
    <w:rsid w:val="6AC51CD0"/>
    <w:rsid w:val="6AD67E24"/>
    <w:rsid w:val="6AD7114A"/>
    <w:rsid w:val="6B023C61"/>
    <w:rsid w:val="6B0872A0"/>
    <w:rsid w:val="6B0F7A6B"/>
    <w:rsid w:val="6B1539A2"/>
    <w:rsid w:val="6B181916"/>
    <w:rsid w:val="6B1B52E4"/>
    <w:rsid w:val="6B1E7186"/>
    <w:rsid w:val="6B300B47"/>
    <w:rsid w:val="6B30192B"/>
    <w:rsid w:val="6B305C98"/>
    <w:rsid w:val="6B3947BD"/>
    <w:rsid w:val="6B433C6D"/>
    <w:rsid w:val="6B443FA0"/>
    <w:rsid w:val="6B596E21"/>
    <w:rsid w:val="6B5F2A83"/>
    <w:rsid w:val="6B60290F"/>
    <w:rsid w:val="6B662EB1"/>
    <w:rsid w:val="6B6755DD"/>
    <w:rsid w:val="6B6A65EB"/>
    <w:rsid w:val="6B76419A"/>
    <w:rsid w:val="6B7923E3"/>
    <w:rsid w:val="6B7938CC"/>
    <w:rsid w:val="6B7C7964"/>
    <w:rsid w:val="6B7D348E"/>
    <w:rsid w:val="6B8A17D1"/>
    <w:rsid w:val="6B8D0757"/>
    <w:rsid w:val="6B8E3753"/>
    <w:rsid w:val="6B901EE7"/>
    <w:rsid w:val="6B964A8A"/>
    <w:rsid w:val="6BA8311C"/>
    <w:rsid w:val="6BAF6D49"/>
    <w:rsid w:val="6BBA0F52"/>
    <w:rsid w:val="6BBE6551"/>
    <w:rsid w:val="6BCC3A1D"/>
    <w:rsid w:val="6BCE6A3C"/>
    <w:rsid w:val="6BD27F04"/>
    <w:rsid w:val="6BEE084D"/>
    <w:rsid w:val="6C132FE6"/>
    <w:rsid w:val="6C1668FD"/>
    <w:rsid w:val="6C1D7FAC"/>
    <w:rsid w:val="6C2F059B"/>
    <w:rsid w:val="6C322756"/>
    <w:rsid w:val="6C34323F"/>
    <w:rsid w:val="6C3A123B"/>
    <w:rsid w:val="6C3A1515"/>
    <w:rsid w:val="6C614AD3"/>
    <w:rsid w:val="6C6339A4"/>
    <w:rsid w:val="6C6645FD"/>
    <w:rsid w:val="6C6C660C"/>
    <w:rsid w:val="6C6E5DE1"/>
    <w:rsid w:val="6C74163E"/>
    <w:rsid w:val="6C7507B8"/>
    <w:rsid w:val="6C7B1B55"/>
    <w:rsid w:val="6C825A36"/>
    <w:rsid w:val="6C8454C5"/>
    <w:rsid w:val="6C8F6F50"/>
    <w:rsid w:val="6C901BEA"/>
    <w:rsid w:val="6C9A7A27"/>
    <w:rsid w:val="6CA40527"/>
    <w:rsid w:val="6CA432BC"/>
    <w:rsid w:val="6CA43325"/>
    <w:rsid w:val="6CA6153F"/>
    <w:rsid w:val="6CA72915"/>
    <w:rsid w:val="6CA8505C"/>
    <w:rsid w:val="6CB62821"/>
    <w:rsid w:val="6CBE6FB1"/>
    <w:rsid w:val="6CC4063E"/>
    <w:rsid w:val="6CCF50A0"/>
    <w:rsid w:val="6CDE5BCA"/>
    <w:rsid w:val="6CF10BA2"/>
    <w:rsid w:val="6D082F71"/>
    <w:rsid w:val="6D2912F8"/>
    <w:rsid w:val="6D304706"/>
    <w:rsid w:val="6D371A44"/>
    <w:rsid w:val="6D430BCE"/>
    <w:rsid w:val="6D4457E1"/>
    <w:rsid w:val="6D465CE0"/>
    <w:rsid w:val="6D4B7B8E"/>
    <w:rsid w:val="6D502495"/>
    <w:rsid w:val="6D5E32B0"/>
    <w:rsid w:val="6D626A9A"/>
    <w:rsid w:val="6D663675"/>
    <w:rsid w:val="6D683D68"/>
    <w:rsid w:val="6D6C299F"/>
    <w:rsid w:val="6D7505CB"/>
    <w:rsid w:val="6D7B02E9"/>
    <w:rsid w:val="6D996E8F"/>
    <w:rsid w:val="6D9E2710"/>
    <w:rsid w:val="6DB51DCD"/>
    <w:rsid w:val="6DBF1B21"/>
    <w:rsid w:val="6DD724B0"/>
    <w:rsid w:val="6DE401C0"/>
    <w:rsid w:val="6DE765F6"/>
    <w:rsid w:val="6DF17AA8"/>
    <w:rsid w:val="6E0710AD"/>
    <w:rsid w:val="6E0C1662"/>
    <w:rsid w:val="6E0E2611"/>
    <w:rsid w:val="6E2249E0"/>
    <w:rsid w:val="6E2B1EDA"/>
    <w:rsid w:val="6E2B4F8C"/>
    <w:rsid w:val="6E442927"/>
    <w:rsid w:val="6E5145BB"/>
    <w:rsid w:val="6E6324B2"/>
    <w:rsid w:val="6E7F1EC4"/>
    <w:rsid w:val="6E7F3EC6"/>
    <w:rsid w:val="6E8550FA"/>
    <w:rsid w:val="6E8A362D"/>
    <w:rsid w:val="6E8A49DE"/>
    <w:rsid w:val="6E8B1350"/>
    <w:rsid w:val="6E911606"/>
    <w:rsid w:val="6E96104E"/>
    <w:rsid w:val="6E9E3ED6"/>
    <w:rsid w:val="6E9E4358"/>
    <w:rsid w:val="6EAD63FE"/>
    <w:rsid w:val="6EB74166"/>
    <w:rsid w:val="6EC73924"/>
    <w:rsid w:val="6ED35DAD"/>
    <w:rsid w:val="6EDA2ACB"/>
    <w:rsid w:val="6EDB160C"/>
    <w:rsid w:val="6EF04498"/>
    <w:rsid w:val="6EF72AFA"/>
    <w:rsid w:val="6EFF218C"/>
    <w:rsid w:val="6F016213"/>
    <w:rsid w:val="6F0532DE"/>
    <w:rsid w:val="6F0E64E8"/>
    <w:rsid w:val="6F1D2CB0"/>
    <w:rsid w:val="6F2757F2"/>
    <w:rsid w:val="6F3B3152"/>
    <w:rsid w:val="6F6248A5"/>
    <w:rsid w:val="6F636301"/>
    <w:rsid w:val="6F7778C3"/>
    <w:rsid w:val="6F822D2D"/>
    <w:rsid w:val="6F976184"/>
    <w:rsid w:val="6FAA7484"/>
    <w:rsid w:val="6FB321A5"/>
    <w:rsid w:val="6FB751FD"/>
    <w:rsid w:val="6FBD0480"/>
    <w:rsid w:val="6FC0397E"/>
    <w:rsid w:val="6FC45B02"/>
    <w:rsid w:val="6FC90B00"/>
    <w:rsid w:val="6FD4792B"/>
    <w:rsid w:val="6FD75796"/>
    <w:rsid w:val="6FE00F0B"/>
    <w:rsid w:val="6FE248BB"/>
    <w:rsid w:val="6FE900D4"/>
    <w:rsid w:val="6FF23A21"/>
    <w:rsid w:val="700318AE"/>
    <w:rsid w:val="70042428"/>
    <w:rsid w:val="700614F9"/>
    <w:rsid w:val="700A69A5"/>
    <w:rsid w:val="701B5C4E"/>
    <w:rsid w:val="70264F98"/>
    <w:rsid w:val="70312AA1"/>
    <w:rsid w:val="70360167"/>
    <w:rsid w:val="703604AA"/>
    <w:rsid w:val="703A617E"/>
    <w:rsid w:val="70406FB1"/>
    <w:rsid w:val="704A7190"/>
    <w:rsid w:val="705C04CE"/>
    <w:rsid w:val="7063612F"/>
    <w:rsid w:val="7066717D"/>
    <w:rsid w:val="70747100"/>
    <w:rsid w:val="70775DC5"/>
    <w:rsid w:val="7092752C"/>
    <w:rsid w:val="709E26C4"/>
    <w:rsid w:val="70AC081A"/>
    <w:rsid w:val="70B22E35"/>
    <w:rsid w:val="70B93EB7"/>
    <w:rsid w:val="70B965AD"/>
    <w:rsid w:val="70BA7346"/>
    <w:rsid w:val="70BB57A9"/>
    <w:rsid w:val="70C50F4C"/>
    <w:rsid w:val="70D347BD"/>
    <w:rsid w:val="70EF5D16"/>
    <w:rsid w:val="70F24C64"/>
    <w:rsid w:val="710F378F"/>
    <w:rsid w:val="711A38AA"/>
    <w:rsid w:val="711E625A"/>
    <w:rsid w:val="7122515B"/>
    <w:rsid w:val="712A5FCB"/>
    <w:rsid w:val="71327B6D"/>
    <w:rsid w:val="714262A5"/>
    <w:rsid w:val="71583E79"/>
    <w:rsid w:val="715A5AEE"/>
    <w:rsid w:val="718647FC"/>
    <w:rsid w:val="71873719"/>
    <w:rsid w:val="71911A1E"/>
    <w:rsid w:val="71960211"/>
    <w:rsid w:val="719B276D"/>
    <w:rsid w:val="719F14F4"/>
    <w:rsid w:val="71A21802"/>
    <w:rsid w:val="71A52B1F"/>
    <w:rsid w:val="71AB0F7A"/>
    <w:rsid w:val="71B47370"/>
    <w:rsid w:val="71B50E67"/>
    <w:rsid w:val="71C21512"/>
    <w:rsid w:val="71C25966"/>
    <w:rsid w:val="71D1699E"/>
    <w:rsid w:val="71D23720"/>
    <w:rsid w:val="71D649C2"/>
    <w:rsid w:val="71DD035E"/>
    <w:rsid w:val="71E23754"/>
    <w:rsid w:val="71E62D49"/>
    <w:rsid w:val="71EE178F"/>
    <w:rsid w:val="71F57D86"/>
    <w:rsid w:val="72044BD8"/>
    <w:rsid w:val="720D2F43"/>
    <w:rsid w:val="720E478E"/>
    <w:rsid w:val="72115BAA"/>
    <w:rsid w:val="721609CC"/>
    <w:rsid w:val="7218181D"/>
    <w:rsid w:val="72187A85"/>
    <w:rsid w:val="721B1130"/>
    <w:rsid w:val="72213970"/>
    <w:rsid w:val="722A180D"/>
    <w:rsid w:val="723D75F6"/>
    <w:rsid w:val="72586C8D"/>
    <w:rsid w:val="725C7493"/>
    <w:rsid w:val="725E5157"/>
    <w:rsid w:val="726F1F6E"/>
    <w:rsid w:val="72832F9C"/>
    <w:rsid w:val="728728F7"/>
    <w:rsid w:val="72873AD7"/>
    <w:rsid w:val="72A87200"/>
    <w:rsid w:val="72BE7968"/>
    <w:rsid w:val="72C62878"/>
    <w:rsid w:val="72D75592"/>
    <w:rsid w:val="72FA3DEC"/>
    <w:rsid w:val="73171A37"/>
    <w:rsid w:val="73183E24"/>
    <w:rsid w:val="73193C05"/>
    <w:rsid w:val="73295D72"/>
    <w:rsid w:val="73332ABB"/>
    <w:rsid w:val="734B1779"/>
    <w:rsid w:val="73727B71"/>
    <w:rsid w:val="73802D1B"/>
    <w:rsid w:val="738D000D"/>
    <w:rsid w:val="739877BB"/>
    <w:rsid w:val="739E1A08"/>
    <w:rsid w:val="739E3C45"/>
    <w:rsid w:val="73AD34A2"/>
    <w:rsid w:val="73B26A84"/>
    <w:rsid w:val="73B3090C"/>
    <w:rsid w:val="73C023AA"/>
    <w:rsid w:val="73C02820"/>
    <w:rsid w:val="73C661F3"/>
    <w:rsid w:val="73C86FB5"/>
    <w:rsid w:val="73CD5DB1"/>
    <w:rsid w:val="73D32A82"/>
    <w:rsid w:val="73EC69B7"/>
    <w:rsid w:val="73EE1A7F"/>
    <w:rsid w:val="73FC0F29"/>
    <w:rsid w:val="740A0140"/>
    <w:rsid w:val="740F3F7D"/>
    <w:rsid w:val="74246F57"/>
    <w:rsid w:val="744009DC"/>
    <w:rsid w:val="74434153"/>
    <w:rsid w:val="744B7C95"/>
    <w:rsid w:val="744E0F97"/>
    <w:rsid w:val="74665B17"/>
    <w:rsid w:val="746E40D8"/>
    <w:rsid w:val="74751D22"/>
    <w:rsid w:val="7479475A"/>
    <w:rsid w:val="748A6DE2"/>
    <w:rsid w:val="74947BF4"/>
    <w:rsid w:val="749E238C"/>
    <w:rsid w:val="74A07641"/>
    <w:rsid w:val="74A82EDE"/>
    <w:rsid w:val="74BD7AA7"/>
    <w:rsid w:val="74CE4254"/>
    <w:rsid w:val="74DE1419"/>
    <w:rsid w:val="74E8322E"/>
    <w:rsid w:val="74F67823"/>
    <w:rsid w:val="74FB58D6"/>
    <w:rsid w:val="75107330"/>
    <w:rsid w:val="753D22F5"/>
    <w:rsid w:val="753D4A0D"/>
    <w:rsid w:val="75437DC7"/>
    <w:rsid w:val="75580138"/>
    <w:rsid w:val="755B785F"/>
    <w:rsid w:val="755C6EB3"/>
    <w:rsid w:val="756614AF"/>
    <w:rsid w:val="756A7535"/>
    <w:rsid w:val="75751C4F"/>
    <w:rsid w:val="757E2D17"/>
    <w:rsid w:val="757F3EBB"/>
    <w:rsid w:val="75802627"/>
    <w:rsid w:val="75896EF3"/>
    <w:rsid w:val="758D68DD"/>
    <w:rsid w:val="759267AF"/>
    <w:rsid w:val="759A592E"/>
    <w:rsid w:val="75AC25F2"/>
    <w:rsid w:val="75AD6CC1"/>
    <w:rsid w:val="75AE51FC"/>
    <w:rsid w:val="75B13ED4"/>
    <w:rsid w:val="75B508C1"/>
    <w:rsid w:val="75BB6B9A"/>
    <w:rsid w:val="75D770C9"/>
    <w:rsid w:val="75DF6CAA"/>
    <w:rsid w:val="75EA3778"/>
    <w:rsid w:val="76131BB8"/>
    <w:rsid w:val="7624264E"/>
    <w:rsid w:val="76263DFD"/>
    <w:rsid w:val="76356EC8"/>
    <w:rsid w:val="765D1A08"/>
    <w:rsid w:val="765F5A43"/>
    <w:rsid w:val="76794058"/>
    <w:rsid w:val="7696744A"/>
    <w:rsid w:val="76990445"/>
    <w:rsid w:val="76A21E2A"/>
    <w:rsid w:val="76B661D8"/>
    <w:rsid w:val="76BE5D92"/>
    <w:rsid w:val="76C24062"/>
    <w:rsid w:val="76D73143"/>
    <w:rsid w:val="76D7455C"/>
    <w:rsid w:val="76DE5773"/>
    <w:rsid w:val="76E077F2"/>
    <w:rsid w:val="76E338CF"/>
    <w:rsid w:val="76E66A53"/>
    <w:rsid w:val="76F57999"/>
    <w:rsid w:val="770E3456"/>
    <w:rsid w:val="770F060F"/>
    <w:rsid w:val="771763C0"/>
    <w:rsid w:val="771B683B"/>
    <w:rsid w:val="772B7960"/>
    <w:rsid w:val="773128C1"/>
    <w:rsid w:val="77317722"/>
    <w:rsid w:val="7742069F"/>
    <w:rsid w:val="77422B77"/>
    <w:rsid w:val="774F060D"/>
    <w:rsid w:val="775A0447"/>
    <w:rsid w:val="77667120"/>
    <w:rsid w:val="77725F78"/>
    <w:rsid w:val="778B2BD6"/>
    <w:rsid w:val="778C70EA"/>
    <w:rsid w:val="779F52A4"/>
    <w:rsid w:val="77A02CCB"/>
    <w:rsid w:val="77A2638A"/>
    <w:rsid w:val="77AE1E46"/>
    <w:rsid w:val="77B0556B"/>
    <w:rsid w:val="77B65BA7"/>
    <w:rsid w:val="77CD40E1"/>
    <w:rsid w:val="77CE05CF"/>
    <w:rsid w:val="77D56519"/>
    <w:rsid w:val="77D64FF5"/>
    <w:rsid w:val="77E12F89"/>
    <w:rsid w:val="78032CA0"/>
    <w:rsid w:val="780C0F3E"/>
    <w:rsid w:val="781B4C25"/>
    <w:rsid w:val="78364E7A"/>
    <w:rsid w:val="78367BF3"/>
    <w:rsid w:val="78411F37"/>
    <w:rsid w:val="784C2AAC"/>
    <w:rsid w:val="784F01BC"/>
    <w:rsid w:val="78533B6B"/>
    <w:rsid w:val="78535E15"/>
    <w:rsid w:val="78674983"/>
    <w:rsid w:val="786D0045"/>
    <w:rsid w:val="787550A9"/>
    <w:rsid w:val="788D4CF3"/>
    <w:rsid w:val="7890190A"/>
    <w:rsid w:val="7891567A"/>
    <w:rsid w:val="78975512"/>
    <w:rsid w:val="78B10645"/>
    <w:rsid w:val="78C662C2"/>
    <w:rsid w:val="78CA0296"/>
    <w:rsid w:val="78E672A8"/>
    <w:rsid w:val="78F970E4"/>
    <w:rsid w:val="78FA0A2F"/>
    <w:rsid w:val="78FA0F79"/>
    <w:rsid w:val="79026F34"/>
    <w:rsid w:val="790F5416"/>
    <w:rsid w:val="79141BA4"/>
    <w:rsid w:val="79143D91"/>
    <w:rsid w:val="791C2D46"/>
    <w:rsid w:val="791E704F"/>
    <w:rsid w:val="79282296"/>
    <w:rsid w:val="7942170D"/>
    <w:rsid w:val="794637C2"/>
    <w:rsid w:val="796D1764"/>
    <w:rsid w:val="796E5657"/>
    <w:rsid w:val="797A1D8C"/>
    <w:rsid w:val="797D4E6E"/>
    <w:rsid w:val="798917C5"/>
    <w:rsid w:val="799D472D"/>
    <w:rsid w:val="799E29F4"/>
    <w:rsid w:val="79A968A6"/>
    <w:rsid w:val="79AB62FC"/>
    <w:rsid w:val="79AC1D98"/>
    <w:rsid w:val="79B7269D"/>
    <w:rsid w:val="79B902E6"/>
    <w:rsid w:val="79BE44FA"/>
    <w:rsid w:val="79C10BF5"/>
    <w:rsid w:val="79C353DB"/>
    <w:rsid w:val="79DA167B"/>
    <w:rsid w:val="79F91C79"/>
    <w:rsid w:val="7A055C28"/>
    <w:rsid w:val="7A1059AA"/>
    <w:rsid w:val="7A1E2B23"/>
    <w:rsid w:val="7A217D95"/>
    <w:rsid w:val="7A380976"/>
    <w:rsid w:val="7A424C3A"/>
    <w:rsid w:val="7A446B89"/>
    <w:rsid w:val="7A4652A6"/>
    <w:rsid w:val="7A4F01EA"/>
    <w:rsid w:val="7A773C8D"/>
    <w:rsid w:val="7A826F8D"/>
    <w:rsid w:val="7A9F3A94"/>
    <w:rsid w:val="7AA530BC"/>
    <w:rsid w:val="7AA86EC7"/>
    <w:rsid w:val="7AB27670"/>
    <w:rsid w:val="7ABD6C96"/>
    <w:rsid w:val="7ACA39BB"/>
    <w:rsid w:val="7ACD1580"/>
    <w:rsid w:val="7AD72A50"/>
    <w:rsid w:val="7AED57EC"/>
    <w:rsid w:val="7AFA51F3"/>
    <w:rsid w:val="7AFB7EEB"/>
    <w:rsid w:val="7B12230D"/>
    <w:rsid w:val="7B1530AF"/>
    <w:rsid w:val="7B1F6271"/>
    <w:rsid w:val="7B225863"/>
    <w:rsid w:val="7B2F2881"/>
    <w:rsid w:val="7B362957"/>
    <w:rsid w:val="7B3D243E"/>
    <w:rsid w:val="7B3F67F2"/>
    <w:rsid w:val="7B4A6A24"/>
    <w:rsid w:val="7B4B3001"/>
    <w:rsid w:val="7B5C6878"/>
    <w:rsid w:val="7B665DDD"/>
    <w:rsid w:val="7B73558E"/>
    <w:rsid w:val="7B863371"/>
    <w:rsid w:val="7B8E7573"/>
    <w:rsid w:val="7B924B51"/>
    <w:rsid w:val="7BA572B0"/>
    <w:rsid w:val="7BA62420"/>
    <w:rsid w:val="7BA734E1"/>
    <w:rsid w:val="7BAB30F3"/>
    <w:rsid w:val="7BB0547C"/>
    <w:rsid w:val="7BC85874"/>
    <w:rsid w:val="7BD44183"/>
    <w:rsid w:val="7BDD5067"/>
    <w:rsid w:val="7BE139E3"/>
    <w:rsid w:val="7BE20B18"/>
    <w:rsid w:val="7BE84082"/>
    <w:rsid w:val="7BFA0377"/>
    <w:rsid w:val="7C013A38"/>
    <w:rsid w:val="7C0A1F04"/>
    <w:rsid w:val="7C137F09"/>
    <w:rsid w:val="7C296A0F"/>
    <w:rsid w:val="7C306801"/>
    <w:rsid w:val="7C377E12"/>
    <w:rsid w:val="7C49264A"/>
    <w:rsid w:val="7C4B7BB0"/>
    <w:rsid w:val="7C4D7544"/>
    <w:rsid w:val="7C4F3E6E"/>
    <w:rsid w:val="7C684A4E"/>
    <w:rsid w:val="7C7C171E"/>
    <w:rsid w:val="7C872E59"/>
    <w:rsid w:val="7C9C1C28"/>
    <w:rsid w:val="7CA54C2B"/>
    <w:rsid w:val="7CB927F1"/>
    <w:rsid w:val="7CBA49A7"/>
    <w:rsid w:val="7CDB2A51"/>
    <w:rsid w:val="7CE01742"/>
    <w:rsid w:val="7CE307C9"/>
    <w:rsid w:val="7CE54237"/>
    <w:rsid w:val="7CE81E99"/>
    <w:rsid w:val="7CEA32FE"/>
    <w:rsid w:val="7CEB2EAC"/>
    <w:rsid w:val="7CF13EEF"/>
    <w:rsid w:val="7CF41B3D"/>
    <w:rsid w:val="7D0E4F43"/>
    <w:rsid w:val="7D13207E"/>
    <w:rsid w:val="7D3828D0"/>
    <w:rsid w:val="7D3C6D63"/>
    <w:rsid w:val="7D556464"/>
    <w:rsid w:val="7D5D2FF6"/>
    <w:rsid w:val="7D8F7BF3"/>
    <w:rsid w:val="7D961C96"/>
    <w:rsid w:val="7DB229E4"/>
    <w:rsid w:val="7DB242A3"/>
    <w:rsid w:val="7DBB4A1E"/>
    <w:rsid w:val="7DC42566"/>
    <w:rsid w:val="7DD31836"/>
    <w:rsid w:val="7DE3348A"/>
    <w:rsid w:val="7DE92990"/>
    <w:rsid w:val="7DFA1EC7"/>
    <w:rsid w:val="7DFF7E1F"/>
    <w:rsid w:val="7E0703F7"/>
    <w:rsid w:val="7E0E353E"/>
    <w:rsid w:val="7E123A48"/>
    <w:rsid w:val="7E17670F"/>
    <w:rsid w:val="7E2141DF"/>
    <w:rsid w:val="7E2B64A4"/>
    <w:rsid w:val="7E4208E1"/>
    <w:rsid w:val="7E526F3F"/>
    <w:rsid w:val="7E531466"/>
    <w:rsid w:val="7E5573EF"/>
    <w:rsid w:val="7E603997"/>
    <w:rsid w:val="7E752AAC"/>
    <w:rsid w:val="7E7F1613"/>
    <w:rsid w:val="7E840E77"/>
    <w:rsid w:val="7EA83607"/>
    <w:rsid w:val="7ED60BFE"/>
    <w:rsid w:val="7ED97F96"/>
    <w:rsid w:val="7EE10256"/>
    <w:rsid w:val="7EF55FF8"/>
    <w:rsid w:val="7F077624"/>
    <w:rsid w:val="7F086388"/>
    <w:rsid w:val="7F0F0CBC"/>
    <w:rsid w:val="7F332A7D"/>
    <w:rsid w:val="7F345252"/>
    <w:rsid w:val="7F571B1F"/>
    <w:rsid w:val="7F6C4D2C"/>
    <w:rsid w:val="7F7C654D"/>
    <w:rsid w:val="7F7D5458"/>
    <w:rsid w:val="7F97487F"/>
    <w:rsid w:val="7FCA35A7"/>
    <w:rsid w:val="7FDE044F"/>
    <w:rsid w:val="7FE24490"/>
    <w:rsid w:val="7FF46E98"/>
    <w:rsid w:val="7FF700D2"/>
    <w:rsid w:val="7FF82B52"/>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120" w:beforeLines="0" w:after="110" w:afterLines="0" w:line="360" w:lineRule="auto"/>
      <w:jc w:val="left"/>
      <w:outlineLvl w:val="1"/>
    </w:pPr>
    <w:rPr>
      <w:rFonts w:ascii="宋体" w:hAnsi="宋体" w:eastAsia="仿宋_GB2312"/>
      <w:b/>
      <w:bCs/>
      <w:sz w:val="32"/>
      <w:szCs w:val="32"/>
    </w:rPr>
  </w:style>
  <w:style w:type="paragraph" w:styleId="4">
    <w:name w:val="heading 3"/>
    <w:basedOn w:val="1"/>
    <w:next w:val="1"/>
    <w:unhideWhenUsed/>
    <w:qFormat/>
    <w:uiPriority w:val="0"/>
    <w:pPr>
      <w:keepNext/>
      <w:keepLines/>
      <w:numPr>
        <w:ilvl w:val="2"/>
        <w:numId w:val="1"/>
      </w:numPr>
      <w:spacing w:before="260" w:after="260" w:line="360" w:lineRule="auto"/>
      <w:outlineLvl w:val="2"/>
    </w:pPr>
    <w:rPr>
      <w:rFonts w:ascii="方正美黑简体" w:eastAsia="方正美黑简体"/>
      <w:bCs/>
      <w:sz w:val="28"/>
      <w:szCs w:val="32"/>
    </w:rPr>
  </w:style>
  <w:style w:type="paragraph" w:styleId="5">
    <w:name w:val="heading 4"/>
    <w:basedOn w:val="1"/>
    <w:next w:val="1"/>
    <w:unhideWhenUsed/>
    <w:qFormat/>
    <w:uiPriority w:val="0"/>
    <w:pPr>
      <w:keepNext/>
      <w:keepLines/>
      <w:spacing w:before="120" w:beforeLines="0" w:beforeAutospacing="0" w:after="120" w:afterLines="0" w:afterAutospacing="0" w:line="240" w:lineRule="auto"/>
      <w:ind w:leftChars="200"/>
      <w:jc w:val="left"/>
      <w:outlineLvl w:val="3"/>
    </w:pPr>
    <w:rPr>
      <w:rFonts w:ascii="Arial" w:hAnsi="Arial"/>
      <w:b/>
      <w:kern w:val="0"/>
      <w:szCs w:val="20"/>
    </w:rPr>
  </w:style>
  <w:style w:type="character" w:default="1" w:styleId="15">
    <w:name w:val="Default Paragraph Font"/>
    <w:semiHidden/>
    <w:qFormat/>
    <w:uiPriority w:val="0"/>
  </w:style>
  <w:style w:type="table" w:default="1" w:styleId="28">
    <w:name w:val="Normal Table"/>
    <w:semiHidden/>
    <w:qFormat/>
    <w:uiPriority w:val="0"/>
    <w:tblPr>
      <w:tblLayout w:type="fixed"/>
      <w:tblCellMar>
        <w:top w:w="0" w:type="dxa"/>
        <w:left w:w="108" w:type="dxa"/>
        <w:bottom w:w="0" w:type="dxa"/>
        <w:right w:w="108" w:type="dxa"/>
      </w:tblCellMar>
    </w:tblPr>
  </w:style>
  <w:style w:type="paragraph" w:customStyle="1" w:styleId="2">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styleId="6">
    <w:name w:val="Normal Indent"/>
    <w:basedOn w:val="1"/>
    <w:next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widowControl/>
      <w:spacing w:after="200" w:line="240" w:lineRule="auto"/>
      <w:jc w:val="center"/>
    </w:pPr>
    <w:rPr>
      <w:kern w:val="0"/>
      <w:lang w:eastAsia="en-US" w:bidi="en-US"/>
    </w:rPr>
  </w:style>
  <w:style w:type="paragraph" w:styleId="9">
    <w:name w:val="Body Text Indent"/>
    <w:basedOn w:val="1"/>
    <w:next w:val="1"/>
    <w:qFormat/>
    <w:uiPriority w:val="0"/>
    <w:pPr>
      <w:spacing w:after="120"/>
      <w:ind w:left="420" w:leftChars="200"/>
    </w:pPr>
    <w:rPr>
      <w:kern w:val="0"/>
      <w:sz w:val="24"/>
      <w:szCs w:val="20"/>
    </w:rPr>
  </w:style>
  <w:style w:type="paragraph" w:styleId="10">
    <w:name w:val="footer"/>
    <w:basedOn w:val="1"/>
    <w:qFormat/>
    <w:uiPriority w:val="0"/>
    <w:pPr>
      <w:tabs>
        <w:tab w:val="center" w:pos="4153"/>
        <w:tab w:val="right" w:pos="8306"/>
      </w:tabs>
      <w:snapToGrid w:val="0"/>
      <w:jc w:val="left"/>
    </w:pPr>
    <w:rPr>
      <w:kern w:val="0"/>
      <w:sz w:val="18"/>
      <w:szCs w:val="20"/>
    </w:rPr>
  </w:style>
  <w:style w:type="paragraph" w:styleId="11">
    <w:name w:val="Body Text First Indent 2"/>
    <w:basedOn w:val="9"/>
    <w:qFormat/>
    <w:uiPriority w:val="0"/>
    <w:pPr>
      <w:ind w:firstLine="420" w:firstLineChars="200"/>
    </w:pPr>
    <w:rPr>
      <w:kern w:val="2"/>
      <w:sz w:val="21"/>
      <w:szCs w:val="24"/>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page number"/>
    <w:basedOn w:val="15"/>
    <w:qFormat/>
    <w:uiPriority w:val="0"/>
  </w:style>
  <w:style w:type="character" w:styleId="18">
    <w:name w:val="FollowedHyperlink"/>
    <w:basedOn w:val="15"/>
    <w:qFormat/>
    <w:uiPriority w:val="0"/>
    <w:rPr>
      <w:color w:val="000000"/>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single"/>
    </w:rPr>
  </w:style>
  <w:style w:type="character" w:styleId="24">
    <w:name w:val="HTML Code"/>
    <w:basedOn w:val="15"/>
    <w:qFormat/>
    <w:uiPriority w:val="0"/>
    <w:rPr>
      <w:rFonts w:hint="default" w:ascii="Menlo" w:hAnsi="Menlo" w:eastAsia="Menlo" w:cs="Menlo"/>
      <w:color w:val="C7254E"/>
      <w:sz w:val="21"/>
      <w:szCs w:val="21"/>
      <w:shd w:val="clear" w:fill="F9F2F4"/>
    </w:rPr>
  </w:style>
  <w:style w:type="character" w:styleId="25">
    <w:name w:val="HTML Cite"/>
    <w:basedOn w:val="15"/>
    <w:qFormat/>
    <w:uiPriority w:val="0"/>
  </w:style>
  <w:style w:type="character" w:styleId="26">
    <w:name w:val="HTML Keyboard"/>
    <w:basedOn w:val="15"/>
    <w:qFormat/>
    <w:uiPriority w:val="0"/>
    <w:rPr>
      <w:rFonts w:ascii="Menlo" w:hAnsi="Menlo" w:eastAsia="Menlo" w:cs="Menlo"/>
      <w:color w:val="FFFFFF"/>
      <w:sz w:val="21"/>
      <w:szCs w:val="21"/>
      <w:shd w:val="clear" w:fill="333333"/>
    </w:rPr>
  </w:style>
  <w:style w:type="character" w:styleId="27">
    <w:name w:val="HTML Sample"/>
    <w:basedOn w:val="15"/>
    <w:qFormat/>
    <w:uiPriority w:val="0"/>
    <w:rPr>
      <w:rFonts w:hint="default" w:ascii="Menlo" w:hAnsi="Menlo" w:eastAsia="Menlo" w:cs="Menlo"/>
      <w:sz w:val="21"/>
      <w:szCs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31">
    <w:name w:val="表格内容"/>
    <w:basedOn w:val="1"/>
    <w:next w:val="1"/>
    <w:qFormat/>
    <w:uiPriority w:val="0"/>
    <w:pPr>
      <w:adjustRightInd/>
      <w:snapToGrid/>
      <w:jc w:val="center"/>
    </w:pPr>
    <w:rPr>
      <w:rFonts w:ascii="Times New Roman" w:hAnsi="Times New Roman" w:eastAsia="宋体"/>
      <w:kern w:val="0"/>
      <w:sz w:val="21"/>
    </w:rPr>
  </w:style>
  <w:style w:type="paragraph" w:customStyle="1" w:styleId="32">
    <w:name w:val="副表头"/>
    <w:basedOn w:val="1"/>
    <w:qFormat/>
    <w:uiPriority w:val="0"/>
    <w:pPr>
      <w:ind w:firstLine="200" w:firstLineChars="200"/>
      <w:jc w:val="left"/>
    </w:pPr>
    <w:rPr>
      <w:rFonts w:ascii="宋体" w:hAnsi="宋体" w:eastAsia="宋体"/>
      <w:kern w:val="0"/>
      <w:sz w:val="21"/>
      <w:szCs w:val="20"/>
    </w:rPr>
  </w:style>
  <w:style w:type="paragraph" w:customStyle="1" w:styleId="33">
    <w:name w:val="Default"/>
    <w:basedOn w:val="34"/>
    <w:next w:val="1"/>
    <w:unhideWhenUsed/>
    <w:qFormat/>
    <w:uiPriority w:val="99"/>
    <w:pPr>
      <w:widowControl w:val="0"/>
      <w:tabs>
        <w:tab w:val="left" w:pos="1845"/>
      </w:tabs>
      <w:autoSpaceDE w:val="0"/>
      <w:autoSpaceDN w:val="0"/>
      <w:adjustRightInd w:val="0"/>
      <w:spacing w:beforeLines="0" w:afterLines="0"/>
    </w:pPr>
    <w:rPr>
      <w:rFonts w:hint="eastAsia" w:ascii="FZFangSong-Z02" w:hAnsi="FZFangSong-Z02" w:eastAsia="FZFangSong-Z02" w:cs="Times New Roman"/>
      <w:color w:val="000000"/>
      <w:sz w:val="24"/>
    </w:rPr>
  </w:style>
  <w:style w:type="paragraph" w:customStyle="1" w:styleId="34">
    <w:name w:val="纯文本1"/>
    <w:basedOn w:val="1"/>
    <w:qFormat/>
    <w:uiPriority w:val="0"/>
    <w:pPr>
      <w:tabs>
        <w:tab w:val="left" w:pos="1845"/>
      </w:tabs>
      <w:spacing w:line="240" w:lineRule="exact"/>
      <w:jc w:val="center"/>
    </w:pPr>
    <w:rPr>
      <w:sz w:val="18"/>
    </w:rPr>
  </w:style>
  <w:style w:type="paragraph" w:customStyle="1" w:styleId="35">
    <w:name w:val="正文1"/>
    <w:basedOn w:val="1"/>
    <w:qFormat/>
    <w:uiPriority w:val="0"/>
    <w:pPr>
      <w:widowControl/>
      <w:spacing w:line="460" w:lineRule="exact"/>
      <w:ind w:firstLine="480" w:firstLineChars="200"/>
    </w:pPr>
    <w:rPr>
      <w:rFonts w:ascii="Times New Roman" w:hAnsi="Times New Roman" w:eastAsia="宋体" w:cs="宋体"/>
      <w:color w:val="000000"/>
      <w:kern w:val="0"/>
      <w:sz w:val="24"/>
      <w:szCs w:val="26"/>
    </w:rPr>
  </w:style>
  <w:style w:type="paragraph" w:customStyle="1" w:styleId="36">
    <w:name w:val="表格第一行"/>
    <w:qFormat/>
    <w:uiPriority w:val="0"/>
    <w:pPr>
      <w:jc w:val="center"/>
    </w:pPr>
    <w:rPr>
      <w:rFonts w:ascii="Calibri" w:hAnsi="Calibri" w:eastAsia="宋体" w:cs="Times New Roman"/>
      <w:kern w:val="2"/>
      <w:sz w:val="24"/>
      <w:szCs w:val="24"/>
      <w:lang w:val="en-US" w:eastAsia="zh-CN" w:bidi="ar-SA"/>
    </w:rPr>
  </w:style>
  <w:style w:type="paragraph" w:customStyle="1" w:styleId="37">
    <w:name w:val="样式 正文缩进 + 四号 加粗 黑色 首行缩进:  2 字符"/>
    <w:basedOn w:val="6"/>
    <w:qFormat/>
    <w:uiPriority w:val="0"/>
    <w:pPr>
      <w:spacing w:line="360" w:lineRule="auto"/>
      <w:ind w:firstLine="562"/>
    </w:pPr>
    <w:rPr>
      <w:rFonts w:cs="宋体"/>
      <w:b/>
      <w:bCs/>
      <w:color w:val="000000"/>
      <w:sz w:val="28"/>
    </w:rPr>
  </w:style>
  <w:style w:type="paragraph" w:customStyle="1" w:styleId="38">
    <w:name w:val="正文A"/>
    <w:basedOn w:val="39"/>
    <w:qFormat/>
    <w:uiPriority w:val="0"/>
  </w:style>
  <w:style w:type="paragraph" w:customStyle="1" w:styleId="39">
    <w:name w:val="正文!!!!!!!!!!!"/>
    <w:basedOn w:val="40"/>
    <w:qFormat/>
    <w:uiPriority w:val="0"/>
    <w:pPr>
      <w:ind w:firstLine="480"/>
    </w:pPr>
    <w:rPr>
      <w:rFonts w:ascii="华文仿宋" w:hAnsi="华文仿宋" w:eastAsia="华文仿宋" w:cs="Times New Roman"/>
    </w:rPr>
  </w:style>
  <w:style w:type="paragraph" w:customStyle="1" w:styleId="40">
    <w:name w:val="正文 楷体"/>
    <w:basedOn w:val="1"/>
    <w:qFormat/>
    <w:uiPriority w:val="0"/>
    <w:pPr>
      <w:spacing w:line="500" w:lineRule="exact"/>
      <w:ind w:firstLine="200" w:firstLineChars="200"/>
    </w:pPr>
    <w:rPr>
      <w:rFonts w:ascii="楷体_GB2312" w:hAnsi="楷体_GB2312" w:eastAsia="楷体_GB2312"/>
      <w:sz w:val="24"/>
      <w:szCs w:val="24"/>
    </w:rPr>
  </w:style>
  <w:style w:type="paragraph" w:customStyle="1" w:styleId="41">
    <w:name w:val="表内字"/>
    <w:basedOn w:val="1"/>
    <w:qFormat/>
    <w:uiPriority w:val="0"/>
    <w:pPr>
      <w:jc w:val="center"/>
    </w:pPr>
    <w:rPr>
      <w:kern w:val="0"/>
      <w:szCs w:val="24"/>
    </w:rPr>
  </w:style>
  <w:style w:type="paragraph" w:customStyle="1" w:styleId="42">
    <w:name w:val="表格样式"/>
    <w:basedOn w:val="1"/>
    <w:qFormat/>
    <w:uiPriority w:val="0"/>
    <w:pPr>
      <w:widowControl/>
      <w:spacing w:line="360" w:lineRule="auto"/>
      <w:jc w:val="center"/>
    </w:pPr>
    <w:rPr>
      <w:kern w:val="0"/>
      <w:sz w:val="20"/>
      <w:szCs w:val="21"/>
    </w:rPr>
  </w:style>
  <w:style w:type="character" w:customStyle="1" w:styleId="43">
    <w:name w:val="fontstyle01"/>
    <w:basedOn w:val="15"/>
    <w:qFormat/>
    <w:uiPriority w:val="0"/>
    <w:rPr>
      <w:rFonts w:hint="eastAsia" w:ascii="宋体" w:hAnsi="宋体" w:eastAsia="宋体"/>
      <w:color w:val="000000"/>
      <w:sz w:val="22"/>
      <w:szCs w:val="22"/>
    </w:rPr>
  </w:style>
  <w:style w:type="paragraph" w:customStyle="1" w:styleId="44">
    <w:name w:val="Table Paragraph"/>
    <w:basedOn w:val="1"/>
    <w:qFormat/>
    <w:uiPriority w:val="1"/>
    <w:pPr>
      <w:autoSpaceDE w:val="0"/>
      <w:autoSpaceDN w:val="0"/>
      <w:adjustRightInd w:val="0"/>
      <w:jc w:val="left"/>
    </w:pPr>
    <w:rPr>
      <w:kern w:val="0"/>
      <w:sz w:val="24"/>
    </w:rPr>
  </w:style>
  <w:style w:type="paragraph" w:customStyle="1" w:styleId="45">
    <w:name w:val="正文内容"/>
    <w:basedOn w:val="1"/>
    <w:qFormat/>
    <w:uiPriority w:val="0"/>
    <w:pPr>
      <w:adjustRightInd w:val="0"/>
      <w:snapToGrid w:val="0"/>
      <w:spacing w:line="360" w:lineRule="auto"/>
      <w:ind w:firstLine="560" w:firstLineChars="200"/>
    </w:pPr>
    <w:rPr>
      <w:rFonts w:ascii="Times New Roman" w:hAnsi="Times New Roman" w:eastAsia="仿宋_GB2312"/>
      <w:color w:val="000000"/>
      <w:sz w:val="28"/>
      <w:szCs w:val="30"/>
    </w:rPr>
  </w:style>
  <w:style w:type="paragraph" w:customStyle="1" w:styleId="46">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47">
    <w:name w:val="1-君邦正文格式"/>
    <w:basedOn w:val="48"/>
    <w:qFormat/>
    <w:uiPriority w:val="0"/>
    <w:rPr>
      <w:snapToGrid/>
    </w:rPr>
  </w:style>
  <w:style w:type="paragraph" w:customStyle="1" w:styleId="48">
    <w:name w:val="君邦正文"/>
    <w:qFormat/>
    <w:uiPriority w:val="0"/>
    <w:pPr>
      <w:spacing w:after="60" w:line="360" w:lineRule="auto"/>
      <w:ind w:firstLine="480" w:firstLineChars="200"/>
      <w:jc w:val="both"/>
    </w:pPr>
    <w:rPr>
      <w:rFonts w:ascii="Times New Roman" w:hAnsi="Times New Roman" w:eastAsia="宋体" w:cs="Times New Roman"/>
      <w:bCs/>
      <w:snapToGrid w:val="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2021-03-24T03:35:00Z</dcterms:created>
  <dc:creator>Administrator</dc:creator>
  <cp:lastModifiedBy>Administrator</cp:lastModifiedBy>
  <cp:lastPrinted>2021-04-18T04:09:00Z</cp:lastPrinted>
  <dcterms:modified xsi:type="dcterms:W3CDTF">2021-10-08T04:26:21Z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y fmtid="{D5CDD505-2E9C-101B-9397-08002B2CF9AE}" pid="3" name="ICV">
    <vt:lpwstr>A287CEACD5A54BAFA419C4A0455DA9C5</vt:lpwstr>
  </property>
</Properties>
</file>