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jc w:val="center"/>
        <w:rPr>
          <w:rFonts w:ascii="Times New Roman" w:hAnsi="Times New Roman" w:cs="Times New Roman"/>
          <w:color w:val="auto"/>
          <w:szCs w:val="32"/>
        </w:rPr>
      </w:pPr>
      <w:bookmarkStart w:id="0" w:name="_Toc31169"/>
      <w:bookmarkStart w:id="1" w:name="_Toc29523"/>
      <w:bookmarkStart w:id="2" w:name="_Toc23024"/>
      <w:bookmarkStart w:id="3" w:name="_Toc8993"/>
      <w:bookmarkStart w:id="4" w:name="_Toc22247"/>
      <w:r>
        <w:rPr>
          <w:rFonts w:ascii="Times New Roman" w:hAnsi="Times New Roman" w:cs="Times New Roman"/>
          <w:color w:val="auto"/>
          <w:szCs w:val="32"/>
        </w:rPr>
        <w:t>目  录</w:t>
      </w:r>
      <w:bookmarkEnd w:id="0"/>
      <w:bookmarkEnd w:id="1"/>
      <w:bookmarkEnd w:id="2"/>
      <w:bookmarkEnd w:id="3"/>
      <w:bookmarkEnd w:id="4"/>
    </w:p>
    <w:p>
      <w:pPr>
        <w:pStyle w:val="19"/>
        <w:tabs>
          <w:tab w:val="right" w:leader="dot" w:pos="8306"/>
        </w:tabs>
        <w:spacing w:line="520" w:lineRule="exact"/>
        <w:ind w:firstLine="0" w:firstLineChars="0"/>
        <w:rPr>
          <w:rFonts w:ascii="Times New Roman" w:hAnsi="Times New Roman" w:cs="Times New Roman"/>
          <w:b/>
          <w:bCs/>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TOC \o "1-2" \h \u </w:instrText>
      </w:r>
      <w:r>
        <w:rPr>
          <w:rFonts w:ascii="Times New Roman" w:hAnsi="Times New Roman" w:cs="Times New Roman"/>
          <w:color w:val="auto"/>
        </w:rPr>
        <w:fldChar w:fldCharType="separate"/>
      </w:r>
      <w:r>
        <w:rPr>
          <w:color w:val="auto"/>
        </w:rPr>
        <w:fldChar w:fldCharType="begin"/>
      </w:r>
      <w:r>
        <w:rPr>
          <w:color w:val="auto"/>
        </w:rPr>
        <w:instrText xml:space="preserve"> HYPERLINK \l "_Toc23991" </w:instrText>
      </w:r>
      <w:r>
        <w:rPr>
          <w:color w:val="auto"/>
        </w:rPr>
        <w:fldChar w:fldCharType="separate"/>
      </w:r>
      <w:r>
        <w:rPr>
          <w:rFonts w:ascii="Times New Roman" w:hAnsi="Times New Roman" w:cs="Times New Roman"/>
          <w:b/>
          <w:bCs/>
          <w:color w:val="auto"/>
        </w:rPr>
        <w:t>1 概述</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_Toc23991 </w:instrText>
      </w:r>
      <w:r>
        <w:rPr>
          <w:rFonts w:ascii="Times New Roman" w:hAnsi="Times New Roman" w:cs="Times New Roman"/>
          <w:b/>
          <w:bCs/>
          <w:color w:val="auto"/>
        </w:rPr>
        <w:fldChar w:fldCharType="separate"/>
      </w:r>
      <w:r>
        <w:rPr>
          <w:rFonts w:ascii="Times New Roman" w:hAnsi="Times New Roman" w:cs="Times New Roman"/>
          <w:b/>
          <w:bCs/>
          <w:color w:val="auto"/>
        </w:rPr>
        <w:t>1</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"_Toc9769" </w:instrText>
      </w:r>
      <w:r>
        <w:rPr>
          <w:color w:val="auto"/>
        </w:rPr>
        <w:fldChar w:fldCharType="separate"/>
      </w:r>
      <w:r>
        <w:rPr>
          <w:rFonts w:ascii="Times New Roman" w:hAnsi="Times New Roman" w:cs="Times New Roman"/>
          <w:color w:val="auto"/>
          <w:kern w:val="0"/>
        </w:rPr>
        <w:t>1.1 背景</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_Toc9769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"_Toc17126" </w:instrText>
      </w:r>
      <w:r>
        <w:rPr>
          <w:color w:val="auto"/>
        </w:rPr>
        <w:fldChar w:fldCharType="separate"/>
      </w:r>
      <w:r>
        <w:rPr>
          <w:rFonts w:ascii="Times New Roman" w:hAnsi="Times New Roman" w:cs="Times New Roman"/>
          <w:color w:val="auto"/>
          <w:kern w:val="0"/>
        </w:rPr>
        <w:t>1.2 环境影响评价工作过程</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_Toc17126 </w:instrText>
      </w:r>
      <w:r>
        <w:rPr>
          <w:rFonts w:ascii="Times New Roman" w:hAnsi="Times New Roman" w:cs="Times New Roman"/>
          <w:color w:val="auto"/>
        </w:rPr>
        <w:fldChar w:fldCharType="separate"/>
      </w:r>
      <w:r>
        <w:rPr>
          <w:rFonts w:ascii="Times New Roman" w:hAnsi="Times New Roman" w:cs="Times New Roman"/>
          <w:color w:val="auto"/>
        </w:rPr>
        <w:t>2</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"_Toc9121" </w:instrText>
      </w:r>
      <w:r>
        <w:rPr>
          <w:color w:val="auto"/>
        </w:rPr>
        <w:fldChar w:fldCharType="separate"/>
      </w:r>
      <w:r>
        <w:rPr>
          <w:rFonts w:ascii="Times New Roman" w:hAnsi="Times New Roman" w:cs="Times New Roman"/>
          <w:color w:val="auto"/>
          <w:kern w:val="0"/>
        </w:rPr>
        <w:t>1.3 分析判定相关情况</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_Toc9121 </w:instrText>
      </w:r>
      <w:r>
        <w:rPr>
          <w:rFonts w:ascii="Times New Roman" w:hAnsi="Times New Roman" w:cs="Times New Roman"/>
          <w:color w:val="auto"/>
        </w:rPr>
        <w:fldChar w:fldCharType="separate"/>
      </w:r>
      <w:r>
        <w:rPr>
          <w:rFonts w:ascii="Times New Roman" w:hAnsi="Times New Roman" w:cs="Times New Roman"/>
          <w:color w:val="auto"/>
        </w:rPr>
        <w:t>4</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"_Toc20744" </w:instrText>
      </w:r>
      <w:r>
        <w:rPr>
          <w:color w:val="auto"/>
        </w:rPr>
        <w:fldChar w:fldCharType="separate"/>
      </w:r>
      <w:r>
        <w:rPr>
          <w:rFonts w:ascii="Times New Roman" w:hAnsi="Times New Roman" w:cs="Times New Roman"/>
          <w:color w:val="auto"/>
          <w:kern w:val="0"/>
        </w:rPr>
        <w:t>1.4 关注的主要环境问题</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_Toc20744 </w:instrText>
      </w:r>
      <w:r>
        <w:rPr>
          <w:rFonts w:ascii="Times New Roman" w:hAnsi="Times New Roman" w:cs="Times New Roman"/>
          <w:color w:val="auto"/>
        </w:rPr>
        <w:fldChar w:fldCharType="separate"/>
      </w:r>
      <w:r>
        <w:rPr>
          <w:rFonts w:ascii="Times New Roman" w:hAnsi="Times New Roman" w:cs="Times New Roman"/>
          <w:color w:val="auto"/>
        </w:rPr>
        <w:t>5</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"_Toc15545" </w:instrText>
      </w:r>
      <w:r>
        <w:rPr>
          <w:color w:val="auto"/>
        </w:rPr>
        <w:fldChar w:fldCharType="separate"/>
      </w:r>
      <w:r>
        <w:rPr>
          <w:rFonts w:ascii="Times New Roman" w:hAnsi="Times New Roman" w:cs="Times New Roman"/>
          <w:color w:val="auto"/>
          <w:kern w:val="0"/>
        </w:rPr>
        <w:t>1.5 环境影响评价主要结论</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_Toc15545 </w:instrText>
      </w:r>
      <w:r>
        <w:rPr>
          <w:rFonts w:ascii="Times New Roman" w:hAnsi="Times New Roman" w:cs="Times New Roman"/>
          <w:color w:val="auto"/>
        </w:rPr>
        <w:fldChar w:fldCharType="separate"/>
      </w:r>
      <w:r>
        <w:rPr>
          <w:rFonts w:ascii="Times New Roman" w:hAnsi="Times New Roman" w:cs="Times New Roman"/>
          <w:color w:val="auto"/>
        </w:rPr>
        <w:t>5</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"_Toc13799" </w:instrText>
      </w:r>
      <w:r>
        <w:rPr>
          <w:color w:val="auto"/>
        </w:rPr>
        <w:fldChar w:fldCharType="separate"/>
      </w:r>
      <w:r>
        <w:rPr>
          <w:rFonts w:ascii="Times New Roman" w:hAnsi="Times New Roman" w:cs="Times New Roman"/>
          <w:b/>
          <w:bCs/>
          <w:color w:val="auto"/>
        </w:rPr>
        <w:t>2 总则</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_Toc13799 </w:instrText>
      </w:r>
      <w:r>
        <w:rPr>
          <w:rFonts w:ascii="Times New Roman" w:hAnsi="Times New Roman" w:cs="Times New Roman"/>
          <w:b/>
          <w:bCs/>
          <w:color w:val="auto"/>
        </w:rPr>
        <w:fldChar w:fldCharType="separate"/>
      </w:r>
      <w:r>
        <w:rPr>
          <w:rFonts w:ascii="Times New Roman" w:hAnsi="Times New Roman" w:cs="Times New Roman"/>
          <w:b/>
          <w:bCs/>
          <w:color w:val="auto"/>
        </w:rPr>
        <w:t>6</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"_Toc3531" </w:instrText>
      </w:r>
      <w:r>
        <w:rPr>
          <w:color w:val="auto"/>
        </w:rPr>
        <w:fldChar w:fldCharType="separate"/>
      </w:r>
      <w:r>
        <w:rPr>
          <w:rFonts w:ascii="Times New Roman" w:hAnsi="Times New Roman" w:cs="Times New Roman"/>
          <w:color w:val="auto"/>
          <w:kern w:val="0"/>
        </w:rPr>
        <w:t>2.1 编制依据</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_Toc3531 </w:instrText>
      </w:r>
      <w:r>
        <w:rPr>
          <w:rFonts w:ascii="Times New Roman" w:hAnsi="Times New Roman" w:cs="Times New Roman"/>
          <w:color w:val="auto"/>
        </w:rPr>
        <w:fldChar w:fldCharType="separate"/>
      </w:r>
      <w:r>
        <w:rPr>
          <w:rFonts w:ascii="Times New Roman" w:hAnsi="Times New Roman" w:cs="Times New Roman"/>
          <w:color w:val="auto"/>
        </w:rPr>
        <w:t>6</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"_Toc4931" </w:instrText>
      </w:r>
      <w:r>
        <w:rPr>
          <w:color w:val="auto"/>
        </w:rPr>
        <w:fldChar w:fldCharType="separate"/>
      </w:r>
      <w:r>
        <w:rPr>
          <w:rFonts w:ascii="Times New Roman" w:hAnsi="Times New Roman" w:cs="Times New Roman"/>
          <w:color w:val="auto"/>
          <w:kern w:val="0"/>
        </w:rPr>
        <w:t>2.2 评价目的与导则</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_Toc4931 </w:instrText>
      </w:r>
      <w:r>
        <w:rPr>
          <w:rFonts w:ascii="Times New Roman" w:hAnsi="Times New Roman" w:cs="Times New Roman"/>
          <w:color w:val="auto"/>
        </w:rPr>
        <w:fldChar w:fldCharType="separate"/>
      </w:r>
      <w:r>
        <w:rPr>
          <w:rFonts w:ascii="Times New Roman" w:hAnsi="Times New Roman" w:cs="Times New Roman"/>
          <w:color w:val="auto"/>
        </w:rPr>
        <w:t>9</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"_Toc5412" </w:instrText>
      </w:r>
      <w:r>
        <w:rPr>
          <w:color w:val="auto"/>
        </w:rPr>
        <w:fldChar w:fldCharType="separate"/>
      </w:r>
      <w:r>
        <w:rPr>
          <w:rFonts w:ascii="Times New Roman" w:hAnsi="Times New Roman" w:cs="Times New Roman"/>
          <w:color w:val="auto"/>
          <w:kern w:val="0"/>
        </w:rPr>
        <w:t xml:space="preserve">2.3 </w:t>
      </w:r>
      <w:r>
        <w:rPr>
          <w:rFonts w:ascii="Times New Roman" w:hAnsi="Times New Roman" w:cs="Times New Roman"/>
          <w:color w:val="auto"/>
        </w:rPr>
        <w:t>工程环境影响因素分析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_Toc5412 </w:instrText>
      </w:r>
      <w:r>
        <w:rPr>
          <w:rFonts w:ascii="Times New Roman" w:hAnsi="Times New Roman" w:cs="Times New Roman"/>
          <w:color w:val="auto"/>
        </w:rPr>
        <w:fldChar w:fldCharType="separate"/>
      </w:r>
      <w:r>
        <w:rPr>
          <w:rFonts w:ascii="Times New Roman" w:hAnsi="Times New Roman" w:cs="Times New Roman"/>
          <w:color w:val="auto"/>
        </w:rPr>
        <w:t>10</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"_Toc27544" </w:instrText>
      </w:r>
      <w:r>
        <w:rPr>
          <w:color w:val="auto"/>
        </w:rPr>
        <w:fldChar w:fldCharType="separate"/>
      </w:r>
      <w:r>
        <w:rPr>
          <w:rFonts w:ascii="Times New Roman" w:hAnsi="Times New Roman" w:cs="Times New Roman"/>
          <w:color w:val="auto"/>
          <w:kern w:val="0"/>
        </w:rPr>
        <w:t>2.4 评价因子与标准</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_Toc27544 </w:instrText>
      </w:r>
      <w:r>
        <w:rPr>
          <w:rFonts w:ascii="Times New Roman" w:hAnsi="Times New Roman" w:cs="Times New Roman"/>
          <w:color w:val="auto"/>
        </w:rPr>
        <w:fldChar w:fldCharType="separate"/>
      </w:r>
      <w:r>
        <w:rPr>
          <w:rFonts w:ascii="Times New Roman" w:hAnsi="Times New Roman" w:cs="Times New Roman"/>
          <w:color w:val="auto"/>
        </w:rPr>
        <w:t>11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"_Toc23331" </w:instrText>
      </w:r>
      <w:r>
        <w:rPr>
          <w:color w:val="auto"/>
        </w:rPr>
        <w:fldChar w:fldCharType="separate"/>
      </w:r>
      <w:r>
        <w:rPr>
          <w:rFonts w:ascii="Times New Roman" w:hAnsi="Times New Roman" w:cs="Times New Roman"/>
          <w:color w:val="auto"/>
          <w:kern w:val="0"/>
        </w:rPr>
        <w:t>2.5 评价工作等级和评价范围</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_Toc23331 </w:instrText>
      </w:r>
      <w:r>
        <w:rPr>
          <w:rFonts w:ascii="Times New Roman" w:hAnsi="Times New Roman" w:cs="Times New Roman"/>
          <w:color w:val="auto"/>
        </w:rPr>
        <w:fldChar w:fldCharType="separate"/>
      </w:r>
      <w:r>
        <w:rPr>
          <w:rFonts w:ascii="Times New Roman" w:hAnsi="Times New Roman" w:cs="Times New Roman"/>
          <w:color w:val="auto"/>
        </w:rPr>
        <w:t>16</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"_Toc24124" </w:instrText>
      </w:r>
      <w:r>
        <w:rPr>
          <w:color w:val="auto"/>
        </w:rPr>
        <w:fldChar w:fldCharType="separate"/>
      </w:r>
      <w:r>
        <w:rPr>
          <w:rFonts w:ascii="Times New Roman" w:hAnsi="Times New Roman" w:cs="Times New Roman"/>
          <w:color w:val="auto"/>
          <w:kern w:val="0"/>
        </w:rPr>
        <w:t>2.6 评价时段及重点</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_Toc24124 </w:instrText>
      </w:r>
      <w:r>
        <w:rPr>
          <w:rFonts w:ascii="Times New Roman" w:hAnsi="Times New Roman" w:cs="Times New Roman"/>
          <w:color w:val="auto"/>
        </w:rPr>
        <w:fldChar w:fldCharType="separate"/>
      </w:r>
      <w:r>
        <w:rPr>
          <w:rFonts w:ascii="Times New Roman" w:hAnsi="Times New Roman" w:cs="Times New Roman"/>
          <w:color w:val="auto"/>
        </w:rPr>
        <w:t>21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"_Toc8311" </w:instrText>
      </w:r>
      <w:r>
        <w:rPr>
          <w:color w:val="auto"/>
        </w:rPr>
        <w:fldChar w:fldCharType="separate"/>
      </w:r>
      <w:r>
        <w:rPr>
          <w:rFonts w:ascii="Times New Roman" w:hAnsi="Times New Roman" w:cs="Times New Roman"/>
          <w:color w:val="auto"/>
          <w:kern w:val="0"/>
        </w:rPr>
        <w:t>2.7 环境功能区划</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_Toc8311 </w:instrText>
      </w:r>
      <w:r>
        <w:rPr>
          <w:rFonts w:ascii="Times New Roman" w:hAnsi="Times New Roman" w:cs="Times New Roman"/>
          <w:color w:val="auto"/>
        </w:rPr>
        <w:fldChar w:fldCharType="separate"/>
      </w:r>
      <w:r>
        <w:rPr>
          <w:rFonts w:ascii="Times New Roman" w:hAnsi="Times New Roman" w:cs="Times New Roman"/>
          <w:color w:val="auto"/>
        </w:rPr>
        <w:t>22</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"_Toc29986" </w:instrText>
      </w:r>
      <w:r>
        <w:rPr>
          <w:color w:val="auto"/>
        </w:rPr>
        <w:fldChar w:fldCharType="separate"/>
      </w:r>
      <w:r>
        <w:rPr>
          <w:rFonts w:ascii="Times New Roman" w:hAnsi="Times New Roman" w:cs="Times New Roman"/>
          <w:color w:val="auto"/>
          <w:kern w:val="0"/>
        </w:rPr>
        <w:t>2.8 污染控制目标及环境保护目标</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_Toc29986 </w:instrText>
      </w:r>
      <w:r>
        <w:rPr>
          <w:rFonts w:ascii="Times New Roman" w:hAnsi="Times New Roman" w:cs="Times New Roman"/>
          <w:color w:val="auto"/>
        </w:rPr>
        <w:fldChar w:fldCharType="separate"/>
      </w:r>
      <w:r>
        <w:rPr>
          <w:rFonts w:ascii="Times New Roman" w:hAnsi="Times New Roman" w:cs="Times New Roman"/>
          <w:color w:val="auto"/>
        </w:rPr>
        <w:t>23</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"_Toc27452" </w:instrText>
      </w:r>
      <w:r>
        <w:rPr>
          <w:color w:val="auto"/>
        </w:rPr>
        <w:fldChar w:fldCharType="separate"/>
      </w:r>
      <w:r>
        <w:rPr>
          <w:rFonts w:ascii="Times New Roman" w:hAnsi="Times New Roman" w:cs="Times New Roman"/>
          <w:b/>
          <w:bCs/>
          <w:color w:val="auto"/>
        </w:rPr>
        <w:t>3 建设项目工程分析</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_Toc27452 </w:instrText>
      </w:r>
      <w:r>
        <w:rPr>
          <w:rFonts w:ascii="Times New Roman" w:hAnsi="Times New Roman" w:cs="Times New Roman"/>
          <w:b/>
          <w:bCs/>
          <w:color w:val="auto"/>
        </w:rPr>
        <w:fldChar w:fldCharType="separate"/>
      </w:r>
      <w:r>
        <w:rPr>
          <w:rFonts w:ascii="Times New Roman" w:hAnsi="Times New Roman" w:cs="Times New Roman"/>
          <w:b/>
          <w:bCs/>
          <w:color w:val="auto"/>
        </w:rPr>
        <w:t>25</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"_Toc6666" </w:instrText>
      </w:r>
      <w:r>
        <w:rPr>
          <w:color w:val="auto"/>
        </w:rPr>
        <w:fldChar w:fldCharType="separate"/>
      </w:r>
      <w:r>
        <w:rPr>
          <w:rFonts w:ascii="Times New Roman" w:hAnsi="Times New Roman" w:cs="Times New Roman"/>
          <w:color w:val="auto"/>
          <w:kern w:val="0"/>
        </w:rPr>
        <w:t>3.1 建设项目概况</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_Toc6666 </w:instrText>
      </w:r>
      <w:r>
        <w:rPr>
          <w:rFonts w:ascii="Times New Roman" w:hAnsi="Times New Roman" w:cs="Times New Roman"/>
          <w:color w:val="auto"/>
        </w:rPr>
        <w:fldChar w:fldCharType="separate"/>
      </w:r>
      <w:r>
        <w:rPr>
          <w:rFonts w:ascii="Times New Roman" w:hAnsi="Times New Roman" w:cs="Times New Roman"/>
          <w:color w:val="auto"/>
        </w:rPr>
        <w:t>25</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"_Toc20993" </w:instrText>
      </w:r>
      <w:r>
        <w:rPr>
          <w:color w:val="auto"/>
        </w:rPr>
        <w:fldChar w:fldCharType="separate"/>
      </w:r>
      <w:r>
        <w:rPr>
          <w:rFonts w:ascii="Times New Roman" w:hAnsi="Times New Roman" w:cs="Times New Roman"/>
          <w:color w:val="auto"/>
          <w:kern w:val="0"/>
        </w:rPr>
        <w:t>3.2 公用工程</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_Toc20993 </w:instrText>
      </w:r>
      <w:r>
        <w:rPr>
          <w:rFonts w:ascii="Times New Roman" w:hAnsi="Times New Roman" w:cs="Times New Roman"/>
          <w:color w:val="auto"/>
        </w:rPr>
        <w:fldChar w:fldCharType="separate"/>
      </w:r>
      <w:r>
        <w:rPr>
          <w:rFonts w:ascii="Times New Roman" w:hAnsi="Times New Roman" w:cs="Times New Roman"/>
          <w:color w:val="auto"/>
        </w:rPr>
        <w:t>30</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"_Toc13801" </w:instrText>
      </w:r>
      <w:r>
        <w:rPr>
          <w:color w:val="auto"/>
        </w:rPr>
        <w:fldChar w:fldCharType="separate"/>
      </w:r>
      <w:r>
        <w:rPr>
          <w:rFonts w:ascii="Times New Roman" w:hAnsi="Times New Roman" w:cs="Times New Roman"/>
          <w:color w:val="auto"/>
          <w:kern w:val="0"/>
        </w:rPr>
        <w:t>3.3 总平面布置</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_Toc13801 </w:instrText>
      </w:r>
      <w:r>
        <w:rPr>
          <w:rFonts w:ascii="Times New Roman" w:hAnsi="Times New Roman" w:cs="Times New Roman"/>
          <w:color w:val="auto"/>
        </w:rPr>
        <w:fldChar w:fldCharType="separate"/>
      </w:r>
      <w:r>
        <w:rPr>
          <w:rFonts w:ascii="Times New Roman" w:hAnsi="Times New Roman" w:cs="Times New Roman"/>
          <w:color w:val="auto"/>
        </w:rPr>
        <w:t>31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"_Toc7166" </w:instrText>
      </w:r>
      <w:r>
        <w:rPr>
          <w:color w:val="auto"/>
        </w:rPr>
        <w:fldChar w:fldCharType="separate"/>
      </w:r>
      <w:r>
        <w:rPr>
          <w:rFonts w:ascii="Times New Roman" w:hAnsi="Times New Roman" w:cs="Times New Roman"/>
          <w:color w:val="auto"/>
          <w:kern w:val="0"/>
        </w:rPr>
        <w:t>3.4 污染源分析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_Toc7166 </w:instrText>
      </w:r>
      <w:r>
        <w:rPr>
          <w:rFonts w:ascii="Times New Roman" w:hAnsi="Times New Roman" w:cs="Times New Roman"/>
          <w:color w:val="auto"/>
        </w:rPr>
        <w:fldChar w:fldCharType="separate"/>
      </w:r>
      <w:r>
        <w:rPr>
          <w:rFonts w:ascii="Times New Roman" w:hAnsi="Times New Roman" w:cs="Times New Roman"/>
          <w:color w:val="auto"/>
        </w:rPr>
        <w:t>32</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"_Toc21702" </w:instrText>
      </w:r>
      <w:r>
        <w:rPr>
          <w:color w:val="auto"/>
        </w:rPr>
        <w:fldChar w:fldCharType="separate"/>
      </w:r>
      <w:r>
        <w:rPr>
          <w:rFonts w:ascii="Times New Roman" w:hAnsi="Times New Roman" w:cs="Times New Roman"/>
          <w:color w:val="auto"/>
          <w:kern w:val="0"/>
        </w:rPr>
        <w:t>3.5 清洁生产分析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_Toc21702 </w:instrText>
      </w:r>
      <w:r>
        <w:rPr>
          <w:rFonts w:ascii="Times New Roman" w:hAnsi="Times New Roman" w:cs="Times New Roman"/>
          <w:color w:val="auto"/>
        </w:rPr>
        <w:fldChar w:fldCharType="separate"/>
      </w:r>
      <w:r>
        <w:rPr>
          <w:rFonts w:ascii="Times New Roman" w:hAnsi="Times New Roman" w:cs="Times New Roman"/>
          <w:color w:val="auto"/>
        </w:rPr>
        <w:t>51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"_Toc18439" </w:instrText>
      </w:r>
      <w:r>
        <w:rPr>
          <w:color w:val="auto"/>
        </w:rPr>
        <w:fldChar w:fldCharType="separate"/>
      </w:r>
      <w:r>
        <w:rPr>
          <w:rFonts w:ascii="Times New Roman" w:hAnsi="Times New Roman" w:cs="Times New Roman"/>
          <w:color w:val="auto"/>
          <w:kern w:val="0"/>
        </w:rPr>
        <w:t>3.6 项目建设可行性分析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_Toc18439 </w:instrText>
      </w:r>
      <w:r>
        <w:rPr>
          <w:rFonts w:ascii="Times New Roman" w:hAnsi="Times New Roman" w:cs="Times New Roman"/>
          <w:color w:val="auto"/>
        </w:rPr>
        <w:fldChar w:fldCharType="separate"/>
      </w:r>
      <w:r>
        <w:rPr>
          <w:rFonts w:ascii="Times New Roman" w:hAnsi="Times New Roman" w:cs="Times New Roman"/>
          <w:color w:val="auto"/>
        </w:rPr>
        <w:t>53</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"_Toc14699" </w:instrText>
      </w:r>
      <w:r>
        <w:rPr>
          <w:color w:val="auto"/>
        </w:rPr>
        <w:fldChar w:fldCharType="separate"/>
      </w:r>
      <w:r>
        <w:rPr>
          <w:rFonts w:ascii="Times New Roman" w:hAnsi="Times New Roman" w:cs="Times New Roman"/>
          <w:b/>
          <w:bCs/>
          <w:color w:val="auto"/>
        </w:rPr>
        <w:t>4 环境现状调查与评价</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_Toc14699 </w:instrText>
      </w:r>
      <w:r>
        <w:rPr>
          <w:rFonts w:ascii="Times New Roman" w:hAnsi="Times New Roman" w:cs="Times New Roman"/>
          <w:b/>
          <w:bCs/>
          <w:color w:val="auto"/>
        </w:rPr>
        <w:fldChar w:fldCharType="separate"/>
      </w:r>
      <w:r>
        <w:rPr>
          <w:rFonts w:ascii="Times New Roman" w:hAnsi="Times New Roman" w:cs="Times New Roman"/>
          <w:b/>
          <w:bCs/>
          <w:color w:val="auto"/>
        </w:rPr>
        <w:t>61</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"_Toc22521" </w:instrText>
      </w:r>
      <w:r>
        <w:rPr>
          <w:color w:val="auto"/>
        </w:rPr>
        <w:fldChar w:fldCharType="separate"/>
      </w:r>
      <w:r>
        <w:rPr>
          <w:rFonts w:ascii="Times New Roman" w:hAnsi="Times New Roman" w:cs="Times New Roman"/>
          <w:color w:val="auto"/>
        </w:rPr>
        <w:t>4.1 自然环境现状调查</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_Toc22521 </w:instrText>
      </w:r>
      <w:r>
        <w:rPr>
          <w:rFonts w:ascii="Times New Roman" w:hAnsi="Times New Roman" w:cs="Times New Roman"/>
          <w:color w:val="auto"/>
        </w:rPr>
        <w:fldChar w:fldCharType="separate"/>
      </w:r>
      <w:r>
        <w:rPr>
          <w:rFonts w:ascii="Times New Roman" w:hAnsi="Times New Roman" w:cs="Times New Roman"/>
          <w:color w:val="auto"/>
        </w:rPr>
        <w:t>61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"_Toc27833" </w:instrText>
      </w:r>
      <w:r>
        <w:rPr>
          <w:color w:val="auto"/>
        </w:rPr>
        <w:fldChar w:fldCharType="separate"/>
      </w:r>
      <w:r>
        <w:rPr>
          <w:rFonts w:ascii="Times New Roman" w:hAnsi="Times New Roman" w:cs="Times New Roman"/>
          <w:color w:val="auto"/>
        </w:rPr>
        <w:t>4.2 环境质量现状调查与评价</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_Toc27833 </w:instrText>
      </w:r>
      <w:r>
        <w:rPr>
          <w:rFonts w:ascii="Times New Roman" w:hAnsi="Times New Roman" w:cs="Times New Roman"/>
          <w:color w:val="auto"/>
        </w:rPr>
        <w:fldChar w:fldCharType="separate"/>
      </w:r>
      <w:r>
        <w:rPr>
          <w:rFonts w:ascii="Times New Roman" w:hAnsi="Times New Roman" w:cs="Times New Roman"/>
          <w:color w:val="auto"/>
        </w:rPr>
        <w:t>65</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"_Toc8298" </w:instrText>
      </w:r>
      <w:r>
        <w:rPr>
          <w:color w:val="auto"/>
        </w:rPr>
        <w:fldChar w:fldCharType="separate"/>
      </w:r>
      <w:r>
        <w:rPr>
          <w:rFonts w:ascii="Times New Roman" w:hAnsi="Times New Roman" w:cs="Times New Roman"/>
          <w:b/>
          <w:bCs/>
          <w:color w:val="auto"/>
        </w:rPr>
        <w:t>5 环境影响预测与评价</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_Toc8298 </w:instrText>
      </w:r>
      <w:r>
        <w:rPr>
          <w:rFonts w:ascii="Times New Roman" w:hAnsi="Times New Roman" w:cs="Times New Roman"/>
          <w:b/>
          <w:bCs/>
          <w:color w:val="auto"/>
        </w:rPr>
        <w:fldChar w:fldCharType="separate"/>
      </w:r>
      <w:r>
        <w:rPr>
          <w:rFonts w:ascii="Times New Roman" w:hAnsi="Times New Roman" w:cs="Times New Roman"/>
          <w:b/>
          <w:bCs/>
          <w:color w:val="auto"/>
        </w:rPr>
        <w:t>71</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"_Toc24314" </w:instrText>
      </w:r>
      <w:r>
        <w:rPr>
          <w:color w:val="auto"/>
        </w:rPr>
        <w:fldChar w:fldCharType="separate"/>
      </w:r>
      <w:r>
        <w:rPr>
          <w:rFonts w:ascii="Times New Roman" w:hAnsi="Times New Roman" w:cs="Times New Roman"/>
          <w:color w:val="auto"/>
        </w:rPr>
        <w:t>5.1 施工期环境影响分析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_Toc24314 </w:instrText>
      </w:r>
      <w:r>
        <w:rPr>
          <w:rFonts w:ascii="Times New Roman" w:hAnsi="Times New Roman" w:cs="Times New Roman"/>
          <w:color w:val="auto"/>
        </w:rPr>
        <w:fldChar w:fldCharType="separate"/>
      </w:r>
      <w:r>
        <w:rPr>
          <w:rFonts w:ascii="Times New Roman" w:hAnsi="Times New Roman" w:cs="Times New Roman"/>
          <w:color w:val="auto"/>
        </w:rPr>
        <w:t>71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"_Toc27857" </w:instrText>
      </w:r>
      <w:r>
        <w:rPr>
          <w:color w:val="auto"/>
        </w:rPr>
        <w:fldChar w:fldCharType="separate"/>
      </w:r>
      <w:r>
        <w:rPr>
          <w:rFonts w:ascii="Times New Roman" w:hAnsi="Times New Roman" w:cs="Times New Roman"/>
          <w:color w:val="auto"/>
        </w:rPr>
        <w:t>5.2 运营期环境影响分析与评价</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_Toc27857 </w:instrText>
      </w:r>
      <w:r>
        <w:rPr>
          <w:rFonts w:ascii="Times New Roman" w:hAnsi="Times New Roman" w:cs="Times New Roman"/>
          <w:color w:val="auto"/>
        </w:rPr>
        <w:fldChar w:fldCharType="separate"/>
      </w:r>
      <w:r>
        <w:rPr>
          <w:rFonts w:ascii="Times New Roman" w:hAnsi="Times New Roman" w:cs="Times New Roman"/>
          <w:color w:val="auto"/>
        </w:rPr>
        <w:t>76</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"_Toc9061" </w:instrText>
      </w:r>
      <w:r>
        <w:rPr>
          <w:color w:val="auto"/>
        </w:rPr>
        <w:fldChar w:fldCharType="separate"/>
      </w:r>
      <w:r>
        <w:rPr>
          <w:rFonts w:ascii="Times New Roman" w:hAnsi="Times New Roman" w:cs="Times New Roman"/>
          <w:color w:val="auto"/>
        </w:rPr>
        <w:t>5.3环境风险评价</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_Toc9061 </w:instrText>
      </w:r>
      <w:r>
        <w:rPr>
          <w:rFonts w:ascii="Times New Roman" w:hAnsi="Times New Roman" w:cs="Times New Roman"/>
          <w:color w:val="auto"/>
        </w:rPr>
        <w:fldChar w:fldCharType="separate"/>
      </w:r>
      <w:r>
        <w:rPr>
          <w:rFonts w:ascii="Times New Roman" w:hAnsi="Times New Roman" w:cs="Times New Roman"/>
          <w:color w:val="auto"/>
        </w:rPr>
        <w:t>88</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"_Toc26957" </w:instrText>
      </w:r>
      <w:r>
        <w:rPr>
          <w:color w:val="auto"/>
        </w:rPr>
        <w:fldChar w:fldCharType="separate"/>
      </w:r>
      <w:r>
        <w:rPr>
          <w:rFonts w:ascii="Times New Roman" w:hAnsi="Times New Roman" w:cs="Times New Roman"/>
          <w:b/>
          <w:bCs/>
          <w:color w:val="auto"/>
        </w:rPr>
        <w:t>6 环境保护措施及可行性论证</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_Toc26957 </w:instrText>
      </w:r>
      <w:r>
        <w:rPr>
          <w:rFonts w:ascii="Times New Roman" w:hAnsi="Times New Roman" w:cs="Times New Roman"/>
          <w:b/>
          <w:bCs/>
          <w:color w:val="auto"/>
        </w:rPr>
        <w:fldChar w:fldCharType="separate"/>
      </w:r>
      <w:r>
        <w:rPr>
          <w:rFonts w:ascii="Times New Roman" w:hAnsi="Times New Roman" w:cs="Times New Roman"/>
          <w:b/>
          <w:bCs/>
          <w:color w:val="auto"/>
        </w:rPr>
        <w:t>107</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"_Toc31964" </w:instrText>
      </w:r>
      <w:r>
        <w:rPr>
          <w:color w:val="auto"/>
        </w:rPr>
        <w:fldChar w:fldCharType="separate"/>
      </w:r>
      <w:r>
        <w:rPr>
          <w:rFonts w:ascii="Times New Roman" w:hAnsi="Times New Roman" w:cs="Times New Roman"/>
          <w:color w:val="auto"/>
        </w:rPr>
        <w:t>6.1 施工期环境保护措施</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_Toc31964 </w:instrText>
      </w:r>
      <w:r>
        <w:rPr>
          <w:rFonts w:ascii="Times New Roman" w:hAnsi="Times New Roman" w:cs="Times New Roman"/>
          <w:color w:val="auto"/>
        </w:rPr>
        <w:fldChar w:fldCharType="separate"/>
      </w:r>
      <w:r>
        <w:rPr>
          <w:rFonts w:ascii="Times New Roman" w:hAnsi="Times New Roman" w:cs="Times New Roman"/>
          <w:color w:val="auto"/>
        </w:rPr>
        <w:t>107</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"_Toc27591" </w:instrText>
      </w:r>
      <w:r>
        <w:rPr>
          <w:color w:val="auto"/>
        </w:rPr>
        <w:fldChar w:fldCharType="separate"/>
      </w:r>
      <w:r>
        <w:rPr>
          <w:rFonts w:ascii="Times New Roman" w:hAnsi="Times New Roman" w:cs="Times New Roman"/>
          <w:color w:val="auto"/>
        </w:rPr>
        <w:t>6.2 运营期环境保护措施及可行性论证</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_Toc27591 </w:instrText>
      </w:r>
      <w:r>
        <w:rPr>
          <w:rFonts w:ascii="Times New Roman" w:hAnsi="Times New Roman" w:cs="Times New Roman"/>
          <w:color w:val="auto"/>
        </w:rPr>
        <w:fldChar w:fldCharType="separate"/>
      </w:r>
      <w:r>
        <w:rPr>
          <w:rFonts w:ascii="Times New Roman" w:hAnsi="Times New Roman" w:cs="Times New Roman"/>
          <w:color w:val="auto"/>
        </w:rPr>
        <w:t>109</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"_Toc21995" </w:instrText>
      </w:r>
      <w:r>
        <w:rPr>
          <w:color w:val="auto"/>
        </w:rPr>
        <w:fldChar w:fldCharType="separate"/>
      </w:r>
      <w:r>
        <w:rPr>
          <w:rFonts w:ascii="Times New Roman" w:hAnsi="Times New Roman" w:cs="Times New Roman"/>
          <w:b/>
          <w:bCs/>
          <w:color w:val="auto"/>
        </w:rPr>
        <w:t>7 环境影响经济损益分析</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_Toc21995 </w:instrText>
      </w:r>
      <w:r>
        <w:rPr>
          <w:rFonts w:ascii="Times New Roman" w:hAnsi="Times New Roman" w:cs="Times New Roman"/>
          <w:b/>
          <w:bCs/>
          <w:color w:val="auto"/>
        </w:rPr>
        <w:fldChar w:fldCharType="separate"/>
      </w:r>
      <w:r>
        <w:rPr>
          <w:rFonts w:ascii="Times New Roman" w:hAnsi="Times New Roman" w:cs="Times New Roman"/>
          <w:b/>
          <w:bCs/>
          <w:color w:val="auto"/>
        </w:rPr>
        <w:t>126</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"_Toc6084" </w:instrText>
      </w:r>
      <w:r>
        <w:rPr>
          <w:color w:val="auto"/>
        </w:rPr>
        <w:fldChar w:fldCharType="separate"/>
      </w:r>
      <w:r>
        <w:rPr>
          <w:rFonts w:ascii="Times New Roman" w:hAnsi="Times New Roman" w:cs="Times New Roman"/>
          <w:color w:val="auto"/>
        </w:rPr>
        <w:t>7.1 环境效益分析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_Toc6084 </w:instrText>
      </w:r>
      <w:r>
        <w:rPr>
          <w:rFonts w:ascii="Times New Roman" w:hAnsi="Times New Roman" w:cs="Times New Roman"/>
          <w:color w:val="auto"/>
        </w:rPr>
        <w:fldChar w:fldCharType="separate"/>
      </w:r>
      <w:r>
        <w:rPr>
          <w:rFonts w:ascii="Times New Roman" w:hAnsi="Times New Roman" w:cs="Times New Roman"/>
          <w:color w:val="auto"/>
        </w:rPr>
        <w:t>126</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"_Toc8865" </w:instrText>
      </w:r>
      <w:r>
        <w:rPr>
          <w:color w:val="auto"/>
        </w:rPr>
        <w:fldChar w:fldCharType="separate"/>
      </w:r>
      <w:r>
        <w:rPr>
          <w:rFonts w:ascii="Times New Roman" w:hAnsi="Times New Roman" w:cs="Times New Roman"/>
          <w:color w:val="auto"/>
        </w:rPr>
        <w:t>7.2 社会效益分析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_Toc8865 </w:instrText>
      </w:r>
      <w:r>
        <w:rPr>
          <w:rFonts w:ascii="Times New Roman" w:hAnsi="Times New Roman" w:cs="Times New Roman"/>
          <w:color w:val="auto"/>
        </w:rPr>
        <w:fldChar w:fldCharType="separate"/>
      </w:r>
      <w:r>
        <w:rPr>
          <w:rFonts w:ascii="Times New Roman" w:hAnsi="Times New Roman" w:cs="Times New Roman"/>
          <w:color w:val="auto"/>
        </w:rPr>
        <w:t>127</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"_Toc23871" </w:instrText>
      </w:r>
      <w:r>
        <w:rPr>
          <w:color w:val="auto"/>
        </w:rPr>
        <w:fldChar w:fldCharType="separate"/>
      </w:r>
      <w:r>
        <w:rPr>
          <w:rFonts w:ascii="Times New Roman" w:hAnsi="Times New Roman" w:cs="Times New Roman"/>
          <w:color w:val="auto"/>
        </w:rPr>
        <w:t>7.3 经济效益分析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_Toc23871 </w:instrText>
      </w:r>
      <w:r>
        <w:rPr>
          <w:rFonts w:ascii="Times New Roman" w:hAnsi="Times New Roman" w:cs="Times New Roman"/>
          <w:color w:val="auto"/>
        </w:rPr>
        <w:fldChar w:fldCharType="separate"/>
      </w:r>
      <w:r>
        <w:rPr>
          <w:rFonts w:ascii="Times New Roman" w:hAnsi="Times New Roman" w:cs="Times New Roman"/>
          <w:color w:val="auto"/>
        </w:rPr>
        <w:t>128</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"_Toc30321" </w:instrText>
      </w:r>
      <w:r>
        <w:rPr>
          <w:color w:val="auto"/>
        </w:rPr>
        <w:fldChar w:fldCharType="separate"/>
      </w:r>
      <w:r>
        <w:rPr>
          <w:rFonts w:ascii="Times New Roman" w:hAnsi="Times New Roman" w:cs="Times New Roman"/>
          <w:b/>
          <w:bCs/>
          <w:color w:val="auto"/>
        </w:rPr>
        <w:t>8 环境管理与监测计划</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_Toc30321 </w:instrText>
      </w:r>
      <w:r>
        <w:rPr>
          <w:rFonts w:ascii="Times New Roman" w:hAnsi="Times New Roman" w:cs="Times New Roman"/>
          <w:b/>
          <w:bCs/>
          <w:color w:val="auto"/>
        </w:rPr>
        <w:fldChar w:fldCharType="separate"/>
      </w:r>
      <w:r>
        <w:rPr>
          <w:rFonts w:ascii="Times New Roman" w:hAnsi="Times New Roman" w:cs="Times New Roman"/>
          <w:b/>
          <w:bCs/>
          <w:color w:val="auto"/>
        </w:rPr>
        <w:t>129</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"_Toc32683" </w:instrText>
      </w:r>
      <w:r>
        <w:rPr>
          <w:color w:val="auto"/>
        </w:rPr>
        <w:fldChar w:fldCharType="separate"/>
      </w:r>
      <w:r>
        <w:rPr>
          <w:rFonts w:ascii="Times New Roman" w:hAnsi="Times New Roman" w:cs="Times New Roman"/>
          <w:color w:val="auto"/>
        </w:rPr>
        <w:t>8.1环境管理</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_Toc32683 </w:instrText>
      </w:r>
      <w:r>
        <w:rPr>
          <w:rFonts w:ascii="Times New Roman" w:hAnsi="Times New Roman" w:cs="Times New Roman"/>
          <w:color w:val="auto"/>
        </w:rPr>
        <w:fldChar w:fldCharType="separate"/>
      </w:r>
      <w:r>
        <w:rPr>
          <w:rFonts w:ascii="Times New Roman" w:hAnsi="Times New Roman" w:cs="Times New Roman"/>
          <w:color w:val="auto"/>
        </w:rPr>
        <w:t>129</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"_Toc5570" </w:instrText>
      </w:r>
      <w:r>
        <w:rPr>
          <w:color w:val="auto"/>
        </w:rPr>
        <w:fldChar w:fldCharType="separate"/>
      </w:r>
      <w:r>
        <w:rPr>
          <w:rFonts w:ascii="Times New Roman" w:hAnsi="Times New Roman" w:cs="Times New Roman"/>
          <w:color w:val="auto"/>
        </w:rPr>
        <w:t>8.2环境监测</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_Toc5570 </w:instrText>
      </w:r>
      <w:r>
        <w:rPr>
          <w:rFonts w:ascii="Times New Roman" w:hAnsi="Times New Roman" w:cs="Times New Roman"/>
          <w:color w:val="auto"/>
        </w:rPr>
        <w:fldChar w:fldCharType="separate"/>
      </w:r>
      <w:r>
        <w:rPr>
          <w:rFonts w:ascii="Times New Roman" w:hAnsi="Times New Roman" w:cs="Times New Roman"/>
          <w:color w:val="auto"/>
        </w:rPr>
        <w:t>131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"_Toc28062" </w:instrText>
      </w:r>
      <w:r>
        <w:rPr>
          <w:color w:val="auto"/>
        </w:rPr>
        <w:fldChar w:fldCharType="separate"/>
      </w:r>
      <w:r>
        <w:rPr>
          <w:rFonts w:ascii="Times New Roman" w:hAnsi="Times New Roman" w:cs="Times New Roman"/>
          <w:color w:val="auto"/>
        </w:rPr>
        <w:t>8.3 竣工验收管理</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_Toc28062 </w:instrText>
      </w:r>
      <w:r>
        <w:rPr>
          <w:rFonts w:ascii="Times New Roman" w:hAnsi="Times New Roman" w:cs="Times New Roman"/>
          <w:color w:val="auto"/>
        </w:rPr>
        <w:fldChar w:fldCharType="separate"/>
      </w:r>
      <w:r>
        <w:rPr>
          <w:rFonts w:ascii="Times New Roman" w:hAnsi="Times New Roman" w:cs="Times New Roman"/>
          <w:color w:val="auto"/>
        </w:rPr>
        <w:t>134</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19"/>
        <w:tabs>
          <w:tab w:val="right" w:leader="dot" w:pos="8306"/>
        </w:tabs>
        <w:spacing w:line="520" w:lineRule="exact"/>
        <w:ind w:firstLine="0" w:firstLineChars="0"/>
        <w:rPr>
          <w:rFonts w:ascii="Times New Roman" w:hAnsi="Times New Roman" w:cs="Times New Roman"/>
          <w:b/>
          <w:bCs/>
          <w:color w:val="auto"/>
        </w:rPr>
      </w:pPr>
      <w:r>
        <w:rPr>
          <w:color w:val="auto"/>
        </w:rPr>
        <w:fldChar w:fldCharType="begin"/>
      </w:r>
      <w:r>
        <w:rPr>
          <w:color w:val="auto"/>
        </w:rPr>
        <w:instrText xml:space="preserve"> HYPERLINK \l "_Toc18775" </w:instrText>
      </w:r>
      <w:r>
        <w:rPr>
          <w:color w:val="auto"/>
        </w:rPr>
        <w:fldChar w:fldCharType="separate"/>
      </w:r>
      <w:r>
        <w:rPr>
          <w:rFonts w:ascii="Times New Roman" w:hAnsi="Times New Roman" w:cs="Times New Roman"/>
          <w:b/>
          <w:bCs/>
          <w:color w:val="auto"/>
        </w:rPr>
        <w:t>9 环境影响评价结论</w:t>
      </w:r>
      <w:r>
        <w:rPr>
          <w:rFonts w:ascii="Times New Roman" w:hAnsi="Times New Roman" w:cs="Times New Roman"/>
          <w:b/>
          <w:bCs/>
          <w:color w:val="auto"/>
        </w:rPr>
        <w:tab/>
      </w:r>
      <w:r>
        <w:rPr>
          <w:rFonts w:ascii="Times New Roman" w:hAnsi="Times New Roman" w:cs="Times New Roman"/>
          <w:b/>
          <w:bCs/>
          <w:color w:val="auto"/>
        </w:rPr>
        <w:fldChar w:fldCharType="begin"/>
      </w:r>
      <w:r>
        <w:rPr>
          <w:rFonts w:ascii="Times New Roman" w:hAnsi="Times New Roman" w:cs="Times New Roman"/>
          <w:b/>
          <w:bCs/>
          <w:color w:val="auto"/>
        </w:rPr>
        <w:instrText xml:space="preserve"> PAGEREF _Toc18775 </w:instrText>
      </w:r>
      <w:r>
        <w:rPr>
          <w:rFonts w:ascii="Times New Roman" w:hAnsi="Times New Roman" w:cs="Times New Roman"/>
          <w:b/>
          <w:bCs/>
          <w:color w:val="auto"/>
        </w:rPr>
        <w:fldChar w:fldCharType="separate"/>
      </w:r>
      <w:r>
        <w:rPr>
          <w:rFonts w:ascii="Times New Roman" w:hAnsi="Times New Roman" w:cs="Times New Roman"/>
          <w:b/>
          <w:bCs/>
          <w:color w:val="auto"/>
        </w:rPr>
        <w:t>136</w:t>
      </w:r>
      <w:r>
        <w:rPr>
          <w:rFonts w:ascii="Times New Roman" w:hAnsi="Times New Roman" w:cs="Times New Roman"/>
          <w:b/>
          <w:bCs/>
          <w:color w:val="auto"/>
        </w:rPr>
        <w:fldChar w:fldCharType="end"/>
      </w:r>
      <w:r>
        <w:rPr>
          <w:rFonts w:ascii="Times New Roman" w:hAnsi="Times New Roman" w:cs="Times New Roman"/>
          <w:b/>
          <w:bCs/>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"_Toc14129" </w:instrText>
      </w:r>
      <w:r>
        <w:rPr>
          <w:color w:val="auto"/>
        </w:rPr>
        <w:fldChar w:fldCharType="separate"/>
      </w:r>
      <w:r>
        <w:rPr>
          <w:rFonts w:ascii="Times New Roman" w:hAnsi="Times New Roman" w:cs="Times New Roman"/>
          <w:color w:val="auto"/>
        </w:rPr>
        <w:t>9.1 结论</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_Toc14129 </w:instrText>
      </w:r>
      <w:r>
        <w:rPr>
          <w:rFonts w:ascii="Times New Roman" w:hAnsi="Times New Roman" w:cs="Times New Roman"/>
          <w:color w:val="auto"/>
        </w:rPr>
        <w:fldChar w:fldCharType="separate"/>
      </w:r>
      <w:r>
        <w:rPr>
          <w:rFonts w:ascii="Times New Roman" w:hAnsi="Times New Roman" w:cs="Times New Roman"/>
          <w:color w:val="auto"/>
        </w:rPr>
        <w:t>136</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0"/>
        <w:tabs>
          <w:tab w:val="right" w:leader="dot" w:pos="8306"/>
        </w:tabs>
        <w:spacing w:line="520" w:lineRule="exact"/>
        <w:ind w:left="480" w:firstLine="0" w:firstLineChars="0"/>
        <w:rPr>
          <w:rFonts w:ascii="Times New Roman" w:hAnsi="Times New Roman" w:cs="Times New Roman"/>
          <w:color w:val="auto"/>
        </w:rPr>
      </w:pPr>
      <w:r>
        <w:rPr>
          <w:color w:val="auto"/>
        </w:rPr>
        <w:fldChar w:fldCharType="begin"/>
      </w:r>
      <w:r>
        <w:rPr>
          <w:color w:val="auto"/>
        </w:rPr>
        <w:instrText xml:space="preserve"> HYPERLINK \l "_Toc10690" </w:instrText>
      </w:r>
      <w:r>
        <w:rPr>
          <w:color w:val="auto"/>
        </w:rPr>
        <w:fldChar w:fldCharType="separate"/>
      </w:r>
      <w:r>
        <w:rPr>
          <w:rFonts w:ascii="Times New Roman" w:hAnsi="Times New Roman" w:cs="Times New Roman"/>
          <w:color w:val="auto"/>
        </w:rPr>
        <w:t>9.2建议</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_Toc10690 </w:instrText>
      </w:r>
      <w:r>
        <w:rPr>
          <w:rFonts w:ascii="Times New Roman" w:hAnsi="Times New Roman" w:cs="Times New Roman"/>
          <w:color w:val="auto"/>
        </w:rPr>
        <w:fldChar w:fldCharType="separate"/>
      </w:r>
      <w:r>
        <w:rPr>
          <w:rFonts w:ascii="Times New Roman" w:hAnsi="Times New Roman" w:cs="Times New Roman"/>
          <w:color w:val="auto"/>
        </w:rPr>
        <w:t>141</w:t>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spacing w:line="520" w:lineRule="exact"/>
        <w:ind w:firstLine="0" w:firstLineChars="0"/>
        <w:rPr>
          <w:rFonts w:ascii="Times New Roman" w:hAnsi="Times New Roman" w:cs="Times New Roman"/>
          <w:color w:val="auto"/>
        </w:rPr>
        <w:sectPr>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color w:val="auto"/>
          <w:sz w:val="24"/>
          <w:szCs w:val="24"/>
        </w:rPr>
        <w:fldChar w:fldCharType="end"/>
      </w:r>
    </w:p>
    <w:p>
      <w:pPr>
        <w:pStyle w:val="7"/>
        <w:keepNext w:val="0"/>
        <w:keepLines w:val="0"/>
        <w:jc w:val="center"/>
        <w:rPr>
          <w:rFonts w:ascii="Times New Roman" w:hAnsi="Times New Roman" w:cs="Times New Roman"/>
          <w:color w:val="auto"/>
          <w:szCs w:val="32"/>
        </w:rPr>
      </w:pPr>
      <w:bookmarkStart w:id="5" w:name="_Toc19982"/>
      <w:bookmarkStart w:id="6" w:name="_Toc23991"/>
      <w:r>
        <w:rPr>
          <w:rFonts w:ascii="Times New Roman" w:hAnsi="Times New Roman" w:cs="Times New Roman"/>
          <w:color w:val="auto"/>
          <w:szCs w:val="32"/>
        </w:rPr>
        <w:t>1 概述</w:t>
      </w:r>
      <w:bookmarkEnd w:id="5"/>
      <w:bookmarkEnd w:id="6"/>
    </w:p>
    <w:p>
      <w:pPr>
        <w:pStyle w:val="8"/>
        <w:keepLines w:val="0"/>
        <w:jc w:val="left"/>
        <w:rPr>
          <w:rFonts w:ascii="Times New Roman" w:hAnsi="Times New Roman" w:cs="Times New Roman"/>
          <w:color w:val="auto"/>
          <w:kern w:val="0"/>
          <w:szCs w:val="30"/>
        </w:rPr>
      </w:pPr>
      <w:bookmarkStart w:id="7" w:name="_Toc9769"/>
      <w:bookmarkStart w:id="8" w:name="_Toc19076"/>
      <w:r>
        <w:rPr>
          <w:rFonts w:ascii="Times New Roman" w:hAnsi="Times New Roman" w:cs="Times New Roman"/>
          <w:color w:val="auto"/>
          <w:kern w:val="0"/>
          <w:szCs w:val="30"/>
        </w:rPr>
        <w:t>1.1 背景</w:t>
      </w:r>
      <w:bookmarkEnd w:id="7"/>
      <w:bookmarkEnd w:id="8"/>
    </w:p>
    <w:p>
      <w:pPr>
        <w:spacing w:line="520" w:lineRule="exact"/>
        <w:rPr>
          <w:rFonts w:ascii="Times New Roman" w:hAnsi="Times New Roman" w:cs="Times New Roman"/>
          <w:color w:val="auto"/>
        </w:rPr>
      </w:pPr>
      <w:r>
        <w:rPr>
          <w:rFonts w:ascii="Times New Roman" w:hAnsi="Times New Roman" w:cs="Times New Roman"/>
          <w:color w:val="auto"/>
        </w:rPr>
        <w:t>医院是社会、经济、政治和文化建设中不可缺少的重要组成部分，它是劳动力再修复的重要场所，是提高人的生活质量和病人生存质量的重要手段。随着我国经济迅速而持续的发展，人民群众生活水平不断提高，人们的健康保健意识逐步增强，对医疗需求越来越高。在全面建设小康社会的新形势下，保障人民健康是提高人民生活水平和生活质量的首要目标。</w:t>
      </w:r>
    </w:p>
    <w:p>
      <w:pPr>
        <w:spacing w:line="520" w:lineRule="exact"/>
        <w:rPr>
          <w:rFonts w:ascii="Times New Roman" w:hAnsi="Times New Roman" w:cs="Times New Roman"/>
          <w:color w:val="auto"/>
        </w:rPr>
      </w:pPr>
      <w:r>
        <w:rPr>
          <w:rFonts w:ascii="Times New Roman" w:hAnsi="Times New Roman" w:cs="Times New Roman"/>
          <w:color w:val="auto"/>
        </w:rPr>
        <w:t>党的十九大作出实施健康中国战略的重大决策部署，强调坚持预防为主，倡导健康文明</w:t>
      </w:r>
      <w:r>
        <w:rPr>
          <w:rFonts w:hint="eastAsia" w:ascii="Times New Roman" w:hAnsi="Times New Roman" w:cs="Times New Roman"/>
          <w:color w:val="auto"/>
        </w:rPr>
        <w:t>的</w:t>
      </w:r>
      <w:r>
        <w:rPr>
          <w:rFonts w:ascii="Times New Roman" w:hAnsi="Times New Roman" w:cs="Times New Roman"/>
          <w:color w:val="auto"/>
        </w:rPr>
        <w:t>生活方式，预防控制重大疾病。《进一步改善医疗服务行动计划（2018-2020年）》中也提出“利用3年时间，努力使诊疗更加安全、就诊更加便利、沟通更加有效、体验更加舒适，逐步形成区域协同、信息共享、服务一体、多学科联合的新时代医疗服务格局，推动医疗服务高质量发展，基层医疗服务质量明显提升，社会满意度不断提高，人民群众看病就医获得感进一步增强”的工作目标。自治区党委、政府把加快医疗卫生事业改革发展，提高全民健康水平放在了更加重要的位置，社会各界对卫生工作给予了高度关注和支持。《新疆维吾尔自治区国民经济和社会发展第十三个五年规划纲要》将加强自治区、地（州、市）区域医疗中心建设，提升医疗服务能力作为医疗卫生重点建设项目。</w:t>
      </w:r>
    </w:p>
    <w:p>
      <w:pPr>
        <w:spacing w:line="520" w:lineRule="exact"/>
        <w:rPr>
          <w:rFonts w:ascii="Times New Roman" w:hAnsi="Times New Roman" w:cs="Times New Roman"/>
          <w:color w:val="auto"/>
        </w:rPr>
      </w:pPr>
      <w:r>
        <w:rPr>
          <w:rFonts w:ascii="Times New Roman" w:hAnsi="Times New Roman" w:cs="Times New Roman"/>
          <w:color w:val="auto"/>
        </w:rPr>
        <w:t>2020年春节期间发生的新冠肺炎疫情，是新中国成立以来发生的传播速度最快、感染范围最广、防控难度最大的一次重大突发公共卫生事件。新冠肺炎疫情给我国等多个国家和地区造成了严重的生命财产损失，并深刻影响了我国的公共卫生政策，加强我国卫生系统能力建设与发展再一次引起政府的高度重视。疫情防治工作中医院在组织指挥、机构设置、应急能力、预案制定、感染控制、人员防护、专科技术、信息资源利用和物资保障等方面存在着薄弱环节，加强医院的建设和发展，增强防范意识，健全组织指挥体系、制定和完善各项预案制度，深化全员培训、合理调整门诊、急诊流程布局等</w:t>
      </w:r>
      <w:r>
        <w:rPr>
          <w:rFonts w:hint="eastAsia" w:ascii="Times New Roman" w:hAnsi="Times New Roman" w:cs="Times New Roman"/>
          <w:color w:val="auto"/>
          <w:lang w:val="en-US" w:eastAsia="zh-CN"/>
        </w:rPr>
        <w:t>亟需进一步</w:t>
      </w:r>
      <w:r>
        <w:rPr>
          <w:rFonts w:ascii="Times New Roman" w:hAnsi="Times New Roman" w:cs="Times New Roman"/>
          <w:color w:val="auto"/>
        </w:rPr>
        <w:t>完善。</w:t>
      </w:r>
    </w:p>
    <w:p>
      <w:pPr>
        <w:spacing w:line="520" w:lineRule="exact"/>
        <w:rPr>
          <w:rFonts w:ascii="Times New Roman" w:hAnsi="Times New Roman" w:cs="Times New Roman"/>
          <w:color w:val="auto"/>
        </w:rPr>
      </w:pPr>
      <w:r>
        <w:rPr>
          <w:rFonts w:ascii="Times New Roman" w:hAnsi="Times New Roman" w:cs="Times New Roman"/>
          <w:color w:val="auto"/>
        </w:rPr>
        <w:t>因此，吉木萨尔县认真贯彻全国、自治区卫生工作会议精神，坚决执行党中央、国务院关于新形势下加强公共卫生建设的新规定、新要求，紧密结合本县实际情况，切实把公共卫生建设纳</w:t>
      </w:r>
      <w:r>
        <w:rPr>
          <w:rFonts w:hint="eastAsia" w:ascii="Times New Roman" w:hAnsi="Times New Roman" w:cs="Times New Roman"/>
          <w:color w:val="auto"/>
          <w:lang w:val="en-US" w:eastAsia="zh-CN"/>
        </w:rPr>
        <w:t>入</w:t>
      </w:r>
      <w:r>
        <w:rPr>
          <w:rFonts w:ascii="Times New Roman" w:hAnsi="Times New Roman" w:cs="Times New Roman"/>
          <w:color w:val="auto"/>
        </w:rPr>
        <w:t>经济建设和社会发展规划中，妥善解决新形势下面临的矛盾和问题，尤其是增强防治结合、平战结合的自觉性，使之同步进行、协调发展。因此，加强公共卫生建设，改善医疗条件</w:t>
      </w:r>
      <w:r>
        <w:rPr>
          <w:rFonts w:ascii="Times New Roman" w:hAnsi="Times New Roman" w:cs="Times New Roman"/>
          <w:color w:val="auto"/>
          <w:spacing w:val="-6"/>
        </w:rPr>
        <w:t>是有效地预防和控制各种疾病，提高人民健康水平，促进社会和谐发展的迫切需要。</w:t>
      </w:r>
    </w:p>
    <w:p>
      <w:pPr>
        <w:spacing w:line="520" w:lineRule="exact"/>
        <w:rPr>
          <w:rFonts w:ascii="Times New Roman" w:hAnsi="Times New Roman" w:cs="Times New Roman"/>
          <w:color w:val="auto"/>
        </w:rPr>
      </w:pPr>
      <w:r>
        <w:rPr>
          <w:rFonts w:ascii="Times New Roman" w:hAnsi="Times New Roman" w:cs="Times New Roman"/>
          <w:color w:val="auto"/>
        </w:rPr>
        <w:t>吉木萨尔县人民医院（本部）始建于1952年，目前已发展成为一所集医疗、教学、科研、预防、保健、急救和康复为一体的非营利性二级甲等综合医院。但由于院区现有场地限制了医院的发展，且不能满足感染性疾病防控要求，故吉木萨尔县人民医院急需新建一所设施齐全，功能完善的现代化医院，内含一般业务用房及传染病房楼。</w:t>
      </w:r>
      <w:r>
        <w:rPr>
          <w:rFonts w:hint="eastAsia" w:ascii="Times New Roman" w:hAnsi="Times New Roman" w:cs="Times New Roman"/>
          <w:color w:val="auto"/>
        </w:rPr>
        <w:t>本</w:t>
      </w:r>
      <w:r>
        <w:rPr>
          <w:rFonts w:ascii="Times New Roman" w:hAnsi="Times New Roman" w:cs="Times New Roman"/>
          <w:color w:val="auto"/>
        </w:rPr>
        <w:t>项目的建设满足医院功能需要，提高医疗服务能力，适应国家及自治区推进医疗卫生事业发展的要求，并完善医院应急救治综合能力，加强应急储备。</w:t>
      </w:r>
    </w:p>
    <w:p>
      <w:pPr>
        <w:pStyle w:val="8"/>
        <w:keepLines w:val="0"/>
        <w:jc w:val="left"/>
        <w:rPr>
          <w:rFonts w:ascii="Times New Roman" w:hAnsi="Times New Roman" w:cs="Times New Roman"/>
          <w:color w:val="auto"/>
          <w:kern w:val="0"/>
          <w:szCs w:val="30"/>
        </w:rPr>
      </w:pPr>
      <w:bookmarkStart w:id="9" w:name="_Toc4068"/>
      <w:bookmarkStart w:id="10" w:name="_Toc17126"/>
      <w:r>
        <w:rPr>
          <w:rFonts w:ascii="Times New Roman" w:hAnsi="Times New Roman" w:cs="Times New Roman"/>
          <w:color w:val="auto"/>
          <w:kern w:val="0"/>
          <w:szCs w:val="30"/>
        </w:rPr>
        <w:t>1.2 环境影响评价工作过程</w:t>
      </w:r>
      <w:bookmarkEnd w:id="9"/>
      <w:bookmarkEnd w:id="10"/>
    </w:p>
    <w:p>
      <w:pPr>
        <w:spacing w:line="520" w:lineRule="exact"/>
        <w:rPr>
          <w:rFonts w:ascii="Times New Roman" w:hAnsi="Times New Roman" w:cs="Times New Roman"/>
          <w:color w:val="auto"/>
        </w:rPr>
      </w:pPr>
      <w:r>
        <w:rPr>
          <w:rFonts w:ascii="Times New Roman" w:hAnsi="Times New Roman" w:cs="Times New Roman"/>
          <w:color w:val="auto"/>
        </w:rPr>
        <w:t>根据《中华人民共和国环境保护法》、《中华人民共和国环境影响评价法》以及《建设项目环境保护管理条例》等相关法律法规，项目应进行环境影响评价工作，编制环境影响报告书。吉木萨尔县人民医院委托我公司承担了该项目的环评工作。接受委托后，我公司组织了相关技术人员深入现场，对本项目进行调查以及资料收集，在对本项目进行分析以及现状调查的基础上，严格遵照《环境影响评价技术导则》及相关法律法规要求，编制完成了《吉木萨尔县人民医院新院区建设项目环境影响报告书》。</w:t>
      </w:r>
    </w:p>
    <w:p>
      <w:pPr>
        <w:spacing w:line="520" w:lineRule="exact"/>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rPr>
        <w:t>设置放射科，本次环评不包括辐射放射内容，项目中涉及辐射源仪器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放射装置等</w:t>
      </w:r>
      <w:r>
        <w:rPr>
          <w:rFonts w:hint="eastAsia" w:ascii="Times New Roman" w:hAnsi="Times New Roman" w:cs="Times New Roman"/>
          <w:color w:val="auto"/>
          <w:highlight w:val="none"/>
        </w:rPr>
        <w:t>设备由建设单位另行办理相关环保手续。</w:t>
      </w:r>
    </w:p>
    <w:p>
      <w:pPr>
        <w:spacing w:line="520" w:lineRule="exact"/>
        <w:rPr>
          <w:rFonts w:ascii="Times New Roman" w:hAnsi="Times New Roman" w:cs="Times New Roman"/>
          <w:color w:val="auto"/>
        </w:rPr>
      </w:pPr>
      <w:r>
        <w:rPr>
          <w:rFonts w:ascii="Times New Roman" w:hAnsi="Times New Roman" w:cs="Times New Roman"/>
          <w:color w:val="auto"/>
        </w:rPr>
        <w:t>主要评价工作过程如下：</w:t>
      </w:r>
    </w:p>
    <w:p>
      <w:pPr>
        <w:spacing w:line="520" w:lineRule="exact"/>
        <w:rPr>
          <w:rFonts w:ascii="Times New Roman" w:hAnsi="Times New Roman" w:cs="Times New Roman"/>
          <w:color w:val="auto"/>
        </w:rPr>
      </w:pPr>
      <w:r>
        <w:rPr>
          <w:rFonts w:ascii="Times New Roman" w:hAnsi="Times New Roman" w:cs="Times New Roman"/>
          <w:color w:val="auto"/>
        </w:rPr>
        <w:t>（1）研究国家和地方有关环境保护的法律法规、政策、标准及相关规划等，分析其规划符合性；</w:t>
      </w:r>
    </w:p>
    <w:p>
      <w:pPr>
        <w:spacing w:line="520" w:lineRule="exact"/>
        <w:rPr>
          <w:rFonts w:ascii="Times New Roman" w:hAnsi="Times New Roman" w:cs="Times New Roman"/>
          <w:color w:val="auto"/>
        </w:rPr>
      </w:pPr>
      <w:r>
        <w:rPr>
          <w:rFonts w:ascii="Times New Roman" w:hAnsi="Times New Roman" w:cs="Times New Roman"/>
          <w:color w:val="auto"/>
        </w:rPr>
        <w:t>（2）收集和研究项目相关技术文件和其他相关文件，进行初步工程分析，明确本项目的工程组成，根据工艺流程确定产排污环节和主要污染物，同时对本项目环境影响</w:t>
      </w:r>
      <w:r>
        <w:rPr>
          <w:rFonts w:hint="eastAsia" w:ascii="Times New Roman" w:hAnsi="Times New Roman" w:cs="Times New Roman"/>
          <w:color w:val="auto"/>
        </w:rPr>
        <w:t>区域</w:t>
      </w:r>
      <w:r>
        <w:rPr>
          <w:rFonts w:ascii="Times New Roman" w:hAnsi="Times New Roman" w:cs="Times New Roman"/>
          <w:color w:val="auto"/>
        </w:rPr>
        <w:t>进行初步环境现状调查；</w:t>
      </w:r>
    </w:p>
    <w:p>
      <w:pPr>
        <w:spacing w:line="520" w:lineRule="exact"/>
        <w:rPr>
          <w:rFonts w:ascii="Times New Roman" w:hAnsi="Times New Roman" w:cs="Times New Roman"/>
          <w:color w:val="auto"/>
        </w:rPr>
      </w:pPr>
      <w:r>
        <w:rPr>
          <w:rFonts w:ascii="Times New Roman" w:hAnsi="Times New Roman" w:cs="Times New Roman"/>
          <w:color w:val="auto"/>
        </w:rPr>
        <w:t>（3）结合初步工程分析结果和环境现状资料，识别建设项目的环境影响因素，筛选主要的环境影响评价因子，明确评价重点，确定评价工作等级、评价范围及评价标准；</w:t>
      </w:r>
    </w:p>
    <w:p>
      <w:pPr>
        <w:spacing w:line="520" w:lineRule="exact"/>
        <w:rPr>
          <w:rFonts w:ascii="Times New Roman" w:hAnsi="Times New Roman" w:cs="Times New Roman"/>
          <w:color w:val="auto"/>
        </w:rPr>
      </w:pPr>
      <w:r>
        <w:rPr>
          <w:rFonts w:ascii="Times New Roman" w:hAnsi="Times New Roman" w:cs="Times New Roman"/>
          <w:color w:val="auto"/>
        </w:rPr>
        <w:t>（4）制定工作方案，在进行充分的环境现状调查、监测的基础上开展环境质量现状评价，并进行进一步的工程分析，根据工程分析确定的污染源强以及结合项目区环境特征，采用模式计算和类比调查的方式预测、分析或评价项目建设对环境的影响范围以及引起的环境质量变化情况，从环境保护角度分析论证建设工程的可行性；</w:t>
      </w:r>
    </w:p>
    <w:p>
      <w:pPr>
        <w:spacing w:line="520" w:lineRule="exact"/>
        <w:rPr>
          <w:rFonts w:ascii="Times New Roman" w:hAnsi="Times New Roman" w:cs="Times New Roman"/>
          <w:color w:val="auto"/>
        </w:rPr>
      </w:pPr>
      <w:r>
        <w:rPr>
          <w:rFonts w:ascii="Times New Roman" w:hAnsi="Times New Roman" w:cs="Times New Roman"/>
          <w:color w:val="auto"/>
        </w:rPr>
        <w:t>（5）建设单位根据国家和地方环保规范要求开展公众参与调查活动，环评单位分析公众提出的意见或建议；对项目建设可能引起的环境污染与局部生态环境破坏，通过对拟建工程环保设施的技术经济合理性、达标水平的可靠性分析，提出进一步减缓污染的对策建议；</w:t>
      </w:r>
    </w:p>
    <w:p>
      <w:pPr>
        <w:spacing w:line="520" w:lineRule="exact"/>
        <w:rPr>
          <w:rFonts w:ascii="Times New Roman" w:hAnsi="Times New Roman" w:cs="Times New Roman"/>
          <w:color w:val="auto"/>
        </w:rPr>
      </w:pPr>
      <w:r>
        <w:rPr>
          <w:rFonts w:ascii="Times New Roman" w:hAnsi="Times New Roman" w:cs="Times New Roman"/>
          <w:color w:val="auto"/>
        </w:rPr>
        <w:t>（6）在对建设项目实施后可能造成的环境影响进行分析、预测的基础上，提出预防或者减轻不良环境影响的对策和措施，从环境保护的角度提出项目建设的可行性结论，完成环境影响报告书编制。</w:t>
      </w:r>
    </w:p>
    <w:p>
      <w:pPr>
        <w:spacing w:line="520" w:lineRule="exact"/>
        <w:rPr>
          <w:rFonts w:ascii="Times New Roman" w:hAnsi="Times New Roman" w:cs="Times New Roman"/>
          <w:color w:val="auto"/>
        </w:rPr>
      </w:pPr>
      <w:r>
        <w:rPr>
          <w:rFonts w:ascii="Times New Roman" w:hAnsi="Times New Roman" w:cs="Times New Roman"/>
          <w:color w:val="auto"/>
        </w:rPr>
        <w:t>具体环境影响评价工作程序见图</w:t>
      </w:r>
      <w:r>
        <w:rPr>
          <w:rFonts w:hint="eastAsia" w:ascii="Times New Roman" w:hAnsi="Times New Roman" w:cs="Times New Roman"/>
          <w:color w:val="auto"/>
        </w:rPr>
        <w:t>1.1</w:t>
      </w:r>
      <w:r>
        <w:rPr>
          <w:rFonts w:ascii="Times New Roman" w:hAnsi="Times New Roman" w:cs="Times New Roman"/>
          <w:color w:val="auto"/>
        </w:rPr>
        <w:t>-1。</w:t>
      </w:r>
    </w:p>
    <w:p>
      <w:pPr>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5368925" cy="4837430"/>
            <wp:effectExtent l="0" t="0" r="31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b="587"/>
                    <a:stretch>
                      <a:fillRect/>
                    </a:stretch>
                  </pic:blipFill>
                  <pic:spPr>
                    <a:xfrm>
                      <a:off x="0" y="0"/>
                      <a:ext cx="5368925" cy="4837430"/>
                    </a:xfrm>
                    <a:prstGeom prst="rect">
                      <a:avLst/>
                    </a:prstGeom>
                    <a:noFill/>
                    <a:ln>
                      <a:noFill/>
                    </a:ln>
                  </pic:spPr>
                </pic:pic>
              </a:graphicData>
            </a:graphic>
          </wp:inline>
        </w:drawing>
      </w:r>
    </w:p>
    <w:p>
      <w:pPr>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图</w:t>
      </w:r>
      <w:r>
        <w:rPr>
          <w:rFonts w:hint="eastAsia" w:ascii="Times New Roman" w:hAnsi="Times New Roman" w:cs="Times New Roman"/>
          <w:b/>
          <w:bCs/>
          <w:color w:val="auto"/>
          <w:kern w:val="0"/>
          <w:sz w:val="21"/>
          <w:szCs w:val="21"/>
        </w:rPr>
        <w:t>1.1</w:t>
      </w:r>
      <w:r>
        <w:rPr>
          <w:rFonts w:ascii="Times New Roman" w:hAnsi="Times New Roman" w:cs="Times New Roman"/>
          <w:b/>
          <w:bCs/>
          <w:color w:val="auto"/>
          <w:kern w:val="0"/>
          <w:sz w:val="21"/>
          <w:szCs w:val="21"/>
        </w:rPr>
        <w:t>-1   环境影响评价工作程序图</w:t>
      </w:r>
    </w:p>
    <w:p>
      <w:pPr>
        <w:pStyle w:val="8"/>
        <w:keepLines w:val="0"/>
        <w:jc w:val="left"/>
        <w:rPr>
          <w:rFonts w:ascii="Times New Roman" w:hAnsi="Times New Roman" w:cs="Times New Roman"/>
          <w:color w:val="auto"/>
          <w:kern w:val="0"/>
          <w:szCs w:val="30"/>
        </w:rPr>
      </w:pPr>
      <w:bookmarkStart w:id="11" w:name="_Toc32751"/>
      <w:bookmarkStart w:id="12" w:name="_Toc9121"/>
      <w:r>
        <w:rPr>
          <w:rFonts w:ascii="Times New Roman" w:hAnsi="Times New Roman" w:cs="Times New Roman"/>
          <w:color w:val="auto"/>
          <w:kern w:val="0"/>
          <w:szCs w:val="30"/>
        </w:rPr>
        <w:t>1.3 分析判定相关情况</w:t>
      </w:r>
      <w:bookmarkEnd w:id="11"/>
      <w:bookmarkEnd w:id="12"/>
    </w:p>
    <w:p>
      <w:pPr>
        <w:spacing w:line="520" w:lineRule="exact"/>
        <w:rPr>
          <w:rFonts w:ascii="Times New Roman" w:hAnsi="Times New Roman" w:cs="Times New Roman"/>
          <w:color w:val="auto"/>
        </w:rPr>
      </w:pPr>
      <w:r>
        <w:rPr>
          <w:rFonts w:ascii="Times New Roman" w:hAnsi="Times New Roman" w:cs="Times New Roman"/>
          <w:color w:val="auto"/>
        </w:rPr>
        <w:t>本项目为二级甲等综合医院，属于国家发展和改革委员会令第29号令《产业结构调整指导目录（2019年本）》中的鼓励类“三十七卫生健康”中的“5、医疗卫生服务设施建设”，符合《产业结构调整指导目录（2019年本）》、《中共中央、国务院关于深化医药卫生体制改革的意见》等国家产业政策。本项目属于综合性医疗机构，与附近及周边居民健康需求相匹配，可提高当地医疗服务水平。同时本项目属公立医院的性质，与《国务院关于印发“十三五”卫生与健康规划的通知》（国发〔2016〕77号）、《全国医疗卫生服务体系规划纲要（2015-2020）》（国办发〔2015〕14号）相符。本项目选址位于吉木萨尔县老城区南侧，北邻文襄路，西邻闽江路，南邻建国路，东邻准东路，不属于自然保护区、风景名胜区及其他需要特殊保护的区域，不占用基本农田；项目与“三线一单”要求相符。在落实各项环保措施后，各污染因素可控。</w:t>
      </w:r>
    </w:p>
    <w:p>
      <w:pPr>
        <w:pStyle w:val="8"/>
        <w:keepLines w:val="0"/>
        <w:jc w:val="left"/>
        <w:rPr>
          <w:rFonts w:ascii="Times New Roman" w:hAnsi="Times New Roman" w:cs="Times New Roman"/>
          <w:color w:val="auto"/>
          <w:kern w:val="0"/>
          <w:szCs w:val="30"/>
        </w:rPr>
      </w:pPr>
      <w:bookmarkStart w:id="13" w:name="_Toc20744"/>
      <w:bookmarkStart w:id="14" w:name="_Toc24059"/>
      <w:r>
        <w:rPr>
          <w:rFonts w:ascii="Times New Roman" w:hAnsi="Times New Roman" w:cs="Times New Roman"/>
          <w:color w:val="auto"/>
          <w:kern w:val="0"/>
          <w:szCs w:val="30"/>
        </w:rPr>
        <w:t>1.4 关注的主要环境问题</w:t>
      </w:r>
      <w:bookmarkEnd w:id="13"/>
      <w:bookmarkEnd w:id="14"/>
    </w:p>
    <w:p>
      <w:pPr>
        <w:spacing w:line="520" w:lineRule="exact"/>
        <w:rPr>
          <w:rFonts w:ascii="Times New Roman" w:hAnsi="Times New Roman" w:cs="Times New Roman"/>
          <w:color w:val="auto"/>
        </w:rPr>
      </w:pPr>
      <w:r>
        <w:rPr>
          <w:rFonts w:ascii="Times New Roman" w:hAnsi="Times New Roman" w:cs="Times New Roman"/>
          <w:color w:val="auto"/>
        </w:rPr>
        <w:t>本项目为二级甲等综合性医疗机构项目，本次评价主要关注的环境问题是建设项目投入营运后主要污染物的产生、控制和对周边环境的影响。</w:t>
      </w:r>
    </w:p>
    <w:p>
      <w:pPr>
        <w:spacing w:line="520" w:lineRule="exact"/>
        <w:rPr>
          <w:rFonts w:ascii="Times New Roman" w:hAnsi="Times New Roman" w:cs="Times New Roman"/>
          <w:color w:val="auto"/>
        </w:rPr>
      </w:pPr>
      <w:r>
        <w:rPr>
          <w:rFonts w:ascii="Times New Roman" w:hAnsi="Times New Roman" w:cs="Times New Roman"/>
          <w:color w:val="auto"/>
        </w:rPr>
        <w:t>本次环境影响评价过程中关注的主要问题如下：</w:t>
      </w:r>
    </w:p>
    <w:p>
      <w:pPr>
        <w:spacing w:line="520" w:lineRule="exact"/>
        <w:rPr>
          <w:rFonts w:ascii="Times New Roman" w:hAnsi="Times New Roman" w:cs="Times New Roman"/>
          <w:color w:val="auto"/>
        </w:rPr>
      </w:pPr>
      <w:r>
        <w:rPr>
          <w:rFonts w:ascii="Times New Roman" w:hAnsi="Times New Roman" w:cs="Times New Roman"/>
          <w:color w:val="auto"/>
        </w:rPr>
        <w:t>（1）项目运营期“三废”排放对周围环境的影响分析；</w:t>
      </w:r>
    </w:p>
    <w:p>
      <w:pPr>
        <w:spacing w:line="520" w:lineRule="exact"/>
        <w:rPr>
          <w:rFonts w:ascii="Times New Roman" w:hAnsi="Times New Roman" w:cs="Times New Roman"/>
          <w:color w:val="auto"/>
        </w:rPr>
      </w:pPr>
      <w:r>
        <w:rPr>
          <w:rFonts w:ascii="Times New Roman" w:hAnsi="Times New Roman" w:cs="Times New Roman"/>
          <w:color w:val="auto"/>
        </w:rPr>
        <w:t>（2）各项环保措施运行稳定性、污染物达标排放可行性分析；</w:t>
      </w:r>
    </w:p>
    <w:p>
      <w:pPr>
        <w:spacing w:line="520" w:lineRule="exact"/>
        <w:rPr>
          <w:rFonts w:hint="eastAsia" w:ascii="Times New Roman" w:hAnsi="Times New Roman" w:eastAsia="宋体" w:cs="Times New Roman"/>
          <w:color w:val="auto"/>
          <w:lang w:eastAsia="zh-CN"/>
        </w:rPr>
      </w:pPr>
      <w:r>
        <w:rPr>
          <w:rFonts w:ascii="Times New Roman" w:hAnsi="Times New Roman" w:cs="Times New Roman"/>
          <w:color w:val="auto"/>
        </w:rPr>
        <w:t>（3）</w:t>
      </w:r>
      <w:r>
        <w:rPr>
          <w:rFonts w:hint="eastAsia" w:ascii="Times New Roman" w:hAnsi="Times New Roman" w:cs="Times New Roman"/>
          <w:color w:val="auto"/>
        </w:rPr>
        <w:t>医疗废物、危险废物的收集、贮存和处置情况</w:t>
      </w:r>
      <w:r>
        <w:rPr>
          <w:rFonts w:hint="eastAsia" w:ascii="Times New Roman" w:hAnsi="Times New Roman" w:cs="Times New Roman"/>
          <w:color w:val="auto"/>
          <w:lang w:eastAsia="zh-CN"/>
        </w:rPr>
        <w:t>。</w:t>
      </w:r>
    </w:p>
    <w:p>
      <w:pPr>
        <w:pStyle w:val="8"/>
        <w:keepLines w:val="0"/>
        <w:jc w:val="left"/>
        <w:rPr>
          <w:rFonts w:ascii="Times New Roman" w:hAnsi="Times New Roman" w:cs="Times New Roman"/>
          <w:color w:val="auto"/>
          <w:kern w:val="0"/>
          <w:szCs w:val="30"/>
        </w:rPr>
      </w:pPr>
      <w:bookmarkStart w:id="15" w:name="_Toc15545"/>
      <w:bookmarkStart w:id="16" w:name="_Toc11586"/>
      <w:r>
        <w:rPr>
          <w:rFonts w:ascii="Times New Roman" w:hAnsi="Times New Roman" w:cs="Times New Roman"/>
          <w:color w:val="auto"/>
          <w:kern w:val="0"/>
          <w:szCs w:val="30"/>
        </w:rPr>
        <w:t>1.5 环境影响评价主要结论</w:t>
      </w:r>
      <w:bookmarkEnd w:id="15"/>
      <w:bookmarkEnd w:id="16"/>
    </w:p>
    <w:p>
      <w:pPr>
        <w:spacing w:line="520" w:lineRule="exact"/>
        <w:ind w:firstLine="504"/>
        <w:rPr>
          <w:rFonts w:ascii="Times New Roman" w:hAnsi="Times New Roman" w:cs="Times New Roman"/>
          <w:color w:val="auto"/>
          <w:spacing w:val="6"/>
        </w:rPr>
      </w:pPr>
      <w:r>
        <w:rPr>
          <w:rFonts w:ascii="Times New Roman" w:hAnsi="Times New Roman" w:cs="Times New Roman"/>
          <w:color w:val="auto"/>
          <w:spacing w:val="6"/>
        </w:rPr>
        <w:t>建设项目符合国家相关产业政策要求，用地符合吉木萨尔县土地利用规划，选址合理；项目建设无明显环境制约因素，项目建成后，能更好地为吉木萨尔县及周边各区域居民提供医疗救治服务，对提高人民健康水平和生活质量具有重大意义。虽然项目的建设及营运过程中不可避免地对周围环境造成一定影响，但只要建设单位严格按照环境保护相关要求，对项目产生的污染采取相应的污染防治措施，管理到位，环保设施运行正常的情况下，项目建设及运营对环境的不利影响可降至环境可接受程度。在此前提下，从环境影响角度分析，项目建设可行。</w:t>
      </w:r>
    </w:p>
    <w:p>
      <w:pPr>
        <w:spacing w:line="520" w:lineRule="exact"/>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sectPr>
          <w:headerReference r:id="rId5" w:type="default"/>
          <w:footerReference r:id="rId7" w:type="default"/>
          <w:headerReference r:id="rId6" w:type="even"/>
          <w:footerReference r:id="rId8" w:type="even"/>
          <w:pgSz w:w="11906" w:h="16838"/>
          <w:pgMar w:top="1440" w:right="1800" w:bottom="1440" w:left="1800" w:header="992" w:footer="992" w:gutter="0"/>
          <w:pgNumType w:start="1"/>
          <w:cols w:space="425" w:num="1"/>
          <w:docGrid w:type="lines" w:linePitch="312" w:charSpace="0"/>
        </w:sectPr>
      </w:pPr>
    </w:p>
    <w:p>
      <w:pPr>
        <w:pStyle w:val="7"/>
        <w:keepNext w:val="0"/>
        <w:keepLines w:val="0"/>
        <w:jc w:val="center"/>
        <w:rPr>
          <w:rFonts w:ascii="Times New Roman" w:hAnsi="Times New Roman" w:cs="Times New Roman"/>
          <w:color w:val="auto"/>
          <w:szCs w:val="32"/>
        </w:rPr>
      </w:pPr>
      <w:bookmarkStart w:id="17" w:name="_Toc13799"/>
      <w:bookmarkStart w:id="18" w:name="_Toc26458"/>
      <w:r>
        <w:rPr>
          <w:rFonts w:ascii="Times New Roman" w:hAnsi="Times New Roman" w:cs="Times New Roman"/>
          <w:color w:val="auto"/>
          <w:szCs w:val="32"/>
        </w:rPr>
        <w:t>2 总则</w:t>
      </w:r>
      <w:bookmarkEnd w:id="17"/>
      <w:bookmarkEnd w:id="18"/>
    </w:p>
    <w:p>
      <w:pPr>
        <w:pStyle w:val="8"/>
        <w:keepLines w:val="0"/>
        <w:jc w:val="left"/>
        <w:rPr>
          <w:rFonts w:ascii="Times New Roman" w:hAnsi="Times New Roman" w:cs="Times New Roman"/>
          <w:color w:val="auto"/>
          <w:kern w:val="0"/>
          <w:szCs w:val="30"/>
        </w:rPr>
      </w:pPr>
      <w:bookmarkStart w:id="19" w:name="_Toc21689"/>
      <w:bookmarkStart w:id="20" w:name="_Toc3531"/>
      <w:r>
        <w:rPr>
          <w:rFonts w:ascii="Times New Roman" w:hAnsi="Times New Roman" w:cs="Times New Roman"/>
          <w:color w:val="auto"/>
          <w:kern w:val="0"/>
          <w:szCs w:val="30"/>
        </w:rPr>
        <w:t>2.1 编制依据</w:t>
      </w:r>
      <w:bookmarkEnd w:id="19"/>
      <w:bookmarkEnd w:id="20"/>
    </w:p>
    <w:p>
      <w:pPr>
        <w:pStyle w:val="9"/>
        <w:spacing w:line="413" w:lineRule="auto"/>
        <w:rPr>
          <w:rFonts w:ascii="Times New Roman" w:hAnsi="Times New Roman" w:cs="Times New Roman"/>
          <w:color w:val="auto"/>
        </w:rPr>
      </w:pPr>
      <w:bookmarkStart w:id="21" w:name="_Toc16218"/>
      <w:r>
        <w:rPr>
          <w:rFonts w:ascii="Times New Roman" w:hAnsi="Times New Roman" w:cs="Times New Roman"/>
          <w:color w:val="auto"/>
        </w:rPr>
        <w:t>2.1.1 法律法规</w:t>
      </w:r>
      <w:bookmarkEnd w:id="21"/>
    </w:p>
    <w:p>
      <w:pPr>
        <w:spacing w:line="520" w:lineRule="exact"/>
        <w:rPr>
          <w:rFonts w:ascii="Times New Roman" w:hAnsi="Times New Roman" w:cs="Times New Roman"/>
          <w:color w:val="auto"/>
        </w:rPr>
      </w:pPr>
      <w:r>
        <w:rPr>
          <w:rFonts w:ascii="Times New Roman" w:hAnsi="Times New Roman" w:cs="Times New Roman"/>
          <w:color w:val="auto"/>
        </w:rPr>
        <w:t>（1）《中华人民共和国环境保护法》（2015年1月1日施行）；</w:t>
      </w:r>
    </w:p>
    <w:p>
      <w:pPr>
        <w:spacing w:line="520" w:lineRule="exact"/>
        <w:rPr>
          <w:rFonts w:ascii="Times New Roman" w:hAnsi="Times New Roman" w:cs="Times New Roman"/>
          <w:color w:val="auto"/>
        </w:rPr>
      </w:pPr>
      <w:r>
        <w:rPr>
          <w:rFonts w:ascii="Times New Roman" w:hAnsi="Times New Roman" w:cs="Times New Roman"/>
          <w:color w:val="auto"/>
        </w:rPr>
        <w:t>（2）《中华人民共和国环境影响评价法》（2018年12月29日修订实施）；</w:t>
      </w:r>
    </w:p>
    <w:p>
      <w:pPr>
        <w:spacing w:line="520" w:lineRule="exact"/>
        <w:rPr>
          <w:rFonts w:ascii="Times New Roman" w:hAnsi="Times New Roman" w:cs="Times New Roman"/>
          <w:color w:val="auto"/>
        </w:rPr>
      </w:pPr>
      <w:r>
        <w:rPr>
          <w:rFonts w:ascii="Times New Roman" w:hAnsi="Times New Roman" w:cs="Times New Roman"/>
          <w:color w:val="auto"/>
        </w:rPr>
        <w:t>（3）《中华人民共和国大气污染防治法》（2018年10月26日修订实施）；</w:t>
      </w:r>
    </w:p>
    <w:p>
      <w:pPr>
        <w:spacing w:line="520" w:lineRule="exact"/>
        <w:rPr>
          <w:rFonts w:ascii="Times New Roman" w:hAnsi="Times New Roman" w:cs="Times New Roman"/>
          <w:color w:val="auto"/>
        </w:rPr>
      </w:pPr>
      <w:r>
        <w:rPr>
          <w:rFonts w:ascii="Times New Roman" w:hAnsi="Times New Roman" w:cs="Times New Roman"/>
          <w:color w:val="auto"/>
        </w:rPr>
        <w:t>（4）《中华人民共和国水污染防治法》（2018年1月1日施行）；</w:t>
      </w:r>
    </w:p>
    <w:p>
      <w:pPr>
        <w:spacing w:line="520" w:lineRule="exact"/>
        <w:rPr>
          <w:rFonts w:ascii="Times New Roman" w:hAnsi="Times New Roman" w:cs="Times New Roman"/>
          <w:color w:val="auto"/>
        </w:rPr>
      </w:pPr>
      <w:r>
        <w:rPr>
          <w:rFonts w:ascii="Times New Roman" w:hAnsi="Times New Roman" w:cs="Times New Roman"/>
          <w:color w:val="auto"/>
        </w:rPr>
        <w:t>（5）《中华人民共和国环境噪声污染防治法》（2018年12月29日修订实施）；</w:t>
      </w:r>
    </w:p>
    <w:p>
      <w:pPr>
        <w:spacing w:line="520" w:lineRule="exact"/>
        <w:rPr>
          <w:rFonts w:ascii="Times New Roman" w:hAnsi="Times New Roman" w:cs="Times New Roman"/>
          <w:color w:val="auto"/>
        </w:rPr>
      </w:pPr>
      <w:r>
        <w:rPr>
          <w:rFonts w:ascii="Times New Roman" w:hAnsi="Times New Roman" w:cs="Times New Roman"/>
          <w:color w:val="auto"/>
        </w:rPr>
        <w:t>（6）《中华人民共和国固体废物污染环境防治法》（2020年4月29日修订，2020年9月1日起实施）；</w:t>
      </w:r>
    </w:p>
    <w:p>
      <w:pPr>
        <w:spacing w:line="520" w:lineRule="exact"/>
        <w:rPr>
          <w:rFonts w:ascii="Times New Roman" w:hAnsi="Times New Roman" w:cs="Times New Roman"/>
          <w:color w:val="auto"/>
        </w:rPr>
      </w:pPr>
      <w:r>
        <w:rPr>
          <w:rFonts w:ascii="Times New Roman" w:hAnsi="Times New Roman" w:cs="Times New Roman"/>
          <w:color w:val="auto"/>
        </w:rPr>
        <w:t>（7）《中华人民共和国土壤污染防治法》（中华人民共和国主席令（第八号），2018年8月31日通过，2019年1月1日施行）</w:t>
      </w:r>
    </w:p>
    <w:p>
      <w:pPr>
        <w:spacing w:line="520" w:lineRule="exact"/>
        <w:rPr>
          <w:rFonts w:ascii="Times New Roman" w:hAnsi="Times New Roman" w:cs="Times New Roman"/>
          <w:color w:val="auto"/>
        </w:rPr>
      </w:pPr>
      <w:r>
        <w:rPr>
          <w:rFonts w:ascii="Times New Roman" w:hAnsi="Times New Roman" w:cs="Times New Roman"/>
          <w:color w:val="auto"/>
        </w:rPr>
        <w:t>（8）《中华人民共和国清洁生产促进法》（2012年7月1日施行）；</w:t>
      </w:r>
    </w:p>
    <w:p>
      <w:pPr>
        <w:spacing w:line="520" w:lineRule="exact"/>
        <w:rPr>
          <w:rFonts w:ascii="Times New Roman" w:hAnsi="Times New Roman" w:cs="Times New Roman"/>
          <w:color w:val="auto"/>
        </w:rPr>
      </w:pPr>
      <w:r>
        <w:rPr>
          <w:rFonts w:ascii="Times New Roman" w:hAnsi="Times New Roman" w:cs="Times New Roman"/>
          <w:color w:val="auto"/>
        </w:rPr>
        <w:t>（9）《中华人民共和国循环经济促进法》（2009年1月1日施行）；</w:t>
      </w:r>
    </w:p>
    <w:p>
      <w:pPr>
        <w:spacing w:line="520" w:lineRule="exact"/>
        <w:rPr>
          <w:rFonts w:ascii="Times New Roman" w:hAnsi="Times New Roman" w:cs="Times New Roman"/>
          <w:color w:val="auto"/>
        </w:rPr>
      </w:pPr>
      <w:r>
        <w:rPr>
          <w:rFonts w:ascii="Times New Roman" w:hAnsi="Times New Roman" w:cs="Times New Roman"/>
          <w:color w:val="auto"/>
        </w:rPr>
        <w:t>（10）《中华人民共和国节约能源法》（2008年4月1日施行）；</w:t>
      </w:r>
    </w:p>
    <w:p>
      <w:pPr>
        <w:spacing w:line="520" w:lineRule="exact"/>
        <w:rPr>
          <w:rFonts w:ascii="Times New Roman" w:hAnsi="Times New Roman" w:cs="Times New Roman"/>
          <w:color w:val="auto"/>
        </w:rPr>
      </w:pPr>
      <w:r>
        <w:rPr>
          <w:rFonts w:ascii="Times New Roman" w:hAnsi="Times New Roman" w:cs="Times New Roman"/>
          <w:color w:val="auto"/>
        </w:rPr>
        <w:t>（11）《中华人民共和国水土保持法》（2011年3月1日修订施行）；</w:t>
      </w:r>
    </w:p>
    <w:p>
      <w:pPr>
        <w:spacing w:line="520" w:lineRule="exact"/>
        <w:rPr>
          <w:rFonts w:ascii="Times New Roman" w:hAnsi="Times New Roman" w:cs="Times New Roman"/>
          <w:color w:val="auto"/>
        </w:rPr>
      </w:pPr>
      <w:r>
        <w:rPr>
          <w:rFonts w:ascii="Times New Roman" w:hAnsi="Times New Roman" w:cs="Times New Roman"/>
          <w:color w:val="auto"/>
        </w:rPr>
        <w:t>（12）《中华人民共和国安全生产法》（2014年12月1日起施行）；</w:t>
      </w:r>
    </w:p>
    <w:p>
      <w:pPr>
        <w:spacing w:line="520" w:lineRule="exact"/>
        <w:rPr>
          <w:rFonts w:ascii="Times New Roman" w:hAnsi="Times New Roman" w:cs="Times New Roman"/>
          <w:color w:val="auto"/>
        </w:rPr>
      </w:pPr>
      <w:bookmarkStart w:id="22" w:name="_Toc5674"/>
      <w:r>
        <w:rPr>
          <w:rFonts w:ascii="Times New Roman" w:hAnsi="Times New Roman" w:cs="Times New Roman"/>
          <w:color w:val="auto"/>
        </w:rPr>
        <w:t>（13）《建设项目环境保护管理条例》（国务院令第682号，2017年10月1日起实施）。</w:t>
      </w:r>
    </w:p>
    <w:p>
      <w:pPr>
        <w:pStyle w:val="9"/>
        <w:spacing w:line="413" w:lineRule="auto"/>
        <w:rPr>
          <w:rFonts w:ascii="Times New Roman" w:hAnsi="Times New Roman" w:cs="Times New Roman"/>
          <w:color w:val="auto"/>
        </w:rPr>
      </w:pPr>
      <w:r>
        <w:rPr>
          <w:rFonts w:ascii="Times New Roman" w:hAnsi="Times New Roman" w:cs="Times New Roman"/>
          <w:color w:val="auto"/>
        </w:rPr>
        <w:t xml:space="preserve">2.1.2 </w:t>
      </w:r>
      <w:bookmarkEnd w:id="22"/>
      <w:r>
        <w:rPr>
          <w:rFonts w:hint="eastAsia" w:ascii="Times New Roman" w:hAnsi="Times New Roman" w:cs="Times New Roman"/>
          <w:color w:val="auto"/>
        </w:rPr>
        <w:t>行政法规和规范性文件</w:t>
      </w:r>
    </w:p>
    <w:p>
      <w:pPr>
        <w:spacing w:line="520" w:lineRule="exact"/>
        <w:rPr>
          <w:rFonts w:ascii="Times New Roman" w:hAnsi="Times New Roman" w:cs="Times New Roman"/>
          <w:color w:val="auto"/>
        </w:rPr>
      </w:pPr>
      <w:r>
        <w:rPr>
          <w:rFonts w:ascii="Times New Roman" w:hAnsi="Times New Roman" w:cs="Times New Roman"/>
          <w:color w:val="auto"/>
        </w:rPr>
        <w:t>（1）《建设项目环境保护管理条例》（国务院令682号，2017年10月1日施行）；</w:t>
      </w:r>
    </w:p>
    <w:p>
      <w:pPr>
        <w:spacing w:line="520" w:lineRule="exact"/>
        <w:rPr>
          <w:rFonts w:hint="eastAsia" w:ascii="Times New Roman" w:hAnsi="Times New Roman" w:eastAsia="宋体" w:cs="Times New Roman"/>
          <w:color w:val="auto"/>
          <w:lang w:eastAsia="zh-CN"/>
        </w:rPr>
      </w:pPr>
      <w:r>
        <w:rPr>
          <w:rFonts w:ascii="Times New Roman" w:hAnsi="Times New Roman" w:cs="Times New Roman"/>
          <w:color w:val="auto"/>
        </w:rPr>
        <w:t>（2）《环境影响评价公众参与办法》（2019年1月1日起施行）</w:t>
      </w:r>
      <w:r>
        <w:rPr>
          <w:rFonts w:hint="eastAsia" w:ascii="Times New Roman" w:hAnsi="Times New Roman" w:cs="Times New Roman"/>
          <w:color w:val="auto"/>
          <w:lang w:eastAsia="zh-CN"/>
        </w:rPr>
        <w:t>；</w:t>
      </w:r>
    </w:p>
    <w:p>
      <w:pPr>
        <w:spacing w:line="520" w:lineRule="exact"/>
        <w:rPr>
          <w:rFonts w:ascii="Times New Roman" w:hAnsi="Times New Roman" w:cs="Times New Roman"/>
          <w:color w:val="auto"/>
        </w:rPr>
      </w:pPr>
      <w:r>
        <w:rPr>
          <w:rFonts w:ascii="Times New Roman" w:hAnsi="Times New Roman" w:cs="Times New Roman"/>
          <w:color w:val="auto"/>
        </w:rPr>
        <w:t>（3）《产业结构调整指导目录（2019年本）》（国家发展和改革委员会令29号）；</w:t>
      </w:r>
    </w:p>
    <w:p>
      <w:pPr>
        <w:spacing w:line="520" w:lineRule="exact"/>
        <w:rPr>
          <w:rFonts w:ascii="Times New Roman" w:hAnsi="Times New Roman" w:cs="Times New Roman"/>
          <w:color w:val="auto"/>
        </w:rPr>
      </w:pPr>
      <w:r>
        <w:rPr>
          <w:rFonts w:ascii="Times New Roman" w:hAnsi="Times New Roman" w:cs="Times New Roman"/>
          <w:color w:val="auto"/>
        </w:rPr>
        <w:t>（4）《国务院关于加强环境保护重点工作的意见》（国发〔2011〕35号，2011年10月）；</w:t>
      </w:r>
    </w:p>
    <w:p>
      <w:pPr>
        <w:spacing w:line="520" w:lineRule="exact"/>
        <w:rPr>
          <w:rFonts w:ascii="Times New Roman" w:hAnsi="Times New Roman" w:cs="Times New Roman"/>
          <w:color w:val="auto"/>
        </w:rPr>
      </w:pPr>
      <w:r>
        <w:rPr>
          <w:rFonts w:ascii="Times New Roman" w:hAnsi="Times New Roman" w:cs="Times New Roman"/>
          <w:color w:val="auto"/>
        </w:rPr>
        <w:t>（5）《建设项目环境影响评价分类管理名录（2021年版）》（生态环境部部令第16号）；</w:t>
      </w:r>
    </w:p>
    <w:p>
      <w:pPr>
        <w:spacing w:line="520" w:lineRule="exact"/>
        <w:rPr>
          <w:rFonts w:ascii="Times New Roman" w:hAnsi="Times New Roman" w:cs="Times New Roman"/>
          <w:color w:val="auto"/>
        </w:rPr>
      </w:pPr>
      <w:r>
        <w:rPr>
          <w:rFonts w:ascii="Times New Roman" w:hAnsi="Times New Roman" w:cs="Times New Roman"/>
          <w:color w:val="auto"/>
        </w:rPr>
        <w:t>（6）《关于进一步加强环境保护信息公开工作的通知》（环办〔2012〕134号）；</w:t>
      </w:r>
    </w:p>
    <w:p>
      <w:pPr>
        <w:spacing w:line="520" w:lineRule="exact"/>
        <w:rPr>
          <w:rFonts w:ascii="Times New Roman" w:hAnsi="Times New Roman" w:cs="Times New Roman"/>
          <w:color w:val="auto"/>
        </w:rPr>
      </w:pPr>
      <w:r>
        <w:rPr>
          <w:rFonts w:ascii="Times New Roman" w:hAnsi="Times New Roman" w:cs="Times New Roman"/>
          <w:color w:val="auto"/>
        </w:rPr>
        <w:t>（7）《关于进一步加强环境影响评价管理防范环境风险的通知》（环办〔2012〕77号）；</w:t>
      </w:r>
    </w:p>
    <w:p>
      <w:pPr>
        <w:spacing w:line="520" w:lineRule="exact"/>
        <w:rPr>
          <w:rFonts w:ascii="Times New Roman" w:hAnsi="Times New Roman" w:cs="Times New Roman"/>
          <w:color w:val="auto"/>
        </w:rPr>
      </w:pPr>
      <w:r>
        <w:rPr>
          <w:rFonts w:ascii="Times New Roman" w:hAnsi="Times New Roman" w:cs="Times New Roman"/>
          <w:color w:val="auto"/>
        </w:rPr>
        <w:t>（8）《关于切实加强风险防范严格环境影响评价管理的通知》（环办〔2012〕98号）；</w:t>
      </w:r>
    </w:p>
    <w:p>
      <w:pPr>
        <w:spacing w:line="520" w:lineRule="exact"/>
        <w:rPr>
          <w:rFonts w:ascii="Times New Roman" w:hAnsi="Times New Roman" w:cs="Times New Roman"/>
          <w:color w:val="auto"/>
          <w:highlight w:val="yellow"/>
        </w:rPr>
      </w:pPr>
      <w:r>
        <w:rPr>
          <w:rFonts w:ascii="Times New Roman" w:hAnsi="Times New Roman" w:cs="Times New Roman"/>
          <w:color w:val="auto"/>
        </w:rPr>
        <w:t>（9）《医疗卫生机构医疗废物管理办法》，（卫生部〔2003〕第36号）；</w:t>
      </w:r>
    </w:p>
    <w:p>
      <w:pPr>
        <w:spacing w:line="520" w:lineRule="exact"/>
        <w:rPr>
          <w:rFonts w:ascii="Times New Roman" w:hAnsi="Times New Roman" w:cs="Times New Roman"/>
          <w:color w:val="auto"/>
          <w:highlight w:val="yellow"/>
        </w:rPr>
      </w:pPr>
      <w:r>
        <w:rPr>
          <w:rFonts w:ascii="Times New Roman" w:hAnsi="Times New Roman" w:cs="Times New Roman"/>
          <w:color w:val="auto"/>
        </w:rPr>
        <w:t>（10）《医疗废物管理条例》，（国务院〔2003〕第380号）2011.1.8（修订）；</w:t>
      </w:r>
    </w:p>
    <w:p>
      <w:pPr>
        <w:spacing w:line="520" w:lineRule="exact"/>
        <w:rPr>
          <w:rFonts w:ascii="Times New Roman" w:hAnsi="Times New Roman" w:cs="Times New Roman"/>
          <w:color w:val="auto"/>
        </w:rPr>
      </w:pPr>
      <w:r>
        <w:rPr>
          <w:rFonts w:ascii="Times New Roman" w:hAnsi="Times New Roman" w:cs="Times New Roman"/>
          <w:color w:val="auto"/>
        </w:rPr>
        <w:t>（11）《医疗废物分类目录》，（卫生部卫医发〔2003〕287号）；</w:t>
      </w:r>
    </w:p>
    <w:p>
      <w:pPr>
        <w:spacing w:line="520" w:lineRule="exact"/>
        <w:rPr>
          <w:rFonts w:ascii="Times New Roman" w:hAnsi="Times New Roman" w:cs="Times New Roman"/>
          <w:color w:val="auto"/>
        </w:rPr>
      </w:pPr>
      <w:r>
        <w:rPr>
          <w:rFonts w:ascii="Times New Roman" w:hAnsi="Times New Roman" w:cs="Times New Roman"/>
          <w:color w:val="auto"/>
        </w:rPr>
        <w:t>（12）《医疗废物专用包装物、容器和警示标志标准》（2008年4月1日）；</w:t>
      </w:r>
    </w:p>
    <w:p>
      <w:pPr>
        <w:spacing w:line="520" w:lineRule="exact"/>
        <w:rPr>
          <w:rFonts w:ascii="Times New Roman" w:hAnsi="Times New Roman" w:cs="Times New Roman"/>
          <w:color w:val="auto"/>
        </w:rPr>
      </w:pPr>
      <w:bookmarkStart w:id="23" w:name="_Toc209"/>
      <w:r>
        <w:rPr>
          <w:rFonts w:ascii="Times New Roman" w:hAnsi="Times New Roman" w:cs="Times New Roman"/>
          <w:color w:val="auto"/>
        </w:rPr>
        <w:t>（13）《医疗机构水污染物排放标准》（2006年1月1日）；</w:t>
      </w:r>
    </w:p>
    <w:p>
      <w:pPr>
        <w:spacing w:line="520" w:lineRule="exact"/>
        <w:rPr>
          <w:rFonts w:ascii="Times New Roman" w:hAnsi="Times New Roman" w:cs="Times New Roman"/>
          <w:color w:val="auto"/>
        </w:rPr>
      </w:pPr>
      <w:r>
        <w:rPr>
          <w:rFonts w:ascii="Times New Roman" w:hAnsi="Times New Roman" w:cs="Times New Roman"/>
          <w:color w:val="auto"/>
        </w:rPr>
        <w:t>（14））《危险废物污染防治技术政策》，（国家环保总局，环发〔2001〕199号）；</w:t>
      </w:r>
    </w:p>
    <w:p>
      <w:pPr>
        <w:spacing w:line="520" w:lineRule="exact"/>
        <w:rPr>
          <w:rFonts w:hint="eastAsia" w:ascii="Times New Roman" w:hAnsi="Times New Roman" w:eastAsia="宋体" w:cs="Times New Roman"/>
          <w:color w:val="auto"/>
          <w:lang w:eastAsia="zh-CN"/>
        </w:rPr>
      </w:pPr>
      <w:r>
        <w:rPr>
          <w:rFonts w:ascii="Times New Roman" w:hAnsi="Times New Roman" w:cs="Times New Roman"/>
          <w:color w:val="auto"/>
        </w:rPr>
        <w:t>（15）《医院污水处理技术指南》（2003年12月10日）</w:t>
      </w:r>
      <w:r>
        <w:rPr>
          <w:rFonts w:hint="eastAsia" w:ascii="Times New Roman" w:hAnsi="Times New Roman" w:cs="Times New Roman"/>
          <w:color w:val="auto"/>
          <w:lang w:eastAsia="zh-CN"/>
        </w:rPr>
        <w:t>。</w:t>
      </w:r>
    </w:p>
    <w:p>
      <w:pPr>
        <w:pStyle w:val="9"/>
        <w:spacing w:line="413" w:lineRule="auto"/>
        <w:rPr>
          <w:rFonts w:ascii="Times New Roman" w:hAnsi="Times New Roman" w:cs="Times New Roman"/>
          <w:color w:val="auto"/>
        </w:rPr>
      </w:pPr>
      <w:r>
        <w:rPr>
          <w:rFonts w:ascii="Times New Roman" w:hAnsi="Times New Roman" w:cs="Times New Roman"/>
          <w:color w:val="auto"/>
        </w:rPr>
        <w:t>2.1.</w:t>
      </w:r>
      <w:r>
        <w:rPr>
          <w:rFonts w:hint="eastAsia" w:ascii="Times New Roman" w:hAnsi="Times New Roman" w:cs="Times New Roman"/>
          <w:color w:val="auto"/>
          <w:lang w:val="en-US" w:eastAsia="zh-CN"/>
        </w:rPr>
        <w:t>3</w:t>
      </w:r>
      <w:r>
        <w:rPr>
          <w:rFonts w:ascii="Times New Roman" w:hAnsi="Times New Roman" w:cs="Times New Roman"/>
          <w:color w:val="auto"/>
        </w:rPr>
        <w:t xml:space="preserve"> </w:t>
      </w:r>
      <w:r>
        <w:rPr>
          <w:rFonts w:hint="eastAsia" w:ascii="Times New Roman" w:hAnsi="Times New Roman" w:cs="Times New Roman"/>
          <w:color w:val="auto"/>
        </w:rPr>
        <w:t>地方法规及政策文件</w:t>
      </w:r>
    </w:p>
    <w:p>
      <w:pPr>
        <w:spacing w:line="520" w:lineRule="exact"/>
        <w:rPr>
          <w:rFonts w:ascii="Times New Roman" w:hAnsi="Times New Roman" w:cs="Times New Roman"/>
          <w:color w:val="auto"/>
        </w:rPr>
      </w:pPr>
      <w:r>
        <w:rPr>
          <w:rFonts w:ascii="Times New Roman" w:hAnsi="Times New Roman" w:cs="Times New Roman"/>
          <w:color w:val="auto"/>
        </w:rPr>
        <w:t>（1）《新疆维吾尔自治区环境保护条例》（2018年9月21日修正）；</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2）《新疆维吾尔自治区危险废物污染环境防治办法》（新疆维吾尔自治区人民政府令第163号公布，自2010年5月1日起施行）；</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（3）《关于进一步加强我区危险废物和医疗废物监督管理工作的意见》（新政办发〔2014〕38号）；</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（4）《进一步加强危险废物和医疗废物监督管理工作实施方案》；</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（5）《自治区打赢蓝天保卫战三年行动计划》，（新政发〔2018〕66号，2018年9月）；</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（6）《关于印发新疆维吾尔自治区水污染防治工作方案的通知》（新疆维吾尔自治区人民政府，新政发〔2016〕21号）；</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（7）《新疆维吾尔自治区土壤污染防治工作方案》（新疆维吾尔自治区人民政府，新政发〔2017〕25号）；</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（8）《新疆—关于全面加强生态环境保护坚决打好污染防治攻坚战实施方案》（2018年9月21日）；</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（9）《关于印发&lt;新疆维吾尔自治区环境保护“十三五”规划&gt;的通知》（新环发〔2017〕124号，2017年6月22日）；</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（10）《新疆维吾尔自治区重点行业环境准入条件（修订）》（2017年1月）；</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（11）《自治区危险废物等安全专项整治三年行动实施方案》；</w:t>
      </w:r>
    </w:p>
    <w:p>
      <w:pPr>
        <w:spacing w:line="520" w:lineRule="exact"/>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（12）《新疆维吾尔自治区“三线一单”生态环境分区管控方案》（新政发〔2021〕18号）。</w:t>
      </w:r>
    </w:p>
    <w:p>
      <w:pPr>
        <w:pStyle w:val="9"/>
        <w:spacing w:line="413" w:lineRule="auto"/>
        <w:rPr>
          <w:rFonts w:ascii="Times New Roman" w:hAnsi="Times New Roman" w:cs="Times New Roman"/>
          <w:color w:val="auto"/>
        </w:rPr>
      </w:pPr>
      <w:r>
        <w:rPr>
          <w:rFonts w:ascii="Times New Roman" w:hAnsi="Times New Roman" w:cs="Times New Roman"/>
          <w:color w:val="auto"/>
        </w:rPr>
        <w:t>2.1.</w:t>
      </w:r>
      <w:r>
        <w:rPr>
          <w:rFonts w:hint="eastAsia" w:ascii="Times New Roman" w:hAnsi="Times New Roman" w:cs="Times New Roman"/>
          <w:color w:val="auto"/>
          <w:lang w:val="en-US" w:eastAsia="zh-CN"/>
        </w:rPr>
        <w:t>4</w:t>
      </w:r>
      <w:r>
        <w:rPr>
          <w:rFonts w:ascii="Times New Roman" w:hAnsi="Times New Roman" w:cs="Times New Roman"/>
          <w:color w:val="auto"/>
        </w:rPr>
        <w:t xml:space="preserve"> 技术导则与规范</w:t>
      </w:r>
      <w:bookmarkEnd w:id="23"/>
    </w:p>
    <w:p>
      <w:pPr>
        <w:spacing w:line="520" w:lineRule="exact"/>
        <w:rPr>
          <w:rFonts w:ascii="Times New Roman" w:hAnsi="Times New Roman" w:cs="Times New Roman"/>
          <w:color w:val="auto"/>
        </w:rPr>
      </w:pPr>
      <w:r>
        <w:rPr>
          <w:rFonts w:ascii="Times New Roman" w:hAnsi="Times New Roman" w:cs="Times New Roman"/>
          <w:color w:val="auto"/>
        </w:rPr>
        <w:t>（1）《建设项目环境影响评价技术导则·总纲》（HJ2.1-2016）；</w:t>
      </w:r>
    </w:p>
    <w:p>
      <w:pPr>
        <w:spacing w:line="520" w:lineRule="exact"/>
        <w:rPr>
          <w:rFonts w:ascii="Times New Roman" w:hAnsi="Times New Roman" w:cs="Times New Roman"/>
          <w:color w:val="auto"/>
        </w:rPr>
      </w:pPr>
      <w:r>
        <w:rPr>
          <w:rFonts w:ascii="Times New Roman" w:hAnsi="Times New Roman" w:cs="Times New Roman"/>
          <w:color w:val="auto"/>
        </w:rPr>
        <w:t>（2）《环境影响评价技术导则·大气环境》（HJ2.2-2018）；</w:t>
      </w:r>
    </w:p>
    <w:p>
      <w:pPr>
        <w:spacing w:line="520" w:lineRule="exact"/>
        <w:rPr>
          <w:rFonts w:ascii="Times New Roman" w:hAnsi="Times New Roman" w:cs="Times New Roman"/>
          <w:color w:val="auto"/>
        </w:rPr>
      </w:pPr>
      <w:r>
        <w:rPr>
          <w:rFonts w:ascii="Times New Roman" w:hAnsi="Times New Roman" w:cs="Times New Roman"/>
          <w:color w:val="auto"/>
        </w:rPr>
        <w:t>（3）《环境影响评价技术导则·地表水环境》（HJ2.3-2018）；</w:t>
      </w:r>
    </w:p>
    <w:p>
      <w:pPr>
        <w:spacing w:line="520" w:lineRule="exact"/>
        <w:rPr>
          <w:rFonts w:ascii="Times New Roman" w:hAnsi="Times New Roman" w:cs="Times New Roman"/>
          <w:color w:val="auto"/>
        </w:rPr>
      </w:pPr>
      <w:r>
        <w:rPr>
          <w:rFonts w:ascii="Times New Roman" w:hAnsi="Times New Roman" w:cs="Times New Roman"/>
          <w:color w:val="auto"/>
        </w:rPr>
        <w:t>（4）《环境影响评价技术导则·地下水环境》（HJ610-2016）；</w:t>
      </w:r>
    </w:p>
    <w:p>
      <w:pPr>
        <w:spacing w:line="520" w:lineRule="exact"/>
        <w:rPr>
          <w:rFonts w:ascii="Times New Roman" w:hAnsi="Times New Roman" w:cs="Times New Roman"/>
          <w:color w:val="auto"/>
        </w:rPr>
      </w:pPr>
      <w:r>
        <w:rPr>
          <w:rFonts w:ascii="Times New Roman" w:hAnsi="Times New Roman" w:cs="Times New Roman"/>
          <w:color w:val="auto"/>
        </w:rPr>
        <w:t>（5）《环境影响评价技术导则·声环境》（HJ2.4-2009）；</w:t>
      </w:r>
    </w:p>
    <w:p>
      <w:pPr>
        <w:spacing w:line="520" w:lineRule="exact"/>
        <w:rPr>
          <w:rFonts w:ascii="Times New Roman" w:hAnsi="Times New Roman" w:cs="Times New Roman"/>
          <w:color w:val="auto"/>
        </w:rPr>
      </w:pPr>
      <w:r>
        <w:rPr>
          <w:rFonts w:ascii="Times New Roman" w:hAnsi="Times New Roman" w:cs="Times New Roman"/>
          <w:color w:val="auto"/>
        </w:rPr>
        <w:t>（6）《环境影响评价技术导则·生态影响》（HJ19-2011）；</w:t>
      </w:r>
    </w:p>
    <w:p>
      <w:pPr>
        <w:spacing w:line="520" w:lineRule="exact"/>
        <w:rPr>
          <w:rFonts w:ascii="Times New Roman" w:hAnsi="Times New Roman" w:cs="Times New Roman"/>
          <w:color w:val="auto"/>
        </w:rPr>
      </w:pPr>
      <w:r>
        <w:rPr>
          <w:rFonts w:ascii="Times New Roman" w:hAnsi="Times New Roman" w:cs="Times New Roman"/>
          <w:color w:val="auto"/>
        </w:rPr>
        <w:t>（7）《建设项目环境风险评价技术导则》（HJ/T169-2018）；</w:t>
      </w:r>
    </w:p>
    <w:p>
      <w:pPr>
        <w:spacing w:line="520" w:lineRule="exact"/>
        <w:rPr>
          <w:rFonts w:ascii="Times New Roman" w:hAnsi="Times New Roman" w:cs="Times New Roman"/>
          <w:color w:val="auto"/>
        </w:rPr>
      </w:pPr>
      <w:r>
        <w:rPr>
          <w:rFonts w:ascii="Times New Roman" w:hAnsi="Times New Roman" w:cs="Times New Roman"/>
          <w:color w:val="auto"/>
        </w:rPr>
        <w:t>（8）《危险废物收集贮存运输技术规范》（HJ2025-2012）；</w:t>
      </w:r>
    </w:p>
    <w:p>
      <w:pPr>
        <w:spacing w:line="520" w:lineRule="exact"/>
        <w:rPr>
          <w:rFonts w:ascii="Times New Roman" w:hAnsi="Times New Roman" w:cs="Times New Roman"/>
          <w:color w:val="auto"/>
        </w:rPr>
      </w:pPr>
      <w:r>
        <w:rPr>
          <w:rFonts w:ascii="Times New Roman" w:hAnsi="Times New Roman" w:cs="Times New Roman"/>
          <w:color w:val="auto"/>
        </w:rPr>
        <w:t>（9）《医疗机构水污染物排放标准》（GB18466-2005）；</w:t>
      </w:r>
    </w:p>
    <w:p>
      <w:pPr>
        <w:spacing w:line="520" w:lineRule="exact"/>
        <w:rPr>
          <w:rFonts w:ascii="Times New Roman" w:hAnsi="Times New Roman" w:cs="Times New Roman"/>
          <w:color w:val="auto"/>
        </w:rPr>
      </w:pPr>
      <w:bookmarkStart w:id="24" w:name="_Toc6662"/>
      <w:r>
        <w:rPr>
          <w:rFonts w:ascii="Times New Roman" w:hAnsi="Times New Roman" w:cs="Times New Roman"/>
          <w:color w:val="auto"/>
        </w:rPr>
        <w:t>（10）《医疗污水处理工程技术规范》（HJ2029－2013）；</w:t>
      </w:r>
    </w:p>
    <w:p>
      <w:pPr>
        <w:pStyle w:val="9"/>
        <w:spacing w:line="413" w:lineRule="auto"/>
        <w:rPr>
          <w:rFonts w:ascii="Times New Roman" w:hAnsi="Times New Roman" w:cs="Times New Roman"/>
          <w:color w:val="auto"/>
        </w:rPr>
      </w:pPr>
      <w:r>
        <w:rPr>
          <w:rFonts w:ascii="Times New Roman" w:hAnsi="Times New Roman" w:cs="Times New Roman"/>
          <w:color w:val="auto"/>
        </w:rPr>
        <w:t>2.1.</w:t>
      </w:r>
      <w:r>
        <w:rPr>
          <w:rFonts w:hint="eastAsia" w:ascii="Times New Roman" w:hAnsi="Times New Roman" w:cs="Times New Roman"/>
          <w:color w:val="auto"/>
          <w:lang w:val="en-US" w:eastAsia="zh-CN"/>
        </w:rPr>
        <w:t>5</w:t>
      </w:r>
      <w:r>
        <w:rPr>
          <w:rFonts w:ascii="Times New Roman" w:hAnsi="Times New Roman" w:cs="Times New Roman"/>
          <w:color w:val="auto"/>
        </w:rPr>
        <w:t xml:space="preserve"> 项目相关资料</w:t>
      </w:r>
      <w:bookmarkEnd w:id="24"/>
    </w:p>
    <w:p>
      <w:pPr>
        <w:spacing w:line="520" w:lineRule="exact"/>
        <w:rPr>
          <w:rFonts w:ascii="Times New Roman" w:hAnsi="Times New Roman" w:cs="Times New Roman"/>
          <w:color w:val="auto"/>
        </w:rPr>
      </w:pPr>
      <w:r>
        <w:rPr>
          <w:rFonts w:ascii="Times New Roman" w:hAnsi="Times New Roman" w:cs="Times New Roman"/>
          <w:color w:val="auto"/>
        </w:rPr>
        <w:t>（1）《吉木萨尔县城总体规划》；</w:t>
      </w:r>
    </w:p>
    <w:p>
      <w:pPr>
        <w:spacing w:line="520" w:lineRule="exact"/>
        <w:rPr>
          <w:rFonts w:ascii="Times New Roman" w:hAnsi="Times New Roman" w:cs="Times New Roman"/>
          <w:color w:val="auto"/>
        </w:rPr>
      </w:pPr>
      <w:r>
        <w:rPr>
          <w:rFonts w:ascii="Times New Roman" w:hAnsi="Times New Roman" w:cs="Times New Roman"/>
          <w:color w:val="auto"/>
        </w:rPr>
        <w:t>（2）项目环评委托书；</w:t>
      </w:r>
    </w:p>
    <w:p>
      <w:pPr>
        <w:spacing w:line="520" w:lineRule="exact"/>
        <w:rPr>
          <w:rFonts w:ascii="Times New Roman" w:hAnsi="Times New Roman" w:cs="Times New Roman"/>
          <w:color w:val="auto"/>
        </w:rPr>
      </w:pPr>
      <w:r>
        <w:rPr>
          <w:rFonts w:ascii="Times New Roman" w:hAnsi="Times New Roman" w:cs="Times New Roman"/>
          <w:color w:val="auto"/>
        </w:rPr>
        <w:t>（3）《关于吉木萨尔县人民医院新院区建设项目可行性研究报告的批复》（吉县发改综合〔2020〕133号）；</w:t>
      </w:r>
    </w:p>
    <w:p>
      <w:pPr>
        <w:pStyle w:val="8"/>
        <w:keepLines w:val="0"/>
        <w:jc w:val="left"/>
        <w:rPr>
          <w:rFonts w:ascii="Times New Roman" w:hAnsi="Times New Roman" w:cs="Times New Roman"/>
          <w:color w:val="auto"/>
          <w:kern w:val="0"/>
          <w:szCs w:val="30"/>
        </w:rPr>
      </w:pPr>
      <w:bookmarkStart w:id="25" w:name="_Toc4931"/>
      <w:bookmarkStart w:id="26" w:name="_Toc3990"/>
      <w:r>
        <w:rPr>
          <w:rFonts w:ascii="Times New Roman" w:hAnsi="Times New Roman" w:cs="Times New Roman"/>
          <w:color w:val="auto"/>
          <w:kern w:val="0"/>
          <w:szCs w:val="30"/>
        </w:rPr>
        <w:t>2.2 评价目的与导则</w:t>
      </w:r>
      <w:bookmarkEnd w:id="25"/>
      <w:bookmarkEnd w:id="26"/>
    </w:p>
    <w:p>
      <w:pPr>
        <w:pStyle w:val="9"/>
        <w:spacing w:line="413" w:lineRule="auto"/>
        <w:rPr>
          <w:rFonts w:ascii="Times New Roman" w:hAnsi="Times New Roman" w:cs="Times New Roman"/>
          <w:color w:val="auto"/>
        </w:rPr>
      </w:pPr>
      <w:bookmarkStart w:id="27" w:name="_Toc17741"/>
      <w:r>
        <w:rPr>
          <w:rFonts w:ascii="Times New Roman" w:hAnsi="Times New Roman" w:cs="Times New Roman"/>
          <w:color w:val="auto"/>
        </w:rPr>
        <w:t>2.2.1 评价目的</w:t>
      </w:r>
      <w:bookmarkEnd w:id="27"/>
    </w:p>
    <w:p>
      <w:pPr>
        <w:spacing w:line="520" w:lineRule="exact"/>
        <w:rPr>
          <w:rFonts w:ascii="Times New Roman" w:hAnsi="Times New Roman" w:cs="Times New Roman"/>
          <w:color w:val="auto"/>
        </w:rPr>
      </w:pPr>
      <w:r>
        <w:rPr>
          <w:rFonts w:ascii="Times New Roman" w:hAnsi="Times New Roman" w:cs="Times New Roman"/>
          <w:color w:val="auto"/>
        </w:rPr>
        <w:t>本次评价的目的是通过对本项目所在地区的空气环境、水环境、声环境、生态环境等现状进行调查和监测，了解该地区目前的环境质量状况；根据环境影响评价技术导则中的预测模式，预测项目建成后对环境可能产生的影响程度和范围，提出把不利影响减缓到合理可行的最低程度而必须采取的污染防治措施；从环境保护的角度给出该工程可行性的结论，并提出合理有效的污染防治对策，为环境保护行政主管部门对建设项目的监督管理和本项目环保设施的设计提供科学依据。</w:t>
      </w:r>
    </w:p>
    <w:p>
      <w:pPr>
        <w:pStyle w:val="9"/>
        <w:spacing w:line="413" w:lineRule="auto"/>
        <w:rPr>
          <w:rFonts w:ascii="Times New Roman" w:hAnsi="Times New Roman" w:cs="Times New Roman"/>
          <w:color w:val="auto"/>
        </w:rPr>
      </w:pPr>
      <w:bookmarkStart w:id="28" w:name="_Toc4900"/>
      <w:r>
        <w:rPr>
          <w:rFonts w:ascii="Times New Roman" w:hAnsi="Times New Roman" w:cs="Times New Roman"/>
          <w:color w:val="auto"/>
        </w:rPr>
        <w:t>2.2.2 评价原则</w:t>
      </w:r>
      <w:bookmarkEnd w:id="28"/>
    </w:p>
    <w:p>
      <w:pPr>
        <w:spacing w:line="520" w:lineRule="exact"/>
        <w:rPr>
          <w:rFonts w:ascii="Times New Roman" w:hAnsi="Times New Roman" w:cs="Times New Roman"/>
          <w:color w:val="auto"/>
        </w:rPr>
      </w:pPr>
      <w:r>
        <w:rPr>
          <w:rFonts w:ascii="Times New Roman" w:hAnsi="Times New Roman" w:cs="Times New Roman"/>
          <w:color w:val="auto"/>
        </w:rPr>
        <w:t>突出环境影响评价的源头预防作用，坚持保护和改善环境质量。</w:t>
      </w:r>
    </w:p>
    <w:p>
      <w:pPr>
        <w:spacing w:line="520" w:lineRule="exact"/>
        <w:rPr>
          <w:rFonts w:ascii="Times New Roman" w:hAnsi="Times New Roman" w:cs="Times New Roman"/>
          <w:color w:val="auto"/>
        </w:rPr>
      </w:pPr>
      <w:r>
        <w:rPr>
          <w:rFonts w:ascii="Times New Roman" w:hAnsi="Times New Roman" w:cs="Times New Roman"/>
          <w:color w:val="auto"/>
        </w:rPr>
        <w:t>（1）依法评价</w:t>
      </w:r>
    </w:p>
    <w:p>
      <w:pPr>
        <w:spacing w:line="520" w:lineRule="exact"/>
        <w:rPr>
          <w:rFonts w:ascii="Times New Roman" w:hAnsi="Times New Roman" w:cs="Times New Roman"/>
          <w:color w:val="auto"/>
        </w:rPr>
      </w:pPr>
      <w:r>
        <w:rPr>
          <w:rFonts w:ascii="Times New Roman" w:hAnsi="Times New Roman" w:cs="Times New Roman"/>
          <w:color w:val="auto"/>
        </w:rPr>
        <w:t>贯彻执行我国环境保护相关法律法规、标准、政策和规划等，优化项目建设，服务环境管理。</w:t>
      </w:r>
    </w:p>
    <w:p>
      <w:pPr>
        <w:spacing w:line="520" w:lineRule="exact"/>
        <w:rPr>
          <w:rFonts w:ascii="Times New Roman" w:hAnsi="Times New Roman" w:cs="Times New Roman"/>
          <w:color w:val="auto"/>
        </w:rPr>
      </w:pPr>
      <w:r>
        <w:rPr>
          <w:rFonts w:ascii="Times New Roman" w:hAnsi="Times New Roman" w:cs="Times New Roman"/>
          <w:color w:val="auto"/>
        </w:rPr>
        <w:t>（2）科学评价</w:t>
      </w:r>
    </w:p>
    <w:p>
      <w:pPr>
        <w:spacing w:line="520" w:lineRule="exact"/>
        <w:rPr>
          <w:rFonts w:ascii="Times New Roman" w:hAnsi="Times New Roman" w:cs="Times New Roman"/>
          <w:color w:val="auto"/>
        </w:rPr>
      </w:pPr>
      <w:r>
        <w:rPr>
          <w:rFonts w:ascii="Times New Roman" w:hAnsi="Times New Roman" w:cs="Times New Roman"/>
          <w:color w:val="auto"/>
        </w:rPr>
        <w:t>规范环境影响评价方法，科学分析项目建设对环境质量的影响。</w:t>
      </w:r>
    </w:p>
    <w:p>
      <w:pPr>
        <w:spacing w:line="520" w:lineRule="exact"/>
        <w:rPr>
          <w:rFonts w:ascii="Times New Roman" w:hAnsi="Times New Roman" w:cs="Times New Roman"/>
          <w:color w:val="auto"/>
        </w:rPr>
      </w:pPr>
      <w:r>
        <w:rPr>
          <w:rFonts w:ascii="Times New Roman" w:hAnsi="Times New Roman" w:cs="Times New Roman"/>
          <w:color w:val="auto"/>
        </w:rPr>
        <w:t>（3）突出重点</w:t>
      </w:r>
    </w:p>
    <w:p>
      <w:pPr>
        <w:spacing w:line="520" w:lineRule="exact"/>
        <w:rPr>
          <w:rFonts w:ascii="Times New Roman" w:hAnsi="Times New Roman" w:cs="Times New Roman"/>
          <w:color w:val="auto"/>
        </w:rPr>
      </w:pPr>
      <w:r>
        <w:rPr>
          <w:rFonts w:ascii="Times New Roman" w:hAnsi="Times New Roman" w:cs="Times New Roman"/>
          <w:color w:val="auto"/>
        </w:rPr>
        <w:t>根据建设项目的工程内容及其特点，明确与环境要素间的作用效应关系，根据规划环境影响评价结论和审查意见，充分利用符合时效的数据资料及成果，对建设项目主要环境予以重点分析和评价。</w:t>
      </w:r>
    </w:p>
    <w:p>
      <w:pPr>
        <w:pStyle w:val="8"/>
        <w:keepLines w:val="0"/>
        <w:jc w:val="left"/>
        <w:rPr>
          <w:rFonts w:ascii="Times New Roman" w:hAnsi="Times New Roman" w:cs="Times New Roman"/>
          <w:color w:val="auto"/>
          <w:kern w:val="0"/>
          <w:szCs w:val="30"/>
        </w:rPr>
      </w:pPr>
      <w:bookmarkStart w:id="29" w:name="_Toc5412"/>
      <w:bookmarkStart w:id="30" w:name="_Toc1565"/>
      <w:r>
        <w:rPr>
          <w:rFonts w:ascii="Times New Roman" w:hAnsi="Times New Roman" w:cs="Times New Roman"/>
          <w:color w:val="auto"/>
          <w:kern w:val="0"/>
          <w:szCs w:val="30"/>
        </w:rPr>
        <w:t xml:space="preserve">2.3 </w:t>
      </w:r>
      <w:r>
        <w:rPr>
          <w:rFonts w:ascii="Times New Roman" w:hAnsi="Times New Roman" w:cs="Times New Roman"/>
          <w:color w:val="auto"/>
        </w:rPr>
        <w:t>工程环境影响因素分析</w:t>
      </w:r>
      <w:bookmarkEnd w:id="29"/>
      <w:bookmarkEnd w:id="30"/>
    </w:p>
    <w:p>
      <w:pPr>
        <w:spacing w:line="520" w:lineRule="exact"/>
        <w:rPr>
          <w:rFonts w:ascii="Times New Roman" w:hAnsi="Times New Roman" w:cs="Times New Roman"/>
          <w:color w:val="auto"/>
        </w:rPr>
      </w:pPr>
      <w:r>
        <w:rPr>
          <w:rFonts w:ascii="Times New Roman" w:hAnsi="Times New Roman" w:cs="Times New Roman"/>
          <w:color w:val="auto"/>
        </w:rPr>
        <w:t>综合考虑项目的性质、工程特点、实施阶段（施工期、运营期）及其所处区域的环境特征，识别出可能对自然环境、社会环境和生活质量产生影响的因子，并确定其影响性质时间、范围和影响程度等，为筛选评价因子及确定评价重点提供依据。本项目环境影响因素详见表</w:t>
      </w:r>
      <w:r>
        <w:rPr>
          <w:rFonts w:hint="eastAsia" w:ascii="Times New Roman" w:hAnsi="Times New Roman" w:cs="Times New Roman"/>
          <w:color w:val="auto"/>
        </w:rPr>
        <w:t>2.3</w:t>
      </w:r>
      <w:r>
        <w:rPr>
          <w:rFonts w:ascii="Times New Roman" w:hAnsi="Times New Roman" w:cs="Times New Roman"/>
          <w:color w:val="auto"/>
        </w:rPr>
        <w:t>-1。</w:t>
      </w:r>
    </w:p>
    <w:p>
      <w:pPr>
        <w:pStyle w:val="35"/>
        <w:spacing w:before="0" w:after="0" w:line="520" w:lineRule="exact"/>
        <w:rPr>
          <w:rFonts w:cs="Times New Roman"/>
          <w:color w:val="auto"/>
        </w:rPr>
      </w:pPr>
      <w:r>
        <w:rPr>
          <w:rFonts w:cs="Times New Roman"/>
          <w:color w:val="auto"/>
        </w:rPr>
        <w:t>表</w:t>
      </w:r>
      <w:r>
        <w:rPr>
          <w:rFonts w:hint="eastAsia" w:cs="Times New Roman"/>
          <w:color w:val="auto"/>
        </w:rPr>
        <w:t>2.3</w:t>
      </w:r>
      <w:r>
        <w:rPr>
          <w:rFonts w:cs="Times New Roman"/>
          <w:color w:val="auto"/>
        </w:rPr>
        <w:t>-1   项目环境影响因素统计表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20"/>
        <w:gridCol w:w="777"/>
        <w:gridCol w:w="520"/>
        <w:gridCol w:w="547"/>
        <w:gridCol w:w="659"/>
        <w:gridCol w:w="561"/>
        <w:gridCol w:w="653"/>
        <w:gridCol w:w="683"/>
        <w:gridCol w:w="722"/>
        <w:gridCol w:w="709"/>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pct"/>
            <w:gridSpan w:val="2"/>
            <w:vMerge w:val="restar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环境要素开发活动</w:t>
            </w:r>
          </w:p>
        </w:tc>
        <w:tc>
          <w:tcPr>
            <w:tcW w:w="1469" w:type="pct"/>
            <w:gridSpan w:val="4"/>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自然环境</w:t>
            </w:r>
          </w:p>
        </w:tc>
        <w:tc>
          <w:tcPr>
            <w:tcW w:w="1113" w:type="pct"/>
            <w:gridSpan w:val="3"/>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生态环境</w:t>
            </w:r>
          </w:p>
        </w:tc>
        <w:tc>
          <w:tcPr>
            <w:tcW w:w="1294" w:type="pct"/>
            <w:gridSpan w:val="3"/>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社会经济环境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2" w:type="pct"/>
            <w:gridSpan w:val="2"/>
            <w:vMerge w:val="continue"/>
            <w:vAlign w:val="center"/>
          </w:tcPr>
          <w:p>
            <w:pPr>
              <w:pStyle w:val="36"/>
              <w:rPr>
                <w:rFonts w:ascii="Times New Roman" w:hAnsi="Times New Roman" w:cs="Times New Roman"/>
                <w:b/>
                <w:bCs/>
                <w:color w:val="auto"/>
                <w:szCs w:val="21"/>
              </w:rPr>
            </w:pPr>
          </w:p>
        </w:tc>
        <w:tc>
          <w:tcPr>
            <w:tcW w:w="456"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环境空气</w:t>
            </w:r>
          </w:p>
        </w:tc>
        <w:tc>
          <w:tcPr>
            <w:tcW w:w="305"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水环境</w:t>
            </w:r>
          </w:p>
        </w:tc>
        <w:tc>
          <w:tcPr>
            <w:tcW w:w="321"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声环境</w:t>
            </w:r>
          </w:p>
        </w:tc>
        <w:tc>
          <w:tcPr>
            <w:tcW w:w="386"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固体废物</w:t>
            </w:r>
          </w:p>
        </w:tc>
        <w:tc>
          <w:tcPr>
            <w:tcW w:w="329"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植被</w:t>
            </w:r>
          </w:p>
        </w:tc>
        <w:tc>
          <w:tcPr>
            <w:tcW w:w="383"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城市景观</w:t>
            </w:r>
          </w:p>
        </w:tc>
        <w:tc>
          <w:tcPr>
            <w:tcW w:w="400"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水土流失</w:t>
            </w:r>
          </w:p>
        </w:tc>
        <w:tc>
          <w:tcPr>
            <w:tcW w:w="424"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就医机会</w:t>
            </w:r>
          </w:p>
        </w:tc>
        <w:tc>
          <w:tcPr>
            <w:tcW w:w="416"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就业机会</w:t>
            </w:r>
          </w:p>
        </w:tc>
        <w:tc>
          <w:tcPr>
            <w:tcW w:w="454"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人均收入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施工期</w:t>
            </w:r>
          </w:p>
        </w:tc>
        <w:tc>
          <w:tcPr>
            <w:tcW w:w="71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土建工程</w:t>
            </w:r>
          </w:p>
        </w:tc>
        <w:tc>
          <w:tcPr>
            <w:tcW w:w="45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c>
          <w:tcPr>
            <w:tcW w:w="305" w:type="pct"/>
            <w:vAlign w:val="center"/>
          </w:tcPr>
          <w:p>
            <w:pPr>
              <w:pStyle w:val="36"/>
              <w:rPr>
                <w:rFonts w:ascii="Times New Roman" w:hAnsi="Times New Roman" w:cs="Times New Roman"/>
                <w:color w:val="auto"/>
                <w:szCs w:val="21"/>
              </w:rPr>
            </w:pPr>
          </w:p>
        </w:tc>
        <w:tc>
          <w:tcPr>
            <w:tcW w:w="32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c>
          <w:tcPr>
            <w:tcW w:w="386" w:type="pct"/>
            <w:vAlign w:val="center"/>
          </w:tcPr>
          <w:p>
            <w:pPr>
              <w:pStyle w:val="36"/>
              <w:rPr>
                <w:rFonts w:ascii="Times New Roman" w:hAnsi="Times New Roman" w:cs="Times New Roman"/>
                <w:color w:val="auto"/>
                <w:szCs w:val="21"/>
              </w:rPr>
            </w:pPr>
          </w:p>
        </w:tc>
        <w:tc>
          <w:tcPr>
            <w:tcW w:w="329" w:type="pct"/>
            <w:vAlign w:val="center"/>
          </w:tcPr>
          <w:p>
            <w:pPr>
              <w:pStyle w:val="36"/>
              <w:rPr>
                <w:rFonts w:ascii="Times New Roman" w:hAnsi="Times New Roman" w:cs="Times New Roman"/>
                <w:color w:val="auto"/>
                <w:szCs w:val="21"/>
              </w:rPr>
            </w:pPr>
          </w:p>
        </w:tc>
        <w:tc>
          <w:tcPr>
            <w:tcW w:w="383" w:type="pct"/>
            <w:vAlign w:val="center"/>
          </w:tcPr>
          <w:p>
            <w:pPr>
              <w:pStyle w:val="36"/>
              <w:rPr>
                <w:rFonts w:ascii="Times New Roman" w:hAnsi="Times New Roman" w:cs="Times New Roman"/>
                <w:color w:val="auto"/>
                <w:szCs w:val="21"/>
              </w:rPr>
            </w:pPr>
          </w:p>
        </w:tc>
        <w:tc>
          <w:tcPr>
            <w:tcW w:w="40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c>
          <w:tcPr>
            <w:tcW w:w="424" w:type="pct"/>
            <w:vAlign w:val="center"/>
          </w:tcPr>
          <w:p>
            <w:pPr>
              <w:pStyle w:val="36"/>
              <w:rPr>
                <w:rFonts w:ascii="Times New Roman" w:hAnsi="Times New Roman" w:cs="Times New Roman"/>
                <w:color w:val="auto"/>
                <w:szCs w:val="21"/>
              </w:rPr>
            </w:pPr>
          </w:p>
        </w:tc>
        <w:tc>
          <w:tcPr>
            <w:tcW w:w="416" w:type="pct"/>
            <w:vAlign w:val="center"/>
          </w:tcPr>
          <w:p>
            <w:pPr>
              <w:pStyle w:val="36"/>
              <w:rPr>
                <w:rFonts w:ascii="Times New Roman" w:hAnsi="Times New Roman" w:cs="Times New Roman"/>
                <w:color w:val="auto"/>
                <w:szCs w:val="21"/>
              </w:rPr>
            </w:pPr>
          </w:p>
        </w:tc>
        <w:tc>
          <w:tcPr>
            <w:tcW w:w="4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Merge w:val="continue"/>
            <w:vAlign w:val="center"/>
          </w:tcPr>
          <w:p>
            <w:pPr>
              <w:pStyle w:val="36"/>
              <w:rPr>
                <w:rFonts w:ascii="Times New Roman" w:hAnsi="Times New Roman" w:cs="Times New Roman"/>
                <w:color w:val="auto"/>
                <w:szCs w:val="21"/>
              </w:rPr>
            </w:pPr>
          </w:p>
        </w:tc>
        <w:tc>
          <w:tcPr>
            <w:tcW w:w="71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施工机械</w:t>
            </w:r>
          </w:p>
        </w:tc>
        <w:tc>
          <w:tcPr>
            <w:tcW w:w="45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c>
          <w:tcPr>
            <w:tcW w:w="305" w:type="pct"/>
            <w:vAlign w:val="center"/>
          </w:tcPr>
          <w:p>
            <w:pPr>
              <w:pStyle w:val="36"/>
              <w:rPr>
                <w:rFonts w:ascii="Times New Roman" w:hAnsi="Times New Roman" w:cs="Times New Roman"/>
                <w:color w:val="auto"/>
                <w:szCs w:val="21"/>
              </w:rPr>
            </w:pPr>
          </w:p>
        </w:tc>
        <w:tc>
          <w:tcPr>
            <w:tcW w:w="32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c>
          <w:tcPr>
            <w:tcW w:w="386" w:type="pct"/>
            <w:vAlign w:val="center"/>
          </w:tcPr>
          <w:p>
            <w:pPr>
              <w:pStyle w:val="36"/>
              <w:rPr>
                <w:rFonts w:ascii="Times New Roman" w:hAnsi="Times New Roman" w:cs="Times New Roman"/>
                <w:color w:val="auto"/>
                <w:szCs w:val="21"/>
              </w:rPr>
            </w:pPr>
          </w:p>
        </w:tc>
        <w:tc>
          <w:tcPr>
            <w:tcW w:w="32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c>
          <w:tcPr>
            <w:tcW w:w="383"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c>
          <w:tcPr>
            <w:tcW w:w="400" w:type="pct"/>
            <w:vAlign w:val="center"/>
          </w:tcPr>
          <w:p>
            <w:pPr>
              <w:pStyle w:val="36"/>
              <w:rPr>
                <w:rFonts w:ascii="Times New Roman" w:hAnsi="Times New Roman" w:cs="Times New Roman"/>
                <w:color w:val="auto"/>
                <w:szCs w:val="21"/>
              </w:rPr>
            </w:pPr>
          </w:p>
        </w:tc>
        <w:tc>
          <w:tcPr>
            <w:tcW w:w="424" w:type="pct"/>
            <w:vAlign w:val="center"/>
          </w:tcPr>
          <w:p>
            <w:pPr>
              <w:pStyle w:val="36"/>
              <w:rPr>
                <w:rFonts w:ascii="Times New Roman" w:hAnsi="Times New Roman" w:cs="Times New Roman"/>
                <w:color w:val="auto"/>
                <w:szCs w:val="21"/>
              </w:rPr>
            </w:pPr>
          </w:p>
        </w:tc>
        <w:tc>
          <w:tcPr>
            <w:tcW w:w="416" w:type="pct"/>
            <w:vAlign w:val="center"/>
          </w:tcPr>
          <w:p>
            <w:pPr>
              <w:pStyle w:val="36"/>
              <w:rPr>
                <w:rFonts w:ascii="Times New Roman" w:hAnsi="Times New Roman" w:cs="Times New Roman"/>
                <w:color w:val="auto"/>
                <w:szCs w:val="21"/>
              </w:rPr>
            </w:pPr>
          </w:p>
        </w:tc>
        <w:tc>
          <w:tcPr>
            <w:tcW w:w="4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运营期</w:t>
            </w:r>
          </w:p>
        </w:tc>
        <w:tc>
          <w:tcPr>
            <w:tcW w:w="71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生产过程</w:t>
            </w:r>
          </w:p>
        </w:tc>
        <w:tc>
          <w:tcPr>
            <w:tcW w:w="45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c>
          <w:tcPr>
            <w:tcW w:w="305"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c>
          <w:tcPr>
            <w:tcW w:w="32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c>
          <w:tcPr>
            <w:tcW w:w="38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c>
          <w:tcPr>
            <w:tcW w:w="32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c>
          <w:tcPr>
            <w:tcW w:w="383"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c>
          <w:tcPr>
            <w:tcW w:w="400" w:type="pct"/>
            <w:vAlign w:val="center"/>
          </w:tcPr>
          <w:p>
            <w:pPr>
              <w:pStyle w:val="36"/>
              <w:rPr>
                <w:rFonts w:ascii="Times New Roman" w:hAnsi="Times New Roman" w:cs="Times New Roman"/>
                <w:color w:val="auto"/>
                <w:szCs w:val="21"/>
              </w:rPr>
            </w:pPr>
          </w:p>
        </w:tc>
        <w:tc>
          <w:tcPr>
            <w:tcW w:w="42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+2L</w:t>
            </w:r>
          </w:p>
        </w:tc>
        <w:tc>
          <w:tcPr>
            <w:tcW w:w="41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c>
          <w:tcPr>
            <w:tcW w:w="4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2"/>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注：（1）“1”表示轻微影响；“2”表示中等影响；“3”表示重大影响；（2）“+”表示有利影响；“-”表示不利影响；（3）“S”表示可逆影响；“L”表示不可逆影响；</w:t>
            </w:r>
          </w:p>
        </w:tc>
      </w:tr>
    </w:tbl>
    <w:p>
      <w:pPr>
        <w:pStyle w:val="9"/>
        <w:spacing w:line="413" w:lineRule="auto"/>
        <w:rPr>
          <w:rFonts w:ascii="Times New Roman" w:hAnsi="Times New Roman" w:cs="Times New Roman"/>
          <w:color w:val="auto"/>
        </w:rPr>
      </w:pPr>
      <w:bookmarkStart w:id="31" w:name="_Toc23402"/>
      <w:r>
        <w:rPr>
          <w:rFonts w:ascii="Times New Roman" w:hAnsi="Times New Roman" w:cs="Times New Roman"/>
          <w:color w:val="auto"/>
        </w:rPr>
        <w:t>2.3.1 施工期环境影响因素分析</w:t>
      </w:r>
      <w:bookmarkEnd w:id="31"/>
    </w:p>
    <w:p>
      <w:pPr>
        <w:spacing w:line="520" w:lineRule="exact"/>
        <w:rPr>
          <w:rFonts w:ascii="Times New Roman" w:hAnsi="Times New Roman" w:cs="Times New Roman"/>
          <w:color w:val="auto"/>
        </w:rPr>
      </w:pPr>
      <w:r>
        <w:rPr>
          <w:rFonts w:ascii="Times New Roman" w:hAnsi="Times New Roman" w:cs="Times New Roman"/>
          <w:color w:val="auto"/>
        </w:rPr>
        <w:t>项目施工期的施工活动主要包括病房楼、门诊楼等修建、设备安装，辅助设施，地面硬化等。施工过程中将产生粉尘、噪声和生活污水以及建筑、生活垃圾等。根据建设方提供的资料，施工人员平均每天40人，有效施工期按照630天计算，施工期相关污染源依此进行分析。</w:t>
      </w:r>
    </w:p>
    <w:p>
      <w:pPr>
        <w:spacing w:line="520" w:lineRule="exact"/>
        <w:rPr>
          <w:rFonts w:ascii="Times New Roman" w:hAnsi="Times New Roman" w:cs="Times New Roman"/>
          <w:color w:val="auto"/>
        </w:rPr>
      </w:pPr>
      <w:r>
        <w:rPr>
          <w:rFonts w:ascii="Times New Roman" w:hAnsi="Times New Roman" w:cs="Times New Roman"/>
          <w:color w:val="auto"/>
        </w:rPr>
        <w:t>项目施工期对环境的影响很大程度上取决于工程特点、施工季节以及工程所处的地形、地貌等环境因素，经分析，施工期环境影响因素识别见表</w:t>
      </w:r>
      <w:r>
        <w:rPr>
          <w:rFonts w:hint="eastAsia" w:ascii="Times New Roman" w:hAnsi="Times New Roman" w:cs="Times New Roman"/>
          <w:color w:val="auto"/>
        </w:rPr>
        <w:t>2.3</w:t>
      </w:r>
      <w:r>
        <w:rPr>
          <w:rFonts w:ascii="Times New Roman" w:hAnsi="Times New Roman" w:cs="Times New Roman"/>
          <w:color w:val="auto"/>
        </w:rPr>
        <w:t>-2。</w:t>
      </w:r>
    </w:p>
    <w:p>
      <w:pPr>
        <w:pStyle w:val="35"/>
        <w:spacing w:before="0" w:after="0" w:line="520" w:lineRule="exact"/>
        <w:rPr>
          <w:rFonts w:cs="Times New Roman"/>
          <w:color w:val="auto"/>
        </w:rPr>
      </w:pPr>
      <w:r>
        <w:rPr>
          <w:rFonts w:cs="Times New Roman"/>
          <w:color w:val="auto"/>
        </w:rPr>
        <w:t>表</w:t>
      </w:r>
      <w:r>
        <w:rPr>
          <w:rFonts w:hint="eastAsia" w:cs="Times New Roman"/>
          <w:color w:val="auto"/>
        </w:rPr>
        <w:t>2.3</w:t>
      </w:r>
      <w:r>
        <w:rPr>
          <w:rFonts w:cs="Times New Roman"/>
          <w:color w:val="auto"/>
        </w:rPr>
        <w:t>-2   施工期主要环境影响因素识别</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154"/>
        <w:gridCol w:w="4533"/>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2"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序号</w:t>
            </w:r>
          </w:p>
        </w:tc>
        <w:tc>
          <w:tcPr>
            <w:tcW w:w="677"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环境要素</w:t>
            </w:r>
          </w:p>
        </w:tc>
        <w:tc>
          <w:tcPr>
            <w:tcW w:w="2660"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产生影响的主要内容</w:t>
            </w:r>
          </w:p>
        </w:tc>
        <w:tc>
          <w:tcPr>
            <w:tcW w:w="1250"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主要影响因素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w:t>
            </w:r>
          </w:p>
        </w:tc>
        <w:tc>
          <w:tcPr>
            <w:tcW w:w="677"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环境空气</w:t>
            </w:r>
          </w:p>
        </w:tc>
        <w:tc>
          <w:tcPr>
            <w:tcW w:w="266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土地平整、挖掘、土石方、建材储运、使用</w:t>
            </w:r>
          </w:p>
        </w:tc>
        <w:tc>
          <w:tcPr>
            <w:tcW w:w="125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36"/>
              <w:rPr>
                <w:rFonts w:ascii="Times New Roman" w:hAnsi="Times New Roman" w:cs="Times New Roman"/>
                <w:color w:val="auto"/>
                <w:szCs w:val="21"/>
              </w:rPr>
            </w:pPr>
          </w:p>
        </w:tc>
        <w:tc>
          <w:tcPr>
            <w:tcW w:w="677" w:type="pct"/>
            <w:vMerge w:val="continue"/>
            <w:vAlign w:val="center"/>
          </w:tcPr>
          <w:p>
            <w:pPr>
              <w:pStyle w:val="36"/>
              <w:rPr>
                <w:rFonts w:ascii="Times New Roman" w:hAnsi="Times New Roman" w:cs="Times New Roman"/>
                <w:color w:val="auto"/>
                <w:szCs w:val="21"/>
              </w:rPr>
            </w:pPr>
          </w:p>
        </w:tc>
        <w:tc>
          <w:tcPr>
            <w:tcW w:w="266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施工车辆尾气</w:t>
            </w:r>
          </w:p>
        </w:tc>
        <w:tc>
          <w:tcPr>
            <w:tcW w:w="125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CO、HC、NO</w:t>
            </w:r>
            <w:r>
              <w:rPr>
                <w:rFonts w:ascii="Times New Roman" w:hAnsi="Times New Roman" w:cs="Times New Roman"/>
                <w:color w:val="auto"/>
                <w:szCs w:val="21"/>
                <w:vertAlign w:val="subscript"/>
              </w:rPr>
              <w:t>X</w:t>
            </w:r>
            <w:r>
              <w:rPr>
                <w:rFonts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2</w:t>
            </w:r>
          </w:p>
        </w:tc>
        <w:tc>
          <w:tcPr>
            <w:tcW w:w="677"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水环境</w:t>
            </w:r>
          </w:p>
        </w:tc>
        <w:tc>
          <w:tcPr>
            <w:tcW w:w="266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施工人员生活废水、施工废水等</w:t>
            </w:r>
          </w:p>
        </w:tc>
        <w:tc>
          <w:tcPr>
            <w:tcW w:w="125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CODcr、BOD</w:t>
            </w:r>
            <w:r>
              <w:rPr>
                <w:rFonts w:ascii="Times New Roman" w:hAnsi="Times New Roman" w:cs="Times New Roman"/>
                <w:color w:val="auto"/>
                <w:szCs w:val="21"/>
                <w:vertAlign w:val="subscript"/>
              </w:rPr>
              <w:t>5</w:t>
            </w:r>
            <w:r>
              <w:rPr>
                <w:rFonts w:ascii="Times New Roman" w:hAnsi="Times New Roman" w:cs="Times New Roman"/>
                <w:color w:val="auto"/>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3</w:t>
            </w:r>
          </w:p>
        </w:tc>
        <w:tc>
          <w:tcPr>
            <w:tcW w:w="677"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声环境</w:t>
            </w:r>
          </w:p>
        </w:tc>
        <w:tc>
          <w:tcPr>
            <w:tcW w:w="266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施工机械、车辆作业噪声</w:t>
            </w:r>
          </w:p>
        </w:tc>
        <w:tc>
          <w:tcPr>
            <w:tcW w:w="125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4</w:t>
            </w:r>
          </w:p>
        </w:tc>
        <w:tc>
          <w:tcPr>
            <w:tcW w:w="677"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生态环境</w:t>
            </w:r>
          </w:p>
        </w:tc>
        <w:tc>
          <w:tcPr>
            <w:tcW w:w="266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土地平整、挖掘及工程占地</w:t>
            </w:r>
          </w:p>
        </w:tc>
        <w:tc>
          <w:tcPr>
            <w:tcW w:w="125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36"/>
              <w:rPr>
                <w:rFonts w:ascii="Times New Roman" w:hAnsi="Times New Roman" w:cs="Times New Roman"/>
                <w:color w:val="auto"/>
                <w:szCs w:val="21"/>
              </w:rPr>
            </w:pPr>
          </w:p>
        </w:tc>
        <w:tc>
          <w:tcPr>
            <w:tcW w:w="677" w:type="pct"/>
            <w:vMerge w:val="continue"/>
            <w:vAlign w:val="center"/>
          </w:tcPr>
          <w:p>
            <w:pPr>
              <w:pStyle w:val="36"/>
              <w:rPr>
                <w:rFonts w:ascii="Times New Roman" w:hAnsi="Times New Roman" w:cs="Times New Roman"/>
                <w:color w:val="auto"/>
                <w:szCs w:val="21"/>
              </w:rPr>
            </w:pPr>
          </w:p>
        </w:tc>
        <w:tc>
          <w:tcPr>
            <w:tcW w:w="266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土石方、建材堆存</w:t>
            </w:r>
          </w:p>
        </w:tc>
        <w:tc>
          <w:tcPr>
            <w:tcW w:w="125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占压土地</w:t>
            </w:r>
          </w:p>
        </w:tc>
      </w:tr>
    </w:tbl>
    <w:p>
      <w:pPr>
        <w:pStyle w:val="9"/>
        <w:spacing w:line="413" w:lineRule="auto"/>
        <w:rPr>
          <w:rFonts w:ascii="Times New Roman" w:hAnsi="Times New Roman" w:cs="Times New Roman"/>
          <w:color w:val="auto"/>
        </w:rPr>
      </w:pPr>
      <w:bookmarkStart w:id="32" w:name="_Toc17863"/>
      <w:r>
        <w:rPr>
          <w:rFonts w:ascii="Times New Roman" w:hAnsi="Times New Roman" w:cs="Times New Roman"/>
          <w:color w:val="auto"/>
        </w:rPr>
        <w:t>2.3.2 运营期环境影响因素分析</w:t>
      </w:r>
      <w:bookmarkEnd w:id="32"/>
    </w:p>
    <w:p>
      <w:pPr>
        <w:spacing w:line="520" w:lineRule="exact"/>
        <w:rPr>
          <w:rFonts w:ascii="Times New Roman" w:hAnsi="Times New Roman" w:cs="Times New Roman"/>
          <w:color w:val="auto"/>
        </w:rPr>
      </w:pPr>
      <w:r>
        <w:rPr>
          <w:rFonts w:ascii="Times New Roman" w:hAnsi="Times New Roman" w:cs="Times New Roman"/>
          <w:color w:val="auto"/>
        </w:rPr>
        <w:t>本项目运营期将产生废气、废水、噪声以及固废等污染因素，将相应对厂址周围的环境空气、地下水环境及声环境等产生不同的影响。在生产过程中主要污染源及主要污染物见表</w:t>
      </w:r>
      <w:r>
        <w:rPr>
          <w:rFonts w:hint="eastAsia" w:ascii="Times New Roman" w:hAnsi="Times New Roman" w:cs="Times New Roman"/>
          <w:color w:val="auto"/>
        </w:rPr>
        <w:t>2.3</w:t>
      </w:r>
      <w:r>
        <w:rPr>
          <w:rFonts w:ascii="Times New Roman" w:hAnsi="Times New Roman" w:cs="Times New Roman"/>
          <w:color w:val="auto"/>
        </w:rPr>
        <w:t>-3。</w:t>
      </w:r>
    </w:p>
    <w:p>
      <w:pPr>
        <w:pStyle w:val="35"/>
        <w:spacing w:before="0" w:after="0" w:line="520" w:lineRule="exact"/>
        <w:rPr>
          <w:rFonts w:cs="Times New Roman"/>
          <w:color w:val="auto"/>
        </w:rPr>
      </w:pPr>
      <w:r>
        <w:rPr>
          <w:rFonts w:cs="Times New Roman"/>
          <w:color w:val="auto"/>
        </w:rPr>
        <w:t>表</w:t>
      </w:r>
      <w:r>
        <w:rPr>
          <w:rFonts w:hint="eastAsia" w:cs="Times New Roman"/>
          <w:color w:val="auto"/>
        </w:rPr>
        <w:t>2.3</w:t>
      </w:r>
      <w:r>
        <w:rPr>
          <w:rFonts w:cs="Times New Roman"/>
          <w:color w:val="auto"/>
        </w:rPr>
        <w:t>-3   运营期主要污染源及主要污染物一览表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154"/>
        <w:gridCol w:w="4364"/>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12" w:type="pct"/>
            <w:vAlign w:val="center"/>
          </w:tcPr>
          <w:p>
            <w:pPr>
              <w:pStyle w:val="36"/>
              <w:rPr>
                <w:rFonts w:ascii="Times New Roman" w:hAnsi="Times New Roman" w:cs="Times New Roman"/>
                <w:b/>
                <w:bCs/>
                <w:color w:val="auto"/>
                <w:szCs w:val="21"/>
              </w:rPr>
            </w:pPr>
            <w:bookmarkStart w:id="33" w:name="_Toc10509"/>
            <w:bookmarkStart w:id="34" w:name="_Toc14552_WPSOffice_Level2"/>
            <w:bookmarkStart w:id="35" w:name="_Toc5499"/>
            <w:bookmarkStart w:id="36" w:name="_Toc4067"/>
            <w:bookmarkStart w:id="37" w:name="_Toc5011"/>
            <w:r>
              <w:rPr>
                <w:rFonts w:ascii="Times New Roman" w:hAnsi="Times New Roman" w:cs="Times New Roman"/>
                <w:b/>
                <w:bCs/>
                <w:color w:val="auto"/>
                <w:szCs w:val="21"/>
              </w:rPr>
              <w:t>序号</w:t>
            </w:r>
          </w:p>
        </w:tc>
        <w:tc>
          <w:tcPr>
            <w:tcW w:w="677"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环境要素</w:t>
            </w:r>
          </w:p>
        </w:tc>
        <w:tc>
          <w:tcPr>
            <w:tcW w:w="2561"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产生影响的主要内容</w:t>
            </w:r>
          </w:p>
        </w:tc>
        <w:tc>
          <w:tcPr>
            <w:tcW w:w="1349"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主要影响因素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w:t>
            </w:r>
          </w:p>
        </w:tc>
        <w:tc>
          <w:tcPr>
            <w:tcW w:w="677"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大气环境</w:t>
            </w:r>
          </w:p>
        </w:tc>
        <w:tc>
          <w:tcPr>
            <w:tcW w:w="256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污水处理站产生的恶臭</w:t>
            </w:r>
          </w:p>
        </w:tc>
        <w:tc>
          <w:tcPr>
            <w:tcW w:w="134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H</w:t>
            </w:r>
            <w:r>
              <w:rPr>
                <w:rFonts w:ascii="Times New Roman" w:hAnsi="Times New Roman" w:cs="Times New Roman"/>
                <w:color w:val="auto"/>
                <w:szCs w:val="21"/>
                <w:vertAlign w:val="subscript"/>
              </w:rPr>
              <w:t>2</w:t>
            </w:r>
            <w:r>
              <w:rPr>
                <w:rFonts w:ascii="Times New Roman" w:hAnsi="Times New Roman" w:cs="Times New Roman"/>
                <w:color w:val="auto"/>
                <w:szCs w:val="21"/>
              </w:rPr>
              <w:t>S、NH</w:t>
            </w:r>
            <w:r>
              <w:rPr>
                <w:rFonts w:ascii="Times New Roman" w:hAnsi="Times New Roman" w:cs="Times New Roman"/>
                <w:color w:val="auto"/>
                <w:szCs w:val="21"/>
                <w:vertAlign w:val="subscript"/>
              </w:rPr>
              <w:t>3</w:t>
            </w:r>
            <w:r>
              <w:rPr>
                <w:rFonts w:ascii="Times New Roman" w:hAnsi="Times New Roman" w:cs="Times New Roman"/>
                <w:color w:val="auto"/>
                <w:szCs w:val="21"/>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36"/>
              <w:rPr>
                <w:rFonts w:ascii="Times New Roman" w:hAnsi="Times New Roman" w:cs="Times New Roman"/>
                <w:color w:val="auto"/>
                <w:szCs w:val="21"/>
              </w:rPr>
            </w:pPr>
          </w:p>
        </w:tc>
        <w:tc>
          <w:tcPr>
            <w:tcW w:w="677" w:type="pct"/>
            <w:vMerge w:val="continue"/>
            <w:vAlign w:val="center"/>
          </w:tcPr>
          <w:p>
            <w:pPr>
              <w:pStyle w:val="36"/>
              <w:rPr>
                <w:rFonts w:ascii="Times New Roman" w:hAnsi="Times New Roman" w:cs="Times New Roman"/>
                <w:color w:val="auto"/>
                <w:szCs w:val="21"/>
              </w:rPr>
            </w:pPr>
          </w:p>
        </w:tc>
        <w:tc>
          <w:tcPr>
            <w:tcW w:w="256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食堂产生的食堂油烟</w:t>
            </w:r>
          </w:p>
        </w:tc>
        <w:tc>
          <w:tcPr>
            <w:tcW w:w="134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食堂油烟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36"/>
              <w:rPr>
                <w:rFonts w:ascii="Times New Roman" w:hAnsi="Times New Roman" w:cs="Times New Roman"/>
                <w:color w:val="auto"/>
                <w:szCs w:val="21"/>
              </w:rPr>
            </w:pPr>
          </w:p>
        </w:tc>
        <w:tc>
          <w:tcPr>
            <w:tcW w:w="677" w:type="pct"/>
            <w:vMerge w:val="continue"/>
            <w:vAlign w:val="center"/>
          </w:tcPr>
          <w:p>
            <w:pPr>
              <w:pStyle w:val="36"/>
              <w:rPr>
                <w:rFonts w:ascii="Times New Roman" w:hAnsi="Times New Roman" w:cs="Times New Roman"/>
                <w:color w:val="auto"/>
                <w:szCs w:val="21"/>
              </w:rPr>
            </w:pPr>
          </w:p>
        </w:tc>
        <w:tc>
          <w:tcPr>
            <w:tcW w:w="256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备用发电机产生的废气</w:t>
            </w:r>
          </w:p>
        </w:tc>
        <w:tc>
          <w:tcPr>
            <w:tcW w:w="134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SO</w:t>
            </w:r>
            <w:r>
              <w:rPr>
                <w:rFonts w:ascii="Times New Roman" w:hAnsi="Times New Roman" w:cs="Times New Roman"/>
                <w:color w:val="auto"/>
                <w:szCs w:val="21"/>
                <w:vertAlign w:val="subscript"/>
              </w:rPr>
              <w:t>2</w:t>
            </w:r>
            <w:r>
              <w:rPr>
                <w:rFonts w:ascii="Times New Roman" w:hAnsi="Times New Roman" w:cs="Times New Roman"/>
                <w:color w:val="auto"/>
                <w:szCs w:val="21"/>
              </w:rPr>
              <w:t>、NOx、烟尘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vAlign w:val="center"/>
          </w:tcPr>
          <w:p>
            <w:pPr>
              <w:pStyle w:val="36"/>
              <w:rPr>
                <w:rFonts w:ascii="Times New Roman" w:hAnsi="Times New Roman" w:cs="Times New Roman"/>
                <w:color w:val="auto"/>
                <w:szCs w:val="21"/>
              </w:rPr>
            </w:pPr>
          </w:p>
        </w:tc>
        <w:tc>
          <w:tcPr>
            <w:tcW w:w="677" w:type="pct"/>
            <w:vMerge w:val="continue"/>
            <w:vAlign w:val="center"/>
          </w:tcPr>
          <w:p>
            <w:pPr>
              <w:pStyle w:val="36"/>
              <w:rPr>
                <w:rFonts w:ascii="Times New Roman" w:hAnsi="Times New Roman" w:cs="Times New Roman"/>
                <w:color w:val="auto"/>
                <w:szCs w:val="21"/>
              </w:rPr>
            </w:pPr>
          </w:p>
        </w:tc>
        <w:tc>
          <w:tcPr>
            <w:tcW w:w="256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汽车</w:t>
            </w:r>
            <w:r>
              <w:rPr>
                <w:rFonts w:hint="eastAsia" w:ascii="Times New Roman" w:hAnsi="Times New Roman" w:cs="Times New Roman"/>
                <w:color w:val="auto"/>
                <w:szCs w:val="21"/>
              </w:rPr>
              <w:t>行驶</w:t>
            </w:r>
            <w:r>
              <w:rPr>
                <w:rFonts w:ascii="Times New Roman" w:hAnsi="Times New Roman" w:cs="Times New Roman"/>
                <w:color w:val="auto"/>
                <w:szCs w:val="21"/>
              </w:rPr>
              <w:t>过程中产生的汽车尾气</w:t>
            </w:r>
          </w:p>
        </w:tc>
        <w:tc>
          <w:tcPr>
            <w:tcW w:w="134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CO、NOx、THC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2</w:t>
            </w:r>
          </w:p>
        </w:tc>
        <w:tc>
          <w:tcPr>
            <w:tcW w:w="677"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水环境</w:t>
            </w:r>
          </w:p>
        </w:tc>
        <w:tc>
          <w:tcPr>
            <w:tcW w:w="256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感染废水、餐饮废水、医护及职工办公生活污水、病房和门诊产生的废水、保洁废水以及医院检验、分析、治疗产生的医疗废水</w:t>
            </w:r>
          </w:p>
        </w:tc>
        <w:tc>
          <w:tcPr>
            <w:tcW w:w="134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pH、COD</w:t>
            </w:r>
            <w:r>
              <w:rPr>
                <w:rFonts w:ascii="Times New Roman" w:hAnsi="Times New Roman" w:cs="Times New Roman"/>
                <w:color w:val="auto"/>
                <w:szCs w:val="21"/>
                <w:vertAlign w:val="subscript"/>
              </w:rPr>
              <w:t>Cr</w:t>
            </w:r>
            <w:r>
              <w:rPr>
                <w:rFonts w:ascii="Times New Roman" w:hAnsi="Times New Roman" w:cs="Times New Roman"/>
                <w:color w:val="auto"/>
                <w:szCs w:val="21"/>
              </w:rPr>
              <w:t>、BOD</w:t>
            </w:r>
            <w:r>
              <w:rPr>
                <w:rFonts w:ascii="Times New Roman" w:hAnsi="Times New Roman" w:cs="Times New Roman"/>
                <w:color w:val="auto"/>
                <w:szCs w:val="21"/>
                <w:vertAlign w:val="subscript"/>
              </w:rPr>
              <w:t>5</w:t>
            </w:r>
            <w:r>
              <w:rPr>
                <w:rFonts w:ascii="Times New Roman" w:hAnsi="Times New Roman" w:cs="Times New Roman"/>
                <w:color w:val="auto"/>
                <w:szCs w:val="21"/>
              </w:rPr>
              <w:t>、SS、NH</w:t>
            </w:r>
            <w:r>
              <w:rPr>
                <w:rFonts w:ascii="Times New Roman" w:hAnsi="Times New Roman" w:cs="Times New Roman"/>
                <w:color w:val="auto"/>
                <w:szCs w:val="21"/>
                <w:vertAlign w:val="subscript"/>
              </w:rPr>
              <w:t>3</w:t>
            </w:r>
            <w:r>
              <w:rPr>
                <w:rFonts w:ascii="Times New Roman" w:hAnsi="Times New Roman" w:cs="Times New Roman"/>
                <w:color w:val="auto"/>
                <w:szCs w:val="21"/>
              </w:rPr>
              <w:t>-N、粪大肠菌群、色度、余氯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3</w:t>
            </w:r>
          </w:p>
        </w:tc>
        <w:tc>
          <w:tcPr>
            <w:tcW w:w="677"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声环境</w:t>
            </w:r>
          </w:p>
        </w:tc>
        <w:tc>
          <w:tcPr>
            <w:tcW w:w="256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门诊噪声、废水处理设施污水泵运行噪声等</w:t>
            </w:r>
          </w:p>
        </w:tc>
        <w:tc>
          <w:tcPr>
            <w:tcW w:w="134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4</w:t>
            </w:r>
          </w:p>
        </w:tc>
        <w:tc>
          <w:tcPr>
            <w:tcW w:w="677"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固体废物</w:t>
            </w:r>
          </w:p>
        </w:tc>
        <w:tc>
          <w:tcPr>
            <w:tcW w:w="256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病人的生活废弃物、医疗诊断及治疗过程中产生的各类固体废物</w:t>
            </w:r>
          </w:p>
        </w:tc>
        <w:tc>
          <w:tcPr>
            <w:tcW w:w="1349"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病原微生物、寄生虫</w:t>
            </w:r>
          </w:p>
        </w:tc>
      </w:tr>
    </w:tbl>
    <w:p>
      <w:pPr>
        <w:pStyle w:val="8"/>
        <w:keepLines w:val="0"/>
        <w:jc w:val="left"/>
        <w:rPr>
          <w:rFonts w:ascii="Times New Roman" w:hAnsi="Times New Roman" w:cs="Times New Roman"/>
          <w:color w:val="auto"/>
          <w:kern w:val="0"/>
          <w:szCs w:val="30"/>
        </w:rPr>
      </w:pPr>
      <w:bookmarkStart w:id="38" w:name="_Toc27544"/>
      <w:r>
        <w:rPr>
          <w:rFonts w:ascii="Times New Roman" w:hAnsi="Times New Roman" w:cs="Times New Roman"/>
          <w:color w:val="auto"/>
          <w:kern w:val="0"/>
          <w:szCs w:val="30"/>
        </w:rPr>
        <w:t>2.4 评价因子与标准</w:t>
      </w:r>
      <w:bookmarkEnd w:id="33"/>
      <w:bookmarkEnd w:id="34"/>
      <w:bookmarkEnd w:id="35"/>
      <w:bookmarkEnd w:id="36"/>
      <w:bookmarkEnd w:id="37"/>
      <w:bookmarkEnd w:id="38"/>
    </w:p>
    <w:p>
      <w:pPr>
        <w:pStyle w:val="9"/>
        <w:spacing w:line="413" w:lineRule="auto"/>
        <w:rPr>
          <w:rFonts w:ascii="Times New Roman" w:hAnsi="Times New Roman" w:cs="Times New Roman"/>
          <w:color w:val="auto"/>
        </w:rPr>
      </w:pPr>
      <w:bookmarkStart w:id="39" w:name="_Toc13462"/>
      <w:r>
        <w:rPr>
          <w:rFonts w:ascii="Times New Roman" w:hAnsi="Times New Roman" w:cs="Times New Roman"/>
          <w:color w:val="auto"/>
        </w:rPr>
        <w:t>2.4.1 评价因子</w:t>
      </w:r>
      <w:bookmarkEnd w:id="39"/>
    </w:p>
    <w:p>
      <w:pPr>
        <w:spacing w:line="520" w:lineRule="exact"/>
        <w:rPr>
          <w:rFonts w:hint="default" w:ascii="Times New Roman" w:hAnsi="Times New Roman" w:eastAsia="宋体" w:cs="Times New Roman"/>
          <w:color w:val="auto"/>
          <w:lang w:val="en-US" w:eastAsia="zh-CN"/>
        </w:rPr>
      </w:pPr>
      <w:r>
        <w:rPr>
          <w:rFonts w:ascii="Times New Roman" w:hAnsi="Times New Roman" w:cs="Times New Roman"/>
          <w:color w:val="auto"/>
        </w:rPr>
        <w:t>根据建设项目特点，结合本区环境状况，选择对环境影响较大的或本项目的特征污染因子确定为评价因子。评价因子筛选结果见表2</w:t>
      </w:r>
      <w:r>
        <w:rPr>
          <w:rFonts w:hint="eastAsia" w:ascii="Times New Roman" w:hAnsi="Times New Roman" w:cs="Times New Roman"/>
          <w:color w:val="auto"/>
        </w:rPr>
        <w:t>.4-1</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.4-1</w:t>
      </w:r>
      <w:r>
        <w:rPr>
          <w:rFonts w:cs="Times New Roman"/>
          <w:color w:val="auto"/>
        </w:rPr>
        <w:t xml:space="preserve">   评价因子统计表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456"/>
        <w:gridCol w:w="5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65"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环境要素</w:t>
            </w:r>
          </w:p>
        </w:tc>
        <w:tc>
          <w:tcPr>
            <w:tcW w:w="854"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评价类别</w:t>
            </w:r>
          </w:p>
        </w:tc>
        <w:tc>
          <w:tcPr>
            <w:tcW w:w="3380"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分析因子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环境空气</w:t>
            </w: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现状评价</w:t>
            </w:r>
          </w:p>
        </w:tc>
        <w:tc>
          <w:tcPr>
            <w:tcW w:w="3380" w:type="pct"/>
            <w:vAlign w:val="center"/>
          </w:tcPr>
          <w:p>
            <w:pPr>
              <w:pStyle w:val="36"/>
              <w:rPr>
                <w:rFonts w:hint="default" w:ascii="Times New Roman" w:hAnsi="Times New Roman" w:eastAsia="宋体" w:cs="Times New Roman"/>
                <w:color w:val="auto"/>
                <w:szCs w:val="21"/>
                <w:highlight w:val="yellow"/>
                <w:vertAlign w:val="baseline"/>
                <w:lang w:val="en-US" w:eastAsia="zh-CN"/>
              </w:rPr>
            </w:pPr>
            <w:r>
              <w:rPr>
                <w:rFonts w:ascii="Times New Roman" w:hAnsi="Times New Roman" w:cs="Times New Roman"/>
                <w:color w:val="auto"/>
                <w:szCs w:val="21"/>
                <w:highlight w:val="none"/>
              </w:rPr>
              <w:t>SO</w:t>
            </w:r>
            <w:r>
              <w:rPr>
                <w:rFonts w:ascii="Times New Roman" w:hAnsi="Times New Roman" w:cs="Times New Roman"/>
                <w:color w:val="auto"/>
                <w:szCs w:val="21"/>
                <w:highlight w:val="none"/>
                <w:vertAlign w:val="subscript"/>
              </w:rPr>
              <w:t>2</w:t>
            </w:r>
            <w:r>
              <w:rPr>
                <w:rFonts w:ascii="Times New Roman" w:hAnsi="Times New Roman" w:cs="Times New Roman"/>
                <w:color w:val="auto"/>
                <w:szCs w:val="21"/>
                <w:highlight w:val="none"/>
              </w:rPr>
              <w:t>、NO</w:t>
            </w:r>
            <w:r>
              <w:rPr>
                <w:rFonts w:ascii="Times New Roman" w:hAnsi="Times New Roman" w:cs="Times New Roman"/>
                <w:color w:val="auto"/>
                <w:szCs w:val="21"/>
                <w:highlight w:val="none"/>
                <w:vertAlign w:val="subscript"/>
              </w:rPr>
              <w:t>2</w:t>
            </w:r>
            <w:r>
              <w:rPr>
                <w:rFonts w:ascii="Times New Roman" w:hAnsi="Times New Roman" w:cs="Times New Roman"/>
                <w:color w:val="auto"/>
                <w:szCs w:val="21"/>
                <w:highlight w:val="none"/>
              </w:rPr>
              <w:t>、PM</w:t>
            </w:r>
            <w:r>
              <w:rPr>
                <w:rFonts w:ascii="Times New Roman" w:hAnsi="Times New Roman" w:cs="Times New Roman"/>
                <w:color w:val="auto"/>
                <w:szCs w:val="21"/>
                <w:highlight w:val="none"/>
                <w:vertAlign w:val="subscript"/>
              </w:rPr>
              <w:t>10</w:t>
            </w:r>
            <w:r>
              <w:rPr>
                <w:rFonts w:ascii="Times New Roman" w:hAnsi="Times New Roman" w:cs="Times New Roman"/>
                <w:color w:val="auto"/>
                <w:szCs w:val="21"/>
                <w:highlight w:val="none"/>
              </w:rPr>
              <w:t>、PM</w:t>
            </w:r>
            <w:r>
              <w:rPr>
                <w:rFonts w:ascii="Times New Roman" w:hAnsi="Times New Roman" w:cs="Times New Roman"/>
                <w:color w:val="auto"/>
                <w:szCs w:val="21"/>
                <w:highlight w:val="none"/>
                <w:vertAlign w:val="subscript"/>
              </w:rPr>
              <w:t>2.5</w:t>
            </w:r>
            <w:r>
              <w:rPr>
                <w:rFonts w:ascii="Times New Roman" w:hAnsi="Times New Roman" w:cs="Times New Roman"/>
                <w:color w:val="auto"/>
                <w:szCs w:val="21"/>
                <w:highlight w:val="none"/>
              </w:rPr>
              <w:t>、CO、O</w:t>
            </w:r>
            <w:r>
              <w:rPr>
                <w:rFonts w:ascii="Times New Roman" w:hAnsi="Times New Roman" w:cs="Times New Roman"/>
                <w:color w:val="auto"/>
                <w:szCs w:val="21"/>
                <w:highlight w:val="none"/>
                <w:vertAlign w:val="subscript"/>
              </w:rPr>
              <w:t>3</w:t>
            </w:r>
            <w:r>
              <w:rPr>
                <w:rFonts w:hint="eastAsia" w:ascii="Times New Roman" w:hAnsi="Times New Roman" w:cs="Times New Roman"/>
                <w:color w:val="auto"/>
                <w:szCs w:val="21"/>
                <w:highlight w:val="none"/>
                <w:vertAlign w:val="baseline"/>
                <w:lang w:eastAsia="zh-CN"/>
              </w:rPr>
              <w:t>、</w:t>
            </w:r>
            <w:r>
              <w:rPr>
                <w:rFonts w:hint="eastAsia" w:ascii="Times New Roman" w:hAnsi="Times New Roman" w:cs="Times New Roman"/>
                <w:color w:val="auto"/>
                <w:szCs w:val="21"/>
                <w:highlight w:val="none"/>
                <w:vertAlign w:val="baseline"/>
                <w:lang w:val="en-US" w:eastAsia="zh-CN"/>
              </w:rPr>
              <w:t>H</w:t>
            </w:r>
            <w:r>
              <w:rPr>
                <w:rFonts w:hint="eastAsia" w:ascii="Times New Roman" w:hAnsi="Times New Roman" w:cs="Times New Roman"/>
                <w:color w:val="auto"/>
                <w:szCs w:val="21"/>
                <w:highlight w:val="none"/>
                <w:vertAlign w:val="subscript"/>
                <w:lang w:val="en-US" w:eastAsia="zh-CN"/>
              </w:rPr>
              <w:t>2</w:t>
            </w:r>
            <w:r>
              <w:rPr>
                <w:rFonts w:hint="eastAsia" w:ascii="Times New Roman" w:hAnsi="Times New Roman" w:cs="Times New Roman"/>
                <w:color w:val="auto"/>
                <w:szCs w:val="21"/>
                <w:highlight w:val="none"/>
                <w:vertAlign w:val="baseline"/>
                <w:lang w:val="en-US" w:eastAsia="zh-CN"/>
              </w:rPr>
              <w:t>S、NH</w:t>
            </w:r>
            <w:r>
              <w:rPr>
                <w:rFonts w:hint="eastAsia" w:ascii="Times New Roman" w:hAnsi="Times New Roman" w:cs="Times New Roman"/>
                <w:color w:val="auto"/>
                <w:szCs w:val="21"/>
                <w:highlight w:val="none"/>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36"/>
              <w:rPr>
                <w:rFonts w:ascii="Times New Roman" w:hAnsi="Times New Roman" w:cs="Times New Roman"/>
                <w:color w:val="auto"/>
                <w:szCs w:val="21"/>
              </w:rPr>
            </w:pP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污染源评价</w:t>
            </w:r>
          </w:p>
        </w:tc>
        <w:tc>
          <w:tcPr>
            <w:tcW w:w="3380" w:type="pct"/>
            <w:vAlign w:val="center"/>
          </w:tcPr>
          <w:p>
            <w:pPr>
              <w:pStyle w:val="36"/>
              <w:rPr>
                <w:rFonts w:hint="default" w:ascii="Times New Roman" w:hAnsi="Times New Roman" w:eastAsia="宋体" w:cs="Times New Roman"/>
                <w:color w:val="auto"/>
                <w:szCs w:val="21"/>
                <w:lang w:val="en-US" w:eastAsia="zh-CN"/>
              </w:rPr>
            </w:pPr>
            <w:r>
              <w:rPr>
                <w:rFonts w:ascii="Times New Roman" w:hAnsi="Times New Roman" w:cs="Times New Roman"/>
                <w:color w:val="auto"/>
                <w:szCs w:val="21"/>
                <w:highlight w:val="none"/>
              </w:rPr>
              <w:t>NH</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、H</w:t>
            </w:r>
            <w:r>
              <w:rPr>
                <w:rFonts w:ascii="Times New Roman" w:hAnsi="Times New Roman" w:cs="Times New Roman"/>
                <w:color w:val="auto"/>
                <w:szCs w:val="21"/>
                <w:highlight w:val="none"/>
                <w:vertAlign w:val="subscript"/>
              </w:rPr>
              <w:t>2</w:t>
            </w:r>
            <w:r>
              <w:rPr>
                <w:rFonts w:ascii="Times New Roman" w:hAnsi="Times New Roman" w:cs="Times New Roman"/>
                <w:color w:val="auto"/>
                <w:szCs w:val="21"/>
                <w:highlight w:val="no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地下水环境</w:t>
            </w: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现状评价</w:t>
            </w:r>
          </w:p>
        </w:tc>
        <w:tc>
          <w:tcPr>
            <w:tcW w:w="3380" w:type="pct"/>
            <w:vAlign w:val="center"/>
          </w:tcPr>
          <w:p>
            <w:pPr>
              <w:pStyle w:val="36"/>
              <w:rPr>
                <w:rFonts w:ascii="Times New Roman" w:hAnsi="Times New Roman" w:cs="Times New Roman"/>
                <w:color w:val="auto"/>
                <w:szCs w:val="21"/>
                <w:highlight w:val="yellow"/>
              </w:rPr>
            </w:pPr>
            <w:r>
              <w:rPr>
                <w:rFonts w:ascii="Times New Roman" w:hAnsi="Times New Roman" w:cs="Times New Roman"/>
                <w:color w:val="auto"/>
                <w:szCs w:val="21"/>
                <w:highlight w:val="none"/>
              </w:rPr>
              <w:t>pH、氨氮、硝酸盐、亚硝酸盐、挥发酚、氰化物、砷、汞、六价铬、总硬度、铅、氟化物、镉、铁、锰、溶解性总固体、高锰酸盐指数、硫酸盐、氯化物、总大肠菌群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36"/>
              <w:rPr>
                <w:rFonts w:ascii="Times New Roman" w:hAnsi="Times New Roman" w:cs="Times New Roman"/>
                <w:color w:val="auto"/>
                <w:szCs w:val="21"/>
              </w:rPr>
            </w:pP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污染源评价</w:t>
            </w:r>
          </w:p>
        </w:tc>
        <w:tc>
          <w:tcPr>
            <w:tcW w:w="3380" w:type="pct"/>
            <w:vAlign w:val="center"/>
          </w:tcPr>
          <w:p>
            <w:pPr>
              <w:pStyle w:val="36"/>
              <w:rPr>
                <w:rFonts w:ascii="Times New Roman" w:hAnsi="Times New Roman" w:cs="Times New Roman"/>
                <w:color w:val="auto"/>
                <w:szCs w:val="21"/>
                <w:highlight w:val="yellow"/>
              </w:rPr>
            </w:pPr>
            <w:r>
              <w:rPr>
                <w:rFonts w:ascii="Times New Roman" w:hAnsi="Times New Roman" w:cs="Times New Roman"/>
                <w:color w:val="auto"/>
                <w:szCs w:val="21"/>
                <w:highlight w:val="none"/>
              </w:rPr>
              <w:t>pH、COD</w:t>
            </w:r>
            <w:r>
              <w:rPr>
                <w:rFonts w:ascii="Times New Roman" w:hAnsi="Times New Roman" w:cs="Times New Roman"/>
                <w:color w:val="auto"/>
                <w:szCs w:val="21"/>
                <w:highlight w:val="none"/>
                <w:vertAlign w:val="subscript"/>
              </w:rPr>
              <w:t>Cr</w:t>
            </w:r>
            <w:r>
              <w:rPr>
                <w:rFonts w:ascii="Times New Roman" w:hAnsi="Times New Roman" w:cs="Times New Roman"/>
                <w:color w:val="auto"/>
                <w:szCs w:val="21"/>
                <w:highlight w:val="none"/>
              </w:rPr>
              <w:t>、BOD</w:t>
            </w:r>
            <w:r>
              <w:rPr>
                <w:rFonts w:ascii="Times New Roman" w:hAnsi="Times New Roman" w:cs="Times New Roman"/>
                <w:color w:val="auto"/>
                <w:szCs w:val="21"/>
                <w:highlight w:val="none"/>
                <w:vertAlign w:val="subscript"/>
              </w:rPr>
              <w:t>5</w:t>
            </w:r>
            <w:r>
              <w:rPr>
                <w:rFonts w:ascii="Times New Roman" w:hAnsi="Times New Roman" w:cs="Times New Roman"/>
                <w:color w:val="auto"/>
                <w:szCs w:val="21"/>
                <w:highlight w:val="none"/>
              </w:rPr>
              <w:t>、SS、NH</w:t>
            </w:r>
            <w:r>
              <w:rPr>
                <w:rFonts w:ascii="Times New Roman" w:hAnsi="Times New Roman" w:cs="Times New Roman"/>
                <w:color w:val="auto"/>
                <w:szCs w:val="21"/>
                <w:highlight w:val="none"/>
                <w:vertAlign w:val="subscript"/>
              </w:rPr>
              <w:t>3</w:t>
            </w:r>
            <w:r>
              <w:rPr>
                <w:rFonts w:ascii="Times New Roman" w:hAnsi="Times New Roman" w:cs="Times New Roman"/>
                <w:color w:val="auto"/>
                <w:szCs w:val="21"/>
                <w:highlight w:val="none"/>
              </w:rPr>
              <w:t>-N、粪大肠菌群、色度、余氯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声环境</w:t>
            </w: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现状评价</w:t>
            </w:r>
          </w:p>
        </w:tc>
        <w:tc>
          <w:tcPr>
            <w:tcW w:w="3380"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36"/>
              <w:rPr>
                <w:rFonts w:ascii="Times New Roman" w:hAnsi="Times New Roman" w:cs="Times New Roman"/>
                <w:color w:val="auto"/>
                <w:szCs w:val="21"/>
              </w:rPr>
            </w:pP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污染源评价</w:t>
            </w:r>
          </w:p>
        </w:tc>
        <w:tc>
          <w:tcPr>
            <w:tcW w:w="3380" w:type="pct"/>
            <w:vMerge w:val="continue"/>
            <w:vAlign w:val="center"/>
          </w:tcPr>
          <w:p>
            <w:pPr>
              <w:pStyle w:val="36"/>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36"/>
              <w:rPr>
                <w:rFonts w:ascii="Times New Roman" w:hAnsi="Times New Roman" w:cs="Times New Roman"/>
                <w:color w:val="auto"/>
                <w:szCs w:val="21"/>
              </w:rPr>
            </w:pP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影响分析</w:t>
            </w:r>
          </w:p>
        </w:tc>
        <w:tc>
          <w:tcPr>
            <w:tcW w:w="3380" w:type="pct"/>
            <w:vMerge w:val="continue"/>
            <w:vAlign w:val="center"/>
          </w:tcPr>
          <w:p>
            <w:pPr>
              <w:pStyle w:val="36"/>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固体废物</w:t>
            </w: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污染源评价</w:t>
            </w:r>
          </w:p>
        </w:tc>
        <w:tc>
          <w:tcPr>
            <w:tcW w:w="3380"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施工垃圾、泥沙、废包装、生活垃圾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36"/>
              <w:rPr>
                <w:rFonts w:ascii="Times New Roman" w:hAnsi="Times New Roman" w:cs="Times New Roman"/>
                <w:color w:val="auto"/>
                <w:szCs w:val="21"/>
              </w:rPr>
            </w:pP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影响分析</w:t>
            </w:r>
          </w:p>
        </w:tc>
        <w:tc>
          <w:tcPr>
            <w:tcW w:w="3380" w:type="pct"/>
            <w:vMerge w:val="continue"/>
            <w:vAlign w:val="center"/>
          </w:tcPr>
          <w:p>
            <w:pPr>
              <w:pStyle w:val="36"/>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生态环境</w:t>
            </w: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现状评价</w:t>
            </w:r>
          </w:p>
        </w:tc>
        <w:tc>
          <w:tcPr>
            <w:tcW w:w="33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功能区划、土地利用、水土流失、生物多样性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pct"/>
            <w:vMerge w:val="continue"/>
            <w:vAlign w:val="center"/>
          </w:tcPr>
          <w:p>
            <w:pPr>
              <w:pStyle w:val="36"/>
              <w:rPr>
                <w:rFonts w:ascii="Times New Roman" w:hAnsi="Times New Roman" w:cs="Times New Roman"/>
                <w:color w:val="auto"/>
                <w:szCs w:val="21"/>
              </w:rPr>
            </w:pPr>
          </w:p>
        </w:tc>
        <w:tc>
          <w:tcPr>
            <w:tcW w:w="854"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影响分析</w:t>
            </w:r>
          </w:p>
        </w:tc>
        <w:tc>
          <w:tcPr>
            <w:tcW w:w="33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动植物、水土流失、生态结构和功能等</w:t>
            </w:r>
          </w:p>
        </w:tc>
      </w:tr>
    </w:tbl>
    <w:p>
      <w:pPr>
        <w:pStyle w:val="9"/>
        <w:spacing w:line="413" w:lineRule="auto"/>
        <w:rPr>
          <w:rFonts w:ascii="Times New Roman" w:hAnsi="Times New Roman" w:cs="Times New Roman"/>
          <w:color w:val="auto"/>
        </w:rPr>
      </w:pPr>
      <w:bookmarkStart w:id="40" w:name="_Toc14965"/>
      <w:bookmarkStart w:id="41" w:name="_Toc23706"/>
      <w:r>
        <w:rPr>
          <w:rFonts w:ascii="Times New Roman" w:hAnsi="Times New Roman" w:cs="Times New Roman"/>
          <w:color w:val="auto"/>
        </w:rPr>
        <w:t>2.4.2 评价标准</w:t>
      </w:r>
      <w:bookmarkEnd w:id="40"/>
      <w:bookmarkEnd w:id="41"/>
    </w:p>
    <w:p>
      <w:pPr>
        <w:pStyle w:val="10"/>
        <w:rPr>
          <w:rFonts w:cs="Times New Roman"/>
          <w:color w:val="auto"/>
        </w:rPr>
      </w:pPr>
      <w:r>
        <w:rPr>
          <w:rFonts w:cs="Times New Roman"/>
          <w:color w:val="auto"/>
        </w:rPr>
        <w:t>2.4.2.1 环境质量标准</w:t>
      </w:r>
    </w:p>
    <w:p>
      <w:pPr>
        <w:spacing w:line="520" w:lineRule="exact"/>
        <w:rPr>
          <w:rFonts w:ascii="Times New Roman" w:hAnsi="Times New Roman" w:cs="Times New Roman"/>
          <w:color w:val="auto"/>
        </w:rPr>
      </w:pPr>
      <w:r>
        <w:rPr>
          <w:rFonts w:ascii="Times New Roman" w:hAnsi="Times New Roman" w:cs="Times New Roman"/>
          <w:color w:val="auto"/>
        </w:rPr>
        <w:t>（1）空气质量</w:t>
      </w:r>
    </w:p>
    <w:p>
      <w:pPr>
        <w:spacing w:line="520" w:lineRule="exact"/>
        <w:rPr>
          <w:rFonts w:ascii="Times New Roman" w:hAnsi="Times New Roman" w:cs="Times New Roman"/>
          <w:color w:val="auto"/>
        </w:rPr>
      </w:pPr>
      <w:r>
        <w:rPr>
          <w:rFonts w:ascii="Times New Roman" w:hAnsi="Times New Roman" w:cs="Times New Roman"/>
          <w:color w:val="auto"/>
        </w:rPr>
        <w:t>项目区所在地为二类环境空气质量功能区，TSP、SO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color w:val="auto"/>
        </w:rPr>
        <w:t>、CO、O</w:t>
      </w:r>
      <w:r>
        <w:rPr>
          <w:rFonts w:ascii="Times New Roman" w:hAnsi="Times New Roman" w:cs="Times New Roman"/>
          <w:color w:val="auto"/>
          <w:vertAlign w:val="subscript"/>
        </w:rPr>
        <w:t>3</w:t>
      </w:r>
      <w:r>
        <w:rPr>
          <w:rFonts w:ascii="Times New Roman" w:hAnsi="Times New Roman" w:cs="Times New Roman"/>
          <w:color w:val="auto"/>
        </w:rPr>
        <w:t>执行《环境空气质量标准》（GB3095-2012）表1中二级标准；</w:t>
      </w:r>
      <w:r>
        <w:rPr>
          <w:rFonts w:hint="eastAsia" w:ascii="Times New Roman" w:hAnsi="Times New Roman" w:cs="Times New Roman"/>
          <w:color w:val="auto"/>
        </w:rPr>
        <w:t>H</w:t>
      </w:r>
      <w:r>
        <w:rPr>
          <w:rFonts w:hint="eastAsia" w:ascii="Times New Roman" w:hAnsi="Times New Roman" w:cs="Times New Roman"/>
          <w:color w:val="auto"/>
          <w:vertAlign w:val="subscript"/>
        </w:rPr>
        <w:t>2</w:t>
      </w:r>
      <w:r>
        <w:rPr>
          <w:rFonts w:hint="eastAsia" w:ascii="Times New Roman" w:hAnsi="Times New Roman" w:cs="Times New Roman"/>
          <w:color w:val="auto"/>
        </w:rPr>
        <w:t>S、NH</w:t>
      </w:r>
      <w:r>
        <w:rPr>
          <w:rFonts w:hint="eastAsia" w:ascii="Times New Roman" w:hAnsi="Times New Roman" w:cs="Times New Roman"/>
          <w:color w:val="auto"/>
          <w:vertAlign w:val="subscript"/>
        </w:rPr>
        <w:t>3</w:t>
      </w:r>
      <w:r>
        <w:rPr>
          <w:rFonts w:ascii="Times New Roman" w:hAnsi="Times New Roman" w:cs="Times New Roman"/>
          <w:color w:val="auto"/>
        </w:rPr>
        <w:t>参照《环境影响评价技术导则 大气环境》（HJ2.2-2018）附录D中表D.1相关浓度标准值，具体详见表</w:t>
      </w:r>
      <w:r>
        <w:rPr>
          <w:rFonts w:hint="eastAsia" w:ascii="Times New Roman" w:hAnsi="Times New Roman" w:cs="Times New Roman"/>
          <w:color w:val="auto"/>
        </w:rPr>
        <w:t>2.4-2</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2.4-2</w:t>
      </w:r>
      <w:r>
        <w:rPr>
          <w:rFonts w:cs="Times New Roman"/>
          <w:color w:val="auto"/>
        </w:rPr>
        <w:t xml:space="preserve">   环境空气质量标准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95"/>
        <w:gridCol w:w="1981"/>
        <w:gridCol w:w="1171"/>
        <w:gridCol w:w="854"/>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35"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序号</w:t>
            </w:r>
          </w:p>
        </w:tc>
        <w:tc>
          <w:tcPr>
            <w:tcW w:w="818"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污染物名称</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取值时间</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浓度限值</w:t>
            </w:r>
          </w:p>
        </w:tc>
        <w:tc>
          <w:tcPr>
            <w:tcW w:w="501"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单位</w:t>
            </w:r>
          </w:p>
        </w:tc>
        <w:tc>
          <w:tcPr>
            <w:tcW w:w="1395"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TSP</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200</w:t>
            </w:r>
          </w:p>
        </w:tc>
        <w:tc>
          <w:tcPr>
            <w:tcW w:w="50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µg/m</w:t>
            </w:r>
            <w:r>
              <w:rPr>
                <w:rFonts w:ascii="Times New Roman" w:hAnsi="Times New Roman" w:cs="Times New Roman"/>
                <w:color w:val="auto"/>
                <w:spacing w:val="6"/>
                <w:sz w:val="21"/>
                <w:szCs w:val="21"/>
                <w:vertAlign w:val="superscript"/>
              </w:rPr>
              <w:t>3</w:t>
            </w:r>
          </w:p>
        </w:tc>
        <w:tc>
          <w:tcPr>
            <w:tcW w:w="139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《环境空气质量标准》（GB3095-2012）表1中二级标准值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24小时平均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300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SO</w:t>
            </w:r>
            <w:r>
              <w:rPr>
                <w:rFonts w:ascii="Times New Roman" w:hAnsi="Times New Roman" w:cs="Times New Roman"/>
                <w:color w:val="auto"/>
                <w:spacing w:val="6"/>
                <w:sz w:val="21"/>
                <w:szCs w:val="21"/>
                <w:vertAlign w:val="subscript"/>
              </w:rPr>
              <w:t>2</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60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24小时平均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150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500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3</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NO</w:t>
            </w:r>
            <w:r>
              <w:rPr>
                <w:rFonts w:ascii="Times New Roman" w:hAnsi="Times New Roman" w:cs="Times New Roman"/>
                <w:color w:val="auto"/>
                <w:spacing w:val="6"/>
                <w:sz w:val="21"/>
                <w:szCs w:val="21"/>
                <w:vertAlign w:val="subscript"/>
              </w:rPr>
              <w:t>2</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40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24小时平均值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80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4</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PM</w:t>
            </w:r>
            <w:r>
              <w:rPr>
                <w:rFonts w:ascii="Times New Roman" w:hAnsi="Times New Roman" w:cs="Times New Roman"/>
                <w:color w:val="auto"/>
                <w:spacing w:val="6"/>
                <w:sz w:val="21"/>
                <w:szCs w:val="21"/>
                <w:vertAlign w:val="subscript"/>
              </w:rPr>
              <w:t>10</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70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24小时平均值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150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5</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PM</w:t>
            </w:r>
            <w:r>
              <w:rPr>
                <w:rFonts w:ascii="Times New Roman" w:hAnsi="Times New Roman" w:cs="Times New Roman"/>
                <w:color w:val="auto"/>
                <w:spacing w:val="6"/>
                <w:sz w:val="21"/>
                <w:szCs w:val="21"/>
                <w:vertAlign w:val="subscript"/>
              </w:rPr>
              <w:t>2.5</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年平均值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35</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24小时平均值</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75</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6</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CO</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24小时平均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4</w:t>
            </w:r>
          </w:p>
        </w:tc>
        <w:tc>
          <w:tcPr>
            <w:tcW w:w="50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mg/m</w:t>
            </w:r>
            <w:r>
              <w:rPr>
                <w:rFonts w:ascii="Times New Roman" w:hAnsi="Times New Roman" w:cs="Times New Roman"/>
                <w:color w:val="auto"/>
                <w:spacing w:val="6"/>
                <w:sz w:val="21"/>
                <w:szCs w:val="21"/>
                <w:vertAlign w:val="superscript"/>
              </w:rPr>
              <w:t>3</w:t>
            </w: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7</w:t>
            </w:r>
          </w:p>
        </w:tc>
        <w:tc>
          <w:tcPr>
            <w:tcW w:w="81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O</w:t>
            </w:r>
            <w:r>
              <w:rPr>
                <w:rFonts w:ascii="Times New Roman" w:hAnsi="Times New Roman" w:cs="Times New Roman"/>
                <w:color w:val="auto"/>
                <w:spacing w:val="6"/>
                <w:sz w:val="21"/>
                <w:szCs w:val="21"/>
                <w:vertAlign w:val="subscript"/>
              </w:rPr>
              <w:t>3</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日最大8小时平均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160</w:t>
            </w:r>
          </w:p>
        </w:tc>
        <w:tc>
          <w:tcPr>
            <w:tcW w:w="50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µg/m</w:t>
            </w:r>
            <w:r>
              <w:rPr>
                <w:rFonts w:ascii="Times New Roman" w:hAnsi="Times New Roman" w:cs="Times New Roman"/>
                <w:color w:val="auto"/>
                <w:spacing w:val="6"/>
                <w:sz w:val="21"/>
                <w:szCs w:val="21"/>
                <w:vertAlign w:val="superscript"/>
              </w:rPr>
              <w:t>3</w:t>
            </w: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1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8</w:t>
            </w:r>
          </w:p>
        </w:tc>
        <w:tc>
          <w:tcPr>
            <w:tcW w:w="818"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H</w:t>
            </w:r>
            <w:r>
              <w:rPr>
                <w:rFonts w:ascii="Times New Roman" w:hAnsi="Times New Roman" w:cs="Times New Roman"/>
                <w:color w:val="auto"/>
                <w:spacing w:val="6"/>
                <w:sz w:val="21"/>
                <w:szCs w:val="21"/>
                <w:vertAlign w:val="subscript"/>
              </w:rPr>
              <w:t>2</w:t>
            </w:r>
            <w:r>
              <w:rPr>
                <w:rFonts w:ascii="Times New Roman" w:hAnsi="Times New Roman" w:cs="Times New Roman"/>
                <w:color w:val="auto"/>
                <w:spacing w:val="6"/>
                <w:sz w:val="21"/>
                <w:szCs w:val="21"/>
              </w:rPr>
              <w:t>S</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《环境影响评价技术导则·大气环境》（HJ2.2－2018）附录D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35"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9</w:t>
            </w:r>
          </w:p>
        </w:tc>
        <w:tc>
          <w:tcPr>
            <w:tcW w:w="818"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NH</w:t>
            </w:r>
            <w:r>
              <w:rPr>
                <w:rFonts w:ascii="Times New Roman" w:hAnsi="Times New Roman" w:cs="Times New Roman"/>
                <w:color w:val="auto"/>
                <w:spacing w:val="6"/>
                <w:sz w:val="21"/>
                <w:szCs w:val="21"/>
                <w:vertAlign w:val="subscript"/>
              </w:rPr>
              <w:t>3</w:t>
            </w:r>
          </w:p>
        </w:tc>
        <w:tc>
          <w:tcPr>
            <w:tcW w:w="116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1小时平均</w:t>
            </w:r>
          </w:p>
        </w:tc>
        <w:tc>
          <w:tcPr>
            <w:tcW w:w="68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200</w:t>
            </w:r>
          </w:p>
        </w:tc>
        <w:tc>
          <w:tcPr>
            <w:tcW w:w="50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39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bl>
    <w:p>
      <w:pPr>
        <w:spacing w:line="520" w:lineRule="exact"/>
        <w:rPr>
          <w:rFonts w:ascii="Times New Roman" w:hAnsi="Times New Roman" w:cs="Times New Roman"/>
          <w:color w:val="auto"/>
        </w:rPr>
      </w:pPr>
      <w:r>
        <w:rPr>
          <w:rFonts w:ascii="Times New Roman" w:hAnsi="Times New Roman" w:cs="Times New Roman"/>
          <w:color w:val="auto"/>
        </w:rPr>
        <w:t>（2）地下水</w:t>
      </w:r>
    </w:p>
    <w:p>
      <w:pPr>
        <w:spacing w:line="520" w:lineRule="exact"/>
        <w:rPr>
          <w:rFonts w:ascii="Times New Roman" w:hAnsi="Times New Roman" w:cs="Times New Roman"/>
          <w:color w:val="auto"/>
        </w:rPr>
      </w:pPr>
      <w:r>
        <w:rPr>
          <w:rFonts w:ascii="Times New Roman" w:hAnsi="Times New Roman" w:cs="Times New Roman"/>
          <w:color w:val="auto"/>
        </w:rPr>
        <w:t>本项目所在区域地下水执行《地下水质量标准》（GB/T14848-2017）中Ⅲ类标准，标准值见表</w:t>
      </w:r>
      <w:r>
        <w:rPr>
          <w:rFonts w:hint="eastAsia" w:ascii="Times New Roman" w:hAnsi="Times New Roman" w:cs="Times New Roman"/>
          <w:color w:val="auto"/>
        </w:rPr>
        <w:t>2.4-3</w:t>
      </w:r>
      <w:r>
        <w:rPr>
          <w:rFonts w:ascii="Times New Roman" w:hAnsi="Times New Roman" w:cs="Times New Roman"/>
          <w:color w:val="auto"/>
        </w:rPr>
        <w:t>。</w:t>
      </w:r>
    </w:p>
    <w:p>
      <w:pPr>
        <w:pStyle w:val="35"/>
        <w:spacing w:before="0" w:after="0" w:line="520" w:lineRule="exact"/>
        <w:rPr>
          <w:rFonts w:cs="Times New Roman"/>
          <w:color w:val="auto"/>
        </w:rPr>
      </w:pPr>
    </w:p>
    <w:p>
      <w:pPr>
        <w:pStyle w:val="35"/>
        <w:spacing w:before="0" w:after="0" w:line="520" w:lineRule="exact"/>
        <w:rPr>
          <w:rFonts w:cs="Times New Roman"/>
          <w:color w:val="auto"/>
        </w:rPr>
      </w:pPr>
      <w:r>
        <w:rPr>
          <w:rFonts w:cs="Times New Roman"/>
          <w:color w:val="auto"/>
        </w:rPr>
        <w:t>表</w:t>
      </w:r>
      <w:r>
        <w:rPr>
          <w:rFonts w:hint="eastAsia" w:cs="Times New Roman"/>
          <w:color w:val="auto"/>
        </w:rPr>
        <w:t>2.4-3</w:t>
      </w:r>
      <w:r>
        <w:rPr>
          <w:rFonts w:cs="Times New Roman"/>
          <w:color w:val="auto"/>
        </w:rPr>
        <w:t xml:space="preserve">   地下水环境质量标准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86"/>
        <w:gridCol w:w="1173"/>
        <w:gridCol w:w="1254"/>
        <w:gridCol w:w="1660"/>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序号</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污染物名称</w:t>
            </w:r>
          </w:p>
        </w:tc>
        <w:tc>
          <w:tcPr>
            <w:tcW w:w="688"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取值时间</w:t>
            </w: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浓度限值</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单位</w:t>
            </w:r>
          </w:p>
        </w:tc>
        <w:tc>
          <w:tcPr>
            <w:tcW w:w="1313"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w:t>
            </w:r>
          </w:p>
        </w:tc>
        <w:tc>
          <w:tcPr>
            <w:tcW w:w="871"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pH</w:t>
            </w:r>
          </w:p>
        </w:tc>
        <w:tc>
          <w:tcPr>
            <w:tcW w:w="688"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一次值</w:t>
            </w:r>
          </w:p>
        </w:tc>
        <w:tc>
          <w:tcPr>
            <w:tcW w:w="735"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6.5-8.5</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无量纲</w:t>
            </w:r>
          </w:p>
        </w:tc>
        <w:tc>
          <w:tcPr>
            <w:tcW w:w="1313"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《地下水质量标准》（GB/T14848-2017）表1中Ⅲ类标准值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2</w:t>
            </w:r>
          </w:p>
        </w:tc>
        <w:tc>
          <w:tcPr>
            <w:tcW w:w="871"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臭和味</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无</w:t>
            </w:r>
          </w:p>
        </w:tc>
        <w:tc>
          <w:tcPr>
            <w:tcW w:w="973"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3</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色度</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w:t>
            </w:r>
            <w:r>
              <w:rPr>
                <w:rFonts w:hint="eastAsia" w:ascii="Times New Roman" w:hAnsi="Times New Roman" w:cs="Times New Roman"/>
                <w:color w:val="auto"/>
                <w:spacing w:val="6"/>
                <w:sz w:val="21"/>
                <w:szCs w:val="21"/>
                <w:lang w:val="en-US" w:eastAsia="zh-CN"/>
              </w:rPr>
              <w:t>15</w:t>
            </w:r>
          </w:p>
        </w:tc>
        <w:tc>
          <w:tcPr>
            <w:tcW w:w="973"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铂钴色度单位</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4</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浊度</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735"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w:t>
            </w:r>
            <w:r>
              <w:rPr>
                <w:rFonts w:hint="eastAsia" w:ascii="Times New Roman" w:hAnsi="Times New Roman" w:cs="Times New Roman"/>
                <w:color w:val="auto"/>
                <w:spacing w:val="6"/>
                <w:sz w:val="21"/>
                <w:szCs w:val="21"/>
                <w:lang w:val="en-US" w:eastAsia="zh-CN"/>
              </w:rPr>
              <w:t>3</w:t>
            </w:r>
          </w:p>
        </w:tc>
        <w:tc>
          <w:tcPr>
            <w:tcW w:w="973"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NTU</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5</w:t>
            </w:r>
          </w:p>
        </w:tc>
        <w:tc>
          <w:tcPr>
            <w:tcW w:w="871"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总硬度</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≤450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6</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1"/>
                <w:szCs w:val="21"/>
                <w:highlight w:val="none"/>
              </w:rPr>
              <w:t>溶解性总固体</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≤1000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7</w:t>
            </w:r>
          </w:p>
        </w:tc>
        <w:tc>
          <w:tcPr>
            <w:tcW w:w="871" w:type="pct"/>
            <w:vAlign w:val="center"/>
          </w:tcPr>
          <w:p>
            <w:pPr>
              <w:keepLines/>
              <w:adjustRightInd w:val="0"/>
              <w:snapToGrid w:val="0"/>
              <w:spacing w:line="240" w:lineRule="auto"/>
              <w:ind w:firstLine="0" w:firstLineChars="0"/>
              <w:jc w:val="center"/>
              <w:rPr>
                <w:rFonts w:hint="default" w:ascii="Times New Roman" w:hAnsi="Times New Roman"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耗氧量</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w:t>
            </w:r>
            <w:r>
              <w:rPr>
                <w:rFonts w:hint="eastAsia" w:ascii="Times New Roman" w:hAnsi="Times New Roman" w:cs="Times New Roman"/>
                <w:color w:val="auto"/>
                <w:spacing w:val="6"/>
                <w:sz w:val="21"/>
                <w:szCs w:val="21"/>
                <w:lang w:val="en-US" w:eastAsia="zh-CN"/>
              </w:rPr>
              <w:t>3.0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8</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氨氮</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≤0.5</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9</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氟化物</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≤1.0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6"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10</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氯化物</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≤250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11</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硝酸盐氮</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≤20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12</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硫酸盐</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≤250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13</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亚硝酸盐氮</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≤1.0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14</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氰化物</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rPr>
              <w:t>≤0.05</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15</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硫化物</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rPr>
              <w:t>≤</w:t>
            </w:r>
            <w:r>
              <w:rPr>
                <w:rFonts w:hint="eastAsia" w:ascii="Times New Roman" w:hAnsi="Times New Roman" w:cs="Times New Roman"/>
                <w:color w:val="auto"/>
                <w:spacing w:val="6"/>
                <w:sz w:val="21"/>
                <w:szCs w:val="21"/>
                <w:lang w:val="en-US" w:eastAsia="zh-CN"/>
              </w:rPr>
              <w:t>0.02</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16</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挥发酚</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≤0.002</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17</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阴离子表面活性剂</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w:t>
            </w:r>
            <w:r>
              <w:rPr>
                <w:rFonts w:hint="eastAsia" w:ascii="Times New Roman" w:hAnsi="Times New Roman" w:cs="Times New Roman"/>
                <w:color w:val="auto"/>
                <w:spacing w:val="6"/>
                <w:sz w:val="21"/>
                <w:szCs w:val="21"/>
                <w:lang w:val="en-US" w:eastAsia="zh-CN"/>
              </w:rPr>
              <w:t>0.3</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18</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菌落总数</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≤100</w:t>
            </w:r>
          </w:p>
        </w:tc>
        <w:tc>
          <w:tcPr>
            <w:tcW w:w="973"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CFU/mL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19</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lang w:val="en-US" w:eastAsia="zh-CN"/>
              </w:rPr>
              <w:t>总大肠菌群</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3.0</w:t>
            </w:r>
          </w:p>
        </w:tc>
        <w:tc>
          <w:tcPr>
            <w:tcW w:w="973"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MPN/100mL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20</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六价铬</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≤0.05</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sz w:val="21"/>
                <w:szCs w:val="21"/>
                <w:lang w:val="en-US" w:eastAsia="zh-CN"/>
              </w:rPr>
              <w:t>21</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砷</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1</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22</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铅</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01</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23</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汞</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≤0.001</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24</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镉</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05</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25</w:t>
            </w:r>
          </w:p>
        </w:tc>
        <w:tc>
          <w:tcPr>
            <w:tcW w:w="871"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铜</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1.00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26</w:t>
            </w:r>
          </w:p>
        </w:tc>
        <w:tc>
          <w:tcPr>
            <w:tcW w:w="871"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锌</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1.00</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27</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lang w:val="en-US" w:eastAsia="zh-CN"/>
              </w:rPr>
              <w:t>铁</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3</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28</w:t>
            </w:r>
          </w:p>
        </w:tc>
        <w:tc>
          <w:tcPr>
            <w:tcW w:w="871"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锰</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p>
        </w:tc>
        <w:tc>
          <w:tcPr>
            <w:tcW w:w="735"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hint="default" w:ascii="Times New Roman" w:hAnsi="Times New Roman" w:cs="Times New Roman"/>
                <w:color w:val="auto"/>
                <w:sz w:val="24"/>
                <w:szCs w:val="24"/>
                <w:highlight w:val="none"/>
              </w:rPr>
              <w:t>≤0.1</w:t>
            </w:r>
          </w:p>
        </w:tc>
        <w:tc>
          <w:tcPr>
            <w:tcW w:w="973" w:type="pct"/>
            <w:vAlign w:val="center"/>
          </w:tcPr>
          <w:p>
            <w:pPr>
              <w:keepLines/>
              <w:adjustRightInd w:val="0"/>
              <w:snapToGrid w:val="0"/>
              <w:spacing w:line="240" w:lineRule="auto"/>
              <w:ind w:firstLine="0" w:firstLineChars="0"/>
              <w:jc w:val="center"/>
              <w:rPr>
                <w:rFonts w:ascii="Times New Roman" w:hAnsi="Times New Roman" w:eastAsia="宋体" w:cs="Times New Roman"/>
                <w:color w:val="auto"/>
                <w:spacing w:val="6"/>
                <w:kern w:val="2"/>
                <w:sz w:val="21"/>
                <w:szCs w:val="21"/>
                <w:lang w:val="en-US" w:eastAsia="zh-CN" w:bidi="ar-SA"/>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kern w:val="2"/>
                <w:sz w:val="21"/>
                <w:szCs w:val="21"/>
                <w:lang w:val="en-US" w:eastAsia="zh-CN" w:bidi="ar-SA"/>
              </w:rPr>
            </w:pPr>
            <w:r>
              <w:rPr>
                <w:rFonts w:hint="eastAsia" w:ascii="Times New Roman" w:hAnsi="Times New Roman" w:cs="Times New Roman"/>
                <w:color w:val="auto"/>
                <w:spacing w:val="6"/>
                <w:kern w:val="2"/>
                <w:sz w:val="21"/>
                <w:szCs w:val="21"/>
                <w:lang w:val="en-US" w:eastAsia="zh-CN" w:bidi="ar-SA"/>
              </w:rPr>
              <w:t>29</w:t>
            </w:r>
          </w:p>
        </w:tc>
        <w:tc>
          <w:tcPr>
            <w:tcW w:w="871"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钠</w:t>
            </w:r>
          </w:p>
        </w:tc>
        <w:tc>
          <w:tcPr>
            <w:tcW w:w="688"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735"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200</w:t>
            </w:r>
          </w:p>
        </w:tc>
        <w:tc>
          <w:tcPr>
            <w:tcW w:w="973"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mg/L</w:t>
            </w:r>
          </w:p>
        </w:tc>
        <w:tc>
          <w:tcPr>
            <w:tcW w:w="1313"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bl>
    <w:p>
      <w:pPr>
        <w:spacing w:line="520" w:lineRule="exact"/>
        <w:rPr>
          <w:rFonts w:ascii="Times New Roman" w:hAnsi="Times New Roman" w:cs="Times New Roman"/>
          <w:color w:val="auto"/>
        </w:rPr>
      </w:pPr>
      <w:r>
        <w:rPr>
          <w:rFonts w:ascii="Times New Roman" w:hAnsi="Times New Roman" w:cs="Times New Roman"/>
          <w:color w:val="auto"/>
        </w:rPr>
        <w:t>（3）声环境</w:t>
      </w:r>
    </w:p>
    <w:p>
      <w:pPr>
        <w:spacing w:line="520" w:lineRule="exact"/>
        <w:rPr>
          <w:rFonts w:ascii="Times New Roman" w:hAnsi="Times New Roman" w:cs="Times New Roman"/>
          <w:color w:val="auto"/>
        </w:rPr>
      </w:pPr>
      <w:r>
        <w:rPr>
          <w:rFonts w:ascii="Times New Roman" w:hAnsi="Times New Roman" w:cs="Times New Roman"/>
          <w:color w:val="auto"/>
        </w:rPr>
        <w:t>本项目建设地点位于吉木萨尔县城老城区南侧，北邻文襄路，西邻闽江路，南邻建国路，东邻准东路，属于1类功能区，周边声</w:t>
      </w:r>
      <w:r>
        <w:rPr>
          <w:rFonts w:ascii="Times New Roman" w:hAnsi="Times New Roman" w:cs="Times New Roman"/>
          <w:color w:val="auto"/>
          <w:spacing w:val="-6"/>
        </w:rPr>
        <w:t>环境质量执行《声环境质量标准》（GB3096-2008）中1类区标准，标准值见表</w:t>
      </w:r>
      <w:r>
        <w:rPr>
          <w:rFonts w:hint="eastAsia" w:ascii="Times New Roman" w:hAnsi="Times New Roman" w:cs="Times New Roman"/>
          <w:color w:val="auto"/>
          <w:spacing w:val="-6"/>
        </w:rPr>
        <w:t>2.4-4</w:t>
      </w:r>
      <w:r>
        <w:rPr>
          <w:rFonts w:ascii="Times New Roman" w:hAnsi="Times New Roman" w:cs="Times New Roman"/>
          <w:color w:val="auto"/>
          <w:spacing w:val="-6"/>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2.4-4</w:t>
      </w:r>
      <w:r>
        <w:rPr>
          <w:rFonts w:cs="Times New Roman"/>
          <w:color w:val="auto"/>
        </w:rPr>
        <w:t xml:space="preserve">   声环境质量标准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576"/>
        <w:gridCol w:w="1522"/>
        <w:gridCol w:w="1155"/>
        <w:gridCol w:w="93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blHeader/>
          <w:jc w:val="center"/>
        </w:trPr>
        <w:tc>
          <w:tcPr>
            <w:tcW w:w="674"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序号</w:t>
            </w:r>
          </w:p>
        </w:tc>
        <w:tc>
          <w:tcPr>
            <w:tcW w:w="924"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污染物名称</w:t>
            </w:r>
          </w:p>
        </w:tc>
        <w:tc>
          <w:tcPr>
            <w:tcW w:w="892"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取值时间</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浓度限值</w:t>
            </w:r>
          </w:p>
        </w:tc>
        <w:tc>
          <w:tcPr>
            <w:tcW w:w="545"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单位</w:t>
            </w:r>
          </w:p>
        </w:tc>
        <w:tc>
          <w:tcPr>
            <w:tcW w:w="1284"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4"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w:t>
            </w:r>
          </w:p>
        </w:tc>
        <w:tc>
          <w:tcPr>
            <w:tcW w:w="924"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1类功能区</w:t>
            </w:r>
          </w:p>
        </w:tc>
        <w:tc>
          <w:tcPr>
            <w:tcW w:w="892"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昼间</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≤55</w:t>
            </w:r>
          </w:p>
        </w:tc>
        <w:tc>
          <w:tcPr>
            <w:tcW w:w="545"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dB（A）</w:t>
            </w:r>
          </w:p>
        </w:tc>
        <w:tc>
          <w:tcPr>
            <w:tcW w:w="1284"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《声环境质量标准》（GB3096-2008）表1中1类标准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4"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w:t>
            </w:r>
          </w:p>
        </w:tc>
        <w:tc>
          <w:tcPr>
            <w:tcW w:w="924"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892"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夜间</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≤45</w:t>
            </w:r>
          </w:p>
        </w:tc>
        <w:tc>
          <w:tcPr>
            <w:tcW w:w="545"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1284"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bl>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r>
        <w:rPr>
          <w:rFonts w:ascii="Times New Roman" w:hAnsi="Times New Roman" w:cs="Times New Roman"/>
          <w:color w:val="auto"/>
        </w:rPr>
        <w:t>（4）土壤环境</w:t>
      </w:r>
    </w:p>
    <w:p>
      <w:pPr>
        <w:spacing w:line="520" w:lineRule="exact"/>
        <w:rPr>
          <w:rFonts w:ascii="Times New Roman" w:hAnsi="Times New Roman" w:cs="Times New Roman"/>
          <w:color w:val="auto"/>
          <w:highlight w:val="yellow"/>
        </w:rPr>
      </w:pPr>
      <w:r>
        <w:rPr>
          <w:rFonts w:ascii="Times New Roman" w:hAnsi="Times New Roman" w:cs="Times New Roman"/>
          <w:color w:val="auto"/>
        </w:rPr>
        <w:t>本项目位于吉木萨尔县城老城区南侧，北邻文襄路，西邻闽江路，南邻建国路，东邻准东路，土地性质为</w:t>
      </w:r>
      <w:r>
        <w:rPr>
          <w:rFonts w:hint="eastAsia" w:ascii="Times New Roman" w:hAnsi="Times New Roman" w:cs="Times New Roman"/>
          <w:color w:val="auto"/>
          <w:highlight w:val="none"/>
          <w:lang w:val="en-US" w:eastAsia="zh-CN"/>
        </w:rPr>
        <w:t>医疗卫生</w:t>
      </w:r>
      <w:r>
        <w:rPr>
          <w:rFonts w:ascii="Times New Roman" w:hAnsi="Times New Roman" w:cs="Times New Roman"/>
          <w:color w:val="auto"/>
          <w:highlight w:val="none"/>
        </w:rPr>
        <w:t>用地，</w:t>
      </w:r>
      <w:r>
        <w:rPr>
          <w:rFonts w:ascii="Times New Roman" w:hAnsi="Times New Roman" w:cs="Times New Roman"/>
          <w:color w:val="auto"/>
        </w:rPr>
        <w:t>应执行《土壤环境质量 建设用地土壤污染风险管控标准（试行）》（GB36600-2018）第二类用地标准。</w:t>
      </w:r>
    </w:p>
    <w:p>
      <w:pPr>
        <w:pStyle w:val="10"/>
        <w:rPr>
          <w:rFonts w:cs="Times New Roman"/>
          <w:color w:val="auto"/>
        </w:rPr>
      </w:pPr>
      <w:r>
        <w:rPr>
          <w:rFonts w:cs="Times New Roman"/>
          <w:color w:val="auto"/>
        </w:rPr>
        <w:t>2.4.2.2 污染物排放标准</w:t>
      </w:r>
    </w:p>
    <w:p>
      <w:pPr>
        <w:spacing w:line="520" w:lineRule="exact"/>
        <w:rPr>
          <w:rFonts w:ascii="Times New Roman" w:hAnsi="Times New Roman" w:cs="Times New Roman"/>
          <w:color w:val="auto"/>
        </w:rPr>
      </w:pPr>
      <w:r>
        <w:rPr>
          <w:rFonts w:ascii="Times New Roman" w:hAnsi="Times New Roman" w:cs="Times New Roman"/>
          <w:color w:val="auto"/>
        </w:rPr>
        <w:t>（1）大气污染物排放标准</w:t>
      </w:r>
    </w:p>
    <w:p>
      <w:pPr>
        <w:spacing w:line="520" w:lineRule="exact"/>
        <w:rPr>
          <w:rFonts w:ascii="Times New Roman" w:hAnsi="Times New Roman" w:cs="Times New Roman"/>
          <w:color w:val="auto"/>
        </w:rPr>
      </w:pPr>
      <w:r>
        <w:rPr>
          <w:rFonts w:ascii="Times New Roman" w:hAnsi="Times New Roman" w:cs="Times New Roman"/>
          <w:color w:val="auto"/>
        </w:rPr>
        <w:t>项目污水处理站</w:t>
      </w:r>
      <w:r>
        <w:rPr>
          <w:rFonts w:hint="eastAsia" w:ascii="Times New Roman" w:hAnsi="Times New Roman" w:cs="Times New Roman"/>
          <w:color w:val="auto"/>
          <w:lang w:val="en-US" w:eastAsia="zh-CN"/>
        </w:rPr>
        <w:t>有组织废气</w:t>
      </w:r>
      <w:r>
        <w:rPr>
          <w:rFonts w:ascii="Times New Roman" w:hAnsi="Times New Roman" w:cs="Times New Roman"/>
          <w:color w:val="auto"/>
        </w:rPr>
        <w:t>排放执行《恶臭污染物排放标准》（GB14554-93）表2污染物排放标准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污水处理站无组织废气执行</w:t>
      </w:r>
      <w:r>
        <w:rPr>
          <w:rFonts w:ascii="Times New Roman" w:hAnsi="Times New Roman" w:cs="Times New Roman"/>
          <w:color w:val="auto"/>
        </w:rPr>
        <w:t>《医疗机构水污染物排放标准》（GB18466-2005）表3限值；食堂产生的油烟执行《饮食业油烟排放标准（试行）》（GB18483-2001）相应标准限值。</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.4-5</w:t>
      </w:r>
      <w:r>
        <w:rPr>
          <w:rFonts w:cs="Times New Roman"/>
          <w:color w:val="auto"/>
        </w:rPr>
        <w:t xml:space="preserve">   </w:t>
      </w:r>
      <w:r>
        <w:rPr>
          <w:rFonts w:hint="eastAsia" w:cs="Times New Roman"/>
          <w:color w:val="auto"/>
          <w:lang w:val="en-US" w:eastAsia="zh-CN"/>
        </w:rPr>
        <w:t>有组织废气污</w:t>
      </w:r>
      <w:r>
        <w:rPr>
          <w:rFonts w:cs="Times New Roman"/>
          <w:color w:val="auto"/>
        </w:rPr>
        <w:t>染物排放标准</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3"/>
        <w:gridCol w:w="1820"/>
        <w:gridCol w:w="1627"/>
        <w:gridCol w:w="1888"/>
        <w:gridCol w:w="23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3"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1094"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控制项目</w:t>
            </w:r>
          </w:p>
        </w:tc>
        <w:tc>
          <w:tcPr>
            <w:tcW w:w="2113" w:type="pct"/>
            <w:gridSpan w:val="2"/>
            <w:vAlign w:val="center"/>
          </w:tcPr>
          <w:p>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标准值</w:t>
            </w:r>
          </w:p>
        </w:tc>
        <w:tc>
          <w:tcPr>
            <w:tcW w:w="1428" w:type="pct"/>
            <w:vMerge w:val="restart"/>
            <w:vAlign w:val="center"/>
          </w:tcPr>
          <w:p>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3" w:type="pct"/>
            <w:vMerge w:val="continue"/>
            <w:tcBorders>
              <w:top w:val="nil"/>
            </w:tcBorders>
            <w:vAlign w:val="center"/>
          </w:tcPr>
          <w:p>
            <w:pPr>
              <w:spacing w:line="240" w:lineRule="auto"/>
              <w:ind w:firstLine="0" w:firstLineChars="0"/>
              <w:jc w:val="center"/>
              <w:rPr>
                <w:rFonts w:ascii="Times New Roman" w:hAnsi="Times New Roman" w:cs="Times New Roman"/>
                <w:b/>
                <w:bCs/>
                <w:color w:val="auto"/>
                <w:sz w:val="21"/>
                <w:szCs w:val="21"/>
              </w:rPr>
            </w:pPr>
          </w:p>
        </w:tc>
        <w:tc>
          <w:tcPr>
            <w:tcW w:w="1094" w:type="pct"/>
            <w:vMerge w:val="continue"/>
            <w:tcBorders>
              <w:top w:val="nil"/>
            </w:tcBorders>
            <w:vAlign w:val="center"/>
          </w:tcPr>
          <w:p>
            <w:pPr>
              <w:spacing w:line="240" w:lineRule="auto"/>
              <w:ind w:firstLine="0" w:firstLineChars="0"/>
              <w:jc w:val="center"/>
              <w:rPr>
                <w:rFonts w:ascii="Times New Roman" w:hAnsi="Times New Roman" w:cs="Times New Roman"/>
                <w:b/>
                <w:bCs/>
                <w:color w:val="auto"/>
                <w:sz w:val="21"/>
                <w:szCs w:val="21"/>
              </w:rPr>
            </w:pPr>
          </w:p>
        </w:tc>
        <w:tc>
          <w:tcPr>
            <w:tcW w:w="978"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排气筒高度（m）</w:t>
            </w:r>
          </w:p>
        </w:tc>
        <w:tc>
          <w:tcPr>
            <w:tcW w:w="1134" w:type="pct"/>
            <w:vAlign w:val="center"/>
          </w:tcPr>
          <w:p>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ascii="Times New Roman" w:hAnsi="Times New Roman" w:cs="Times New Roman"/>
                <w:b/>
                <w:bCs/>
                <w:color w:val="auto"/>
                <w:sz w:val="21"/>
                <w:szCs w:val="21"/>
              </w:rPr>
              <w:t>二级排放速率</w:t>
            </w: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kg/h）</w:t>
            </w:r>
          </w:p>
        </w:tc>
        <w:tc>
          <w:tcPr>
            <w:tcW w:w="1428" w:type="pct"/>
            <w:vMerge w:val="continue"/>
            <w:tcBorders>
              <w:top w:val="nil"/>
            </w:tcBorders>
            <w:vAlign w:val="center"/>
          </w:tcPr>
          <w:p>
            <w:pPr>
              <w:spacing w:line="240" w:lineRule="auto"/>
              <w:ind w:firstLine="0" w:firstLineChars="0"/>
              <w:jc w:val="center"/>
              <w:rPr>
                <w:rFonts w:ascii="Times New Roman" w:hAnsi="Times New Roman" w:cs="Times New Roman"/>
                <w:b/>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09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w:t>
            </w:r>
          </w:p>
        </w:tc>
        <w:tc>
          <w:tcPr>
            <w:tcW w:w="97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1134"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4.9</w:t>
            </w:r>
          </w:p>
        </w:tc>
        <w:tc>
          <w:tcPr>
            <w:tcW w:w="1428" w:type="pct"/>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恶臭污染物排放标准》（GB 14554-93）表2污染物排放标准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09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硫化氢</w:t>
            </w:r>
          </w:p>
        </w:tc>
        <w:tc>
          <w:tcPr>
            <w:tcW w:w="97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1134"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0.33</w:t>
            </w:r>
          </w:p>
        </w:tc>
        <w:tc>
          <w:tcPr>
            <w:tcW w:w="1428"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3"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1094"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臭气浓度（无量纲）</w:t>
            </w:r>
          </w:p>
        </w:tc>
        <w:tc>
          <w:tcPr>
            <w:tcW w:w="978"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w:t>
            </w:r>
          </w:p>
        </w:tc>
        <w:tc>
          <w:tcPr>
            <w:tcW w:w="1134"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p>
        </w:tc>
        <w:tc>
          <w:tcPr>
            <w:tcW w:w="1428"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pStyle w:val="35"/>
        <w:keepNext w:val="0"/>
        <w:keepLines w:val="0"/>
        <w:pageBreakBefore w:val="0"/>
        <w:widowControl w:val="0"/>
        <w:kinsoku/>
        <w:wordWrap/>
        <w:overflowPunct/>
        <w:topLinePunct w:val="0"/>
        <w:autoSpaceDE/>
        <w:autoSpaceDN/>
        <w:bidi w:val="0"/>
        <w:adjustRightInd/>
        <w:snapToGrid/>
        <w:spacing w:before="0" w:after="0" w:line="52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2.4-6</w:t>
      </w:r>
      <w:r>
        <w:rPr>
          <w:rFonts w:hint="default" w:ascii="Times New Roman" w:hAnsi="Times New Roman" w:cs="Times New Roman"/>
          <w:color w:val="auto"/>
          <w:highlight w:val="none"/>
          <w:lang w:val="en-US" w:eastAsia="zh-CN"/>
        </w:rPr>
        <w:t xml:space="preserve">   </w:t>
      </w:r>
      <w:r>
        <w:rPr>
          <w:b/>
          <w:color w:val="auto"/>
          <w:sz w:val="21"/>
        </w:rPr>
        <w:t>饮食业油烟排放标准（试行）</w:t>
      </w:r>
      <w:r>
        <w:rPr>
          <w:rFonts w:hint="eastAsia"/>
          <w:b/>
          <w:color w:val="auto"/>
          <w:sz w:val="21"/>
          <w:lang w:val="en-US" w:eastAsia="zh-CN"/>
        </w:rPr>
        <w:t xml:space="preserve">  </w:t>
      </w:r>
      <w:r>
        <w:rPr>
          <w:b/>
          <w:color w:val="auto"/>
          <w:sz w:val="21"/>
        </w:rPr>
        <w:t>单位：</w:t>
      </w:r>
      <w:r>
        <w:rPr>
          <w:rFonts w:ascii="Times New Roman" w:eastAsia="Times New Roman"/>
          <w:b/>
          <w:color w:val="auto"/>
          <w:sz w:val="21"/>
        </w:rPr>
        <w:t>mg/m</w:t>
      </w:r>
      <w:r>
        <w:rPr>
          <w:rFonts w:ascii="Times New Roman" w:eastAsia="Times New Roman"/>
          <w:b/>
          <w:color w:val="auto"/>
          <w:position w:val="7"/>
          <w:sz w:val="13"/>
        </w:rPr>
        <w:t>3</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16"/>
        <w:gridCol w:w="1438"/>
        <w:gridCol w:w="1438"/>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规模</w:t>
            </w:r>
          </w:p>
        </w:tc>
        <w:tc>
          <w:tcPr>
            <w:tcW w:w="8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小型</w:t>
            </w:r>
          </w:p>
        </w:tc>
        <w:tc>
          <w:tcPr>
            <w:tcW w:w="8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中型</w:t>
            </w:r>
          </w:p>
        </w:tc>
        <w:tc>
          <w:tcPr>
            <w:tcW w:w="79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大型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基准灶头数</w:t>
            </w:r>
          </w:p>
        </w:tc>
        <w:tc>
          <w:tcPr>
            <w:tcW w:w="8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≥1，＜3</w:t>
            </w:r>
          </w:p>
        </w:tc>
        <w:tc>
          <w:tcPr>
            <w:tcW w:w="8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≥3，＜6</w:t>
            </w:r>
          </w:p>
        </w:tc>
        <w:tc>
          <w:tcPr>
            <w:tcW w:w="79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最高允许排放浓度</w:t>
            </w:r>
          </w:p>
        </w:tc>
        <w:tc>
          <w:tcPr>
            <w:tcW w:w="2524"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4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rPr>
              <w:t>净化设施最低去除效率</w:t>
            </w:r>
            <w:r>
              <w:rPr>
                <w:rFonts w:hint="eastAsia" w:ascii="Times New Roman" w:hAnsi="Times New Roman" w:cs="Times New Roman"/>
                <w:color w:val="auto"/>
                <w:sz w:val="21"/>
                <w:szCs w:val="21"/>
                <w:shd w:val="clear" w:color="auto" w:fill="auto"/>
                <w:lang w:eastAsia="zh-CN"/>
              </w:rPr>
              <w:t>（</w:t>
            </w:r>
            <w:r>
              <w:rPr>
                <w:rFonts w:hint="default" w:ascii="Times New Roman" w:hAnsi="Times New Roman" w:eastAsia="宋体" w:cs="Times New Roman"/>
                <w:color w:val="auto"/>
                <w:sz w:val="21"/>
                <w:szCs w:val="21"/>
                <w:shd w:val="clear" w:color="auto" w:fill="auto"/>
              </w:rPr>
              <w:t>%</w:t>
            </w:r>
            <w:r>
              <w:rPr>
                <w:rFonts w:hint="eastAsia" w:ascii="Times New Roman" w:hAnsi="Times New Roman" w:cs="Times New Roman"/>
                <w:color w:val="auto"/>
                <w:sz w:val="21"/>
                <w:szCs w:val="21"/>
                <w:shd w:val="clear" w:color="auto" w:fill="auto"/>
                <w:lang w:eastAsia="zh-CN"/>
              </w:rPr>
              <w:t>）</w:t>
            </w:r>
          </w:p>
        </w:tc>
        <w:tc>
          <w:tcPr>
            <w:tcW w:w="8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60</w:t>
            </w:r>
          </w:p>
        </w:tc>
        <w:tc>
          <w:tcPr>
            <w:tcW w:w="8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75</w:t>
            </w:r>
          </w:p>
        </w:tc>
        <w:tc>
          <w:tcPr>
            <w:tcW w:w="79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85</w:t>
            </w:r>
          </w:p>
        </w:tc>
      </w:tr>
    </w:tbl>
    <w:p>
      <w:pPr>
        <w:pStyle w:val="35"/>
        <w:spacing w:before="0" w:after="0" w:line="520" w:lineRule="exact"/>
        <w:rPr>
          <w:rFonts w:cs="Times New Roman"/>
          <w:color w:val="auto"/>
        </w:rPr>
      </w:pPr>
      <w:r>
        <w:rPr>
          <w:rFonts w:cs="Times New Roman"/>
          <w:color w:val="auto"/>
        </w:rPr>
        <w:t>表2</w:t>
      </w:r>
      <w:r>
        <w:rPr>
          <w:rFonts w:hint="eastAsia" w:cs="Times New Roman"/>
          <w:color w:val="auto"/>
        </w:rPr>
        <w:t>.4-</w:t>
      </w:r>
      <w:r>
        <w:rPr>
          <w:rFonts w:hint="eastAsia" w:cs="Times New Roman"/>
          <w:color w:val="auto"/>
          <w:lang w:val="en-US" w:eastAsia="zh-CN"/>
        </w:rPr>
        <w:t>7</w:t>
      </w:r>
      <w:r>
        <w:rPr>
          <w:rFonts w:cs="Times New Roman"/>
          <w:color w:val="auto"/>
        </w:rPr>
        <w:t xml:space="preserve">   </w:t>
      </w:r>
      <w:r>
        <w:rPr>
          <w:rFonts w:hint="eastAsia" w:cs="Times New Roman"/>
          <w:color w:val="auto"/>
          <w:lang w:val="en-US" w:eastAsia="zh-CN"/>
        </w:rPr>
        <w:t>无组织废气污染物排放标准</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8"/>
        <w:gridCol w:w="1820"/>
        <w:gridCol w:w="1625"/>
        <w:gridCol w:w="1893"/>
        <w:gridCol w:w="2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36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1094"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控制项目</w:t>
            </w:r>
          </w:p>
        </w:tc>
        <w:tc>
          <w:tcPr>
            <w:tcW w:w="977" w:type="pct"/>
            <w:vAlign w:val="center"/>
          </w:tcPr>
          <w:p>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标准值</w:t>
            </w:r>
          </w:p>
        </w:tc>
        <w:tc>
          <w:tcPr>
            <w:tcW w:w="1138" w:type="pct"/>
            <w:vAlign w:val="center"/>
          </w:tcPr>
          <w:p>
            <w:pPr>
              <w:spacing w:line="240" w:lineRule="auto"/>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单位</w:t>
            </w:r>
          </w:p>
        </w:tc>
        <w:tc>
          <w:tcPr>
            <w:tcW w:w="1429" w:type="pct"/>
            <w:vAlign w:val="center"/>
          </w:tcPr>
          <w:p>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094"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氨</w:t>
            </w:r>
          </w:p>
        </w:tc>
        <w:tc>
          <w:tcPr>
            <w:tcW w:w="977"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429" w:type="pct"/>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《医疗机构水污染物排放标准》（GB 18466-2005）</w:t>
            </w:r>
            <w:r>
              <w:rPr>
                <w:rFonts w:hint="eastAsia" w:ascii="Times New Roman" w:hAnsi="Times New Roman" w:cs="Times New Roman"/>
                <w:color w:val="auto"/>
                <w:sz w:val="21"/>
                <w:szCs w:val="21"/>
                <w:lang w:val="en-US" w:eastAsia="zh-CN"/>
              </w:rPr>
              <w:t>表3排放限值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094"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硫化氢</w:t>
            </w:r>
          </w:p>
        </w:tc>
        <w:tc>
          <w:tcPr>
            <w:tcW w:w="977"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429"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0"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1094"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臭气浓度</w:t>
            </w:r>
          </w:p>
        </w:tc>
        <w:tc>
          <w:tcPr>
            <w:tcW w:w="977"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无量纲</w:t>
            </w:r>
          </w:p>
        </w:tc>
        <w:tc>
          <w:tcPr>
            <w:tcW w:w="1429"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360"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94"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氯气</w:t>
            </w:r>
          </w:p>
        </w:tc>
        <w:tc>
          <w:tcPr>
            <w:tcW w:w="977"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1138"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c>
        <w:tc>
          <w:tcPr>
            <w:tcW w:w="1429"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0"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094"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甲烷</w:t>
            </w:r>
          </w:p>
        </w:tc>
        <w:tc>
          <w:tcPr>
            <w:tcW w:w="977"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29"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bl>
    <w:p>
      <w:pPr>
        <w:spacing w:line="520" w:lineRule="exact"/>
        <w:rPr>
          <w:rFonts w:ascii="Times New Roman" w:hAnsi="Times New Roman" w:cs="Times New Roman"/>
          <w:color w:val="auto"/>
        </w:rPr>
      </w:pPr>
      <w:r>
        <w:rPr>
          <w:rFonts w:ascii="Times New Roman" w:hAnsi="Times New Roman" w:cs="Times New Roman"/>
          <w:color w:val="auto"/>
        </w:rPr>
        <w:t>（2）废水污染物排放标准</w:t>
      </w:r>
    </w:p>
    <w:p>
      <w:pPr>
        <w:spacing w:line="520" w:lineRule="exact"/>
        <w:rPr>
          <w:rFonts w:ascii="Times New Roman" w:hAnsi="Times New Roman" w:cs="Times New Roman"/>
          <w:color w:val="auto"/>
          <w:highlight w:val="yellow"/>
        </w:rPr>
      </w:pPr>
      <w:bookmarkStart w:id="42" w:name="OLE_LINK8"/>
      <w:r>
        <w:rPr>
          <w:rFonts w:ascii="Times New Roman" w:hAnsi="Times New Roman" w:cs="Times New Roman"/>
          <w:color w:val="auto"/>
        </w:rPr>
        <w:t>医院废水经医院污水处理站处理后，达到《医疗机构水污染物排放标准》（GB18466-2005）表2“综合医疗机构和其他医疗机构水污染物排放限值（日均值）”中预处理标准。</w:t>
      </w:r>
    </w:p>
    <w:bookmarkEnd w:id="42"/>
    <w:p>
      <w:pPr>
        <w:pStyle w:val="35"/>
        <w:spacing w:before="0" w:after="0" w:line="520" w:lineRule="exact"/>
        <w:rPr>
          <w:rFonts w:cs="Times New Roman"/>
          <w:color w:val="auto"/>
        </w:rPr>
      </w:pPr>
      <w:r>
        <w:rPr>
          <w:rFonts w:cs="Times New Roman"/>
          <w:color w:val="auto"/>
        </w:rPr>
        <w:t>表2</w:t>
      </w:r>
      <w:r>
        <w:rPr>
          <w:rFonts w:hint="eastAsia" w:cs="Times New Roman"/>
          <w:color w:val="auto"/>
        </w:rPr>
        <w:t>.4-</w:t>
      </w:r>
      <w:r>
        <w:rPr>
          <w:rFonts w:hint="eastAsia" w:cs="Times New Roman"/>
          <w:color w:val="auto"/>
          <w:lang w:val="en-US" w:eastAsia="zh-CN"/>
        </w:rPr>
        <w:t>8</w:t>
      </w:r>
      <w:r>
        <w:rPr>
          <w:rFonts w:cs="Times New Roman"/>
          <w:color w:val="auto"/>
        </w:rPr>
        <w:t xml:space="preserve">   项目水污染物排放标准</w:t>
      </w:r>
    </w:p>
    <w:tbl>
      <w:tblPr>
        <w:tblStyle w:val="24"/>
        <w:tblW w:w="50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0"/>
        <w:gridCol w:w="900"/>
        <w:gridCol w:w="3493"/>
        <w:gridCol w:w="3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281"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2626" w:type="pct"/>
            <w:gridSpan w:val="2"/>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污染物名称</w:t>
            </w:r>
          </w:p>
        </w:tc>
        <w:tc>
          <w:tcPr>
            <w:tcW w:w="2092" w:type="pct"/>
            <w:vAlign w:val="center"/>
          </w:tcPr>
          <w:p>
            <w:pPr>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626"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粪大肠菌群数（MPN/L）</w:t>
            </w:r>
          </w:p>
        </w:tc>
        <w:tc>
          <w:tcPr>
            <w:tcW w:w="2092"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2626"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肠道致病菌</w:t>
            </w:r>
          </w:p>
        </w:tc>
        <w:tc>
          <w:tcPr>
            <w:tcW w:w="2092"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2626"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肠道病毒</w:t>
            </w:r>
          </w:p>
        </w:tc>
        <w:tc>
          <w:tcPr>
            <w:tcW w:w="2092"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2626" w:type="pct"/>
            <w:gridSpan w:val="2"/>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pH值（无量纲）</w:t>
            </w:r>
          </w:p>
        </w:tc>
        <w:tc>
          <w:tcPr>
            <w:tcW w:w="2092" w:type="pct"/>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38"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COD</w:t>
            </w:r>
          </w:p>
        </w:tc>
        <w:tc>
          <w:tcPr>
            <w:tcW w:w="208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排放浓度限值（mg/L）</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538"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208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最高允许排放负荷（g/床位·d）</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38"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BOD</w:t>
            </w:r>
            <w:r>
              <w:rPr>
                <w:rFonts w:ascii="Times New Roman" w:hAnsi="Times New Roman" w:cs="Times New Roman"/>
                <w:color w:val="auto"/>
                <w:sz w:val="21"/>
                <w:szCs w:val="21"/>
                <w:vertAlign w:val="subscript"/>
              </w:rPr>
              <w:t>5</w:t>
            </w:r>
          </w:p>
        </w:tc>
        <w:tc>
          <w:tcPr>
            <w:tcW w:w="208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排放浓度限值（mg/L）</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538"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208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最高允许排放负荷（g/床位·d）</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38"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SS</w:t>
            </w:r>
          </w:p>
        </w:tc>
        <w:tc>
          <w:tcPr>
            <w:tcW w:w="208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排放浓度限值（mg/L）</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538"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208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最高允许排放负荷（g/床位·d）</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2626" w:type="pct"/>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氨氮（mg/L）</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2626" w:type="pct"/>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动植物油（mg/L）</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2626"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石油类（mg/L）</w:t>
            </w:r>
          </w:p>
        </w:tc>
        <w:tc>
          <w:tcPr>
            <w:tcW w:w="2092"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2626" w:type="pct"/>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阴离子表面活性剂（mg/L）</w:t>
            </w:r>
          </w:p>
        </w:tc>
        <w:tc>
          <w:tcPr>
            <w:tcW w:w="20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2626"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色度（稀释倍数）</w:t>
            </w:r>
          </w:p>
        </w:tc>
        <w:tc>
          <w:tcPr>
            <w:tcW w:w="2092" w:type="pct"/>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挥发酚</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总氰化物</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总汞</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总镉</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总铬</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六价铬</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总砷</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总铅</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c>
          <w:tcPr>
            <w:tcW w:w="2626"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总银</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w:t>
            </w:r>
            <w:r>
              <w:rPr>
                <w:rFonts w:hint="default" w:ascii="Arial" w:hAnsi="Arial" w:cs="Arial"/>
                <w:color w:val="auto"/>
                <w:sz w:val="21"/>
                <w:szCs w:val="21"/>
                <w:lang w:val="en-US" w:eastAsia="zh-CN"/>
              </w:rPr>
              <w:t>α</w:t>
            </w:r>
            <w:r>
              <w:rPr>
                <w:rFonts w:hint="eastAsia" w:ascii="Times New Roman" w:hAnsi="Times New Roman" w:cs="Times New Roman"/>
                <w:color w:val="auto"/>
                <w:sz w:val="21"/>
                <w:szCs w:val="21"/>
                <w:lang w:val="en-US" w:eastAsia="zh-CN"/>
              </w:rPr>
              <w:t>（Bq/L）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w:t>
            </w:r>
            <w:r>
              <w:rPr>
                <w:rFonts w:hint="default" w:ascii="Arial" w:hAnsi="Arial" w:cs="Arial"/>
                <w:color w:val="auto"/>
                <w:sz w:val="21"/>
                <w:szCs w:val="21"/>
                <w:lang w:val="en-US" w:eastAsia="zh-CN"/>
              </w:rPr>
              <w:t>β</w:t>
            </w:r>
            <w:r>
              <w:rPr>
                <w:rFonts w:hint="eastAsia" w:ascii="Times New Roman" w:hAnsi="Times New Roman" w:cs="Times New Roman"/>
                <w:color w:val="auto"/>
                <w:sz w:val="21"/>
                <w:szCs w:val="21"/>
                <w:lang w:val="en-US" w:eastAsia="zh-CN"/>
              </w:rPr>
              <w:t>（Bq/L）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81"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2626" w:type="pct"/>
            <w:gridSpan w:val="2"/>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总余氯</w:t>
            </w:r>
            <w:r>
              <w:rPr>
                <w:rFonts w:ascii="Times New Roman" w:hAnsi="Times New Roman" w:cs="Times New Roman"/>
                <w:color w:val="auto"/>
                <w:sz w:val="21"/>
                <w:szCs w:val="21"/>
              </w:rPr>
              <w:t>（mg/L）</w:t>
            </w:r>
          </w:p>
        </w:tc>
        <w:tc>
          <w:tcPr>
            <w:tcW w:w="2092" w:type="pct"/>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spacing w:line="520" w:lineRule="exact"/>
        <w:rPr>
          <w:rFonts w:ascii="Times New Roman" w:hAnsi="Times New Roman" w:cs="Times New Roman"/>
          <w:color w:val="auto"/>
        </w:rPr>
      </w:pPr>
      <w:r>
        <w:rPr>
          <w:rFonts w:ascii="Times New Roman" w:hAnsi="Times New Roman" w:cs="Times New Roman"/>
          <w:color w:val="auto"/>
        </w:rPr>
        <w:t>（3）噪声控制标准</w:t>
      </w:r>
    </w:p>
    <w:p>
      <w:pPr>
        <w:spacing w:line="520" w:lineRule="exact"/>
        <w:rPr>
          <w:rFonts w:ascii="Times New Roman" w:hAnsi="Times New Roman" w:cs="Times New Roman"/>
          <w:color w:val="auto"/>
        </w:rPr>
      </w:pPr>
      <w:r>
        <w:rPr>
          <w:rFonts w:ascii="Times New Roman" w:hAnsi="Times New Roman" w:cs="Times New Roman"/>
          <w:color w:val="auto"/>
        </w:rPr>
        <w:t>厂界噪声执行《工业</w:t>
      </w:r>
      <w:r>
        <w:rPr>
          <w:rFonts w:hint="eastAsia" w:ascii="Times New Roman" w:hAnsi="Times New Roman" w:cs="Times New Roman"/>
          <w:color w:val="auto"/>
          <w:lang w:val="en-US" w:eastAsia="zh-CN"/>
        </w:rPr>
        <w:t>企业</w:t>
      </w:r>
      <w:r>
        <w:rPr>
          <w:rFonts w:ascii="Times New Roman" w:hAnsi="Times New Roman" w:cs="Times New Roman"/>
          <w:color w:val="auto"/>
        </w:rPr>
        <w:t>厂界环境噪声排放标准》（GB</w:t>
      </w:r>
      <w:r>
        <w:rPr>
          <w:rFonts w:hint="eastAsia" w:ascii="Times New Roman" w:hAnsi="Times New Roman" w:cs="Times New Roman"/>
          <w:color w:val="auto"/>
          <w:lang w:val="en-US" w:eastAsia="zh-CN"/>
        </w:rPr>
        <w:t xml:space="preserve"> </w:t>
      </w:r>
      <w:r>
        <w:rPr>
          <w:rFonts w:ascii="Times New Roman" w:hAnsi="Times New Roman" w:cs="Times New Roman"/>
          <w:color w:val="auto"/>
        </w:rPr>
        <w:t>12348-2008）1类标准，施工期执行《建筑施工场界环境噪声排放标准》（GB</w:t>
      </w:r>
      <w:r>
        <w:rPr>
          <w:rFonts w:hint="eastAsia" w:ascii="Times New Roman" w:hAnsi="Times New Roman" w:cs="Times New Roman"/>
          <w:color w:val="auto"/>
          <w:lang w:val="en-US" w:eastAsia="zh-CN"/>
        </w:rPr>
        <w:t xml:space="preserve"> </w:t>
      </w:r>
      <w:r>
        <w:rPr>
          <w:rFonts w:ascii="Times New Roman" w:hAnsi="Times New Roman" w:cs="Times New Roman"/>
          <w:color w:val="auto"/>
        </w:rPr>
        <w:t>12523-2011）。</w:t>
      </w:r>
    </w:p>
    <w:p>
      <w:pPr>
        <w:pStyle w:val="35"/>
        <w:spacing w:before="0" w:after="0" w:line="520" w:lineRule="exact"/>
        <w:rPr>
          <w:rFonts w:cs="Times New Roman"/>
          <w:color w:val="auto"/>
        </w:rPr>
      </w:pPr>
      <w:r>
        <w:rPr>
          <w:rFonts w:cs="Times New Roman"/>
          <w:color w:val="auto"/>
        </w:rPr>
        <w:t>表</w:t>
      </w:r>
      <w:r>
        <w:rPr>
          <w:rFonts w:hint="eastAsia" w:cs="Times New Roman"/>
          <w:color w:val="auto"/>
        </w:rPr>
        <w:t>2.4-</w:t>
      </w:r>
      <w:r>
        <w:rPr>
          <w:rFonts w:hint="eastAsia" w:cs="Times New Roman"/>
          <w:color w:val="auto"/>
          <w:lang w:val="en-US" w:eastAsia="zh-CN"/>
        </w:rPr>
        <w:t>9</w:t>
      </w:r>
      <w:r>
        <w:rPr>
          <w:rFonts w:cs="Times New Roman"/>
          <w:color w:val="auto"/>
        </w:rPr>
        <w:t xml:space="preserve">   </w:t>
      </w:r>
      <w:r>
        <w:rPr>
          <w:rFonts w:hint="eastAsia" w:cs="Times New Roman"/>
          <w:color w:val="auto"/>
        </w:rPr>
        <w:t>工业企业厂界环境噪声排放标准</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277"/>
        <w:gridCol w:w="1408"/>
        <w:gridCol w:w="1154"/>
        <w:gridCol w:w="3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序号</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取值时间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浓度限值</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单位</w:t>
            </w:r>
          </w:p>
        </w:tc>
        <w:tc>
          <w:tcPr>
            <w:tcW w:w="2341"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昼间</w:t>
            </w:r>
          </w:p>
        </w:tc>
        <w:tc>
          <w:tcPr>
            <w:tcW w:w="826"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≤5</w:t>
            </w:r>
            <w:r>
              <w:rPr>
                <w:rFonts w:hint="eastAsia" w:ascii="Times New Roman" w:hAnsi="Times New Roman" w:cs="Times New Roman"/>
                <w:color w:val="auto"/>
                <w:spacing w:val="6"/>
                <w:sz w:val="21"/>
                <w:szCs w:val="21"/>
                <w:lang w:val="en-US" w:eastAsia="zh-CN"/>
              </w:rPr>
              <w:t>5</w:t>
            </w:r>
          </w:p>
        </w:tc>
        <w:tc>
          <w:tcPr>
            <w:tcW w:w="677"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dB（A）</w:t>
            </w:r>
          </w:p>
        </w:tc>
        <w:tc>
          <w:tcPr>
            <w:tcW w:w="234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hint="eastAsia" w:ascii="Times New Roman" w:hAnsi="Times New Roman" w:cs="Times New Roman"/>
                <w:color w:val="auto"/>
                <w:spacing w:val="6"/>
                <w:sz w:val="21"/>
                <w:szCs w:val="21"/>
              </w:rPr>
              <w:t>《工业企业厂界环境噪声排放标准》（GB</w:t>
            </w:r>
            <w:r>
              <w:rPr>
                <w:rFonts w:hint="eastAsia" w:ascii="Times New Roman" w:hAnsi="Times New Roman" w:cs="Times New Roman"/>
                <w:color w:val="auto"/>
                <w:spacing w:val="6"/>
                <w:sz w:val="21"/>
                <w:szCs w:val="21"/>
                <w:lang w:val="en-US" w:eastAsia="zh-CN"/>
              </w:rPr>
              <w:t xml:space="preserve"> </w:t>
            </w:r>
            <w:r>
              <w:rPr>
                <w:rFonts w:hint="eastAsia" w:ascii="Times New Roman" w:hAnsi="Times New Roman" w:cs="Times New Roman"/>
                <w:color w:val="auto"/>
                <w:spacing w:val="6"/>
                <w:sz w:val="21"/>
                <w:szCs w:val="21"/>
              </w:rPr>
              <w:t>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夜间</w:t>
            </w:r>
          </w:p>
        </w:tc>
        <w:tc>
          <w:tcPr>
            <w:tcW w:w="826" w:type="pct"/>
            <w:vAlign w:val="center"/>
          </w:tcPr>
          <w:p>
            <w:pPr>
              <w:keepLines/>
              <w:adjustRightInd w:val="0"/>
              <w:snapToGrid w:val="0"/>
              <w:spacing w:line="240" w:lineRule="auto"/>
              <w:ind w:firstLine="0" w:firstLineChars="0"/>
              <w:jc w:val="center"/>
              <w:rPr>
                <w:rFonts w:hint="eastAsia"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≤4</w:t>
            </w:r>
            <w:r>
              <w:rPr>
                <w:rFonts w:hint="eastAsia" w:ascii="Times New Roman" w:hAnsi="Times New Roman" w:cs="Times New Roman"/>
                <w:color w:val="auto"/>
                <w:spacing w:val="6"/>
                <w:sz w:val="21"/>
                <w:szCs w:val="21"/>
                <w:lang w:val="en-US" w:eastAsia="zh-CN"/>
              </w:rPr>
              <w:t>5</w:t>
            </w:r>
          </w:p>
        </w:tc>
        <w:tc>
          <w:tcPr>
            <w:tcW w:w="677"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234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bl>
    <w:p>
      <w:pPr>
        <w:pStyle w:val="35"/>
        <w:spacing w:before="0" w:after="0" w:line="520" w:lineRule="exact"/>
        <w:rPr>
          <w:rFonts w:cs="Times New Roman"/>
          <w:color w:val="auto"/>
        </w:rPr>
      </w:pPr>
      <w:r>
        <w:rPr>
          <w:rFonts w:cs="Times New Roman"/>
          <w:color w:val="auto"/>
        </w:rPr>
        <w:t>表</w:t>
      </w:r>
      <w:r>
        <w:rPr>
          <w:rFonts w:hint="eastAsia" w:cs="Times New Roman"/>
          <w:color w:val="auto"/>
        </w:rPr>
        <w:t>2.4-</w:t>
      </w:r>
      <w:r>
        <w:rPr>
          <w:rFonts w:hint="eastAsia" w:cs="Times New Roman"/>
          <w:color w:val="auto"/>
          <w:lang w:val="en-US" w:eastAsia="zh-CN"/>
        </w:rPr>
        <w:t>10</w:t>
      </w:r>
      <w:r>
        <w:rPr>
          <w:rFonts w:cs="Times New Roman"/>
          <w:color w:val="auto"/>
        </w:rPr>
        <w:t xml:space="preserve">   </w:t>
      </w:r>
      <w:r>
        <w:rPr>
          <w:rFonts w:ascii="Times New Roman" w:hAnsi="Times New Roman" w:cs="Times New Roman"/>
          <w:color w:val="auto"/>
        </w:rPr>
        <w:t>建筑施工场界环境噪声排放标准</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277"/>
        <w:gridCol w:w="1408"/>
        <w:gridCol w:w="1154"/>
        <w:gridCol w:w="3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序号</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取值时间</w:t>
            </w:r>
          </w:p>
        </w:tc>
        <w:tc>
          <w:tcPr>
            <w:tcW w:w="826"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浓度限值</w:t>
            </w:r>
          </w:p>
        </w:tc>
        <w:tc>
          <w:tcPr>
            <w:tcW w:w="677"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单位</w:t>
            </w:r>
          </w:p>
        </w:tc>
        <w:tc>
          <w:tcPr>
            <w:tcW w:w="2341" w:type="pct"/>
            <w:vAlign w:val="center"/>
          </w:tcPr>
          <w:p>
            <w:pPr>
              <w:keepLines/>
              <w:adjustRightInd w:val="0"/>
              <w:snapToGrid w:val="0"/>
              <w:spacing w:line="240" w:lineRule="auto"/>
              <w:ind w:firstLine="0" w:firstLineChars="0"/>
              <w:jc w:val="center"/>
              <w:rPr>
                <w:rFonts w:ascii="Times New Roman" w:hAnsi="Times New Roman" w:cs="Times New Roman"/>
                <w:b/>
                <w:bCs/>
                <w:color w:val="auto"/>
                <w:spacing w:val="6"/>
                <w:sz w:val="21"/>
                <w:szCs w:val="21"/>
              </w:rPr>
            </w:pPr>
            <w:r>
              <w:rPr>
                <w:rFonts w:ascii="Times New Roman" w:hAnsi="Times New Roman" w:cs="Times New Roman"/>
                <w:b/>
                <w:bCs/>
                <w:color w:val="auto"/>
                <w:spacing w:val="6"/>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1</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昼间</w:t>
            </w:r>
          </w:p>
        </w:tc>
        <w:tc>
          <w:tcPr>
            <w:tcW w:w="82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w:t>
            </w:r>
            <w:r>
              <w:rPr>
                <w:rFonts w:hint="eastAsia" w:ascii="Times New Roman" w:hAnsi="Times New Roman" w:cs="Times New Roman"/>
                <w:color w:val="auto"/>
                <w:spacing w:val="6"/>
                <w:sz w:val="21"/>
                <w:szCs w:val="21"/>
                <w:lang w:val="en-US" w:eastAsia="zh-CN"/>
              </w:rPr>
              <w:t>70</w:t>
            </w:r>
          </w:p>
        </w:tc>
        <w:tc>
          <w:tcPr>
            <w:tcW w:w="677"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dB（A）</w:t>
            </w:r>
          </w:p>
        </w:tc>
        <w:tc>
          <w:tcPr>
            <w:tcW w:w="2341" w:type="pct"/>
            <w:vMerge w:val="restar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hint="eastAsia" w:ascii="Times New Roman" w:hAnsi="Times New Roman" w:cs="Times New Roman"/>
                <w:color w:val="auto"/>
                <w:spacing w:val="6"/>
                <w:sz w:val="21"/>
                <w:szCs w:val="21"/>
              </w:rPr>
              <w:t>《建筑施工场界环境噪声排放标准》（GB</w:t>
            </w:r>
            <w:r>
              <w:rPr>
                <w:rFonts w:hint="eastAsia" w:ascii="Times New Roman" w:hAnsi="Times New Roman" w:cs="Times New Roman"/>
                <w:color w:val="auto"/>
                <w:spacing w:val="6"/>
                <w:sz w:val="21"/>
                <w:szCs w:val="21"/>
                <w:lang w:val="en-US" w:eastAsia="zh-CN"/>
              </w:rPr>
              <w:t xml:space="preserve"> </w:t>
            </w:r>
            <w:r>
              <w:rPr>
                <w:rFonts w:hint="eastAsia" w:ascii="Times New Roman" w:hAnsi="Times New Roman" w:cs="Times New Roman"/>
                <w:color w:val="auto"/>
                <w:spacing w:val="6"/>
                <w:sz w:val="21"/>
                <w:szCs w:val="21"/>
              </w:rPr>
              <w:t>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4"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2</w:t>
            </w:r>
          </w:p>
        </w:tc>
        <w:tc>
          <w:tcPr>
            <w:tcW w:w="749" w:type="pct"/>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r>
              <w:rPr>
                <w:rFonts w:ascii="Times New Roman" w:hAnsi="Times New Roman" w:cs="Times New Roman"/>
                <w:color w:val="auto"/>
                <w:spacing w:val="6"/>
                <w:sz w:val="21"/>
                <w:szCs w:val="21"/>
              </w:rPr>
              <w:t>夜间</w:t>
            </w:r>
          </w:p>
        </w:tc>
        <w:tc>
          <w:tcPr>
            <w:tcW w:w="826" w:type="pct"/>
            <w:vAlign w:val="center"/>
          </w:tcPr>
          <w:p>
            <w:pPr>
              <w:keepLines/>
              <w:adjustRightInd w:val="0"/>
              <w:snapToGrid w:val="0"/>
              <w:spacing w:line="240" w:lineRule="auto"/>
              <w:ind w:firstLine="0" w:firstLineChars="0"/>
              <w:jc w:val="center"/>
              <w:rPr>
                <w:rFonts w:hint="default" w:ascii="Times New Roman" w:hAnsi="Times New Roman" w:eastAsia="宋体" w:cs="Times New Roman"/>
                <w:color w:val="auto"/>
                <w:spacing w:val="6"/>
                <w:sz w:val="21"/>
                <w:szCs w:val="21"/>
                <w:lang w:val="en-US" w:eastAsia="zh-CN"/>
              </w:rPr>
            </w:pPr>
            <w:r>
              <w:rPr>
                <w:rFonts w:ascii="Times New Roman" w:hAnsi="Times New Roman" w:cs="Times New Roman"/>
                <w:color w:val="auto"/>
                <w:spacing w:val="6"/>
                <w:sz w:val="21"/>
                <w:szCs w:val="21"/>
              </w:rPr>
              <w:t>≤</w:t>
            </w:r>
            <w:r>
              <w:rPr>
                <w:rFonts w:hint="eastAsia" w:ascii="Times New Roman" w:hAnsi="Times New Roman" w:cs="Times New Roman"/>
                <w:color w:val="auto"/>
                <w:spacing w:val="6"/>
                <w:sz w:val="21"/>
                <w:szCs w:val="21"/>
                <w:lang w:val="en-US" w:eastAsia="zh-CN"/>
              </w:rPr>
              <w:t>55</w:t>
            </w:r>
          </w:p>
        </w:tc>
        <w:tc>
          <w:tcPr>
            <w:tcW w:w="677"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c>
          <w:tcPr>
            <w:tcW w:w="2341" w:type="pct"/>
            <w:vMerge w:val="continue"/>
            <w:vAlign w:val="center"/>
          </w:tcPr>
          <w:p>
            <w:pPr>
              <w:keepLines/>
              <w:adjustRightInd w:val="0"/>
              <w:snapToGrid w:val="0"/>
              <w:spacing w:line="240" w:lineRule="auto"/>
              <w:ind w:firstLine="0" w:firstLineChars="0"/>
              <w:jc w:val="center"/>
              <w:rPr>
                <w:rFonts w:ascii="Times New Roman" w:hAnsi="Times New Roman" w:cs="Times New Roman"/>
                <w:color w:val="auto"/>
                <w:spacing w:val="6"/>
                <w:sz w:val="21"/>
                <w:szCs w:val="21"/>
              </w:rPr>
            </w:pPr>
          </w:p>
        </w:tc>
      </w:tr>
    </w:tbl>
    <w:p>
      <w:pPr>
        <w:spacing w:line="520" w:lineRule="exact"/>
        <w:rPr>
          <w:rFonts w:ascii="Times New Roman" w:hAnsi="Times New Roman" w:cs="Times New Roman"/>
          <w:color w:val="auto"/>
        </w:rPr>
      </w:pPr>
      <w:r>
        <w:rPr>
          <w:rFonts w:ascii="Times New Roman" w:hAnsi="Times New Roman" w:cs="Times New Roman"/>
          <w:color w:val="auto"/>
        </w:rPr>
        <w:t>（4）固体污染物控制标准</w:t>
      </w:r>
    </w:p>
    <w:p>
      <w:pPr>
        <w:spacing w:line="520" w:lineRule="exact"/>
        <w:rPr>
          <w:rFonts w:ascii="Times New Roman" w:hAnsi="Times New Roman" w:cs="Times New Roman"/>
          <w:color w:val="auto"/>
          <w:highlight w:val="yellow"/>
        </w:rPr>
      </w:pPr>
      <w:r>
        <w:rPr>
          <w:rFonts w:ascii="Times New Roman" w:hAnsi="Times New Roman" w:cs="Times New Roman"/>
          <w:color w:val="auto"/>
          <w:highlight w:val="none"/>
        </w:rPr>
        <w:t>一般固体废弃物处置执行《一般工业固体废物贮存、处置场污染控制标准》（GB18599-2001）及环保部2013年第36号公告修改单要求；危险废物贮存执行《危险废物贮存控制标准》（18957-2001）及2013年修改单（公告2013年第36号）标准要求；医疗垃圾执行《危险废物贮存污染物控制标准》和国家环保部2013年第36号公告所发布的修改单内容；水处理污泥执行《医疗机构水污染物排放标准》（GB18466-2005）中废水污泥排放标准。</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.4-</w:t>
      </w:r>
      <w:r>
        <w:rPr>
          <w:rFonts w:hint="eastAsia" w:cs="Times New Roman"/>
          <w:color w:val="auto"/>
          <w:lang w:val="en-US" w:eastAsia="zh-CN"/>
        </w:rPr>
        <w:t>11</w:t>
      </w:r>
      <w:r>
        <w:rPr>
          <w:rFonts w:cs="Times New Roman"/>
          <w:color w:val="auto"/>
        </w:rPr>
        <w:t xml:space="preserve">   医疗机构污泥控制标准</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81"/>
        <w:gridCol w:w="2516"/>
        <w:gridCol w:w="25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97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医疗机构类别</w:t>
            </w:r>
          </w:p>
        </w:tc>
        <w:tc>
          <w:tcPr>
            <w:tcW w:w="151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粪大肠菌群（MPN/g）</w:t>
            </w:r>
          </w:p>
        </w:tc>
        <w:tc>
          <w:tcPr>
            <w:tcW w:w="151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蛔虫卵死亡率（%）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7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综合医疗机构和其他医疗机构</w:t>
            </w:r>
          </w:p>
        </w:tc>
        <w:tc>
          <w:tcPr>
            <w:tcW w:w="15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5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＞95</w:t>
            </w:r>
          </w:p>
        </w:tc>
      </w:tr>
    </w:tbl>
    <w:p>
      <w:pPr>
        <w:pStyle w:val="8"/>
        <w:keepLines w:val="0"/>
        <w:jc w:val="left"/>
        <w:rPr>
          <w:rFonts w:ascii="Times New Roman" w:hAnsi="Times New Roman" w:cs="Times New Roman"/>
          <w:color w:val="auto"/>
          <w:kern w:val="0"/>
          <w:szCs w:val="30"/>
          <w:highlight w:val="yellow"/>
        </w:rPr>
      </w:pPr>
      <w:bookmarkStart w:id="43" w:name="_Toc8868_WPSOffice_Level2"/>
      <w:bookmarkStart w:id="44" w:name="_Toc3569"/>
      <w:bookmarkStart w:id="45" w:name="_Toc13504"/>
      <w:bookmarkStart w:id="46" w:name="_Toc6974"/>
      <w:bookmarkStart w:id="47" w:name="_Toc2795"/>
      <w:bookmarkStart w:id="48" w:name="_Toc19964_WPSOffice_Level2"/>
      <w:bookmarkStart w:id="49" w:name="_Toc10884"/>
      <w:bookmarkStart w:id="50" w:name="_Toc10802"/>
      <w:bookmarkStart w:id="51" w:name="_Toc1186"/>
      <w:bookmarkStart w:id="52" w:name="_Toc1139"/>
      <w:bookmarkStart w:id="53" w:name="_Toc7280"/>
      <w:bookmarkStart w:id="54" w:name="_Toc23331"/>
      <w:bookmarkStart w:id="55" w:name="_Toc6832"/>
      <w:r>
        <w:rPr>
          <w:rFonts w:ascii="Times New Roman" w:hAnsi="Times New Roman" w:cs="Times New Roman"/>
          <w:color w:val="auto"/>
          <w:kern w:val="0"/>
          <w:szCs w:val="30"/>
        </w:rPr>
        <w:t>2.5 评价工作等级和评价范围</w:t>
      </w:r>
      <w:bookmarkEnd w:id="43"/>
      <w:bookmarkEnd w:id="44"/>
      <w:bookmarkEnd w:id="45"/>
      <w:bookmarkEnd w:id="46"/>
      <w:bookmarkEnd w:id="47"/>
      <w:bookmarkEnd w:id="48"/>
      <w:bookmarkEnd w:id="49"/>
      <w:bookmarkEnd w:id="50"/>
      <w:bookmarkEnd w:id="51"/>
      <w:bookmarkEnd w:id="52"/>
      <w:bookmarkEnd w:id="53"/>
      <w:bookmarkEnd w:id="54"/>
      <w:bookmarkEnd w:id="55"/>
    </w:p>
    <w:p>
      <w:pPr>
        <w:pStyle w:val="9"/>
        <w:spacing w:line="413" w:lineRule="auto"/>
        <w:rPr>
          <w:rFonts w:ascii="Times New Roman" w:hAnsi="Times New Roman" w:cs="Times New Roman"/>
          <w:color w:val="auto"/>
          <w:highlight w:val="yellow"/>
        </w:rPr>
      </w:pPr>
      <w:bookmarkStart w:id="56" w:name="_Toc27779"/>
      <w:r>
        <w:rPr>
          <w:rFonts w:ascii="Times New Roman" w:hAnsi="Times New Roman" w:cs="Times New Roman"/>
          <w:color w:val="auto"/>
        </w:rPr>
        <w:t>2.5.1 大气环境影响评价等级及范围</w:t>
      </w:r>
      <w:bookmarkEnd w:id="56"/>
    </w:p>
    <w:p>
      <w:pPr>
        <w:pStyle w:val="10"/>
        <w:rPr>
          <w:rFonts w:cs="Times New Roman"/>
          <w:color w:val="auto"/>
        </w:rPr>
      </w:pPr>
      <w:r>
        <w:rPr>
          <w:rFonts w:cs="Times New Roman"/>
          <w:color w:val="auto"/>
        </w:rPr>
        <w:t>2.5.1.1 评价等级</w:t>
      </w:r>
    </w:p>
    <w:p>
      <w:pPr>
        <w:spacing w:line="520" w:lineRule="exact"/>
        <w:rPr>
          <w:rFonts w:ascii="Times New Roman" w:hAnsi="Times New Roman" w:cs="Times New Roman"/>
          <w:color w:val="auto"/>
        </w:rPr>
      </w:pPr>
      <w:r>
        <w:rPr>
          <w:rFonts w:ascii="Times New Roman" w:hAnsi="Times New Roman" w:cs="Times New Roman"/>
          <w:color w:val="auto"/>
        </w:rPr>
        <w:t>（1）判定依据</w:t>
      </w:r>
    </w:p>
    <w:p>
      <w:pPr>
        <w:spacing w:line="520" w:lineRule="exact"/>
        <w:rPr>
          <w:rFonts w:ascii="Times New Roman" w:hAnsi="Times New Roman" w:cs="Times New Roman"/>
          <w:color w:val="auto"/>
        </w:rPr>
      </w:pPr>
      <w:r>
        <w:rPr>
          <w:rFonts w:ascii="Times New Roman" w:hAnsi="Times New Roman" w:cs="Times New Roman"/>
          <w:color w:val="auto"/>
        </w:rPr>
        <w:t>项目根据工程特点和污染特征以及周围环境状况，采用《环境影响评价技术导则·大气环境》（HJ2.2-2018）中规定的方法核算，计算公式及评价工作级别判断表（表2</w:t>
      </w:r>
      <w:r>
        <w:rPr>
          <w:rFonts w:hint="eastAsia" w:ascii="Times New Roman" w:hAnsi="Times New Roman" w:cs="Times New Roman"/>
          <w:color w:val="auto"/>
        </w:rPr>
        <w:t>.5-1</w:t>
      </w:r>
      <w:r>
        <w:rPr>
          <w:rFonts w:ascii="Times New Roman" w:hAnsi="Times New Roman" w:cs="Times New Roman"/>
          <w:color w:val="auto"/>
        </w:rPr>
        <w:t>）如下：</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object>
          <v:shape id="_x0000_i1025" o:spt="75" type="#_x0000_t75" style="height:34.2pt;width:78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式中：P</w:t>
      </w:r>
      <w:r>
        <w:rPr>
          <w:rFonts w:ascii="Times New Roman" w:hAnsi="Times New Roman" w:cs="Times New Roman"/>
          <w:color w:val="auto"/>
          <w:vertAlign w:val="subscript"/>
        </w:rPr>
        <w:t>i</w:t>
      </w:r>
      <w:r>
        <w:rPr>
          <w:rFonts w:ascii="Times New Roman" w:hAnsi="Times New Roman" w:cs="Times New Roman"/>
          <w:color w:val="auto"/>
        </w:rPr>
        <w:t>---第i个污染物的最大地面浓度占标率，%；</w:t>
      </w:r>
    </w:p>
    <w:p>
      <w:pPr>
        <w:spacing w:line="520" w:lineRule="exact"/>
        <w:rPr>
          <w:rFonts w:ascii="Times New Roman" w:hAnsi="Times New Roman" w:cs="Times New Roman"/>
          <w:color w:val="auto"/>
        </w:rPr>
      </w:pPr>
      <w:r>
        <w:rPr>
          <w:rFonts w:ascii="Times New Roman" w:hAnsi="Times New Roman" w:cs="Times New Roman"/>
          <w:color w:val="auto"/>
        </w:rPr>
        <w:t xml:space="preserve">      C</w:t>
      </w:r>
      <w:r>
        <w:rPr>
          <w:rFonts w:ascii="Times New Roman" w:hAnsi="Times New Roman" w:cs="Times New Roman"/>
          <w:color w:val="auto"/>
          <w:vertAlign w:val="subscript"/>
        </w:rPr>
        <w:t>i</w:t>
      </w:r>
      <w:r>
        <w:rPr>
          <w:rFonts w:ascii="Times New Roman" w:hAnsi="Times New Roman" w:cs="Times New Roman"/>
          <w:color w:val="auto"/>
        </w:rPr>
        <w:t>---采用估算模式计算出的第i个污染物的最大地面浓度，mg/m</w:t>
      </w:r>
      <w:r>
        <w:rPr>
          <w:rFonts w:ascii="Times New Roman" w:hAnsi="Times New Roman" w:cs="Times New Roman"/>
          <w:color w:val="auto"/>
          <w:vertAlign w:val="superscript"/>
        </w:rPr>
        <w:t>3</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 xml:space="preserve">      C</w:t>
      </w:r>
      <w:r>
        <w:rPr>
          <w:rFonts w:ascii="Times New Roman" w:hAnsi="Times New Roman" w:cs="Times New Roman"/>
          <w:color w:val="auto"/>
          <w:vertAlign w:val="subscript"/>
        </w:rPr>
        <w:t>oi</w:t>
      </w:r>
      <w:r>
        <w:rPr>
          <w:rFonts w:ascii="Times New Roman" w:hAnsi="Times New Roman" w:cs="Times New Roman"/>
          <w:color w:val="auto"/>
        </w:rPr>
        <w:t>---第i个污染物的环境空气质量标准，mg/m</w:t>
      </w:r>
      <w:r>
        <w:rPr>
          <w:rFonts w:ascii="Times New Roman" w:hAnsi="Times New Roman" w:cs="Times New Roman"/>
          <w:color w:val="auto"/>
          <w:vertAlign w:val="superscript"/>
        </w:rPr>
        <w:t>3</w:t>
      </w:r>
      <w:r>
        <w:rPr>
          <w:rFonts w:ascii="Times New Roman" w:hAnsi="Times New Roman" w:cs="Times New Roman"/>
          <w:color w:val="auto"/>
        </w:rPr>
        <w:t>。一般选用GB3095中1h平均质量浓度的二级浓度限值，µg/m</w:t>
      </w:r>
      <w:r>
        <w:rPr>
          <w:rFonts w:ascii="Times New Roman" w:hAnsi="Times New Roman" w:cs="Times New Roman"/>
          <w:color w:val="auto"/>
          <w:vertAlign w:val="superscript"/>
        </w:rPr>
        <w:t>3</w:t>
      </w:r>
      <w:r>
        <w:rPr>
          <w:rFonts w:ascii="Times New Roman" w:hAnsi="Times New Roman" w:cs="Times New Roman"/>
          <w:color w:val="auto"/>
        </w:rPr>
        <w:t>；对仅有8h平均质量浓度限值、日平均质量浓度限值或年平均质量浓度限值的，可分别按2倍、3倍、6倍折算为1h平均质量浓度限值。</w:t>
      </w:r>
    </w:p>
    <w:p>
      <w:pPr>
        <w:spacing w:line="520" w:lineRule="exact"/>
        <w:rPr>
          <w:rFonts w:ascii="Times New Roman" w:hAnsi="Times New Roman" w:cs="Times New Roman"/>
          <w:color w:val="auto"/>
        </w:rPr>
      </w:pPr>
      <w:r>
        <w:rPr>
          <w:rFonts w:ascii="Times New Roman" w:hAnsi="Times New Roman" w:cs="Times New Roman"/>
          <w:color w:val="auto"/>
        </w:rPr>
        <w:t>评价工作等级按表2-10的分级判据进行划分。最大地面浓度占标率Pi按公式计算，如污染物i大于1，取P值的最大者（Pmax），和其对应的D10%。</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.5-1</w:t>
      </w:r>
      <w:r>
        <w:rPr>
          <w:rFonts w:cs="Times New Roman"/>
          <w:color w:val="auto"/>
        </w:rPr>
        <w:t xml:space="preserve">   评价工作等级分级判据</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022" w:type="pct"/>
            <w:vAlign w:val="center"/>
          </w:tcPr>
          <w:p>
            <w:pPr>
              <w:pStyle w:val="36"/>
              <w:rPr>
                <w:rFonts w:ascii="Times New Roman" w:hAnsi="Times New Roman" w:cs="Times New Roman"/>
                <w:b/>
                <w:bCs/>
                <w:color w:val="auto"/>
              </w:rPr>
            </w:pPr>
            <w:r>
              <w:rPr>
                <w:rFonts w:ascii="Times New Roman" w:hAnsi="Times New Roman" w:cs="Times New Roman"/>
                <w:b/>
                <w:bCs/>
                <w:color w:val="auto"/>
              </w:rPr>
              <w:t>评价工作等级</w:t>
            </w:r>
          </w:p>
        </w:tc>
        <w:tc>
          <w:tcPr>
            <w:tcW w:w="3977" w:type="pct"/>
            <w:vAlign w:val="center"/>
          </w:tcPr>
          <w:p>
            <w:pPr>
              <w:pStyle w:val="36"/>
              <w:rPr>
                <w:rFonts w:ascii="Times New Roman" w:hAnsi="Times New Roman" w:cs="Times New Roman"/>
                <w:b/>
                <w:bCs/>
                <w:color w:val="auto"/>
              </w:rPr>
            </w:pPr>
            <w:r>
              <w:rPr>
                <w:rFonts w:ascii="Times New Roman" w:hAnsi="Times New Roman" w:cs="Times New Roman"/>
                <w:b/>
                <w:bCs/>
                <w:color w:val="auto"/>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36"/>
              <w:rPr>
                <w:rFonts w:ascii="Times New Roman" w:hAnsi="Times New Roman" w:cs="Times New Roman"/>
                <w:color w:val="auto"/>
              </w:rPr>
            </w:pPr>
            <w:r>
              <w:rPr>
                <w:rFonts w:ascii="Times New Roman" w:hAnsi="Times New Roman" w:cs="Times New Roman"/>
                <w:color w:val="auto"/>
              </w:rPr>
              <w:t>一级</w:t>
            </w:r>
          </w:p>
        </w:tc>
        <w:tc>
          <w:tcPr>
            <w:tcW w:w="3977" w:type="pct"/>
            <w:vAlign w:val="center"/>
          </w:tcPr>
          <w:p>
            <w:pPr>
              <w:pStyle w:val="36"/>
              <w:rPr>
                <w:rFonts w:ascii="Times New Roman" w:hAnsi="Times New Roman" w:cs="Times New Roman"/>
                <w:color w:val="auto"/>
              </w:rPr>
            </w:pPr>
            <w:r>
              <w:rPr>
                <w:rFonts w:ascii="Times New Roman" w:hAnsi="Times New Roman" w:cs="Times New Roman"/>
                <w:color w:val="auto"/>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36"/>
              <w:rPr>
                <w:rFonts w:ascii="Times New Roman" w:hAnsi="Times New Roman" w:cs="Times New Roman"/>
                <w:color w:val="auto"/>
              </w:rPr>
            </w:pPr>
            <w:r>
              <w:rPr>
                <w:rFonts w:ascii="Times New Roman" w:hAnsi="Times New Roman" w:cs="Times New Roman"/>
                <w:color w:val="auto"/>
              </w:rPr>
              <w:t>二级</w:t>
            </w:r>
          </w:p>
        </w:tc>
        <w:tc>
          <w:tcPr>
            <w:tcW w:w="3977" w:type="pct"/>
            <w:vAlign w:val="center"/>
          </w:tcPr>
          <w:p>
            <w:pPr>
              <w:pStyle w:val="36"/>
              <w:rPr>
                <w:rFonts w:ascii="Times New Roman" w:hAnsi="Times New Roman" w:cs="Times New Roman"/>
                <w:color w:val="auto"/>
              </w:rPr>
            </w:pPr>
            <w:r>
              <w:rPr>
                <w:rFonts w:ascii="Times New Roman" w:hAnsi="Times New Roman" w:cs="Times New Roman"/>
                <w:color w:val="auto"/>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22" w:type="pct"/>
            <w:vAlign w:val="center"/>
          </w:tcPr>
          <w:p>
            <w:pPr>
              <w:pStyle w:val="36"/>
              <w:rPr>
                <w:rFonts w:ascii="Times New Roman" w:hAnsi="Times New Roman" w:cs="Times New Roman"/>
                <w:color w:val="auto"/>
              </w:rPr>
            </w:pPr>
            <w:r>
              <w:rPr>
                <w:rFonts w:ascii="Times New Roman" w:hAnsi="Times New Roman" w:cs="Times New Roman"/>
                <w:color w:val="auto"/>
              </w:rPr>
              <w:t>三级</w:t>
            </w:r>
          </w:p>
        </w:tc>
        <w:tc>
          <w:tcPr>
            <w:tcW w:w="3977" w:type="pct"/>
            <w:vAlign w:val="center"/>
          </w:tcPr>
          <w:p>
            <w:pPr>
              <w:pStyle w:val="36"/>
              <w:rPr>
                <w:rFonts w:ascii="Times New Roman" w:hAnsi="Times New Roman" w:cs="Times New Roman"/>
                <w:color w:val="auto"/>
              </w:rPr>
            </w:pPr>
            <w:r>
              <w:rPr>
                <w:rFonts w:ascii="Times New Roman" w:hAnsi="Times New Roman" w:cs="Times New Roman"/>
                <w:color w:val="auto"/>
              </w:rPr>
              <w:t>Pmax＜1%</w:t>
            </w:r>
          </w:p>
        </w:tc>
      </w:tr>
    </w:tbl>
    <w:p>
      <w:pPr>
        <w:spacing w:line="520" w:lineRule="exact"/>
        <w:rPr>
          <w:rFonts w:ascii="Times New Roman" w:hAnsi="Times New Roman" w:cs="Times New Roman"/>
          <w:color w:val="auto"/>
          <w:highlight w:val="yellow"/>
        </w:rPr>
      </w:pPr>
      <w:r>
        <w:rPr>
          <w:rFonts w:ascii="Times New Roman" w:hAnsi="Times New Roman" w:cs="Times New Roman"/>
          <w:color w:val="auto"/>
        </w:rPr>
        <w:t>本项目大气污染物主要为污水处理站产生的恶臭，污染物主要为H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。本评价主要以工艺废气中H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的排放量来确定评价工作等级。H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空气质量浓度分别取《环境影响评价技术导则大气环境》（HJ2.2-2018）附录D表D.1中H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的1h平均值分别为10μg/m</w:t>
      </w:r>
      <w:r>
        <w:rPr>
          <w:rFonts w:ascii="Times New Roman" w:hAnsi="Times New Roman" w:cs="Times New Roman"/>
          <w:color w:val="auto"/>
          <w:vertAlign w:val="superscript"/>
        </w:rPr>
        <w:t>3</w:t>
      </w:r>
      <w:r>
        <w:rPr>
          <w:rFonts w:ascii="Times New Roman" w:hAnsi="Times New Roman" w:cs="Times New Roman"/>
          <w:color w:val="auto"/>
        </w:rPr>
        <w:t>和200μg/m</w:t>
      </w:r>
      <w:r>
        <w:rPr>
          <w:rFonts w:ascii="Times New Roman" w:hAnsi="Times New Roman" w:cs="Times New Roman"/>
          <w:color w:val="auto"/>
          <w:vertAlign w:val="superscript"/>
        </w:rPr>
        <w:t>3</w:t>
      </w:r>
      <w:r>
        <w:rPr>
          <w:rFonts w:ascii="Times New Roman" w:hAnsi="Times New Roman" w:cs="Times New Roman"/>
          <w:color w:val="auto"/>
        </w:rPr>
        <w:t>。</w:t>
      </w:r>
    </w:p>
    <w:p>
      <w:pPr>
        <w:spacing w:line="520" w:lineRule="exact"/>
        <w:ind w:firstLine="456"/>
        <w:rPr>
          <w:rFonts w:ascii="Times New Roman" w:hAnsi="Times New Roman" w:cs="Times New Roman"/>
          <w:color w:val="auto"/>
          <w:spacing w:val="-6"/>
        </w:rPr>
      </w:pPr>
      <w:r>
        <w:rPr>
          <w:rFonts w:ascii="Times New Roman" w:hAnsi="Times New Roman" w:cs="Times New Roman"/>
          <w:color w:val="auto"/>
          <w:spacing w:val="-6"/>
        </w:rPr>
        <w:t>（2）估算模式参数选取</w:t>
      </w:r>
    </w:p>
    <w:p>
      <w:pPr>
        <w:spacing w:line="520" w:lineRule="exact"/>
        <w:ind w:firstLine="456"/>
        <w:rPr>
          <w:rFonts w:ascii="Times New Roman" w:hAnsi="Times New Roman" w:cs="Times New Roman"/>
          <w:color w:val="auto"/>
        </w:rPr>
      </w:pPr>
      <w:r>
        <w:rPr>
          <w:rFonts w:ascii="Times New Roman" w:hAnsi="Times New Roman" w:cs="Times New Roman"/>
          <w:color w:val="auto"/>
          <w:spacing w:val="-6"/>
        </w:rPr>
        <w:t>本次评价选择《环境评价技术导则 大气环境》（HJ2.2-2018）推荐的AERSCREEN估算模型，选取本项目估算模型参数见表2</w:t>
      </w:r>
      <w:r>
        <w:rPr>
          <w:rFonts w:hint="eastAsia" w:ascii="Times New Roman" w:hAnsi="Times New Roman" w:cs="Times New Roman"/>
          <w:color w:val="auto"/>
          <w:spacing w:val="-6"/>
        </w:rPr>
        <w:t>.5-2</w:t>
      </w:r>
      <w:r>
        <w:rPr>
          <w:rFonts w:ascii="Times New Roman" w:hAnsi="Times New Roman" w:cs="Times New Roman"/>
          <w:color w:val="auto"/>
          <w:spacing w:val="-6"/>
        </w:rPr>
        <w:t>，大气污染物排放参数详见表2</w:t>
      </w:r>
      <w:r>
        <w:rPr>
          <w:rFonts w:hint="eastAsia" w:ascii="Times New Roman" w:hAnsi="Times New Roman" w:cs="Times New Roman"/>
          <w:color w:val="auto"/>
          <w:spacing w:val="-6"/>
        </w:rPr>
        <w:t>.5-3</w:t>
      </w:r>
      <w:r>
        <w:rPr>
          <w:rFonts w:ascii="Times New Roman" w:hAnsi="Times New Roman" w:cs="Times New Roman"/>
          <w:color w:val="auto"/>
          <w:spacing w:val="-6"/>
        </w:rPr>
        <w:t>。</w:t>
      </w:r>
    </w:p>
    <w:p>
      <w:pPr>
        <w:pStyle w:val="35"/>
        <w:spacing w:before="0" w:after="0" w:line="520" w:lineRule="exact"/>
        <w:rPr>
          <w:rFonts w:cs="Times New Roman"/>
          <w:color w:val="auto"/>
          <w:lang w:val="zh-CN"/>
        </w:rPr>
      </w:pPr>
      <w:r>
        <w:rPr>
          <w:rFonts w:cs="Times New Roman"/>
          <w:color w:val="auto"/>
          <w:lang w:val="zh-CN"/>
        </w:rPr>
        <w:t>表</w:t>
      </w:r>
      <w:r>
        <w:rPr>
          <w:rFonts w:cs="Times New Roman"/>
          <w:color w:val="auto"/>
        </w:rPr>
        <w:t>2</w:t>
      </w:r>
      <w:r>
        <w:rPr>
          <w:rFonts w:hint="eastAsia" w:cs="Times New Roman"/>
          <w:color w:val="auto"/>
        </w:rPr>
        <w:t>.5-2</w:t>
      </w:r>
      <w:r>
        <w:rPr>
          <w:rFonts w:cs="Times New Roman"/>
          <w:color w:val="auto"/>
        </w:rPr>
        <w:t xml:space="preserve">   </w:t>
      </w:r>
      <w:r>
        <w:rPr>
          <w:rFonts w:cs="Times New Roman"/>
          <w:color w:val="auto"/>
          <w:lang w:val="zh-CN"/>
        </w:rPr>
        <w:t>估算模型参数表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333" w:type="pct"/>
            <w:gridSpan w:val="2"/>
            <w:vAlign w:val="center"/>
          </w:tcPr>
          <w:p>
            <w:pPr>
              <w:adjustRightInd w:val="0"/>
              <w:snapToGrid w:val="0"/>
              <w:spacing w:line="240" w:lineRule="auto"/>
              <w:ind w:firstLine="422"/>
              <w:jc w:val="center"/>
              <w:rPr>
                <w:rFonts w:ascii="Times New Roman" w:hAnsi="Times New Roman" w:cs="Times New Roman"/>
                <w:b/>
                <w:bCs/>
                <w:color w:val="auto"/>
                <w:sz w:val="21"/>
                <w:szCs w:val="21"/>
                <w:lang w:val="zh-CN"/>
              </w:rPr>
            </w:pPr>
            <w:r>
              <w:rPr>
                <w:rFonts w:ascii="Times New Roman" w:hAnsi="Times New Roman" w:cs="Times New Roman"/>
                <w:b/>
                <w:bCs/>
                <w:color w:val="auto"/>
                <w:sz w:val="21"/>
                <w:szCs w:val="21"/>
                <w:lang w:val="zh-CN"/>
              </w:rPr>
              <w:t>参数</w:t>
            </w:r>
          </w:p>
        </w:tc>
        <w:tc>
          <w:tcPr>
            <w:tcW w:w="1666" w:type="pct"/>
            <w:vAlign w:val="center"/>
          </w:tcPr>
          <w:p>
            <w:pPr>
              <w:adjustRightInd w:val="0"/>
              <w:snapToGrid w:val="0"/>
              <w:spacing w:line="240" w:lineRule="auto"/>
              <w:ind w:firstLine="422"/>
              <w:jc w:val="center"/>
              <w:rPr>
                <w:rFonts w:ascii="Times New Roman" w:hAnsi="Times New Roman" w:cs="Times New Roman"/>
                <w:b/>
                <w:bCs/>
                <w:color w:val="auto"/>
                <w:sz w:val="21"/>
                <w:szCs w:val="21"/>
                <w:lang w:val="zh-CN"/>
              </w:rPr>
            </w:pPr>
            <w:r>
              <w:rPr>
                <w:rFonts w:ascii="Times New Roman" w:hAnsi="Times New Roman" w:cs="Times New Roman"/>
                <w:b/>
                <w:bCs/>
                <w:color w:val="auto"/>
                <w:sz w:val="21"/>
                <w:szCs w:val="21"/>
                <w:lang w:val="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城市</w:t>
            </w:r>
            <w:r>
              <w:rPr>
                <w:rFonts w:ascii="Times New Roman" w:hAnsi="Times New Roman" w:cs="Times New Roman"/>
                <w:color w:val="auto"/>
                <w:sz w:val="21"/>
                <w:szCs w:val="21"/>
              </w:rPr>
              <w:t>/农村选型</w:t>
            </w:r>
          </w:p>
        </w:tc>
        <w:tc>
          <w:tcPr>
            <w:tcW w:w="1667" w:type="pc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城市</w:t>
            </w:r>
            <w:r>
              <w:rPr>
                <w:rFonts w:ascii="Times New Roman" w:hAnsi="Times New Roman" w:cs="Times New Roman"/>
                <w:color w:val="auto"/>
                <w:sz w:val="21"/>
                <w:szCs w:val="21"/>
              </w:rPr>
              <w:t>/农村</w:t>
            </w:r>
          </w:p>
        </w:tc>
        <w:tc>
          <w:tcPr>
            <w:tcW w:w="1666" w:type="pc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人口数（城市选项时）</w:t>
            </w:r>
          </w:p>
        </w:tc>
        <w:tc>
          <w:tcPr>
            <w:tcW w:w="1666" w:type="pc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最高环境温度</w:t>
            </w:r>
            <w:r>
              <w:rPr>
                <w:rFonts w:ascii="Times New Roman" w:hAnsi="Times New Roman" w:cs="Times New Roman"/>
                <w:color w:val="auto"/>
                <w:sz w:val="21"/>
                <w:szCs w:val="21"/>
              </w:rPr>
              <w:t>/℃</w:t>
            </w:r>
          </w:p>
        </w:tc>
        <w:tc>
          <w:tcPr>
            <w:tcW w:w="1666" w:type="pc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最低环境温度</w:t>
            </w:r>
            <w:r>
              <w:rPr>
                <w:rFonts w:ascii="Times New Roman" w:hAnsi="Times New Roman" w:cs="Times New Roman"/>
                <w:color w:val="auto"/>
                <w:sz w:val="21"/>
                <w:szCs w:val="21"/>
              </w:rPr>
              <w:t>/℃</w:t>
            </w:r>
          </w:p>
        </w:tc>
        <w:tc>
          <w:tcPr>
            <w:tcW w:w="1666" w:type="pc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土地利用类型</w:t>
            </w:r>
          </w:p>
        </w:tc>
        <w:tc>
          <w:tcPr>
            <w:tcW w:w="1666" w:type="pct"/>
            <w:vAlign w:val="center"/>
          </w:tcPr>
          <w:p>
            <w:pPr>
              <w:adjustRightInd w:val="0"/>
              <w:snapToGrid w:val="0"/>
              <w:spacing w:line="240" w:lineRule="auto"/>
              <w:ind w:firstLine="420"/>
              <w:jc w:val="center"/>
              <w:rPr>
                <w:rFonts w:hint="eastAsia" w:ascii="Times New Roman" w:hAnsi="Times New Roman" w:eastAsia="宋体" w:cs="Times New Roman"/>
                <w:color w:val="auto"/>
                <w:sz w:val="21"/>
                <w:szCs w:val="21"/>
                <w:lang w:val="zh-CN" w:eastAsia="zh-CN"/>
              </w:rPr>
            </w:pPr>
            <w:r>
              <w:rPr>
                <w:rFonts w:hint="eastAsia" w:ascii="Times New Roman" w:hAnsi="Times New Roman" w:cs="Times New Roman"/>
                <w:color w:val="auto"/>
                <w:sz w:val="21"/>
                <w:szCs w:val="21"/>
                <w:lang w:val="en-US" w:eastAsia="zh-CN"/>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区域湿度条件</w:t>
            </w:r>
          </w:p>
        </w:tc>
        <w:tc>
          <w:tcPr>
            <w:tcW w:w="1666" w:type="pc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干燥区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是否考虑地形</w:t>
            </w:r>
          </w:p>
        </w:tc>
        <w:tc>
          <w:tcPr>
            <w:tcW w:w="1667" w:type="pc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考虑地形</w:t>
            </w:r>
          </w:p>
        </w:tc>
        <w:tc>
          <w:tcPr>
            <w:tcW w:w="1666" w:type="pc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地形数据分辨率</w:t>
            </w:r>
            <w:r>
              <w:rPr>
                <w:rFonts w:ascii="Times New Roman" w:hAnsi="Times New Roman" w:cs="Times New Roman"/>
                <w:color w:val="auto"/>
                <w:sz w:val="21"/>
                <w:szCs w:val="21"/>
              </w:rPr>
              <w:t>/m</w:t>
            </w:r>
          </w:p>
        </w:tc>
        <w:tc>
          <w:tcPr>
            <w:tcW w:w="1666" w:type="pct"/>
            <w:vAlign w:val="center"/>
          </w:tcPr>
          <w:p>
            <w:pPr>
              <w:pStyle w:val="44"/>
              <w:spacing w:line="240" w:lineRule="auto"/>
              <w:ind w:firstLine="420"/>
              <w:rPr>
                <w:rFonts w:ascii="Times New Roman" w:hAnsi="Times New Roman" w:cs="Times New Roman"/>
                <w:b w:val="0"/>
                <w:color w:val="auto"/>
                <w:sz w:val="21"/>
                <w:szCs w:val="21"/>
              </w:rPr>
            </w:pPr>
            <w:r>
              <w:rPr>
                <w:rFonts w:ascii="Times New Roman" w:hAnsi="Times New Roman" w:cs="Times New Roman"/>
                <w:b w:val="0"/>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是否考虑岸线熏烟</w:t>
            </w:r>
          </w:p>
        </w:tc>
        <w:tc>
          <w:tcPr>
            <w:tcW w:w="1667" w:type="pct"/>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考虑岸线熏烟</w:t>
            </w:r>
          </w:p>
        </w:tc>
        <w:tc>
          <w:tcPr>
            <w:tcW w:w="1666" w:type="pct"/>
            <w:vAlign w:val="center"/>
          </w:tcPr>
          <w:p>
            <w:pPr>
              <w:pStyle w:val="44"/>
              <w:spacing w:line="240" w:lineRule="auto"/>
              <w:ind w:firstLine="420"/>
              <w:rPr>
                <w:rFonts w:ascii="Times New Roman" w:hAnsi="Times New Roman" w:cs="Times New Roman"/>
                <w:b w:val="0"/>
                <w:color w:val="auto"/>
                <w:sz w:val="21"/>
                <w:szCs w:val="21"/>
                <w:lang w:val="zh-CN"/>
              </w:rPr>
            </w:pPr>
            <w:r>
              <w:rPr>
                <w:rFonts w:ascii="Times New Roman" w:hAnsi="Times New Roman" w:cs="Times New Roman"/>
                <w:b w:val="0"/>
                <w:color w:val="auto"/>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岸线距离</w:t>
            </w:r>
            <w:r>
              <w:rPr>
                <w:rFonts w:ascii="Times New Roman" w:hAnsi="Times New Roman" w:cs="Times New Roman"/>
                <w:color w:val="auto"/>
                <w:sz w:val="21"/>
                <w:szCs w:val="21"/>
              </w:rPr>
              <w:t>/km</w:t>
            </w:r>
          </w:p>
        </w:tc>
        <w:tc>
          <w:tcPr>
            <w:tcW w:w="1666" w:type="pct"/>
            <w:vAlign w:val="center"/>
          </w:tcPr>
          <w:p>
            <w:pPr>
              <w:pStyle w:val="44"/>
              <w:spacing w:line="240" w:lineRule="auto"/>
              <w:ind w:firstLine="420"/>
              <w:rPr>
                <w:rFonts w:ascii="Times New Roman" w:hAnsi="Times New Roman" w:cs="Times New Roman"/>
                <w:b w:val="0"/>
                <w:color w:val="auto"/>
                <w:sz w:val="21"/>
                <w:szCs w:val="21"/>
              </w:rPr>
            </w:pPr>
            <w:r>
              <w:rPr>
                <w:rFonts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岸线方向</w:t>
            </w:r>
            <w:r>
              <w:rPr>
                <w:rFonts w:ascii="Times New Roman" w:hAnsi="Times New Roman" w:cs="Times New Roman"/>
                <w:color w:val="auto"/>
                <w:sz w:val="21"/>
                <w:szCs w:val="21"/>
              </w:rPr>
              <w:t>/</w:t>
            </w:r>
          </w:p>
        </w:tc>
        <w:tc>
          <w:tcPr>
            <w:tcW w:w="1666" w:type="pct"/>
            <w:vAlign w:val="center"/>
          </w:tcPr>
          <w:p>
            <w:pPr>
              <w:pStyle w:val="44"/>
              <w:spacing w:line="240" w:lineRule="auto"/>
              <w:ind w:firstLine="420"/>
              <w:rPr>
                <w:rFonts w:ascii="Times New Roman" w:hAnsi="Times New Roman" w:cs="Times New Roman"/>
                <w:b w:val="0"/>
                <w:color w:val="auto"/>
                <w:sz w:val="21"/>
                <w:szCs w:val="21"/>
              </w:rPr>
            </w:pPr>
            <w:r>
              <w:rPr>
                <w:rFonts w:ascii="Times New Roman" w:hAnsi="Times New Roman" w:cs="Times New Roman"/>
                <w:b w:val="0"/>
                <w:color w:val="auto"/>
                <w:sz w:val="21"/>
                <w:szCs w:val="21"/>
              </w:rPr>
              <w:t>/</w:t>
            </w:r>
          </w:p>
        </w:tc>
      </w:tr>
    </w:tbl>
    <w:p>
      <w:pPr>
        <w:pStyle w:val="35"/>
        <w:spacing w:before="0" w:after="0" w:line="520" w:lineRule="exact"/>
        <w:rPr>
          <w:rFonts w:cs="Times New Roman"/>
          <w:color w:val="auto"/>
          <w:lang w:val="zh-CN"/>
        </w:rPr>
      </w:pPr>
      <w:r>
        <w:rPr>
          <w:rFonts w:cs="Times New Roman"/>
          <w:color w:val="auto"/>
          <w:lang w:val="zh-CN"/>
        </w:rPr>
        <w:t>表2</w:t>
      </w:r>
      <w:r>
        <w:rPr>
          <w:rFonts w:hint="eastAsia" w:cs="Times New Roman"/>
          <w:color w:val="auto"/>
        </w:rPr>
        <w:t>.5-3</w:t>
      </w:r>
      <w:r>
        <w:rPr>
          <w:rFonts w:cs="Times New Roman"/>
          <w:color w:val="auto"/>
          <w:lang w:val="zh-CN"/>
        </w:rPr>
        <w:t xml:space="preserve"> </w:t>
      </w:r>
      <w:r>
        <w:rPr>
          <w:rFonts w:cs="Times New Roman"/>
          <w:color w:val="auto"/>
        </w:rPr>
        <w:t xml:space="preserve"> </w:t>
      </w:r>
      <w:r>
        <w:rPr>
          <w:rFonts w:cs="Times New Roman"/>
          <w:color w:val="auto"/>
          <w:lang w:val="zh-CN"/>
        </w:rPr>
        <w:t xml:space="preserve"> 大气污染物排放参数</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70"/>
        <w:gridCol w:w="2994"/>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669" w:type="pct"/>
            <w:gridSpan w:val="2"/>
            <w:vAlign w:val="center"/>
          </w:tcPr>
          <w:p>
            <w:pPr>
              <w:pStyle w:val="46"/>
              <w:rPr>
                <w:rFonts w:ascii="Times New Roman" w:hAnsi="Times New Roman"/>
                <w:b/>
                <w:bCs/>
                <w:color w:val="auto"/>
                <w:szCs w:val="21"/>
              </w:rPr>
            </w:pPr>
            <w:r>
              <w:rPr>
                <w:rFonts w:ascii="Times New Roman" w:hAnsi="Times New Roman"/>
                <w:b/>
                <w:bCs/>
                <w:color w:val="auto"/>
                <w:szCs w:val="21"/>
              </w:rPr>
              <w:t>排放性质</w:t>
            </w:r>
          </w:p>
        </w:tc>
        <w:tc>
          <w:tcPr>
            <w:tcW w:w="1757" w:type="pct"/>
            <w:vAlign w:val="center"/>
          </w:tcPr>
          <w:p>
            <w:pPr>
              <w:pStyle w:val="46"/>
              <w:rPr>
                <w:rFonts w:ascii="Times New Roman" w:hAnsi="Times New Roman"/>
                <w:b/>
                <w:bCs/>
                <w:color w:val="auto"/>
                <w:szCs w:val="21"/>
              </w:rPr>
            </w:pPr>
            <w:r>
              <w:rPr>
                <w:rFonts w:ascii="Times New Roman" w:hAnsi="Times New Roman"/>
                <w:b/>
                <w:bCs/>
                <w:color w:val="auto"/>
                <w:szCs w:val="21"/>
              </w:rPr>
              <w:t>点源（有组织）</w:t>
            </w:r>
          </w:p>
        </w:tc>
        <w:tc>
          <w:tcPr>
            <w:tcW w:w="1573" w:type="pct"/>
          </w:tcPr>
          <w:p>
            <w:pPr>
              <w:pStyle w:val="46"/>
              <w:rPr>
                <w:rFonts w:ascii="Times New Roman" w:hAnsi="Times New Roman"/>
                <w:b/>
                <w:bCs/>
                <w:color w:val="auto"/>
                <w:szCs w:val="21"/>
              </w:rPr>
            </w:pPr>
            <w:r>
              <w:rPr>
                <w:rFonts w:ascii="Times New Roman" w:hAnsi="Times New Roman"/>
                <w:b/>
                <w:bCs/>
                <w:color w:val="auto"/>
                <w:szCs w:val="21"/>
              </w:rPr>
              <w:t>面源（无组织）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排放高度</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15.0m</w:t>
            </w:r>
          </w:p>
        </w:tc>
        <w:tc>
          <w:tcPr>
            <w:tcW w:w="1573" w:type="pct"/>
          </w:tcPr>
          <w:p>
            <w:pPr>
              <w:pStyle w:val="46"/>
              <w:rPr>
                <w:rFonts w:ascii="Times New Roman" w:hAnsi="Times New Roman"/>
                <w:color w:val="auto"/>
                <w:szCs w:val="21"/>
              </w:rPr>
            </w:pPr>
            <w:r>
              <w:rPr>
                <w:rFonts w:ascii="Times New Roman" w:hAnsi="Times New Roman"/>
                <w:color w:val="auto"/>
                <w:szCs w:val="21"/>
                <w:lang w:eastAsia="zh-CN"/>
              </w:rPr>
              <w:t>3</w:t>
            </w:r>
            <w:r>
              <w:rPr>
                <w:rFonts w:ascii="Times New Roman" w:hAnsi="Times New Roman"/>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排气筒内径</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0.</w:t>
            </w:r>
            <w:r>
              <w:rPr>
                <w:rFonts w:ascii="Times New Roman" w:hAnsi="Times New Roman"/>
                <w:color w:val="auto"/>
                <w:szCs w:val="21"/>
                <w:lang w:eastAsia="zh-CN"/>
              </w:rPr>
              <w:t>2</w:t>
            </w:r>
            <w:r>
              <w:rPr>
                <w:rFonts w:ascii="Times New Roman" w:hAnsi="Times New Roman"/>
                <w:color w:val="auto"/>
                <w:szCs w:val="21"/>
              </w:rPr>
              <w:t>0m</w:t>
            </w:r>
          </w:p>
        </w:tc>
        <w:tc>
          <w:tcPr>
            <w:tcW w:w="1573" w:type="pct"/>
          </w:tcPr>
          <w:p>
            <w:pPr>
              <w:pStyle w:val="46"/>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排气筒出口温度</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2</w:t>
            </w:r>
            <w:r>
              <w:rPr>
                <w:rFonts w:ascii="Times New Roman" w:hAnsi="Times New Roman"/>
                <w:color w:val="auto"/>
                <w:szCs w:val="21"/>
                <w:lang w:eastAsia="zh-CN"/>
              </w:rPr>
              <w:t>0</w:t>
            </w:r>
            <w:r>
              <w:rPr>
                <w:rFonts w:ascii="Times New Roman" w:hAnsi="Times New Roman"/>
                <w:color w:val="auto"/>
                <w:szCs w:val="21"/>
              </w:rPr>
              <w:t>℃</w:t>
            </w:r>
          </w:p>
        </w:tc>
        <w:tc>
          <w:tcPr>
            <w:tcW w:w="1573" w:type="pct"/>
          </w:tcPr>
          <w:p>
            <w:pPr>
              <w:pStyle w:val="46"/>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排放尺寸</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w:t>
            </w:r>
          </w:p>
        </w:tc>
        <w:tc>
          <w:tcPr>
            <w:tcW w:w="1573" w:type="pct"/>
          </w:tcPr>
          <w:p>
            <w:pPr>
              <w:pStyle w:val="46"/>
              <w:rPr>
                <w:rFonts w:ascii="Times New Roman" w:hAnsi="Times New Roman"/>
                <w:color w:val="auto"/>
                <w:szCs w:val="21"/>
                <w:lang w:eastAsia="zh-CN"/>
              </w:rPr>
            </w:pPr>
            <w:r>
              <w:rPr>
                <w:rFonts w:ascii="Times New Roman" w:hAnsi="Times New Roman"/>
                <w:color w:val="auto"/>
                <w:szCs w:val="21"/>
                <w:lang w:eastAsia="zh-CN"/>
              </w:rPr>
              <w:t>200m</w:t>
            </w:r>
            <w:r>
              <w:rPr>
                <w:rFonts w:ascii="Times New Roman" w:hAnsi="Times New Roman"/>
                <w:color w:val="auto"/>
                <w:szCs w:val="21"/>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Merge w:val="restart"/>
            <w:vAlign w:val="center"/>
          </w:tcPr>
          <w:p>
            <w:pPr>
              <w:pStyle w:val="46"/>
              <w:rPr>
                <w:rFonts w:ascii="Times New Roman" w:hAnsi="Times New Roman"/>
                <w:color w:val="auto"/>
                <w:szCs w:val="21"/>
              </w:rPr>
            </w:pPr>
            <w:r>
              <w:rPr>
                <w:rFonts w:ascii="Times New Roman" w:hAnsi="Times New Roman"/>
                <w:color w:val="auto"/>
                <w:szCs w:val="21"/>
              </w:rPr>
              <w:t>排放因子</w:t>
            </w:r>
          </w:p>
        </w:tc>
        <w:tc>
          <w:tcPr>
            <w:tcW w:w="920" w:type="pct"/>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H</w:t>
            </w:r>
            <w:r>
              <w:rPr>
                <w:rFonts w:ascii="Times New Roman" w:hAnsi="Times New Roman"/>
                <w:color w:val="auto"/>
                <w:szCs w:val="21"/>
                <w:vertAlign w:val="subscript"/>
                <w:lang w:eastAsia="zh-CN"/>
              </w:rPr>
              <w:t>2</w:t>
            </w:r>
            <w:r>
              <w:rPr>
                <w:rFonts w:ascii="Times New Roman" w:hAnsi="Times New Roman"/>
                <w:color w:val="auto"/>
                <w:szCs w:val="21"/>
                <w:lang w:eastAsia="zh-CN"/>
              </w:rPr>
              <w:t>S</w:t>
            </w:r>
          </w:p>
        </w:tc>
        <w:tc>
          <w:tcPr>
            <w:tcW w:w="1757" w:type="pct"/>
            <w:vAlign w:val="center"/>
          </w:tcPr>
          <w:p>
            <w:pPr>
              <w:spacing w:line="240" w:lineRule="auto"/>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000m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/h；0.0</w:t>
            </w:r>
            <w:r>
              <w:rPr>
                <w:rFonts w:hint="eastAsia" w:ascii="Times New Roman" w:hAnsi="Times New Roman" w:cs="Times New Roman"/>
                <w:color w:val="auto"/>
                <w:sz w:val="21"/>
                <w:szCs w:val="21"/>
                <w:lang w:val="en-US" w:eastAsia="zh-CN"/>
              </w:rPr>
              <w:t>005</w:t>
            </w:r>
            <w:r>
              <w:rPr>
                <w:rFonts w:ascii="Times New Roman" w:hAnsi="Times New Roman" w:cs="Times New Roman"/>
                <w:color w:val="auto"/>
                <w:sz w:val="21"/>
                <w:szCs w:val="21"/>
              </w:rPr>
              <w:t>t/a</w:t>
            </w:r>
          </w:p>
        </w:tc>
        <w:tc>
          <w:tcPr>
            <w:tcW w:w="1573" w:type="pct"/>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r>
              <w:rPr>
                <w:rFonts w:hint="eastAsia" w:ascii="Times New Roman" w:hAnsi="Times New Roman" w:cs="Times New Roman"/>
                <w:color w:val="auto"/>
                <w:sz w:val="21"/>
                <w:szCs w:val="21"/>
                <w:lang w:val="en-US" w:eastAsia="zh-CN"/>
              </w:rPr>
              <w:t>01</w:t>
            </w:r>
            <w:r>
              <w:rPr>
                <w:rFonts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Merge w:val="continue"/>
            <w:vAlign w:val="center"/>
          </w:tcPr>
          <w:p>
            <w:pPr>
              <w:pStyle w:val="46"/>
              <w:rPr>
                <w:rFonts w:ascii="Times New Roman" w:hAnsi="Times New Roman"/>
                <w:color w:val="auto"/>
                <w:szCs w:val="21"/>
              </w:rPr>
            </w:pPr>
          </w:p>
        </w:tc>
        <w:tc>
          <w:tcPr>
            <w:tcW w:w="920" w:type="pct"/>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NH</w:t>
            </w:r>
            <w:r>
              <w:rPr>
                <w:rFonts w:ascii="Times New Roman" w:hAnsi="Times New Roman"/>
                <w:color w:val="auto"/>
                <w:szCs w:val="21"/>
                <w:vertAlign w:val="subscript"/>
                <w:lang w:eastAsia="zh-CN"/>
              </w:rPr>
              <w:t>3</w:t>
            </w:r>
          </w:p>
        </w:tc>
        <w:tc>
          <w:tcPr>
            <w:tcW w:w="1757" w:type="pct"/>
            <w:vAlign w:val="center"/>
          </w:tcPr>
          <w:p>
            <w:pPr>
              <w:spacing w:line="240" w:lineRule="auto"/>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000m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/h；0.0</w:t>
            </w:r>
            <w:r>
              <w:rPr>
                <w:rFonts w:hint="eastAsia" w:ascii="Times New Roman" w:hAnsi="Times New Roman" w:cs="Times New Roman"/>
                <w:color w:val="auto"/>
                <w:sz w:val="21"/>
                <w:szCs w:val="21"/>
                <w:lang w:val="en-US" w:eastAsia="zh-CN"/>
              </w:rPr>
              <w:t>13</w:t>
            </w:r>
            <w:r>
              <w:rPr>
                <w:rFonts w:ascii="Times New Roman" w:hAnsi="Times New Roman" w:cs="Times New Roman"/>
                <w:color w:val="auto"/>
                <w:sz w:val="21"/>
                <w:szCs w:val="21"/>
              </w:rPr>
              <w:t>t/a</w:t>
            </w:r>
          </w:p>
        </w:tc>
        <w:tc>
          <w:tcPr>
            <w:tcW w:w="1573" w:type="pct"/>
          </w:tcPr>
          <w:p>
            <w:pPr>
              <w:spacing w:line="240" w:lineRule="auto"/>
              <w:ind w:left="0" w:leftChars="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r>
              <w:rPr>
                <w:rFonts w:hint="eastAsia" w:ascii="Times New Roman" w:hAnsi="Times New Roman" w:cs="Times New Roman"/>
                <w:color w:val="auto"/>
                <w:sz w:val="21"/>
                <w:szCs w:val="21"/>
                <w:lang w:val="en-US" w:eastAsia="zh-CN"/>
              </w:rPr>
              <w:t>36</w:t>
            </w:r>
            <w:r>
              <w:rPr>
                <w:rFonts w:ascii="Times New Roman" w:hAnsi="Times New Roman" w:cs="Times New Roman"/>
                <w:color w:val="auto"/>
                <w:sz w:val="21"/>
                <w:szCs w:val="21"/>
              </w:rPr>
              <w:t>t/a</w:t>
            </w:r>
          </w:p>
        </w:tc>
      </w:tr>
    </w:tbl>
    <w:p>
      <w:pPr>
        <w:spacing w:line="520" w:lineRule="exact"/>
        <w:ind w:firstLine="456"/>
        <w:rPr>
          <w:rFonts w:ascii="Times New Roman" w:hAnsi="Times New Roman" w:cs="Times New Roman"/>
          <w:color w:val="auto"/>
          <w:spacing w:val="-6"/>
        </w:rPr>
      </w:pPr>
    </w:p>
    <w:p>
      <w:pPr>
        <w:spacing w:line="520" w:lineRule="exact"/>
        <w:ind w:firstLine="456"/>
        <w:rPr>
          <w:rFonts w:ascii="Times New Roman" w:hAnsi="Times New Roman" w:cs="Times New Roman"/>
          <w:color w:val="auto"/>
          <w:spacing w:val="-6"/>
        </w:rPr>
      </w:pPr>
      <w:r>
        <w:rPr>
          <w:rFonts w:ascii="Times New Roman" w:hAnsi="Times New Roman" w:cs="Times New Roman"/>
          <w:color w:val="auto"/>
          <w:spacing w:val="-6"/>
        </w:rPr>
        <w:t>（3）估算模式计算结果</w:t>
      </w:r>
    </w:p>
    <w:p>
      <w:pPr>
        <w:spacing w:line="520" w:lineRule="exact"/>
        <w:ind w:firstLine="456"/>
        <w:rPr>
          <w:rFonts w:ascii="Times New Roman" w:hAnsi="Times New Roman" w:cs="Times New Roman"/>
          <w:color w:val="auto"/>
        </w:rPr>
      </w:pPr>
      <w:r>
        <w:rPr>
          <w:rFonts w:ascii="Times New Roman" w:hAnsi="Times New Roman" w:cs="Times New Roman"/>
          <w:color w:val="auto"/>
          <w:spacing w:val="-6"/>
        </w:rPr>
        <w:t>本项目废气Pmax和D10%预测和计算结果详见表2</w:t>
      </w:r>
      <w:r>
        <w:rPr>
          <w:rFonts w:hint="eastAsia" w:ascii="Times New Roman" w:hAnsi="Times New Roman" w:cs="Times New Roman"/>
          <w:color w:val="auto"/>
          <w:spacing w:val="-6"/>
        </w:rPr>
        <w:t>.5-4</w:t>
      </w:r>
      <w:r>
        <w:rPr>
          <w:rFonts w:ascii="Times New Roman" w:hAnsi="Times New Roman" w:cs="Times New Roman"/>
          <w:color w:val="auto"/>
          <w:spacing w:val="-6"/>
        </w:rPr>
        <w:t>。</w:t>
      </w:r>
    </w:p>
    <w:p>
      <w:pPr>
        <w:pStyle w:val="35"/>
        <w:spacing w:before="0" w:after="0" w:line="520" w:lineRule="exact"/>
        <w:rPr>
          <w:rFonts w:cs="Times New Roman"/>
          <w:color w:val="auto"/>
          <w:highlight w:val="yellow"/>
          <w:lang w:val="zh-CN"/>
        </w:rPr>
      </w:pPr>
      <w:r>
        <w:rPr>
          <w:rFonts w:cs="Times New Roman"/>
          <w:color w:val="auto"/>
          <w:lang w:val="zh-CN"/>
        </w:rPr>
        <w:t>表2</w:t>
      </w:r>
      <w:r>
        <w:rPr>
          <w:rFonts w:hint="eastAsia" w:cs="Times New Roman"/>
          <w:color w:val="auto"/>
        </w:rPr>
        <w:t>.5-4</w:t>
      </w:r>
      <w:r>
        <w:rPr>
          <w:rFonts w:cs="Times New Roman"/>
          <w:color w:val="auto"/>
          <w:lang w:val="zh-CN"/>
        </w:rPr>
        <w:t xml:space="preserve"> </w:t>
      </w:r>
      <w:r>
        <w:rPr>
          <w:rFonts w:cs="Times New Roman"/>
          <w:color w:val="auto"/>
        </w:rPr>
        <w:t xml:space="preserve"> </w:t>
      </w:r>
      <w:r>
        <w:rPr>
          <w:rFonts w:cs="Times New Roman"/>
          <w:color w:val="auto"/>
          <w:lang w:val="zh-CN"/>
        </w:rPr>
        <w:t xml:space="preserve"> P</w:t>
      </w:r>
      <w:r>
        <w:rPr>
          <w:rFonts w:cs="Times New Roman"/>
          <w:color w:val="auto"/>
          <w:vertAlign w:val="subscript"/>
          <w:lang w:val="zh-CN"/>
        </w:rPr>
        <w:t>max</w:t>
      </w:r>
      <w:r>
        <w:rPr>
          <w:rFonts w:cs="Times New Roman"/>
          <w:color w:val="auto"/>
          <w:lang w:val="zh-CN"/>
        </w:rPr>
        <w:t>和D</w:t>
      </w:r>
      <w:r>
        <w:rPr>
          <w:rFonts w:cs="Times New Roman"/>
          <w:color w:val="auto"/>
          <w:vertAlign w:val="subscript"/>
          <w:lang w:val="zh-CN"/>
        </w:rPr>
        <w:t>10%</w:t>
      </w:r>
      <w:r>
        <w:rPr>
          <w:rFonts w:cs="Times New Roman"/>
          <w:color w:val="auto"/>
          <w:lang w:val="zh-CN"/>
        </w:rPr>
        <w:t>预测和计算结果一览表</w:t>
      </w:r>
    </w:p>
    <w:tbl>
      <w:tblPr>
        <w:tblStyle w:val="24"/>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05"/>
        <w:gridCol w:w="1424"/>
        <w:gridCol w:w="1424"/>
        <w:gridCol w:w="1424"/>
        <w:gridCol w:w="1424"/>
        <w:gridCol w:w="142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05" w:type="dxa"/>
            <w:vAlign w:val="center"/>
          </w:tcPr>
          <w:p>
            <w:pPr>
              <w:pStyle w:val="46"/>
              <w:rPr>
                <w:rFonts w:ascii="Times New Roman" w:hAnsi="Times New Roman"/>
                <w:b/>
                <w:bCs/>
                <w:color w:val="auto"/>
                <w:szCs w:val="21"/>
              </w:rPr>
            </w:pPr>
            <w:r>
              <w:rPr>
                <w:rFonts w:ascii="Times New Roman" w:hAnsi="Times New Roman"/>
                <w:b/>
                <w:bCs/>
                <w:color w:val="auto"/>
                <w:szCs w:val="21"/>
              </w:rPr>
              <w:t>污染源名称</w:t>
            </w:r>
          </w:p>
        </w:tc>
        <w:tc>
          <w:tcPr>
            <w:tcW w:w="1424" w:type="dxa"/>
            <w:vAlign w:val="center"/>
          </w:tcPr>
          <w:p>
            <w:pPr>
              <w:pStyle w:val="46"/>
              <w:rPr>
                <w:rFonts w:ascii="Times New Roman" w:hAnsi="Times New Roman"/>
                <w:b/>
                <w:bCs/>
                <w:color w:val="auto"/>
                <w:szCs w:val="21"/>
              </w:rPr>
            </w:pPr>
            <w:r>
              <w:rPr>
                <w:rFonts w:ascii="Times New Roman" w:hAnsi="Times New Roman"/>
                <w:b/>
                <w:bCs/>
                <w:color w:val="auto"/>
                <w:szCs w:val="21"/>
              </w:rPr>
              <w:t>评价因子</w:t>
            </w:r>
          </w:p>
        </w:tc>
        <w:tc>
          <w:tcPr>
            <w:tcW w:w="1424" w:type="dxa"/>
            <w:vAlign w:val="center"/>
          </w:tcPr>
          <w:p>
            <w:pPr>
              <w:pStyle w:val="46"/>
              <w:rPr>
                <w:rFonts w:ascii="Times New Roman" w:hAnsi="Times New Roman"/>
                <w:b/>
                <w:bCs/>
                <w:color w:val="auto"/>
                <w:szCs w:val="21"/>
              </w:rPr>
            </w:pPr>
            <w:r>
              <w:rPr>
                <w:rFonts w:ascii="Times New Roman" w:hAnsi="Times New Roman"/>
                <w:b/>
                <w:bCs/>
                <w:color w:val="auto"/>
                <w:szCs w:val="21"/>
              </w:rPr>
              <w:t>评价标准(μg/m³)</w:t>
            </w:r>
          </w:p>
        </w:tc>
        <w:tc>
          <w:tcPr>
            <w:tcW w:w="1424" w:type="dxa"/>
            <w:vAlign w:val="center"/>
          </w:tcPr>
          <w:p>
            <w:pPr>
              <w:pStyle w:val="46"/>
              <w:rPr>
                <w:rFonts w:ascii="Times New Roman" w:hAnsi="Times New Roman"/>
                <w:b/>
                <w:bCs/>
                <w:color w:val="auto"/>
                <w:szCs w:val="21"/>
              </w:rPr>
            </w:pPr>
            <w:r>
              <w:rPr>
                <w:rFonts w:ascii="Times New Roman" w:hAnsi="Times New Roman"/>
                <w:b/>
                <w:bCs/>
                <w:color w:val="auto"/>
                <w:szCs w:val="21"/>
              </w:rPr>
              <w:t>C</w:t>
            </w:r>
            <w:r>
              <w:rPr>
                <w:rFonts w:ascii="Times New Roman" w:hAnsi="Times New Roman"/>
                <w:b/>
                <w:bCs/>
                <w:color w:val="auto"/>
                <w:szCs w:val="21"/>
                <w:vertAlign w:val="subscript"/>
              </w:rPr>
              <w:t>max</w:t>
            </w:r>
            <w:r>
              <w:rPr>
                <w:rFonts w:ascii="Times New Roman" w:hAnsi="Times New Roman"/>
                <w:b/>
                <w:bCs/>
                <w:color w:val="auto"/>
                <w:szCs w:val="21"/>
              </w:rPr>
              <w:t>(μg/m³)</w:t>
            </w:r>
          </w:p>
        </w:tc>
        <w:tc>
          <w:tcPr>
            <w:tcW w:w="1424" w:type="dxa"/>
            <w:vAlign w:val="center"/>
          </w:tcPr>
          <w:p>
            <w:pPr>
              <w:pStyle w:val="46"/>
              <w:rPr>
                <w:rFonts w:ascii="Times New Roman" w:hAnsi="Times New Roman"/>
                <w:b/>
                <w:bCs/>
                <w:color w:val="auto"/>
                <w:szCs w:val="21"/>
              </w:rPr>
            </w:pPr>
            <w:r>
              <w:rPr>
                <w:rFonts w:ascii="Times New Roman" w:hAnsi="Times New Roman"/>
                <w:b/>
                <w:bCs/>
                <w:color w:val="auto"/>
                <w:szCs w:val="21"/>
              </w:rPr>
              <w:t>P</w:t>
            </w:r>
            <w:r>
              <w:rPr>
                <w:rFonts w:ascii="Times New Roman" w:hAnsi="Times New Roman"/>
                <w:b/>
                <w:bCs/>
                <w:color w:val="auto"/>
                <w:szCs w:val="21"/>
                <w:vertAlign w:val="subscript"/>
              </w:rPr>
              <w:t>max</w:t>
            </w:r>
            <w:r>
              <w:rPr>
                <w:rFonts w:ascii="Times New Roman" w:hAnsi="Times New Roman"/>
                <w:b/>
                <w:bCs/>
                <w:color w:val="auto"/>
                <w:szCs w:val="21"/>
              </w:rPr>
              <w:t>(%)</w:t>
            </w:r>
          </w:p>
        </w:tc>
        <w:tc>
          <w:tcPr>
            <w:tcW w:w="1426" w:type="dxa"/>
            <w:vAlign w:val="center"/>
          </w:tcPr>
          <w:p>
            <w:pPr>
              <w:pStyle w:val="46"/>
              <w:rPr>
                <w:rFonts w:ascii="Times New Roman" w:hAnsi="Times New Roman"/>
                <w:b/>
                <w:bCs/>
                <w:color w:val="auto"/>
                <w:szCs w:val="21"/>
                <w:lang w:eastAsia="zh-CN"/>
              </w:rPr>
            </w:pPr>
            <w:r>
              <w:rPr>
                <w:rFonts w:ascii="Times New Roman" w:hAnsi="Times New Roman"/>
                <w:b/>
                <w:bCs/>
                <w:color w:val="auto"/>
                <w:szCs w:val="21"/>
                <w:lang w:eastAsia="zh-CN"/>
              </w:rPr>
              <w:t>最大浓度出现距离（m）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05" w:type="dxa"/>
            <w:vMerge w:val="restart"/>
            <w:vAlign w:val="center"/>
          </w:tcPr>
          <w:p>
            <w:pPr>
              <w:pStyle w:val="46"/>
              <w:rPr>
                <w:rFonts w:ascii="Times New Roman" w:hAnsi="Times New Roman"/>
                <w:color w:val="auto"/>
                <w:szCs w:val="21"/>
              </w:rPr>
            </w:pPr>
            <w:r>
              <w:rPr>
                <w:rFonts w:ascii="Times New Roman" w:hAnsi="Times New Roman"/>
                <w:color w:val="auto"/>
                <w:szCs w:val="21"/>
              </w:rPr>
              <w:t>矩形面源</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10.0</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0.0102</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0.1021</w:t>
            </w:r>
          </w:p>
        </w:tc>
        <w:tc>
          <w:tcPr>
            <w:tcW w:w="1426" w:type="dxa"/>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297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05" w:type="dxa"/>
            <w:vMerge w:val="continue"/>
            <w:vAlign w:val="center"/>
          </w:tcPr>
          <w:p>
            <w:pPr>
              <w:pStyle w:val="46"/>
              <w:rPr>
                <w:rFonts w:ascii="Times New Roman" w:hAnsi="Times New Roman"/>
                <w:color w:val="auto"/>
                <w:szCs w:val="21"/>
              </w:rPr>
            </w:pP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200.0</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0.2551</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0.1276</w:t>
            </w:r>
          </w:p>
        </w:tc>
        <w:tc>
          <w:tcPr>
            <w:tcW w:w="1426" w:type="dxa"/>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297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05" w:type="dxa"/>
            <w:vMerge w:val="restart"/>
            <w:vAlign w:val="center"/>
          </w:tcPr>
          <w:p>
            <w:pPr>
              <w:pStyle w:val="46"/>
              <w:rPr>
                <w:rFonts w:ascii="Times New Roman" w:hAnsi="Times New Roman"/>
                <w:color w:val="auto"/>
                <w:szCs w:val="21"/>
              </w:rPr>
            </w:pPr>
            <w:r>
              <w:rPr>
                <w:rFonts w:ascii="Times New Roman" w:hAnsi="Times New Roman"/>
                <w:color w:val="auto"/>
                <w:szCs w:val="21"/>
              </w:rPr>
              <w:t>点源</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H</w:t>
            </w:r>
            <w:r>
              <w:rPr>
                <w:rFonts w:ascii="Times New Roman" w:hAnsi="Times New Roman"/>
                <w:color w:val="auto"/>
                <w:szCs w:val="21"/>
                <w:vertAlign w:val="subscript"/>
              </w:rPr>
              <w:t>2</w:t>
            </w:r>
            <w:r>
              <w:rPr>
                <w:rFonts w:ascii="Times New Roman" w:hAnsi="Times New Roman"/>
                <w:color w:val="auto"/>
                <w:szCs w:val="21"/>
              </w:rPr>
              <w:t>S</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10.0</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0.0035</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0.0347</w:t>
            </w:r>
          </w:p>
        </w:tc>
        <w:tc>
          <w:tcPr>
            <w:tcW w:w="1426" w:type="dxa"/>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698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405" w:type="dxa"/>
            <w:vMerge w:val="continue"/>
            <w:vAlign w:val="center"/>
          </w:tcPr>
          <w:p>
            <w:pPr>
              <w:pStyle w:val="46"/>
              <w:rPr>
                <w:rFonts w:ascii="Times New Roman" w:hAnsi="Times New Roman"/>
                <w:color w:val="auto"/>
                <w:szCs w:val="21"/>
              </w:rPr>
            </w:pP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200.0</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0.0868</w:t>
            </w:r>
          </w:p>
        </w:tc>
        <w:tc>
          <w:tcPr>
            <w:tcW w:w="1424" w:type="dxa"/>
            <w:vAlign w:val="center"/>
          </w:tcPr>
          <w:p>
            <w:pPr>
              <w:pStyle w:val="46"/>
              <w:rPr>
                <w:rFonts w:ascii="Times New Roman" w:hAnsi="Times New Roman"/>
                <w:color w:val="auto"/>
                <w:szCs w:val="21"/>
              </w:rPr>
            </w:pPr>
            <w:r>
              <w:rPr>
                <w:rFonts w:ascii="Times New Roman" w:hAnsi="Times New Roman"/>
                <w:color w:val="auto"/>
                <w:szCs w:val="21"/>
              </w:rPr>
              <w:t>0.0434</w:t>
            </w:r>
          </w:p>
        </w:tc>
        <w:tc>
          <w:tcPr>
            <w:tcW w:w="1426" w:type="dxa"/>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698</w:t>
            </w:r>
          </w:p>
        </w:tc>
      </w:tr>
    </w:tbl>
    <w:p>
      <w:pPr>
        <w:spacing w:line="520" w:lineRule="exact"/>
        <w:rPr>
          <w:rFonts w:ascii="Times New Roman" w:hAnsi="Times New Roman" w:cs="Times New Roman"/>
          <w:color w:val="auto"/>
        </w:rPr>
      </w:pPr>
      <w:r>
        <w:rPr>
          <w:rFonts w:ascii="Times New Roman" w:hAnsi="Times New Roman" w:cs="Times New Roman"/>
          <w:color w:val="auto"/>
        </w:rPr>
        <w:t>（4）评价等级确定</w:t>
      </w:r>
    </w:p>
    <w:p>
      <w:pPr>
        <w:spacing w:line="520" w:lineRule="exact"/>
        <w:rPr>
          <w:rFonts w:ascii="Times New Roman" w:hAnsi="Times New Roman" w:cs="Times New Roman"/>
          <w:color w:val="auto"/>
          <w:highlight w:val="yellow"/>
        </w:rPr>
      </w:pPr>
      <w:r>
        <w:rPr>
          <w:rFonts w:ascii="Times New Roman" w:hAnsi="Times New Roman" w:cs="Times New Roman"/>
          <w:color w:val="auto"/>
        </w:rPr>
        <w:t>由上表预测结果可知，本项目Pmax最大值出现为污水处理站废气排气筒排放的氨，Pmax=0.1276%，Cmax为0.2551ug/m</w:t>
      </w:r>
      <w:r>
        <w:rPr>
          <w:rFonts w:ascii="Times New Roman" w:hAnsi="Times New Roman" w:cs="Times New Roman"/>
          <w:color w:val="auto"/>
          <w:vertAlign w:val="superscript"/>
        </w:rPr>
        <w:t>3</w:t>
      </w:r>
      <w:r>
        <w:rPr>
          <w:rFonts w:ascii="Times New Roman" w:hAnsi="Times New Roman" w:cs="Times New Roman"/>
          <w:color w:val="auto"/>
        </w:rPr>
        <w:t>；且本项目不属于“电力、钢铁、水泥、石化、化工、平板玻璃、有色等高耗能行业的多源项目或以使用高污染燃料为主的多源项目”，根据《环境影响评价技术导则 大气环境》（HJ2.2-2018）分级判据，确定本项目大气环境影响评价工作等级为三级。</w:t>
      </w:r>
    </w:p>
    <w:p>
      <w:pPr>
        <w:pStyle w:val="10"/>
        <w:rPr>
          <w:rFonts w:cs="Times New Roman"/>
          <w:color w:val="auto"/>
        </w:rPr>
      </w:pPr>
      <w:r>
        <w:rPr>
          <w:rFonts w:cs="Times New Roman"/>
          <w:color w:val="auto"/>
        </w:rPr>
        <w:t>2.5.1.2 评价范围</w:t>
      </w:r>
    </w:p>
    <w:p>
      <w:pPr>
        <w:spacing w:line="520" w:lineRule="exact"/>
        <w:rPr>
          <w:rFonts w:ascii="Times New Roman" w:hAnsi="Times New Roman" w:cs="Times New Roman"/>
          <w:color w:val="auto"/>
        </w:rPr>
      </w:pPr>
      <w:r>
        <w:rPr>
          <w:rFonts w:ascii="Times New Roman" w:hAnsi="Times New Roman" w:cs="Times New Roman"/>
          <w:color w:val="auto"/>
        </w:rPr>
        <w:t>大气环境评价范围根据《环境影响评价技术导则大气环境》（HJ2.2-2018）规定的评价范围的确定方法，结合评价等级，本项目大气环境影响评价工作等级为三级，不需设置大气环境影响评价范围。</w:t>
      </w:r>
    </w:p>
    <w:p>
      <w:pPr>
        <w:pStyle w:val="9"/>
        <w:spacing w:line="413" w:lineRule="auto"/>
        <w:rPr>
          <w:rFonts w:ascii="Times New Roman" w:hAnsi="Times New Roman" w:cs="Times New Roman"/>
          <w:color w:val="auto"/>
        </w:rPr>
      </w:pPr>
      <w:bookmarkStart w:id="57" w:name="_Toc5221"/>
      <w:r>
        <w:rPr>
          <w:rFonts w:ascii="Times New Roman" w:hAnsi="Times New Roman" w:cs="Times New Roman"/>
          <w:color w:val="auto"/>
        </w:rPr>
        <w:t>2.5.2 水环境影响评价等级和范围</w:t>
      </w:r>
      <w:bookmarkEnd w:id="57"/>
    </w:p>
    <w:p>
      <w:pPr>
        <w:pStyle w:val="10"/>
        <w:rPr>
          <w:rFonts w:cs="Times New Roman"/>
          <w:color w:val="auto"/>
        </w:rPr>
      </w:pPr>
      <w:r>
        <w:rPr>
          <w:rFonts w:cs="Times New Roman"/>
          <w:color w:val="auto"/>
        </w:rPr>
        <w:t>2.5.2.1 地表水环境评价等级和范围</w:t>
      </w:r>
    </w:p>
    <w:p>
      <w:pPr>
        <w:spacing w:line="520" w:lineRule="exact"/>
        <w:rPr>
          <w:rFonts w:ascii="Times New Roman" w:hAnsi="Times New Roman" w:cs="Times New Roman"/>
          <w:color w:val="auto"/>
        </w:rPr>
      </w:pPr>
      <w:r>
        <w:rPr>
          <w:rFonts w:ascii="Times New Roman" w:hAnsi="Times New Roman" w:cs="Times New Roman"/>
          <w:color w:val="auto"/>
        </w:rPr>
        <w:t>本项目运营期水污染源主要为医院污水主要为包括感染废水、餐饮废水、医护及职工办公生活污水、病房和门诊产生的废水、保洁废水以及医院检验、分析、治疗产生的特殊废水，废水经院区自建污水处理站处理达标后排入市政污水管网，</w:t>
      </w:r>
      <w:r>
        <w:rPr>
          <w:rFonts w:hint="eastAsia" w:ascii="Times New Roman" w:hAnsi="Times New Roman" w:cs="Times New Roman"/>
          <w:color w:val="auto"/>
          <w:lang w:val="en-US" w:eastAsia="zh-CN"/>
        </w:rPr>
        <w:t>最终排</w:t>
      </w:r>
      <w:r>
        <w:rPr>
          <w:rFonts w:ascii="Times New Roman" w:hAnsi="Times New Roman" w:cs="Times New Roman"/>
          <w:color w:val="auto"/>
        </w:rPr>
        <w:t>入吉木萨尔县污水处理厂处理。根据《环境影响评价技术导则 地表水环境》（HJ2.3-2018）导则表1“水污染影响型建设项目评价等级判定”，本项目地表水评价等级为三级B。根据导则要求，本项目可不进行水环境影响预测。</w:t>
      </w:r>
    </w:p>
    <w:p>
      <w:pPr>
        <w:spacing w:line="520" w:lineRule="exact"/>
        <w:rPr>
          <w:rFonts w:ascii="Times New Roman" w:hAnsi="Times New Roman" w:eastAsia="宋体" w:cs="Times New Roman"/>
          <w:color w:val="auto"/>
        </w:rPr>
      </w:pPr>
    </w:p>
    <w:p>
      <w:pPr>
        <w:pStyle w:val="10"/>
        <w:rPr>
          <w:rFonts w:cs="Times New Roman"/>
          <w:color w:val="auto"/>
        </w:rPr>
      </w:pPr>
      <w:r>
        <w:rPr>
          <w:rFonts w:cs="Times New Roman"/>
          <w:color w:val="auto"/>
        </w:rPr>
        <w:t>2.5.2.2 地下水环境评价等级和范围</w:t>
      </w:r>
    </w:p>
    <w:p>
      <w:pPr>
        <w:spacing w:line="520" w:lineRule="exact"/>
        <w:rPr>
          <w:rFonts w:ascii="Times New Roman" w:hAnsi="Times New Roman" w:cs="Times New Roman"/>
          <w:color w:val="auto"/>
        </w:rPr>
      </w:pPr>
      <w:r>
        <w:rPr>
          <w:rFonts w:ascii="Times New Roman" w:hAnsi="Times New Roman" w:cs="Times New Roman"/>
          <w:color w:val="auto"/>
        </w:rPr>
        <w:t>按照《环境影响评价技术导则地下水环境》（HJ 610-2016）附表A（地下水环境影响评价行业分类表），本项目属于“V社会事业与服务业中的158、医院（新建、扩建），编制报告书”，根据导则规定，三甲类医院地下水环境影响评价项目类别为III类，其余为IV类，本项目为二级甲等综合性医院建设项目，因此地下水环境影响评价项目类别为IV类。根据导则要求，本项目无需开展地下水环境影响评价。</w:t>
      </w:r>
    </w:p>
    <w:p>
      <w:pPr>
        <w:pStyle w:val="9"/>
        <w:spacing w:line="413" w:lineRule="auto"/>
        <w:rPr>
          <w:rFonts w:ascii="Times New Roman" w:hAnsi="Times New Roman" w:cs="Times New Roman"/>
          <w:color w:val="auto"/>
        </w:rPr>
      </w:pPr>
      <w:bookmarkStart w:id="58" w:name="_Toc16353"/>
      <w:r>
        <w:rPr>
          <w:rFonts w:ascii="Times New Roman" w:hAnsi="Times New Roman" w:cs="Times New Roman"/>
          <w:color w:val="auto"/>
        </w:rPr>
        <w:t>2.5.3 声环境影响评价等级和范围</w:t>
      </w:r>
      <w:bookmarkEnd w:id="58"/>
    </w:p>
    <w:p>
      <w:pPr>
        <w:pStyle w:val="10"/>
        <w:rPr>
          <w:rFonts w:cs="Times New Roman"/>
          <w:color w:val="auto"/>
        </w:rPr>
      </w:pPr>
      <w:r>
        <w:rPr>
          <w:rFonts w:cs="Times New Roman"/>
          <w:color w:val="auto"/>
        </w:rPr>
        <w:t>2.5.3.1 评价等级</w:t>
      </w:r>
    </w:p>
    <w:p>
      <w:pPr>
        <w:spacing w:line="520" w:lineRule="exact"/>
        <w:rPr>
          <w:rFonts w:ascii="Times New Roman" w:hAnsi="Times New Roman" w:cs="Times New Roman"/>
          <w:color w:val="auto"/>
        </w:rPr>
      </w:pPr>
      <w:r>
        <w:rPr>
          <w:rFonts w:ascii="Times New Roman" w:hAnsi="Times New Roman" w:cs="Times New Roman"/>
          <w:color w:val="auto"/>
        </w:rPr>
        <w:t>本项目位于吉木萨尔县城老城区南侧，北邻文襄路，西邻闽江路，南邻建国路，东邻准东路，项目投产后200m范围内无环境敏感点，噪声功能区属于1类区。根据评价导则要求，确定项目噪声评价工作等级为</w:t>
      </w:r>
      <w:r>
        <w:rPr>
          <w:rFonts w:hint="eastAsia" w:ascii="Times New Roman" w:hAnsi="Times New Roman" w:cs="Times New Roman"/>
          <w:color w:val="auto"/>
        </w:rPr>
        <w:t>二</w:t>
      </w:r>
      <w:r>
        <w:rPr>
          <w:rFonts w:ascii="Times New Roman" w:hAnsi="Times New Roman" w:cs="Times New Roman"/>
          <w:color w:val="auto"/>
        </w:rPr>
        <w:t>级。</w:t>
      </w:r>
    </w:p>
    <w:p>
      <w:pPr>
        <w:pStyle w:val="10"/>
        <w:rPr>
          <w:rFonts w:cs="Times New Roman"/>
          <w:color w:val="auto"/>
        </w:rPr>
      </w:pPr>
      <w:r>
        <w:rPr>
          <w:rFonts w:cs="Times New Roman"/>
          <w:color w:val="auto"/>
        </w:rPr>
        <w:t>2.5.3.2 评价范围</w:t>
      </w:r>
    </w:p>
    <w:p>
      <w:pPr>
        <w:spacing w:line="520" w:lineRule="exact"/>
        <w:rPr>
          <w:rFonts w:ascii="Times New Roman" w:hAnsi="Times New Roman" w:cs="Times New Roman"/>
          <w:color w:val="auto"/>
        </w:rPr>
      </w:pPr>
      <w:r>
        <w:rPr>
          <w:rFonts w:ascii="Times New Roman" w:hAnsi="Times New Roman" w:cs="Times New Roman"/>
          <w:color w:val="auto"/>
        </w:rPr>
        <w:t>声环境影响评价范围为厂界及厂界外1m。</w:t>
      </w:r>
    </w:p>
    <w:p>
      <w:pPr>
        <w:pStyle w:val="9"/>
        <w:spacing w:line="413" w:lineRule="auto"/>
        <w:rPr>
          <w:rFonts w:ascii="Times New Roman" w:hAnsi="Times New Roman" w:cs="Times New Roman"/>
          <w:color w:val="auto"/>
        </w:rPr>
      </w:pPr>
      <w:bookmarkStart w:id="59" w:name="_Toc20215"/>
      <w:r>
        <w:rPr>
          <w:rFonts w:ascii="Times New Roman" w:hAnsi="Times New Roman" w:cs="Times New Roman"/>
          <w:color w:val="auto"/>
        </w:rPr>
        <w:t>2.5.4 土壤环境影响评价等级和范围</w:t>
      </w:r>
      <w:bookmarkEnd w:id="59"/>
    </w:p>
    <w:p>
      <w:pPr>
        <w:spacing w:line="520" w:lineRule="exact"/>
        <w:rPr>
          <w:rFonts w:ascii="Times New Roman" w:hAnsi="Times New Roman" w:cs="Times New Roman"/>
          <w:color w:val="auto"/>
        </w:rPr>
      </w:pPr>
      <w:r>
        <w:rPr>
          <w:rFonts w:ascii="Times New Roman" w:hAnsi="Times New Roman" w:cs="Times New Roman"/>
          <w:color w:val="auto"/>
        </w:rPr>
        <w:t>根据《环境影响评价技术导则 土壤环境》（HJ964-2018）中“5.2.1”要求，对照“附录A（规范性附录）”中识别建设项目所属行业的土壤环境影响评价项目类别，本项目属于本项目为二级甲等综合性医院建设项目，根据导则附录A中判定属于土壤环境影响评价项目类别中的IV类项目。根据《环境影响评价技术导则 土壤环境》（HJ964-2018）要求，本项目土壤评价工作等级划分判定详见表2</w:t>
      </w:r>
      <w:r>
        <w:rPr>
          <w:rFonts w:hint="eastAsia" w:ascii="Times New Roman" w:hAnsi="Times New Roman" w:cs="Times New Roman"/>
          <w:color w:val="auto"/>
        </w:rPr>
        <w:t>.5-5</w:t>
      </w:r>
      <w:r>
        <w:rPr>
          <w:rFonts w:ascii="Times New Roman" w:hAnsi="Times New Roman" w:cs="Times New Roman"/>
          <w:color w:val="auto"/>
        </w:rPr>
        <w:t>和表2</w:t>
      </w:r>
      <w:r>
        <w:rPr>
          <w:rFonts w:hint="eastAsia" w:ascii="Times New Roman" w:hAnsi="Times New Roman" w:cs="Times New Roman"/>
          <w:color w:val="auto"/>
        </w:rPr>
        <w:t>.5-6</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.5-5</w:t>
      </w:r>
      <w:r>
        <w:rPr>
          <w:rFonts w:cs="Times New Roman"/>
          <w:color w:val="auto"/>
        </w:rPr>
        <w:t xml:space="preserve">   污染影响型敏感程度分级表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6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7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敏感程度</w:t>
            </w:r>
          </w:p>
        </w:tc>
        <w:tc>
          <w:tcPr>
            <w:tcW w:w="3824"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敏感</w:t>
            </w:r>
          </w:p>
        </w:tc>
        <w:tc>
          <w:tcPr>
            <w:tcW w:w="382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建设项目周边存在耕地、园地、牧草地、饮用水水源地或居民区、学校、医院、疗养院、养老院等土壤环境敏感目标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较敏感</w:t>
            </w:r>
          </w:p>
        </w:tc>
        <w:tc>
          <w:tcPr>
            <w:tcW w:w="382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建设项目周边存在其他土壤环境敏感目标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不敏感</w:t>
            </w:r>
          </w:p>
        </w:tc>
        <w:tc>
          <w:tcPr>
            <w:tcW w:w="382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其他情况</w:t>
            </w:r>
          </w:p>
        </w:tc>
      </w:tr>
    </w:tbl>
    <w:p>
      <w:pPr>
        <w:pStyle w:val="35"/>
        <w:spacing w:before="0" w:after="0" w:line="520" w:lineRule="exact"/>
        <w:rPr>
          <w:rFonts w:cs="Times New Roman"/>
          <w:color w:val="auto"/>
        </w:rPr>
      </w:pPr>
      <w:r>
        <w:rPr>
          <w:rFonts w:cs="Times New Roman"/>
          <w:color w:val="auto"/>
        </w:rPr>
        <w:t>表2</w:t>
      </w:r>
      <w:r>
        <w:rPr>
          <w:rFonts w:hint="eastAsia" w:cs="Times New Roman"/>
          <w:color w:val="auto"/>
        </w:rPr>
        <w:t>.5-6</w:t>
      </w:r>
      <w:r>
        <w:rPr>
          <w:rFonts w:cs="Times New Roman"/>
          <w:color w:val="auto"/>
        </w:rPr>
        <w:t xml:space="preserve">   土壤污染影响型评价工作等级划分表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767"/>
        <w:gridCol w:w="767"/>
        <w:gridCol w:w="767"/>
        <w:gridCol w:w="767"/>
        <w:gridCol w:w="767"/>
        <w:gridCol w:w="767"/>
        <w:gridCol w:w="767"/>
        <w:gridCol w:w="767"/>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pct"/>
            <w:vMerge w:val="restart"/>
            <w:vAlign w:val="center"/>
          </w:tcPr>
          <w:p>
            <w:pPr>
              <w:spacing w:line="240" w:lineRule="auto"/>
              <w:ind w:firstLine="0" w:firstLineChars="0"/>
              <w:jc w:val="center"/>
              <w:rPr>
                <w:rFonts w:ascii="Times New Roman" w:hAnsi="Times New Roman" w:cs="Times New Roman"/>
                <w:b/>
                <w:bCs/>
                <w:color w:val="auto"/>
                <w:sz w:val="21"/>
                <w:szCs w:val="21"/>
              </w:rPr>
            </w:pPr>
          </w:p>
        </w:tc>
        <w:tc>
          <w:tcPr>
            <w:tcW w:w="1350" w:type="pct"/>
            <w:gridSpan w:val="3"/>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eastAsia="仿宋" w:cs="Times New Roman"/>
                <w:b/>
                <w:bCs/>
                <w:color w:val="auto"/>
                <w:sz w:val="21"/>
                <w:szCs w:val="21"/>
              </w:rPr>
              <w:t>Ⅰ</w:t>
            </w:r>
            <w:r>
              <w:rPr>
                <w:rFonts w:ascii="Times New Roman" w:hAnsi="Times New Roman" w:cs="Times New Roman"/>
                <w:b/>
                <w:bCs/>
                <w:color w:val="auto"/>
                <w:sz w:val="21"/>
                <w:szCs w:val="21"/>
              </w:rPr>
              <w:t>类</w:t>
            </w:r>
          </w:p>
        </w:tc>
        <w:tc>
          <w:tcPr>
            <w:tcW w:w="1350" w:type="pct"/>
            <w:gridSpan w:val="3"/>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eastAsia="仿宋" w:cs="Times New Roman"/>
                <w:b/>
                <w:bCs/>
                <w:color w:val="auto"/>
                <w:sz w:val="21"/>
                <w:szCs w:val="21"/>
              </w:rPr>
              <w:t>Ⅱ</w:t>
            </w:r>
            <w:r>
              <w:rPr>
                <w:rFonts w:ascii="Times New Roman" w:hAnsi="Times New Roman" w:cs="Times New Roman"/>
                <w:b/>
                <w:bCs/>
                <w:color w:val="auto"/>
                <w:sz w:val="21"/>
                <w:szCs w:val="21"/>
              </w:rPr>
              <w:t>类</w:t>
            </w:r>
          </w:p>
        </w:tc>
        <w:tc>
          <w:tcPr>
            <w:tcW w:w="1351" w:type="pct"/>
            <w:gridSpan w:val="3"/>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eastAsia="仿宋" w:cs="Times New Roman"/>
                <w:b/>
                <w:bCs/>
                <w:color w:val="auto"/>
                <w:sz w:val="21"/>
                <w:szCs w:val="21"/>
              </w:rPr>
              <w:t>Ⅲ</w:t>
            </w:r>
            <w:r>
              <w:rPr>
                <w:rFonts w:ascii="Times New Roman" w:hAnsi="Times New Roman" w:cs="Times New Roman"/>
                <w:b/>
                <w:bCs/>
                <w:color w:val="auto"/>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46"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大</w:t>
            </w: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中</w:t>
            </w: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小</w:t>
            </w: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大</w:t>
            </w: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中</w:t>
            </w: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小</w:t>
            </w: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大</w:t>
            </w:r>
          </w:p>
        </w:tc>
        <w:tc>
          <w:tcPr>
            <w:tcW w:w="4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中</w:t>
            </w:r>
          </w:p>
        </w:tc>
        <w:tc>
          <w:tcPr>
            <w:tcW w:w="451"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敏感</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较敏感</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不敏感</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4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4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pPr>
              <w:spacing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注：“-”表示可不开展土壤环境影响评价工作。</w:t>
            </w:r>
          </w:p>
        </w:tc>
      </w:tr>
    </w:tbl>
    <w:p>
      <w:pPr>
        <w:spacing w:line="520" w:lineRule="exact"/>
        <w:rPr>
          <w:rFonts w:ascii="Times New Roman" w:hAnsi="Times New Roman" w:cs="Times New Roman"/>
          <w:color w:val="auto"/>
          <w:highlight w:val="yellow"/>
        </w:rPr>
      </w:pPr>
      <w:r>
        <w:rPr>
          <w:rFonts w:ascii="Times New Roman" w:hAnsi="Times New Roman" w:cs="Times New Roman"/>
          <w:color w:val="auto"/>
        </w:rPr>
        <w:t>根据《环境影响评价技术导则 土壤环境（试行）》（HJ964－2018），本项目占地面积为12.43万m</w:t>
      </w:r>
      <w:r>
        <w:rPr>
          <w:rFonts w:ascii="Times New Roman" w:hAnsi="Times New Roman" w:cs="Times New Roman"/>
          <w:color w:val="auto"/>
          <w:vertAlign w:val="superscript"/>
        </w:rPr>
        <w:t>2</w:t>
      </w:r>
      <w:r>
        <w:rPr>
          <w:rFonts w:ascii="Times New Roman" w:hAnsi="Times New Roman" w:cs="Times New Roman"/>
          <w:color w:val="auto"/>
        </w:rPr>
        <w:t>（约186亩），占地规模属于“中型”；项目位于吉木萨尔县城老城区南侧，北邻文襄路，西邻闽江路，南邻建国路，东邻准东路，项目所在地周边的土地环境敏感程度属于“不敏感”。根据导则“附录 A”建设项目所属行业的土壤环境评价项目类别，本项目类别为“社会事业与服务业——其他行业”，为“IV类”项目。本项目可不开展土壤环境影响评价工作。</w:t>
      </w:r>
    </w:p>
    <w:p>
      <w:pPr>
        <w:pStyle w:val="9"/>
        <w:spacing w:line="413" w:lineRule="auto"/>
        <w:rPr>
          <w:rFonts w:ascii="Times New Roman" w:hAnsi="Times New Roman" w:cs="Times New Roman"/>
          <w:color w:val="auto"/>
        </w:rPr>
      </w:pPr>
      <w:bookmarkStart w:id="60" w:name="_Toc15430"/>
      <w:r>
        <w:rPr>
          <w:rFonts w:ascii="Times New Roman" w:hAnsi="Times New Roman" w:cs="Times New Roman"/>
          <w:color w:val="auto"/>
        </w:rPr>
        <w:t>2.5.5 生态影响评价工作等级和范围</w:t>
      </w:r>
      <w:bookmarkEnd w:id="60"/>
    </w:p>
    <w:p>
      <w:pPr>
        <w:pStyle w:val="10"/>
        <w:rPr>
          <w:rFonts w:cs="Times New Roman"/>
          <w:color w:val="auto"/>
        </w:rPr>
      </w:pPr>
      <w:r>
        <w:rPr>
          <w:rFonts w:cs="Times New Roman"/>
          <w:color w:val="auto"/>
        </w:rPr>
        <w:t>2.5.5.1 评价等级</w:t>
      </w:r>
    </w:p>
    <w:p>
      <w:pPr>
        <w:spacing w:line="520" w:lineRule="exact"/>
        <w:rPr>
          <w:rFonts w:ascii="Times New Roman" w:hAnsi="Times New Roman" w:cs="Times New Roman"/>
          <w:color w:val="auto"/>
        </w:rPr>
      </w:pPr>
      <w:r>
        <w:rPr>
          <w:rFonts w:ascii="Times New Roman" w:hAnsi="Times New Roman" w:cs="Times New Roman"/>
          <w:color w:val="auto"/>
        </w:rPr>
        <w:t>根据《环境影响评价技术导则 生态影响》（HJ19-2011）中的规定，项目占地面积为12.43万m</w:t>
      </w:r>
      <w:r>
        <w:rPr>
          <w:rFonts w:ascii="Times New Roman" w:hAnsi="Times New Roman" w:cs="Times New Roman"/>
          <w:color w:val="auto"/>
          <w:vertAlign w:val="superscript"/>
        </w:rPr>
        <w:t>2</w:t>
      </w:r>
      <w:r>
        <w:rPr>
          <w:rFonts w:ascii="Times New Roman" w:hAnsi="Times New Roman" w:cs="Times New Roman"/>
          <w:color w:val="auto"/>
        </w:rPr>
        <w:t>（约186亩），用地面积</w:t>
      </w:r>
      <w:r>
        <w:rPr>
          <w:rFonts w:hint="eastAsia" w:ascii="Times New Roman" w:hAnsi="Times New Roman" w:cs="Times New Roman"/>
          <w:color w:val="auto"/>
        </w:rPr>
        <w:t>在</w:t>
      </w:r>
      <w:r>
        <w:rPr>
          <w:rFonts w:hint="eastAsia" w:ascii="Times New Roman" w:hAnsi="Times New Roman" w:cs="Times New Roman"/>
          <w:color w:val="auto"/>
          <w:lang w:val="en-US" w:eastAsia="zh-CN"/>
        </w:rPr>
        <w:t>&lt;</w:t>
      </w:r>
      <w:r>
        <w:rPr>
          <w:rFonts w:ascii="Times New Roman" w:hAnsi="Times New Roman" w:cs="Times New Roman"/>
          <w:color w:val="auto"/>
        </w:rPr>
        <w:t>2km</w:t>
      </w:r>
      <w:r>
        <w:rPr>
          <w:rFonts w:ascii="Times New Roman" w:hAnsi="Times New Roman" w:cs="Times New Roman"/>
          <w:color w:val="auto"/>
          <w:vertAlign w:val="superscript"/>
        </w:rPr>
        <w:t>2</w:t>
      </w:r>
      <w:r>
        <w:rPr>
          <w:rFonts w:hint="eastAsia" w:ascii="Times New Roman" w:hAnsi="Times New Roman" w:cs="Times New Roman"/>
          <w:color w:val="auto"/>
        </w:rPr>
        <w:t>范围内</w:t>
      </w:r>
      <w:r>
        <w:rPr>
          <w:rFonts w:ascii="Times New Roman" w:hAnsi="Times New Roman" w:cs="Times New Roman"/>
          <w:color w:val="auto"/>
        </w:rPr>
        <w:t>；评价区不属于自然保护区、风景名胜区、饮用水源保护区等敏感目标，属一般区域，故生态环境影响评价工作等级定为三级。具体判定依据见表2</w:t>
      </w:r>
      <w:r>
        <w:rPr>
          <w:rFonts w:hint="eastAsia" w:ascii="Times New Roman" w:hAnsi="Times New Roman" w:cs="Times New Roman"/>
          <w:color w:val="auto"/>
        </w:rPr>
        <w:t>.5-7</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.5-7</w:t>
      </w:r>
      <w:r>
        <w:rPr>
          <w:rFonts w:cs="Times New Roman"/>
          <w:color w:val="auto"/>
        </w:rPr>
        <w:t xml:space="preserve">   生态影响评价工作等级划分表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2252"/>
        <w:gridCol w:w="2252"/>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034" w:type="pct"/>
            <w:vMerge w:val="restart"/>
            <w:vAlign w:val="center"/>
          </w:tcPr>
          <w:p>
            <w:pPr>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影响区域生态敏感性</w:t>
            </w:r>
          </w:p>
        </w:tc>
        <w:tc>
          <w:tcPr>
            <w:tcW w:w="3965" w:type="pct"/>
            <w:gridSpan w:val="3"/>
            <w:vAlign w:val="center"/>
          </w:tcPr>
          <w:p>
            <w:pPr>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生态占地（水域）范围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034" w:type="pct"/>
            <w:vMerge w:val="continue"/>
            <w:vAlign w:val="center"/>
          </w:tcPr>
          <w:p>
            <w:pPr>
              <w:ind w:firstLine="0" w:firstLineChars="0"/>
              <w:jc w:val="center"/>
              <w:rPr>
                <w:rFonts w:ascii="Times New Roman" w:hAnsi="Times New Roman" w:cs="Times New Roman"/>
                <w:b/>
                <w:bCs/>
                <w:color w:val="auto"/>
                <w:sz w:val="21"/>
                <w:szCs w:val="21"/>
              </w:rPr>
            </w:pPr>
          </w:p>
        </w:tc>
        <w:tc>
          <w:tcPr>
            <w:tcW w:w="1321" w:type="pct"/>
            <w:vAlign w:val="center"/>
          </w:tcPr>
          <w:p>
            <w:pPr>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面积≥20km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或长度≥100km</w:t>
            </w:r>
          </w:p>
        </w:tc>
        <w:tc>
          <w:tcPr>
            <w:tcW w:w="1321" w:type="pct"/>
            <w:vAlign w:val="center"/>
          </w:tcPr>
          <w:p>
            <w:pPr>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面积2km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～20km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或长度50km～100km</w:t>
            </w:r>
          </w:p>
        </w:tc>
        <w:tc>
          <w:tcPr>
            <w:tcW w:w="1322" w:type="pct"/>
            <w:vAlign w:val="center"/>
          </w:tcPr>
          <w:p>
            <w:pPr>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面积≤2km</w:t>
            </w:r>
            <w:r>
              <w:rPr>
                <w:rFonts w:ascii="Times New Roman" w:hAnsi="Times New Roman" w:cs="Times New Roman"/>
                <w:b/>
                <w:bCs/>
                <w:color w:val="auto"/>
                <w:sz w:val="21"/>
                <w:szCs w:val="21"/>
                <w:vertAlign w:val="superscript"/>
              </w:rPr>
              <w:t>2</w:t>
            </w:r>
            <w:r>
              <w:rPr>
                <w:rFonts w:ascii="Times New Roman" w:hAnsi="Times New Roman" w:cs="Times New Roman"/>
                <w:b/>
                <w:bCs/>
                <w:color w:val="auto"/>
                <w:sz w:val="21"/>
                <w:szCs w:val="21"/>
              </w:rPr>
              <w:t>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4"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特殊生态敏感区</w:t>
            </w:r>
          </w:p>
        </w:tc>
        <w:tc>
          <w:tcPr>
            <w:tcW w:w="1321"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1321"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1322"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4"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重要生态敏感区</w:t>
            </w:r>
          </w:p>
        </w:tc>
        <w:tc>
          <w:tcPr>
            <w:tcW w:w="1321"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1321"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1322"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4"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一般区域</w:t>
            </w:r>
          </w:p>
        </w:tc>
        <w:tc>
          <w:tcPr>
            <w:tcW w:w="1321"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1321"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c>
          <w:tcPr>
            <w:tcW w:w="1322" w:type="pct"/>
            <w:vAlign w:val="center"/>
          </w:tcPr>
          <w:p>
            <w:pPr>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r>
    </w:tbl>
    <w:p>
      <w:pPr>
        <w:pStyle w:val="10"/>
        <w:rPr>
          <w:rFonts w:cs="Times New Roman"/>
          <w:color w:val="auto"/>
        </w:rPr>
      </w:pPr>
      <w:r>
        <w:rPr>
          <w:rFonts w:cs="Times New Roman"/>
          <w:color w:val="auto"/>
        </w:rPr>
        <w:t>2.5.5.2 评价范围</w:t>
      </w:r>
    </w:p>
    <w:p>
      <w:pPr>
        <w:spacing w:line="520" w:lineRule="exact"/>
        <w:rPr>
          <w:rFonts w:ascii="Times New Roman" w:hAnsi="Times New Roman" w:cs="Times New Roman"/>
          <w:color w:val="auto"/>
        </w:rPr>
      </w:pPr>
      <w:r>
        <w:rPr>
          <w:rFonts w:ascii="Times New Roman" w:hAnsi="Times New Roman" w:cs="Times New Roman"/>
          <w:color w:val="auto"/>
        </w:rPr>
        <w:t>根据《环境影响评价技术导则 生态环境》（HJ19-2011），生态影响评价应能充分体现生态完整性原则，并体现开采活动的直接影响区和间接影响区，确定本次生态影响评价范围。综合考虑项目影响区气候条件、生态单元、地理单元都较为单一。因此根据本项目的特点、生态影响区域及周边生态环境现状，确定评价范围为厂区四周各200m范围。</w:t>
      </w:r>
    </w:p>
    <w:p>
      <w:pPr>
        <w:pStyle w:val="9"/>
        <w:spacing w:line="413" w:lineRule="auto"/>
        <w:rPr>
          <w:rFonts w:ascii="Times New Roman" w:hAnsi="Times New Roman" w:cs="Times New Roman"/>
          <w:color w:val="auto"/>
        </w:rPr>
      </w:pPr>
      <w:bookmarkStart w:id="61" w:name="_Toc30484"/>
      <w:r>
        <w:rPr>
          <w:rFonts w:ascii="Times New Roman" w:hAnsi="Times New Roman" w:cs="Times New Roman"/>
          <w:color w:val="auto"/>
        </w:rPr>
        <w:t>2.5.6 环境风险评价等级</w:t>
      </w:r>
      <w:bookmarkEnd w:id="61"/>
    </w:p>
    <w:p>
      <w:pPr>
        <w:spacing w:line="520" w:lineRule="exact"/>
        <w:rPr>
          <w:rFonts w:ascii="Times New Roman" w:hAnsi="Times New Roman" w:cs="Times New Roman"/>
          <w:color w:val="auto"/>
        </w:rPr>
      </w:pPr>
      <w:r>
        <w:rPr>
          <w:rFonts w:ascii="Times New Roman" w:hAnsi="Times New Roman" w:cs="Times New Roman"/>
          <w:color w:val="auto"/>
        </w:rPr>
        <w:t>根据《建设项目环境风险评价技术导则》（HJ169-2018）规定，根据建设项目涉及的物质及工艺系统危险性和所在地的环境敏感性确定环境风险潜势，再根据表2</w:t>
      </w:r>
      <w:r>
        <w:rPr>
          <w:rFonts w:hint="eastAsia" w:ascii="Times New Roman" w:hAnsi="Times New Roman" w:cs="Times New Roman"/>
          <w:color w:val="auto"/>
        </w:rPr>
        <w:t>.5-8</w:t>
      </w:r>
      <w:r>
        <w:rPr>
          <w:rFonts w:ascii="Times New Roman" w:hAnsi="Times New Roman" w:cs="Times New Roman"/>
          <w:color w:val="auto"/>
        </w:rPr>
        <w:t>确定评价工作等级。</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.5-8</w:t>
      </w:r>
      <w:r>
        <w:rPr>
          <w:rFonts w:cs="Times New Roman"/>
          <w:color w:val="auto"/>
        </w:rPr>
        <w:t xml:space="preserve">   环境风险评价工作级别</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1887"/>
        <w:gridCol w:w="948"/>
        <w:gridCol w:w="873"/>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trPr>
        <w:tc>
          <w:tcPr>
            <w:tcW w:w="1567"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环境风险潜势</w:t>
            </w:r>
          </w:p>
        </w:tc>
        <w:tc>
          <w:tcPr>
            <w:tcW w:w="1107"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IV、IV</w:t>
            </w:r>
            <w:r>
              <w:rPr>
                <w:rFonts w:ascii="Times New Roman" w:hAnsi="Times New Roman" w:cs="Times New Roman"/>
                <w:b/>
                <w:bCs/>
                <w:color w:val="auto"/>
                <w:szCs w:val="21"/>
                <w:vertAlign w:val="superscript"/>
              </w:rPr>
              <w:t>+</w:t>
            </w:r>
          </w:p>
        </w:tc>
        <w:tc>
          <w:tcPr>
            <w:tcW w:w="556"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III</w:t>
            </w:r>
          </w:p>
        </w:tc>
        <w:tc>
          <w:tcPr>
            <w:tcW w:w="512"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II</w:t>
            </w:r>
          </w:p>
        </w:tc>
        <w:tc>
          <w:tcPr>
            <w:tcW w:w="1256"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7"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评价工作等级</w:t>
            </w:r>
          </w:p>
        </w:tc>
        <w:tc>
          <w:tcPr>
            <w:tcW w:w="1107"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一</w:t>
            </w:r>
          </w:p>
        </w:tc>
        <w:tc>
          <w:tcPr>
            <w:tcW w:w="55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二</w:t>
            </w:r>
          </w:p>
        </w:tc>
        <w:tc>
          <w:tcPr>
            <w:tcW w:w="51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三</w:t>
            </w:r>
          </w:p>
        </w:tc>
        <w:tc>
          <w:tcPr>
            <w:tcW w:w="125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简单分析</w:t>
            </w:r>
            <w:r>
              <w:rPr>
                <w:rFonts w:ascii="Times New Roman" w:hAnsi="Times New Roman" w:cs="Times New Roman"/>
                <w:color w:val="auto"/>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pStyle w:val="36"/>
              <w:jc w:val="both"/>
              <w:rPr>
                <w:rFonts w:ascii="Times New Roman" w:hAnsi="Times New Roman" w:cs="Times New Roman"/>
                <w:color w:val="auto"/>
                <w:szCs w:val="21"/>
              </w:rPr>
            </w:pPr>
            <w:r>
              <w:rPr>
                <w:rFonts w:ascii="Times New Roman" w:hAnsi="Times New Roman" w:cs="Times New Roman"/>
                <w:color w:val="auto"/>
                <w:szCs w:val="21"/>
              </w:rPr>
              <w:t>a 是相对于详细评价工作内容而言，在描述危险物质、环境影响途径、环境危害后果、风险防范措施等方面给出定性的说明。</w:t>
            </w:r>
          </w:p>
        </w:tc>
      </w:tr>
    </w:tbl>
    <w:p>
      <w:pPr>
        <w:spacing w:line="520" w:lineRule="exac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依据《建设项目环境风险评价技术导则》（HJ 169-2018）中附录B的表B.1和表B.2，</w:t>
      </w:r>
      <w:r>
        <w:rPr>
          <w:rFonts w:hint="eastAsia" w:ascii="Times New Roman" w:hAnsi="Times New Roman" w:cs="Times New Roman"/>
          <w:color w:val="auto"/>
          <w:highlight w:val="none"/>
          <w:lang w:val="en-US" w:eastAsia="zh-CN"/>
        </w:rPr>
        <w:t>本项目的风险物质为二氧化氯</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H</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S、NH</w:t>
      </w:r>
      <w:r>
        <w:rPr>
          <w:rFonts w:hint="eastAsia" w:ascii="Times New Roman" w:hAnsi="Times New Roman" w:cs="Times New Roman"/>
          <w:color w:val="auto"/>
          <w:highlight w:val="none"/>
          <w:vertAlign w:val="subscript"/>
          <w:lang w:val="en-US" w:eastAsia="zh-CN"/>
        </w:rPr>
        <w:t>3</w:t>
      </w:r>
      <w:r>
        <w:rPr>
          <w:rFonts w:hint="eastAsia" w:ascii="Times New Roman" w:hAnsi="Times New Roman" w:cs="Times New Roman"/>
          <w:color w:val="auto"/>
          <w:highlight w:val="none"/>
          <w:vertAlign w:val="baseline"/>
          <w:lang w:val="en-US" w:eastAsia="zh-CN"/>
        </w:rPr>
        <w:t>和柴油。其中</w:t>
      </w:r>
      <w:r>
        <w:rPr>
          <w:rFonts w:hint="eastAsia" w:ascii="Times New Roman" w:hAnsi="Times New Roman" w:cs="Times New Roman"/>
          <w:color w:val="auto"/>
          <w:highlight w:val="none"/>
          <w:lang w:val="en-US" w:eastAsia="zh-CN"/>
        </w:rPr>
        <w:t>H</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S、NH</w:t>
      </w:r>
      <w:r>
        <w:rPr>
          <w:rFonts w:hint="eastAsia" w:ascii="Times New Roman" w:hAnsi="Times New Roman" w:cs="Times New Roman"/>
          <w:color w:val="auto"/>
          <w:highlight w:val="none"/>
          <w:vertAlign w:val="subscript"/>
          <w:lang w:val="en-US" w:eastAsia="zh-CN"/>
        </w:rPr>
        <w:t>3</w:t>
      </w:r>
      <w:r>
        <w:rPr>
          <w:rFonts w:hint="eastAsia" w:ascii="Times New Roman" w:hAnsi="Times New Roman" w:cs="Times New Roman"/>
          <w:color w:val="auto"/>
          <w:highlight w:val="none"/>
          <w:vertAlign w:val="baseline"/>
          <w:lang w:val="en-US" w:eastAsia="zh-CN"/>
        </w:rPr>
        <w:t>产生</w:t>
      </w:r>
      <w:r>
        <w:rPr>
          <w:rFonts w:hint="eastAsia" w:ascii="Times New Roman" w:hAnsi="Times New Roman" w:cs="Times New Roman"/>
          <w:color w:val="auto"/>
          <w:highlight w:val="none"/>
          <w:lang w:val="en-US" w:eastAsia="zh-CN"/>
        </w:rPr>
        <w:t>后即排放，不存储，因此本项目的风险物质为二氧化氯和柴油。</w:t>
      </w:r>
    </w:p>
    <w:p>
      <w:pPr>
        <w:keepNext w:val="0"/>
        <w:keepLines w:val="0"/>
        <w:pageBreakBefore w:val="0"/>
        <w:widowControl w:val="0"/>
        <w:kinsoku/>
        <w:wordWrap/>
        <w:overflowPunct/>
        <w:topLinePunct w:val="0"/>
        <w:autoSpaceDE/>
        <w:autoSpaceDN/>
        <w:bidi w:val="0"/>
        <w:adjustRightInd/>
        <w:spacing w:line="520" w:lineRule="exact"/>
        <w:textAlignment w:val="auto"/>
        <w:rPr>
          <w:rFonts w:hint="default" w:ascii="Times New Roman" w:hAnsi="Times New Roman" w:cs="Times New Roman"/>
          <w:color w:val="auto"/>
          <w:highlight w:val="yellow"/>
          <w:vertAlign w:val="baseline"/>
          <w:lang w:val="en-US" w:eastAsia="zh-CN"/>
        </w:rPr>
      </w:pPr>
      <w:r>
        <w:rPr>
          <w:rFonts w:hint="default" w:ascii="Times New Roman" w:hAnsi="Times New Roman" w:cs="Times New Roman"/>
          <w:color w:val="auto"/>
          <w:highlight w:val="none"/>
          <w:lang w:eastAsia="zh-CN"/>
        </w:rPr>
        <w:t>本项目风险物质数量与临界量比值</w:t>
      </w:r>
      <w:r>
        <w:rPr>
          <w:rFonts w:hint="default" w:ascii="Times New Roman" w:hAnsi="Times New Roman" w:cs="Times New Roman"/>
          <w:color w:val="auto"/>
          <w:highlight w:val="none"/>
          <w:lang w:val="en-US" w:eastAsia="zh-CN"/>
        </w:rPr>
        <w:t>祥</w:t>
      </w:r>
      <w:r>
        <w:rPr>
          <w:rFonts w:hint="default" w:ascii="Times New Roman" w:hAnsi="Times New Roman" w:cs="Times New Roman"/>
          <w:color w:val="auto"/>
          <w:highlight w:val="none"/>
          <w:lang w:eastAsia="zh-CN"/>
        </w:rPr>
        <w:t>见表</w:t>
      </w:r>
      <w:r>
        <w:rPr>
          <w:rFonts w:hint="eastAsia" w:ascii="Times New Roman" w:hAnsi="Times New Roman" w:cs="Times New Roman"/>
          <w:color w:val="auto"/>
          <w:highlight w:val="none"/>
          <w:lang w:val="en-US" w:eastAsia="zh-CN"/>
        </w:rPr>
        <w:t>2.5-9</w:t>
      </w:r>
      <w:r>
        <w:rPr>
          <w:rFonts w:hint="default" w:ascii="Times New Roman" w:hAnsi="Times New Roman" w:cs="Times New Roman"/>
          <w:color w:val="auto"/>
          <w:highlight w:val="none"/>
          <w:lang w:val="en-US" w:eastAsia="zh-CN"/>
        </w:rPr>
        <w:t>。</w:t>
      </w:r>
    </w:p>
    <w:p>
      <w:pPr>
        <w:pStyle w:val="35"/>
        <w:keepNext w:val="0"/>
        <w:keepLines w:val="0"/>
        <w:pageBreakBefore w:val="0"/>
        <w:widowControl w:val="0"/>
        <w:kinsoku/>
        <w:wordWrap/>
        <w:overflowPunct/>
        <w:topLinePunct w:val="0"/>
        <w:autoSpaceDE/>
        <w:autoSpaceDN/>
        <w:bidi w:val="0"/>
        <w:adjustRightInd/>
        <w:snapToGrid/>
        <w:spacing w:before="0" w:after="0" w:line="52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2.5-9</w:t>
      </w:r>
      <w:r>
        <w:rPr>
          <w:rFonts w:hint="default" w:ascii="Times New Roman" w:hAnsi="Times New Roman" w:cs="Times New Roman"/>
          <w:color w:val="auto"/>
          <w:highlight w:val="none"/>
        </w:rPr>
        <w:t xml:space="preserve">   本项目危险物质数量与临界量比值</w:t>
      </w:r>
    </w:p>
    <w:tbl>
      <w:tblPr>
        <w:tblStyle w:val="24"/>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67"/>
        <w:gridCol w:w="1728"/>
        <w:gridCol w:w="1397"/>
        <w:gridCol w:w="1116"/>
        <w:gridCol w:w="1229"/>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1001" w:type="pct"/>
            <w:tcBorders>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危险物质名称</w:t>
            </w:r>
          </w:p>
        </w:tc>
        <w:tc>
          <w:tcPr>
            <w:tcW w:w="1038" w:type="pct"/>
            <w:tcBorders>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eastAsia" w:ascii="Times New Roman" w:hAnsi="Times New Roman" w:cs="Times New Roman"/>
                <w:b/>
                <w:bCs/>
                <w:color w:val="auto"/>
                <w:spacing w:val="0"/>
                <w:sz w:val="21"/>
                <w:szCs w:val="21"/>
                <w:lang w:val="en-US" w:eastAsia="zh-CN"/>
              </w:rPr>
              <w:t>储存位置</w:t>
            </w:r>
          </w:p>
        </w:tc>
        <w:tc>
          <w:tcPr>
            <w:tcW w:w="839" w:type="pct"/>
            <w:tcBorders>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最大存在量（t）</w:t>
            </w:r>
          </w:p>
        </w:tc>
        <w:tc>
          <w:tcPr>
            <w:tcW w:w="670" w:type="pct"/>
            <w:tcBorders>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临界量（t）</w:t>
            </w:r>
          </w:p>
        </w:tc>
        <w:tc>
          <w:tcPr>
            <w:tcW w:w="738" w:type="pct"/>
            <w:tcBorders>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比值Q</w:t>
            </w:r>
          </w:p>
        </w:tc>
        <w:tc>
          <w:tcPr>
            <w:tcW w:w="712" w:type="pct"/>
            <w:tcBorders>
              <w:left w:val="single" w:color="000000" w:sz="6" w:space="0"/>
              <w:bottom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项目Q合计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01" w:type="pct"/>
            <w:tcBorders>
              <w:top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cs="Times New Roman"/>
                <w:color w:val="auto"/>
                <w:spacing w:val="0"/>
                <w:sz w:val="21"/>
                <w:szCs w:val="21"/>
                <w:lang w:val="en-US" w:eastAsia="zh-CN"/>
              </w:rPr>
              <w:t>二氧化氯</w:t>
            </w:r>
          </w:p>
        </w:tc>
        <w:tc>
          <w:tcPr>
            <w:tcW w:w="1038" w:type="pct"/>
            <w:tcBorders>
              <w:top w:val="single" w:color="000000" w:sz="6" w:space="0"/>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污水处理站</w:t>
            </w:r>
          </w:p>
        </w:tc>
        <w:tc>
          <w:tcPr>
            <w:tcW w:w="839" w:type="pct"/>
            <w:tcBorders>
              <w:top w:val="single" w:color="000000" w:sz="6" w:space="0"/>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rPr>
              <w:t>0.</w:t>
            </w:r>
            <w:r>
              <w:rPr>
                <w:rFonts w:hint="eastAsia" w:ascii="Times New Roman" w:hAnsi="Times New Roman" w:cs="Times New Roman"/>
                <w:color w:val="auto"/>
                <w:spacing w:val="0"/>
                <w:sz w:val="21"/>
                <w:szCs w:val="21"/>
                <w:lang w:val="en-US" w:eastAsia="zh-CN"/>
              </w:rPr>
              <w:t>05</w:t>
            </w:r>
          </w:p>
        </w:tc>
        <w:tc>
          <w:tcPr>
            <w:tcW w:w="670" w:type="pct"/>
            <w:tcBorders>
              <w:top w:val="single" w:color="000000" w:sz="6" w:space="0"/>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rPr>
            </w:pPr>
            <w:r>
              <w:rPr>
                <w:rFonts w:hint="eastAsia" w:ascii="Times New Roman" w:hAnsi="Times New Roman" w:cs="Times New Roman"/>
                <w:color w:val="auto"/>
                <w:spacing w:val="0"/>
                <w:w w:val="99"/>
                <w:sz w:val="21"/>
                <w:szCs w:val="21"/>
                <w:lang w:val="en-US" w:eastAsia="zh-CN"/>
              </w:rPr>
              <w:t>0.</w:t>
            </w:r>
            <w:r>
              <w:rPr>
                <w:rFonts w:hint="default" w:ascii="Times New Roman" w:hAnsi="Times New Roman" w:eastAsia="宋体" w:cs="Times New Roman"/>
                <w:color w:val="auto"/>
                <w:spacing w:val="0"/>
                <w:w w:val="99"/>
                <w:sz w:val="21"/>
                <w:szCs w:val="21"/>
              </w:rPr>
              <w:t>5</w:t>
            </w:r>
          </w:p>
        </w:tc>
        <w:tc>
          <w:tcPr>
            <w:tcW w:w="738" w:type="pct"/>
            <w:tcBorders>
              <w:top w:val="single" w:color="000000" w:sz="6" w:space="0"/>
              <w:left w:val="single" w:color="000000" w:sz="6" w:space="0"/>
              <w:bottom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0.1</w:t>
            </w:r>
          </w:p>
        </w:tc>
        <w:tc>
          <w:tcPr>
            <w:tcW w:w="712" w:type="pct"/>
            <w:vMerge w:val="restart"/>
            <w:tcBorders>
              <w:top w:val="single" w:color="000000" w:sz="6" w:space="0"/>
              <w:lef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rPr>
              <w:t>0.1</w:t>
            </w:r>
            <w:r>
              <w:rPr>
                <w:rFonts w:hint="default" w:ascii="Times New Roman" w:hAnsi="Times New Roman" w:cs="Times New Roman"/>
                <w:color w:val="auto"/>
                <w:spacing w:val="0"/>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01" w:type="pct"/>
            <w:tcBorders>
              <w:top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柴油</w:t>
            </w:r>
          </w:p>
        </w:tc>
        <w:tc>
          <w:tcPr>
            <w:tcW w:w="1038" w:type="pct"/>
            <w:tcBorders>
              <w:top w:val="single" w:color="000000" w:sz="6" w:space="0"/>
              <w:left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备用发电机库房</w:t>
            </w:r>
          </w:p>
        </w:tc>
        <w:tc>
          <w:tcPr>
            <w:tcW w:w="839" w:type="pct"/>
            <w:tcBorders>
              <w:top w:val="single" w:color="000000" w:sz="6" w:space="0"/>
              <w:left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5</w:t>
            </w:r>
          </w:p>
        </w:tc>
        <w:tc>
          <w:tcPr>
            <w:tcW w:w="670" w:type="pct"/>
            <w:tcBorders>
              <w:top w:val="single" w:color="000000" w:sz="6" w:space="0"/>
              <w:left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w w:val="99"/>
                <w:sz w:val="21"/>
                <w:szCs w:val="21"/>
                <w:lang w:val="en-US" w:eastAsia="zh-CN"/>
              </w:rPr>
            </w:pPr>
            <w:r>
              <w:rPr>
                <w:rFonts w:hint="default" w:ascii="Times New Roman" w:hAnsi="Times New Roman" w:cs="Times New Roman"/>
                <w:color w:val="auto"/>
                <w:spacing w:val="0"/>
                <w:w w:val="99"/>
                <w:sz w:val="21"/>
                <w:szCs w:val="21"/>
                <w:lang w:val="en-US" w:eastAsia="zh-CN"/>
              </w:rPr>
              <w:t>1000</w:t>
            </w:r>
          </w:p>
        </w:tc>
        <w:tc>
          <w:tcPr>
            <w:tcW w:w="738" w:type="pct"/>
            <w:tcBorders>
              <w:top w:val="single" w:color="000000" w:sz="6" w:space="0"/>
              <w:left w:val="single" w:color="000000" w:sz="6" w:space="0"/>
              <w:righ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en-US" w:eastAsia="zh-CN"/>
              </w:rPr>
              <w:t>0.005</w:t>
            </w:r>
          </w:p>
        </w:tc>
        <w:tc>
          <w:tcPr>
            <w:tcW w:w="712" w:type="pct"/>
            <w:vMerge w:val="continue"/>
            <w:tcBorders>
              <w:left w:val="single" w:color="000000" w:sz="6" w:space="0"/>
            </w:tcBorders>
            <w:vAlign w:val="center"/>
          </w:tcPr>
          <w:p>
            <w:pPr>
              <w:pStyle w:val="42"/>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pacing w:val="0"/>
                <w:sz w:val="21"/>
                <w:szCs w:val="21"/>
              </w:rPr>
            </w:pPr>
          </w:p>
        </w:tc>
      </w:tr>
    </w:tbl>
    <w:p>
      <w:pPr>
        <w:spacing w:line="520" w:lineRule="exact"/>
        <w:rPr>
          <w:rFonts w:ascii="Times New Roman" w:hAnsi="Times New Roman" w:cs="Times New Roman"/>
          <w:color w:val="auto"/>
        </w:rPr>
      </w:pPr>
      <w:r>
        <w:rPr>
          <w:rFonts w:ascii="Times New Roman" w:hAnsi="Times New Roman" w:cs="Times New Roman"/>
          <w:color w:val="auto"/>
        </w:rPr>
        <w:t>参照《建设项目环境风险评价技术导则》（HJ169-2018），根据建设项目涉及物质及工艺系统危险性和所在地的环境敏感性确定环境风险潜势，再判定评价等级；参照附录B确定的危险物质临界量，Q&lt;1，确定本项目风险评价等价为简单分析。</w:t>
      </w:r>
    </w:p>
    <w:p>
      <w:pPr>
        <w:spacing w:line="520" w:lineRule="exact"/>
        <w:rPr>
          <w:rFonts w:ascii="Times New Roman" w:hAnsi="Times New Roman" w:cs="Times New Roman"/>
          <w:color w:val="auto"/>
        </w:rPr>
      </w:pPr>
      <w:r>
        <w:rPr>
          <w:rFonts w:ascii="Times New Roman" w:hAnsi="Times New Roman" w:cs="Times New Roman"/>
          <w:color w:val="auto"/>
        </w:rPr>
        <w:t>项目评价范围见图2</w:t>
      </w:r>
      <w:r>
        <w:rPr>
          <w:rFonts w:hint="eastAsia" w:ascii="Times New Roman" w:hAnsi="Times New Roman" w:cs="Times New Roman"/>
          <w:color w:val="auto"/>
        </w:rPr>
        <w:t>.</w:t>
      </w:r>
      <w:r>
        <w:rPr>
          <w:rFonts w:hint="eastAsia" w:ascii="Times New Roman" w:hAnsi="Times New Roman" w:cs="Times New Roman"/>
          <w:color w:val="auto"/>
          <w:lang w:val="en-US" w:eastAsia="zh-CN"/>
        </w:rPr>
        <w:t>5</w:t>
      </w:r>
      <w:bookmarkStart w:id="670" w:name="_GoBack"/>
      <w:bookmarkEnd w:id="670"/>
      <w:r>
        <w:rPr>
          <w:rFonts w:ascii="Times New Roman" w:hAnsi="Times New Roman" w:cs="Times New Roman"/>
          <w:color w:val="auto"/>
        </w:rPr>
        <w:t>-1。</w:t>
      </w:r>
    </w:p>
    <w:p>
      <w:pPr>
        <w:pStyle w:val="8"/>
        <w:keepLines w:val="0"/>
        <w:jc w:val="left"/>
        <w:rPr>
          <w:rFonts w:ascii="Times New Roman" w:hAnsi="Times New Roman" w:cs="Times New Roman"/>
          <w:color w:val="auto"/>
          <w:kern w:val="0"/>
          <w:szCs w:val="30"/>
        </w:rPr>
      </w:pPr>
      <w:bookmarkStart w:id="62" w:name="_Toc21263"/>
      <w:bookmarkStart w:id="63" w:name="_Toc7840"/>
      <w:bookmarkStart w:id="64" w:name="_Toc3993"/>
      <w:bookmarkStart w:id="65" w:name="_Toc15952_WPSOffice_Level2"/>
      <w:bookmarkStart w:id="66" w:name="_Toc27784"/>
      <w:bookmarkStart w:id="67" w:name="_Toc4785"/>
      <w:bookmarkStart w:id="68" w:name="_Toc19004"/>
      <w:bookmarkStart w:id="69" w:name="_Toc32476"/>
      <w:bookmarkStart w:id="70" w:name="_Toc22127"/>
      <w:bookmarkStart w:id="71" w:name="_Toc24124"/>
      <w:bookmarkStart w:id="72" w:name="_Toc10550"/>
      <w:bookmarkStart w:id="73" w:name="_Toc1834"/>
      <w:bookmarkStart w:id="74" w:name="_Toc27224_WPSOffice_Level2"/>
      <w:r>
        <w:rPr>
          <w:rFonts w:ascii="Times New Roman" w:hAnsi="Times New Roman" w:cs="Times New Roman"/>
          <w:color w:val="auto"/>
          <w:kern w:val="0"/>
          <w:szCs w:val="30"/>
        </w:rPr>
        <w:t>2.6 评价时段及重点</w:t>
      </w:r>
      <w:bookmarkEnd w:id="62"/>
      <w:bookmarkEnd w:id="63"/>
      <w:bookmarkEnd w:id="64"/>
      <w:bookmarkEnd w:id="65"/>
      <w:bookmarkEnd w:id="66"/>
      <w:bookmarkEnd w:id="67"/>
      <w:bookmarkEnd w:id="68"/>
      <w:bookmarkEnd w:id="69"/>
      <w:bookmarkEnd w:id="70"/>
      <w:bookmarkEnd w:id="71"/>
      <w:bookmarkEnd w:id="72"/>
      <w:bookmarkEnd w:id="73"/>
      <w:bookmarkEnd w:id="74"/>
    </w:p>
    <w:p>
      <w:pPr>
        <w:pStyle w:val="9"/>
        <w:spacing w:line="413" w:lineRule="auto"/>
        <w:rPr>
          <w:rFonts w:ascii="Times New Roman" w:hAnsi="Times New Roman" w:cs="Times New Roman"/>
          <w:color w:val="auto"/>
        </w:rPr>
      </w:pPr>
      <w:bookmarkStart w:id="75" w:name="_Toc31574"/>
      <w:r>
        <w:rPr>
          <w:rFonts w:ascii="Times New Roman" w:hAnsi="Times New Roman" w:cs="Times New Roman"/>
          <w:color w:val="auto"/>
        </w:rPr>
        <w:t>2.6.1 评价时段</w:t>
      </w:r>
      <w:bookmarkEnd w:id="75"/>
    </w:p>
    <w:p>
      <w:pPr>
        <w:spacing w:line="520" w:lineRule="exact"/>
        <w:rPr>
          <w:rFonts w:ascii="Times New Roman" w:hAnsi="Times New Roman" w:cs="Times New Roman"/>
          <w:color w:val="auto"/>
        </w:rPr>
      </w:pPr>
      <w:r>
        <w:rPr>
          <w:rFonts w:ascii="Times New Roman" w:hAnsi="Times New Roman" w:cs="Times New Roman"/>
          <w:color w:val="auto"/>
        </w:rPr>
        <w:t>本项目在建设施工期、生产运行期均有可能对周围环境造成不同程度的影响，由于项目施工期较短，对周围环境可能造成长期影响的是项目生产运行期。因此，本评价重点针对项目的生产运行期进行评价。</w:t>
      </w:r>
    </w:p>
    <w:p>
      <w:pPr>
        <w:pStyle w:val="9"/>
        <w:spacing w:line="413" w:lineRule="auto"/>
        <w:rPr>
          <w:rFonts w:ascii="Times New Roman" w:hAnsi="Times New Roman" w:cs="Times New Roman"/>
          <w:color w:val="auto"/>
        </w:rPr>
      </w:pPr>
      <w:bookmarkStart w:id="76" w:name="_Toc16312"/>
      <w:r>
        <w:rPr>
          <w:rFonts w:ascii="Times New Roman" w:hAnsi="Times New Roman" w:cs="Times New Roman"/>
          <w:color w:val="auto"/>
        </w:rPr>
        <w:t>2.6.2 评价重点</w:t>
      </w:r>
      <w:bookmarkEnd w:id="76"/>
    </w:p>
    <w:p>
      <w:pPr>
        <w:spacing w:line="520" w:lineRule="exact"/>
        <w:rPr>
          <w:rFonts w:ascii="Times New Roman" w:hAnsi="Times New Roman" w:cs="Times New Roman"/>
          <w:color w:val="auto"/>
        </w:rPr>
      </w:pPr>
      <w:r>
        <w:rPr>
          <w:rFonts w:ascii="Times New Roman" w:hAnsi="Times New Roman" w:cs="Times New Roman"/>
          <w:color w:val="auto"/>
        </w:rPr>
        <w:t>本次评价工作的重点将涉及以下几个方面：</w:t>
      </w:r>
    </w:p>
    <w:p>
      <w:pPr>
        <w:numPr>
          <w:ilvl w:val="0"/>
          <w:numId w:val="1"/>
        </w:numPr>
        <w:spacing w:line="520" w:lineRule="exact"/>
        <w:rPr>
          <w:rFonts w:ascii="Times New Roman" w:hAnsi="Times New Roman" w:cs="Times New Roman"/>
          <w:color w:val="auto"/>
        </w:rPr>
      </w:pPr>
      <w:r>
        <w:rPr>
          <w:rFonts w:ascii="Times New Roman" w:hAnsi="Times New Roman" w:cs="Times New Roman"/>
          <w:color w:val="auto"/>
        </w:rPr>
        <w:t>工程分析：在建设和生产运行过程中，通过对工艺流程的分析，确定主要产污环节，通过进行水平衡分析，以及生产规模、技术装备水平和排污系数，估算污染物的产生量、排放量以及排放达标状况。</w:t>
      </w:r>
    </w:p>
    <w:p>
      <w:pPr>
        <w:numPr>
          <w:ilvl w:val="0"/>
          <w:numId w:val="1"/>
        </w:numPr>
        <w:spacing w:line="520" w:lineRule="exact"/>
        <w:rPr>
          <w:rFonts w:ascii="Times New Roman" w:hAnsi="Times New Roman" w:cs="Times New Roman"/>
          <w:color w:val="auto"/>
        </w:rPr>
      </w:pPr>
      <w:r>
        <w:rPr>
          <w:rFonts w:ascii="Times New Roman" w:hAnsi="Times New Roman" w:cs="Times New Roman"/>
          <w:color w:val="auto"/>
        </w:rPr>
        <w:t>大气环境影响评价及污染防治措施分析：评价重点放在大气污染物对大气环境的影响等方面，以及项目的污染防治措施是否合理、有效。</w:t>
      </w:r>
    </w:p>
    <w:p>
      <w:pPr>
        <w:numPr>
          <w:ilvl w:val="0"/>
          <w:numId w:val="1"/>
        </w:numPr>
        <w:spacing w:line="520" w:lineRule="exact"/>
        <w:rPr>
          <w:rFonts w:ascii="Times New Roman" w:hAnsi="Times New Roman" w:cs="Times New Roman"/>
          <w:color w:val="auto"/>
        </w:rPr>
      </w:pPr>
      <w:r>
        <w:rPr>
          <w:rFonts w:ascii="Times New Roman" w:hAnsi="Times New Roman" w:cs="Times New Roman"/>
          <w:color w:val="auto"/>
        </w:rPr>
        <w:t>水环境影响评价及污染防治措施分析：评价重点为生产废水以及生活污水等处理设施处理的可行性和保证性，在厂区内处理措施的可行性，以及项目尾水综合利用的可行性。</w:t>
      </w:r>
    </w:p>
    <w:p>
      <w:pPr>
        <w:numPr>
          <w:ilvl w:val="0"/>
          <w:numId w:val="1"/>
        </w:numPr>
        <w:spacing w:line="520" w:lineRule="exact"/>
        <w:rPr>
          <w:rFonts w:ascii="Times New Roman" w:hAnsi="Times New Roman" w:cs="Times New Roman"/>
          <w:color w:val="auto"/>
        </w:rPr>
      </w:pPr>
      <w:r>
        <w:rPr>
          <w:rFonts w:ascii="Times New Roman" w:hAnsi="Times New Roman" w:cs="Times New Roman"/>
          <w:color w:val="auto"/>
        </w:rPr>
        <w:t>固废环境影响评价及污染防治措施分析：评价重点放在固体废物对环境的影响等方面，以及项目固废的污染防治措施是否合理、有效。</w:t>
      </w:r>
    </w:p>
    <w:p>
      <w:pPr>
        <w:numPr>
          <w:ilvl w:val="0"/>
          <w:numId w:val="1"/>
        </w:numPr>
        <w:spacing w:line="520" w:lineRule="exact"/>
        <w:rPr>
          <w:rFonts w:ascii="Times New Roman" w:hAnsi="Times New Roman" w:cs="Times New Roman"/>
          <w:color w:val="auto"/>
        </w:rPr>
      </w:pPr>
      <w:r>
        <w:rPr>
          <w:rFonts w:ascii="Times New Roman" w:hAnsi="Times New Roman" w:cs="Times New Roman"/>
          <w:color w:val="auto"/>
        </w:rPr>
        <w:t>清洁生产分析：通过对本项目各生产环节所采取的生产工艺与装备、资源能源利用指标、产品指标、污染物产生指标、废物回收利用指标、环境管理等方面信息的分析，评价本项目的清洁生产水平并提出合理化建议。</w:t>
      </w:r>
    </w:p>
    <w:p>
      <w:pPr>
        <w:numPr>
          <w:ilvl w:val="0"/>
          <w:numId w:val="1"/>
        </w:numPr>
        <w:spacing w:line="520" w:lineRule="exact"/>
        <w:rPr>
          <w:rFonts w:ascii="Times New Roman" w:hAnsi="Times New Roman" w:cs="Times New Roman"/>
          <w:color w:val="auto"/>
        </w:rPr>
      </w:pPr>
      <w:r>
        <w:rPr>
          <w:rFonts w:ascii="Times New Roman" w:hAnsi="Times New Roman" w:cs="Times New Roman"/>
          <w:color w:val="auto"/>
        </w:rPr>
        <w:t>环境风险评价分析：本次环境风险评价等级为“简单分析”，按照HJ169-2018，本次风险评价主要进行风险识别、源项分析和对事故影响进行简要分析，提出防范、减缓和应急措施。</w:t>
      </w:r>
    </w:p>
    <w:p>
      <w:pPr>
        <w:pStyle w:val="8"/>
        <w:keepLines w:val="0"/>
        <w:jc w:val="left"/>
        <w:rPr>
          <w:rFonts w:ascii="Times New Roman" w:hAnsi="Times New Roman" w:cs="Times New Roman"/>
          <w:color w:val="auto"/>
          <w:kern w:val="0"/>
          <w:szCs w:val="30"/>
        </w:rPr>
      </w:pPr>
      <w:bookmarkStart w:id="77" w:name="_Toc8623"/>
      <w:bookmarkStart w:id="78" w:name="_Toc7995"/>
      <w:bookmarkStart w:id="79" w:name="_Toc6710"/>
      <w:bookmarkStart w:id="80" w:name="_Toc13164"/>
      <w:bookmarkStart w:id="81" w:name="_Toc24871"/>
      <w:bookmarkStart w:id="82" w:name="_Toc13357"/>
      <w:bookmarkStart w:id="83" w:name="_Toc22507"/>
      <w:bookmarkStart w:id="84" w:name="_Toc8311"/>
      <w:bookmarkStart w:id="85" w:name="_Toc11403_WPSOffice_Level2"/>
      <w:bookmarkStart w:id="86" w:name="_Toc12782"/>
      <w:bookmarkStart w:id="87" w:name="_Toc9552"/>
      <w:bookmarkStart w:id="88" w:name="_Toc15096"/>
      <w:bookmarkStart w:id="89" w:name="_Toc809_WPSOffice_Level2"/>
      <w:bookmarkStart w:id="90" w:name="_Toc10013"/>
      <w:r>
        <w:rPr>
          <w:rFonts w:ascii="Times New Roman" w:hAnsi="Times New Roman" w:cs="Times New Roman"/>
          <w:color w:val="auto"/>
          <w:kern w:val="0"/>
          <w:szCs w:val="30"/>
        </w:rPr>
        <w:t>2.7 环境功能区划</w:t>
      </w:r>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9"/>
        <w:spacing w:line="413" w:lineRule="auto"/>
        <w:rPr>
          <w:rFonts w:ascii="Times New Roman" w:hAnsi="Times New Roman" w:cs="Times New Roman"/>
          <w:color w:val="auto"/>
        </w:rPr>
      </w:pPr>
      <w:bookmarkStart w:id="91" w:name="_Toc23555"/>
      <w:r>
        <w:rPr>
          <w:rFonts w:ascii="Times New Roman" w:hAnsi="Times New Roman" w:cs="Times New Roman"/>
          <w:color w:val="auto"/>
        </w:rPr>
        <w:t>2.7.1 环境空气功能区划</w:t>
      </w:r>
      <w:bookmarkEnd w:id="91"/>
    </w:p>
    <w:p>
      <w:pPr>
        <w:spacing w:line="520" w:lineRule="exact"/>
        <w:rPr>
          <w:rFonts w:ascii="Times New Roman" w:hAnsi="Times New Roman" w:cs="Times New Roman"/>
          <w:color w:val="auto"/>
        </w:rPr>
      </w:pPr>
      <w:r>
        <w:rPr>
          <w:rFonts w:ascii="Times New Roman" w:hAnsi="Times New Roman" w:cs="Times New Roman"/>
          <w:color w:val="auto"/>
        </w:rPr>
        <w:t>根据《环境空气质量标准》（GB3095-2012）中有关环境空气质量功能分类规定：“二类区为城镇规划中确定的居住区、商业交通居民混合区、文化区、一般工业区和农村地区”，结合本区域的具体情况，本评价区环境空气质量功能区应划为二类区，执行《环境空气质量标准》（GB3095-2012）中二级标准。</w:t>
      </w:r>
    </w:p>
    <w:p>
      <w:pPr>
        <w:pStyle w:val="9"/>
        <w:spacing w:line="413" w:lineRule="auto"/>
        <w:rPr>
          <w:rFonts w:ascii="Times New Roman" w:hAnsi="Times New Roman" w:cs="Times New Roman"/>
          <w:color w:val="auto"/>
        </w:rPr>
      </w:pPr>
      <w:bookmarkStart w:id="92" w:name="_Toc17000"/>
      <w:r>
        <w:rPr>
          <w:rFonts w:ascii="Times New Roman" w:hAnsi="Times New Roman" w:cs="Times New Roman"/>
          <w:color w:val="auto"/>
        </w:rPr>
        <w:t>2.7.2 水环境功能区划</w:t>
      </w:r>
      <w:bookmarkEnd w:id="92"/>
    </w:p>
    <w:p>
      <w:pPr>
        <w:spacing w:line="520" w:lineRule="exact"/>
        <w:rPr>
          <w:rFonts w:ascii="Times New Roman" w:hAnsi="Times New Roman" w:cs="Times New Roman"/>
          <w:color w:val="auto"/>
        </w:rPr>
      </w:pPr>
      <w:r>
        <w:rPr>
          <w:rFonts w:ascii="Times New Roman" w:hAnsi="Times New Roman" w:cs="Times New Roman"/>
          <w:color w:val="auto"/>
        </w:rPr>
        <w:t>根据建设项目所在区域地下水功能，项目区地下水质量类别为Ⅲ类功能区。</w:t>
      </w:r>
    </w:p>
    <w:p>
      <w:pPr>
        <w:pStyle w:val="9"/>
        <w:spacing w:line="413" w:lineRule="auto"/>
        <w:rPr>
          <w:rFonts w:ascii="Times New Roman" w:hAnsi="Times New Roman" w:cs="Times New Roman"/>
          <w:color w:val="auto"/>
        </w:rPr>
      </w:pPr>
      <w:bookmarkStart w:id="93" w:name="_Toc27886"/>
      <w:r>
        <w:rPr>
          <w:rFonts w:ascii="Times New Roman" w:hAnsi="Times New Roman" w:cs="Times New Roman"/>
          <w:color w:val="auto"/>
        </w:rPr>
        <w:t>2.7.3 声环境功能区划</w:t>
      </w:r>
      <w:bookmarkEnd w:id="93"/>
    </w:p>
    <w:p>
      <w:pPr>
        <w:spacing w:line="520" w:lineRule="exact"/>
        <w:rPr>
          <w:rFonts w:ascii="Times New Roman" w:hAnsi="Times New Roman" w:cs="Times New Roman"/>
          <w:color w:val="auto"/>
        </w:rPr>
      </w:pPr>
      <w:r>
        <w:rPr>
          <w:rFonts w:hint="eastAsia" w:ascii="Times New Roman" w:hAnsi="Times New Roman" w:cs="Times New Roman"/>
          <w:color w:val="auto"/>
        </w:rPr>
        <w:t>本项目属于医院类建设项目</w:t>
      </w:r>
      <w:r>
        <w:rPr>
          <w:rFonts w:ascii="Times New Roman" w:hAnsi="Times New Roman" w:cs="Times New Roman"/>
          <w:color w:val="auto"/>
        </w:rPr>
        <w:t>，依据《声环境质量标准》（GB3096-2008），项目所在区域属1类功能区。</w:t>
      </w:r>
    </w:p>
    <w:p>
      <w:pPr>
        <w:pStyle w:val="8"/>
        <w:keepLines w:val="0"/>
        <w:jc w:val="left"/>
        <w:rPr>
          <w:rFonts w:ascii="Times New Roman" w:hAnsi="Times New Roman" w:cs="Times New Roman"/>
          <w:color w:val="auto"/>
          <w:kern w:val="0"/>
          <w:szCs w:val="30"/>
        </w:rPr>
      </w:pPr>
      <w:bookmarkStart w:id="94" w:name="_Toc17385"/>
      <w:bookmarkStart w:id="95" w:name="_Toc28129"/>
      <w:bookmarkStart w:id="96" w:name="_Toc727"/>
      <w:bookmarkStart w:id="97" w:name="_Toc24382"/>
      <w:bookmarkStart w:id="98" w:name="_Toc22788"/>
      <w:bookmarkStart w:id="99" w:name="_Toc4450"/>
      <w:bookmarkStart w:id="100" w:name="_Toc11099_WPSOffice_Level2"/>
      <w:bookmarkStart w:id="101" w:name="_Toc2405_WPSOffice_Level2"/>
      <w:bookmarkStart w:id="102" w:name="_Toc23916"/>
      <w:bookmarkStart w:id="103" w:name="_Toc32519"/>
      <w:bookmarkStart w:id="104" w:name="_Toc7335"/>
      <w:bookmarkStart w:id="105" w:name="_Toc29986"/>
      <w:r>
        <w:rPr>
          <w:rFonts w:ascii="Times New Roman" w:hAnsi="Times New Roman" w:cs="Times New Roman"/>
          <w:color w:val="auto"/>
          <w:kern w:val="0"/>
          <w:szCs w:val="30"/>
        </w:rPr>
        <w:t xml:space="preserve">2.8 </w:t>
      </w:r>
      <w:bookmarkEnd w:id="94"/>
      <w:bookmarkEnd w:id="95"/>
      <w:bookmarkEnd w:id="96"/>
      <w:bookmarkEnd w:id="97"/>
      <w:bookmarkEnd w:id="98"/>
      <w:bookmarkEnd w:id="99"/>
      <w:bookmarkEnd w:id="100"/>
      <w:bookmarkEnd w:id="101"/>
      <w:bookmarkEnd w:id="102"/>
      <w:bookmarkEnd w:id="103"/>
      <w:r>
        <w:rPr>
          <w:rFonts w:ascii="Times New Roman" w:hAnsi="Times New Roman" w:cs="Times New Roman"/>
          <w:color w:val="auto"/>
          <w:kern w:val="0"/>
          <w:szCs w:val="30"/>
        </w:rPr>
        <w:t>污染控制目标及环境保护目标</w:t>
      </w:r>
      <w:bookmarkEnd w:id="104"/>
      <w:bookmarkEnd w:id="105"/>
    </w:p>
    <w:p>
      <w:pPr>
        <w:pStyle w:val="9"/>
        <w:spacing w:line="413" w:lineRule="auto"/>
        <w:rPr>
          <w:rFonts w:ascii="Times New Roman" w:hAnsi="Times New Roman" w:cs="Times New Roman"/>
          <w:color w:val="auto"/>
        </w:rPr>
      </w:pPr>
      <w:bookmarkStart w:id="106" w:name="_Toc26190"/>
      <w:r>
        <w:rPr>
          <w:rFonts w:ascii="Times New Roman" w:hAnsi="Times New Roman" w:cs="Times New Roman"/>
          <w:color w:val="auto"/>
        </w:rPr>
        <w:t>2.8.1 污染控制目标</w:t>
      </w:r>
      <w:bookmarkEnd w:id="106"/>
    </w:p>
    <w:p>
      <w:pPr>
        <w:spacing w:line="520" w:lineRule="exact"/>
        <w:rPr>
          <w:rFonts w:ascii="Times New Roman" w:hAnsi="Times New Roman" w:cs="Times New Roman"/>
          <w:color w:val="auto"/>
          <w:highlight w:val="yellow"/>
        </w:rPr>
      </w:pPr>
      <w:r>
        <w:rPr>
          <w:rFonts w:ascii="Times New Roman" w:hAnsi="Times New Roman" w:cs="Times New Roman"/>
          <w:color w:val="auto"/>
        </w:rPr>
        <w:t>（1）项目生产生活产生的废水经污水处理站处理达标后排入吉木萨尔县市政污水管网。</w:t>
      </w:r>
    </w:p>
    <w:p>
      <w:pPr>
        <w:spacing w:line="520" w:lineRule="exact"/>
        <w:rPr>
          <w:rFonts w:ascii="Times New Roman" w:hAnsi="Times New Roman" w:cs="Times New Roman"/>
          <w:color w:val="auto"/>
        </w:rPr>
      </w:pPr>
      <w:r>
        <w:rPr>
          <w:rFonts w:ascii="Times New Roman" w:hAnsi="Times New Roman" w:cs="Times New Roman"/>
          <w:color w:val="auto"/>
        </w:rPr>
        <w:t>（2）项目废气主要为污水处理站产生的</w:t>
      </w:r>
      <w:r>
        <w:rPr>
          <w:rFonts w:hint="eastAsia" w:ascii="Times New Roman" w:hAnsi="Times New Roman" w:cs="Times New Roman"/>
          <w:color w:val="auto"/>
          <w:lang w:val="en-US" w:eastAsia="zh-CN"/>
        </w:rPr>
        <w:t>H</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S、NH</w:t>
      </w:r>
      <w:r>
        <w:rPr>
          <w:rFonts w:hint="eastAsia" w:ascii="Times New Roman" w:hAnsi="Times New Roman" w:cs="Times New Roman"/>
          <w:color w:val="auto"/>
          <w:vertAlign w:val="subscript"/>
          <w:lang w:val="en-US" w:eastAsia="zh-CN"/>
        </w:rPr>
        <w:t>3</w:t>
      </w:r>
      <w:r>
        <w:rPr>
          <w:rFonts w:ascii="Times New Roman" w:hAnsi="Times New Roman" w:cs="Times New Roman"/>
          <w:color w:val="auto"/>
        </w:rPr>
        <w:t>，控制项目废气的排放浓度和排放速率，使环境质量满足《环境空气质量标准》（GB3095-2012）中二级标准要求。</w:t>
      </w:r>
    </w:p>
    <w:p>
      <w:pPr>
        <w:spacing w:line="520" w:lineRule="exact"/>
        <w:rPr>
          <w:rFonts w:ascii="Times New Roman" w:hAnsi="Times New Roman" w:cs="Times New Roman"/>
          <w:color w:val="auto"/>
        </w:rPr>
      </w:pPr>
      <w:r>
        <w:rPr>
          <w:rFonts w:ascii="Times New Roman" w:hAnsi="Times New Roman" w:cs="Times New Roman"/>
          <w:color w:val="auto"/>
        </w:rPr>
        <w:t>（3）项目产生的噪声主要是设备运作产生的噪声，采取经济、合理的噪声控制措施，使厂界达标。</w:t>
      </w:r>
    </w:p>
    <w:p>
      <w:pPr>
        <w:spacing w:line="520" w:lineRule="exact"/>
        <w:rPr>
          <w:rFonts w:ascii="Times New Roman" w:hAnsi="Times New Roman" w:cs="Times New Roman"/>
          <w:color w:val="auto"/>
        </w:rPr>
      </w:pPr>
      <w:r>
        <w:rPr>
          <w:rFonts w:ascii="Times New Roman" w:hAnsi="Times New Roman" w:cs="Times New Roman"/>
          <w:color w:val="auto"/>
        </w:rPr>
        <w:t>（4）做好厂区内分区防渗，防止跑冒滴漏污染地下水。</w:t>
      </w:r>
    </w:p>
    <w:p>
      <w:pPr>
        <w:spacing w:line="520" w:lineRule="exact"/>
        <w:rPr>
          <w:rFonts w:ascii="Times New Roman" w:hAnsi="Times New Roman" w:cs="Times New Roman"/>
          <w:color w:val="auto"/>
        </w:rPr>
      </w:pPr>
      <w:r>
        <w:rPr>
          <w:rFonts w:ascii="Times New Roman" w:hAnsi="Times New Roman" w:cs="Times New Roman"/>
          <w:color w:val="auto"/>
        </w:rPr>
        <w:t>（5）做好固体废弃物的分类处理，防止出现固废二次污染。</w:t>
      </w:r>
    </w:p>
    <w:p>
      <w:pPr>
        <w:pStyle w:val="9"/>
        <w:spacing w:line="413" w:lineRule="auto"/>
        <w:rPr>
          <w:rFonts w:ascii="Times New Roman" w:hAnsi="Times New Roman" w:cs="Times New Roman"/>
          <w:color w:val="auto"/>
        </w:rPr>
      </w:pPr>
      <w:bookmarkStart w:id="107" w:name="_Toc2771"/>
      <w:r>
        <w:rPr>
          <w:rFonts w:ascii="Times New Roman" w:hAnsi="Times New Roman" w:cs="Times New Roman"/>
          <w:color w:val="auto"/>
        </w:rPr>
        <w:t>2.8.2 环境保护目标</w:t>
      </w:r>
      <w:bookmarkEnd w:id="107"/>
    </w:p>
    <w:p>
      <w:pPr>
        <w:pStyle w:val="10"/>
        <w:rPr>
          <w:rFonts w:cs="Times New Roman"/>
          <w:color w:val="auto"/>
        </w:rPr>
      </w:pPr>
      <w:bookmarkStart w:id="108" w:name="_Toc504733649"/>
      <w:r>
        <w:rPr>
          <w:rFonts w:cs="Times New Roman"/>
          <w:color w:val="auto"/>
        </w:rPr>
        <w:t>2.8.2.1 水环境保护目标</w:t>
      </w:r>
      <w:bookmarkEnd w:id="108"/>
    </w:p>
    <w:p>
      <w:pPr>
        <w:spacing w:line="520" w:lineRule="exact"/>
        <w:rPr>
          <w:rFonts w:ascii="Times New Roman" w:hAnsi="Times New Roman" w:cs="Times New Roman"/>
          <w:color w:val="auto"/>
          <w:kern w:val="0"/>
        </w:rPr>
      </w:pPr>
      <w:r>
        <w:rPr>
          <w:rFonts w:ascii="Times New Roman" w:hAnsi="Times New Roman" w:cs="Times New Roman"/>
          <w:color w:val="auto"/>
          <w:kern w:val="0"/>
        </w:rPr>
        <w:t>本项目临近区域内无地表水体，水环境保护目标为地下水环境质量不因项目的建设而下降，满足</w:t>
      </w:r>
      <w:r>
        <w:rPr>
          <w:rFonts w:ascii="Times New Roman" w:hAnsi="Times New Roman" w:cs="Times New Roman"/>
          <w:color w:val="auto"/>
          <w:spacing w:val="6"/>
        </w:rPr>
        <w:t>《地下水质量标准》（GB/T14848-2017）中的</w:t>
      </w:r>
      <w:r>
        <w:rPr>
          <w:rFonts w:ascii="Times New Roman" w:hAnsi="Times New Roman" w:eastAsia="仿宋" w:cs="Times New Roman"/>
          <w:color w:val="auto"/>
          <w:spacing w:val="6"/>
        </w:rPr>
        <w:t>Ⅲ</w:t>
      </w:r>
      <w:r>
        <w:rPr>
          <w:rFonts w:ascii="Times New Roman" w:hAnsi="Times New Roman" w:cs="Times New Roman"/>
          <w:color w:val="auto"/>
          <w:spacing w:val="6"/>
        </w:rPr>
        <w:t>类标准。</w:t>
      </w:r>
    </w:p>
    <w:p>
      <w:pPr>
        <w:pStyle w:val="10"/>
        <w:rPr>
          <w:rFonts w:cs="Times New Roman"/>
          <w:color w:val="auto"/>
        </w:rPr>
      </w:pPr>
      <w:bookmarkStart w:id="109" w:name="_Toc504733650"/>
      <w:r>
        <w:rPr>
          <w:rFonts w:cs="Times New Roman"/>
          <w:color w:val="auto"/>
        </w:rPr>
        <w:t>2.8.2.2 大气环境保护目标</w:t>
      </w:r>
      <w:bookmarkEnd w:id="109"/>
    </w:p>
    <w:p>
      <w:pPr>
        <w:spacing w:line="520" w:lineRule="exact"/>
        <w:ind w:firstLine="456"/>
        <w:rPr>
          <w:rFonts w:ascii="Times New Roman" w:hAnsi="Times New Roman" w:cs="Times New Roman"/>
          <w:color w:val="auto"/>
          <w:kern w:val="0"/>
        </w:rPr>
      </w:pPr>
      <w:r>
        <w:rPr>
          <w:rFonts w:ascii="Times New Roman" w:hAnsi="Times New Roman" w:cs="Times New Roman"/>
          <w:color w:val="auto"/>
          <w:spacing w:val="-6"/>
          <w:kern w:val="0"/>
        </w:rPr>
        <w:t>大气的保护目标为区域内空气质量，使其满足《环境空气质量标准》二级标准。</w:t>
      </w:r>
    </w:p>
    <w:p>
      <w:pPr>
        <w:pStyle w:val="10"/>
        <w:rPr>
          <w:rFonts w:cs="Times New Roman"/>
          <w:color w:val="auto"/>
        </w:rPr>
      </w:pPr>
      <w:bookmarkStart w:id="110" w:name="_Toc504733651"/>
      <w:r>
        <w:rPr>
          <w:rFonts w:cs="Times New Roman"/>
          <w:color w:val="auto"/>
        </w:rPr>
        <w:t>2.8.2.3 声环境保护目标</w:t>
      </w:r>
      <w:bookmarkEnd w:id="110"/>
    </w:p>
    <w:p>
      <w:pPr>
        <w:spacing w:line="520" w:lineRule="exact"/>
        <w:rPr>
          <w:rFonts w:ascii="Times New Roman" w:hAnsi="Times New Roman" w:cs="Times New Roman"/>
          <w:color w:val="auto"/>
          <w:kern w:val="0"/>
        </w:rPr>
      </w:pPr>
      <w:r>
        <w:rPr>
          <w:rFonts w:ascii="Times New Roman" w:hAnsi="Times New Roman" w:cs="Times New Roman"/>
          <w:color w:val="auto"/>
          <w:kern w:val="0"/>
        </w:rPr>
        <w:t>声环境保护目标为场界四周声环境，保证声环境质量满足《声环境质量标准》（GB3096-2008）1类区标准要求。</w:t>
      </w:r>
    </w:p>
    <w:p>
      <w:pPr>
        <w:pStyle w:val="10"/>
        <w:rPr>
          <w:rFonts w:cs="Times New Roman"/>
          <w:color w:val="auto"/>
        </w:rPr>
      </w:pPr>
      <w:bookmarkStart w:id="111" w:name="_Toc504733652"/>
      <w:r>
        <w:rPr>
          <w:rFonts w:cs="Times New Roman"/>
          <w:color w:val="auto"/>
        </w:rPr>
        <w:t>2.8.2.4 固体废物环境保护目标</w:t>
      </w:r>
      <w:bookmarkEnd w:id="111"/>
    </w:p>
    <w:p>
      <w:pPr>
        <w:spacing w:line="520" w:lineRule="exact"/>
        <w:rPr>
          <w:rFonts w:ascii="Times New Roman" w:hAnsi="Times New Roman" w:cs="Times New Roman"/>
          <w:color w:val="auto"/>
          <w:kern w:val="0"/>
        </w:rPr>
      </w:pPr>
      <w:r>
        <w:rPr>
          <w:rFonts w:ascii="Times New Roman" w:hAnsi="Times New Roman" w:cs="Times New Roman"/>
          <w:bCs/>
          <w:color w:val="auto"/>
          <w:kern w:val="0"/>
        </w:rPr>
        <w:t>落实本项目固体废物“减量化、资源化和无害化”的途径和数量。防止发生二次污染。</w:t>
      </w:r>
    </w:p>
    <w:p>
      <w:pPr>
        <w:pStyle w:val="10"/>
        <w:rPr>
          <w:rFonts w:cs="Times New Roman"/>
          <w:color w:val="auto"/>
        </w:rPr>
      </w:pPr>
      <w:bookmarkStart w:id="112" w:name="_Toc504733653"/>
      <w:r>
        <w:rPr>
          <w:rFonts w:cs="Times New Roman"/>
          <w:color w:val="auto"/>
        </w:rPr>
        <w:t>2.8.2.5 生态环境保护目标</w:t>
      </w:r>
      <w:bookmarkEnd w:id="112"/>
    </w:p>
    <w:p>
      <w:pPr>
        <w:spacing w:line="520" w:lineRule="exact"/>
        <w:rPr>
          <w:rFonts w:ascii="Times New Roman" w:hAnsi="Times New Roman" w:cs="Times New Roman"/>
          <w:color w:val="auto"/>
          <w:kern w:val="0"/>
        </w:rPr>
      </w:pPr>
      <w:r>
        <w:rPr>
          <w:rFonts w:ascii="Times New Roman" w:hAnsi="Times New Roman" w:cs="Times New Roman"/>
          <w:color w:val="auto"/>
          <w:kern w:val="0"/>
        </w:rPr>
        <w:t>保障本项目的建设对评价区域周边生态不构成显著的影响，不影响项目区周边的生态系统类型。</w:t>
      </w:r>
    </w:p>
    <w:p>
      <w:pPr>
        <w:pStyle w:val="10"/>
        <w:rPr>
          <w:rFonts w:cs="Times New Roman"/>
          <w:color w:val="auto"/>
        </w:rPr>
      </w:pPr>
      <w:bookmarkStart w:id="113" w:name="_Toc504733654"/>
      <w:r>
        <w:rPr>
          <w:rFonts w:cs="Times New Roman"/>
          <w:color w:val="auto"/>
        </w:rPr>
        <w:t>2.8.2.6 环境风险保护目标</w:t>
      </w:r>
      <w:bookmarkEnd w:id="113"/>
    </w:p>
    <w:p>
      <w:pPr>
        <w:spacing w:line="520" w:lineRule="exact"/>
        <w:rPr>
          <w:rFonts w:ascii="Times New Roman" w:hAnsi="Times New Roman" w:cs="Times New Roman"/>
          <w:color w:val="auto"/>
          <w:kern w:val="0"/>
        </w:rPr>
      </w:pPr>
      <w:r>
        <w:rPr>
          <w:rFonts w:ascii="Times New Roman" w:hAnsi="Times New Roman" w:cs="Times New Roman"/>
          <w:color w:val="auto"/>
          <w:kern w:val="0"/>
        </w:rPr>
        <w:t>保障项目运营过程中发生风险事故得到有效预防和控制，不会对评价范围内环境敏感点带来不利影响。</w:t>
      </w:r>
    </w:p>
    <w:p>
      <w:pPr>
        <w:pStyle w:val="10"/>
        <w:rPr>
          <w:rFonts w:cs="Times New Roman"/>
          <w:color w:val="auto"/>
        </w:rPr>
      </w:pPr>
      <w:bookmarkStart w:id="114" w:name="_Toc504733655"/>
      <w:r>
        <w:rPr>
          <w:rFonts w:cs="Times New Roman"/>
          <w:color w:val="auto"/>
        </w:rPr>
        <w:t>2.8.2.7 环境保护目标汇总</w:t>
      </w:r>
      <w:bookmarkEnd w:id="114"/>
    </w:p>
    <w:p>
      <w:pPr>
        <w:pStyle w:val="37"/>
        <w:spacing w:line="520" w:lineRule="exact"/>
        <w:rPr>
          <w:rFonts w:ascii="Times New Roman" w:hAnsi="Times New Roman" w:eastAsia="宋体" w:cs="Times New Roman"/>
          <w:color w:val="auto"/>
        </w:rPr>
      </w:pPr>
      <w:r>
        <w:rPr>
          <w:rFonts w:ascii="Times New Roman" w:hAnsi="Times New Roman" w:eastAsia="宋体" w:cs="Times New Roman"/>
          <w:snapToGrid/>
          <w:color w:val="auto"/>
          <w:kern w:val="0"/>
        </w:rPr>
        <w:t>根据厂址周围环境状况和敏感点具体分布情况，确定</w:t>
      </w:r>
      <w:bookmarkStart w:id="115" w:name="_Toc155101581"/>
      <w:r>
        <w:rPr>
          <w:rFonts w:ascii="Times New Roman" w:hAnsi="Times New Roman" w:eastAsia="宋体" w:cs="Times New Roman"/>
          <w:snapToGrid/>
          <w:color w:val="auto"/>
          <w:kern w:val="0"/>
        </w:rPr>
        <w:t>本项目环境空气、地下水的环境保护目标，本项目环境空气、环境风险以及声环境评价范围内没有环境敏感目标，项目周围最近的环境保护目标情况详见表</w:t>
      </w:r>
      <w:bookmarkEnd w:id="115"/>
      <w:r>
        <w:rPr>
          <w:rFonts w:ascii="Times New Roman" w:hAnsi="Times New Roman" w:eastAsia="宋体" w:cs="Times New Roman"/>
          <w:snapToGrid/>
          <w:color w:val="auto"/>
          <w:kern w:val="0"/>
        </w:rPr>
        <w:t>2</w:t>
      </w:r>
      <w:r>
        <w:rPr>
          <w:rFonts w:hint="eastAsia" w:ascii="Times New Roman" w:hAnsi="Times New Roman" w:eastAsia="宋体" w:cs="Times New Roman"/>
          <w:snapToGrid/>
          <w:color w:val="auto"/>
          <w:kern w:val="0"/>
        </w:rPr>
        <w:t>.8-1</w:t>
      </w:r>
      <w:r>
        <w:rPr>
          <w:rFonts w:ascii="Times New Roman" w:hAnsi="Times New Roman" w:eastAsia="宋体" w:cs="Times New Roman"/>
          <w:snapToGrid/>
          <w:color w:val="auto"/>
          <w:kern w:val="0"/>
        </w:rPr>
        <w:t>。项目周边敏感目标分布详见图</w:t>
      </w:r>
      <w:r>
        <w:rPr>
          <w:rFonts w:hint="eastAsia" w:ascii="Times New Roman" w:hAnsi="Times New Roman" w:eastAsia="宋体" w:cs="Times New Roman"/>
          <w:snapToGrid/>
          <w:color w:val="auto"/>
          <w:kern w:val="0"/>
        </w:rPr>
        <w:t>2.8-1</w:t>
      </w:r>
      <w:r>
        <w:rPr>
          <w:rFonts w:ascii="Times New Roman" w:hAnsi="Times New Roman" w:eastAsia="宋体" w:cs="Times New Roman"/>
          <w:snapToGrid/>
          <w:color w:val="auto"/>
          <w:kern w:val="0"/>
        </w:rPr>
        <w:t>。</w:t>
      </w:r>
    </w:p>
    <w:p>
      <w:pPr>
        <w:pStyle w:val="35"/>
        <w:spacing w:before="0" w:after="0" w:line="520" w:lineRule="exact"/>
        <w:rPr>
          <w:rFonts w:cs="Times New Roman"/>
          <w:color w:val="auto"/>
        </w:rPr>
      </w:pPr>
      <w:r>
        <w:rPr>
          <w:rFonts w:cs="Times New Roman"/>
          <w:color w:val="auto"/>
        </w:rPr>
        <w:t>表2</w:t>
      </w:r>
      <w:r>
        <w:rPr>
          <w:rFonts w:hint="eastAsia" w:cs="Times New Roman"/>
          <w:color w:val="auto"/>
        </w:rPr>
        <w:t>.8-1</w:t>
      </w:r>
      <w:r>
        <w:rPr>
          <w:rFonts w:cs="Times New Roman"/>
          <w:color w:val="auto"/>
        </w:rPr>
        <w:t xml:space="preserve">   主要环境保护目标</w:t>
      </w:r>
    </w:p>
    <w:tbl>
      <w:tblPr>
        <w:tblStyle w:val="24"/>
        <w:tblW w:w="50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5"/>
        <w:gridCol w:w="1357"/>
        <w:gridCol w:w="1357"/>
        <w:gridCol w:w="1281"/>
        <w:gridCol w:w="575"/>
        <w:gridCol w:w="985"/>
        <w:gridCol w:w="833"/>
        <w:gridCol w:w="812"/>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51" w:type="pct"/>
            <w:vMerge w:val="restar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环境要素</w:t>
            </w:r>
          </w:p>
        </w:tc>
        <w:tc>
          <w:tcPr>
            <w:tcW w:w="800" w:type="pct"/>
            <w:vMerge w:val="restar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环境保护对象名称</w:t>
            </w:r>
          </w:p>
        </w:tc>
        <w:tc>
          <w:tcPr>
            <w:tcW w:w="1555" w:type="pct"/>
            <w:gridSpan w:val="2"/>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经纬度</w:t>
            </w:r>
          </w:p>
        </w:tc>
        <w:tc>
          <w:tcPr>
            <w:tcW w:w="339" w:type="pct"/>
            <w:vMerge w:val="restar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保护对象</w:t>
            </w:r>
          </w:p>
        </w:tc>
        <w:tc>
          <w:tcPr>
            <w:tcW w:w="581" w:type="pct"/>
            <w:vMerge w:val="restart"/>
            <w:vAlign w:val="center"/>
          </w:tcPr>
          <w:p>
            <w:pPr>
              <w:adjustRightInd w:val="0"/>
              <w:spacing w:line="240" w:lineRule="auto"/>
              <w:ind w:firstLine="0" w:firstLineChars="0"/>
              <w:jc w:val="center"/>
              <w:rPr>
                <w:rFonts w:hint="eastAsia" w:ascii="Times New Roman" w:hAnsi="Times New Roman" w:eastAsia="宋体" w:cs="Times New Roman"/>
                <w:b/>
                <w:bCs/>
                <w:color w:val="auto"/>
                <w:kern w:val="0"/>
                <w:sz w:val="21"/>
                <w:szCs w:val="21"/>
                <w:lang w:val="zh-CN" w:eastAsia="zh-CN"/>
              </w:rPr>
            </w:pPr>
            <w:r>
              <w:rPr>
                <w:rFonts w:ascii="Times New Roman" w:hAnsi="Times New Roman" w:cs="Times New Roman"/>
                <w:b/>
                <w:bCs/>
                <w:color w:val="auto"/>
                <w:kern w:val="0"/>
                <w:sz w:val="21"/>
                <w:szCs w:val="21"/>
                <w:lang w:val="zh-CN"/>
              </w:rPr>
              <w:t>保护</w:t>
            </w:r>
            <w:r>
              <w:rPr>
                <w:rFonts w:hint="eastAsia" w:ascii="Times New Roman" w:hAnsi="Times New Roman" w:cs="Times New Roman"/>
                <w:b/>
                <w:bCs/>
                <w:color w:val="auto"/>
                <w:kern w:val="0"/>
                <w:sz w:val="21"/>
                <w:szCs w:val="21"/>
                <w:lang w:val="en-US" w:eastAsia="zh-CN"/>
              </w:rPr>
              <w:t>规模</w:t>
            </w:r>
          </w:p>
        </w:tc>
        <w:tc>
          <w:tcPr>
            <w:tcW w:w="491" w:type="pct"/>
            <w:vMerge w:val="restar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环境功能区</w:t>
            </w:r>
          </w:p>
        </w:tc>
        <w:tc>
          <w:tcPr>
            <w:tcW w:w="479" w:type="pct"/>
            <w:vMerge w:val="restar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相对厂界方位</w:t>
            </w:r>
          </w:p>
        </w:tc>
        <w:tc>
          <w:tcPr>
            <w:tcW w:w="400" w:type="pct"/>
            <w:vMerge w:val="restar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51" w:type="pct"/>
            <w:vMerge w:val="continue"/>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p>
        </w:tc>
        <w:tc>
          <w:tcPr>
            <w:tcW w:w="800" w:type="pct"/>
            <w:vMerge w:val="continue"/>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p>
        </w:tc>
        <w:tc>
          <w:tcPr>
            <w:tcW w:w="800"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经度</w:t>
            </w:r>
          </w:p>
        </w:tc>
        <w:tc>
          <w:tcPr>
            <w:tcW w:w="754"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r>
              <w:rPr>
                <w:rFonts w:ascii="Times New Roman" w:hAnsi="Times New Roman" w:cs="Times New Roman"/>
                <w:b/>
                <w:bCs/>
                <w:color w:val="auto"/>
                <w:kern w:val="0"/>
                <w:sz w:val="21"/>
                <w:szCs w:val="21"/>
                <w:lang w:val="zh-CN"/>
              </w:rPr>
              <w:t>纬度</w:t>
            </w:r>
          </w:p>
        </w:tc>
        <w:tc>
          <w:tcPr>
            <w:tcW w:w="339" w:type="pct"/>
            <w:vMerge w:val="continue"/>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p>
        </w:tc>
        <w:tc>
          <w:tcPr>
            <w:tcW w:w="581" w:type="pct"/>
            <w:vMerge w:val="continue"/>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p>
        </w:tc>
        <w:tc>
          <w:tcPr>
            <w:tcW w:w="491" w:type="pct"/>
            <w:vMerge w:val="continue"/>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p>
        </w:tc>
        <w:tc>
          <w:tcPr>
            <w:tcW w:w="479" w:type="pct"/>
            <w:vMerge w:val="continue"/>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p>
        </w:tc>
        <w:tc>
          <w:tcPr>
            <w:tcW w:w="400" w:type="pct"/>
            <w:vMerge w:val="continue"/>
            <w:vAlign w:val="center"/>
          </w:tcPr>
          <w:p>
            <w:pPr>
              <w:adjustRightInd w:val="0"/>
              <w:spacing w:line="240" w:lineRule="auto"/>
              <w:ind w:firstLine="0" w:firstLineChars="0"/>
              <w:jc w:val="center"/>
              <w:rPr>
                <w:rFonts w:ascii="Times New Roman" w:hAnsi="Times New Roman" w:cs="Times New Roman"/>
                <w:b/>
                <w:bCs/>
                <w:color w:val="auto"/>
                <w:ker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1"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大气环境</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沙河西村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89.19576</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43.99045</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652人</w:t>
            </w:r>
          </w:p>
        </w:tc>
        <w:tc>
          <w:tcPr>
            <w:tcW w:w="491"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二类区</w:t>
            </w: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5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沙河东村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89.20208</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43.98975</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399人</w:t>
            </w:r>
          </w:p>
        </w:tc>
        <w:tc>
          <w:tcPr>
            <w:tcW w:w="49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NE</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西梁村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89.21877</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43.97720</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1258人</w:t>
            </w:r>
          </w:p>
        </w:tc>
        <w:tc>
          <w:tcPr>
            <w:tcW w:w="49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SE</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红畦村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89.17532</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lang w:val="zh-CN"/>
              </w:rPr>
              <w:t>43.97330</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hint="eastAsia" w:ascii="Times New Roman" w:hAnsi="Times New Roman" w:cs="Times New Roman"/>
                <w:color w:val="auto"/>
                <w:kern w:val="0"/>
                <w:sz w:val="21"/>
                <w:szCs w:val="21"/>
                <w:lang w:val="en-US" w:eastAsia="zh-CN"/>
              </w:rPr>
              <w:t>1465人</w:t>
            </w:r>
          </w:p>
        </w:tc>
        <w:tc>
          <w:tcPr>
            <w:tcW w:w="49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SW</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水环境</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厂址区域内地下水</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58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9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地下水</w:t>
            </w:r>
            <w:r>
              <w:rPr>
                <w:rFonts w:ascii="Times New Roman" w:hAnsi="Times New Roman" w:cs="Times New Roman"/>
                <w:color w:val="auto"/>
                <w:kern w:val="0"/>
                <w:sz w:val="21"/>
                <w:szCs w:val="21"/>
                <w:lang w:val="zh-CN"/>
              </w:rPr>
              <w:t>Ⅲ类</w:t>
            </w: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51"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声环境</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沙河西村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89.19576</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43.99045</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652人</w:t>
            </w:r>
          </w:p>
        </w:tc>
        <w:tc>
          <w:tcPr>
            <w:tcW w:w="491"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1</w:t>
            </w:r>
            <w:r>
              <w:rPr>
                <w:rFonts w:ascii="Times New Roman" w:hAnsi="Times New Roman" w:cs="Times New Roman"/>
                <w:color w:val="auto"/>
                <w:kern w:val="0"/>
                <w:sz w:val="21"/>
                <w:szCs w:val="21"/>
                <w:lang w:val="zh-CN"/>
              </w:rPr>
              <w:t>类区</w:t>
            </w: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沙河东村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89.20208</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43.98975</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399人</w:t>
            </w:r>
          </w:p>
        </w:tc>
        <w:tc>
          <w:tcPr>
            <w:tcW w:w="49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NE</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西梁村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89.21877</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43.97720</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1258人</w:t>
            </w:r>
          </w:p>
        </w:tc>
        <w:tc>
          <w:tcPr>
            <w:tcW w:w="49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SE</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红畦村</w:t>
            </w:r>
          </w:p>
        </w:tc>
        <w:tc>
          <w:tcPr>
            <w:tcW w:w="800"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89.17532</w:t>
            </w:r>
            <w:r>
              <w:rPr>
                <w:rFonts w:ascii="Times New Roman" w:hAnsi="Times New Roman" w:cs="Times New Roman"/>
                <w:color w:val="auto"/>
                <w:kern w:val="0"/>
                <w:sz w:val="21"/>
                <w:szCs w:val="21"/>
              </w:rPr>
              <w:t>°</w:t>
            </w:r>
          </w:p>
        </w:tc>
        <w:tc>
          <w:tcPr>
            <w:tcW w:w="754"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43.97330</w:t>
            </w:r>
            <w:r>
              <w:rPr>
                <w:rFonts w:ascii="Times New Roman" w:hAnsi="Times New Roman" w:cs="Times New Roman"/>
                <w:color w:val="auto"/>
                <w:kern w:val="0"/>
                <w:sz w:val="21"/>
                <w:szCs w:val="21"/>
              </w:rPr>
              <w:t>°</w:t>
            </w:r>
          </w:p>
        </w:tc>
        <w:tc>
          <w:tcPr>
            <w:tcW w:w="33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村庄</w:t>
            </w:r>
          </w:p>
        </w:tc>
        <w:tc>
          <w:tcPr>
            <w:tcW w:w="581"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zh-CN" w:eastAsia="zh-CN" w:bidi="ar-SA"/>
              </w:rPr>
            </w:pPr>
            <w:r>
              <w:rPr>
                <w:rFonts w:hint="eastAsia" w:ascii="Times New Roman" w:hAnsi="Times New Roman" w:cs="Times New Roman"/>
                <w:color w:val="auto"/>
                <w:kern w:val="0"/>
                <w:sz w:val="21"/>
                <w:szCs w:val="21"/>
                <w:lang w:val="en-US" w:eastAsia="zh-CN"/>
              </w:rPr>
              <w:t>1465人</w:t>
            </w:r>
          </w:p>
        </w:tc>
        <w:tc>
          <w:tcPr>
            <w:tcW w:w="491"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p>
        </w:tc>
        <w:tc>
          <w:tcPr>
            <w:tcW w:w="479"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SW</w:t>
            </w:r>
          </w:p>
        </w:tc>
        <w:tc>
          <w:tcPr>
            <w:tcW w:w="40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51"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lang w:val="zh-CN"/>
              </w:rPr>
              <w:t>生态环境</w:t>
            </w:r>
          </w:p>
        </w:tc>
        <w:tc>
          <w:tcPr>
            <w:tcW w:w="4648" w:type="pct"/>
            <w:gridSpan w:val="8"/>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保证周围植被不被破坏</w:t>
            </w:r>
          </w:p>
        </w:tc>
      </w:tr>
    </w:tbl>
    <w:p>
      <w:pPr>
        <w:pStyle w:val="31"/>
        <w:ind w:left="480"/>
        <w:rPr>
          <w:rFonts w:ascii="Times New Roman" w:hAnsi="Times New Roman" w:cs="Times New Roman"/>
          <w:color w:val="auto"/>
        </w:rPr>
      </w:pPr>
    </w:p>
    <w:p>
      <w:pPr>
        <w:adjustRightInd w:val="0"/>
        <w:spacing w:line="240" w:lineRule="auto"/>
        <w:ind w:firstLine="0" w:firstLineChars="0"/>
        <w:jc w:val="center"/>
        <w:rPr>
          <w:rFonts w:ascii="Times New Roman" w:hAnsi="Times New Roman" w:cs="Times New Roman"/>
          <w:color w:val="auto"/>
          <w:highlight w:val="yellow"/>
        </w:rPr>
        <w:sectPr>
          <w:pgSz w:w="11906" w:h="16838"/>
          <w:pgMar w:top="1440" w:right="1800" w:bottom="1440" w:left="1800" w:header="851" w:footer="992" w:gutter="0"/>
          <w:cols w:space="425" w:num="1"/>
          <w:docGrid w:type="lines" w:linePitch="312" w:charSpace="0"/>
        </w:sectPr>
      </w:pPr>
    </w:p>
    <w:p>
      <w:pPr>
        <w:pStyle w:val="7"/>
        <w:keepNext w:val="0"/>
        <w:keepLines w:val="0"/>
        <w:jc w:val="center"/>
        <w:rPr>
          <w:rFonts w:ascii="Times New Roman" w:hAnsi="Times New Roman" w:cs="Times New Roman"/>
          <w:color w:val="auto"/>
          <w:szCs w:val="32"/>
        </w:rPr>
      </w:pPr>
      <w:bookmarkStart w:id="116" w:name="_Toc24719"/>
      <w:bookmarkStart w:id="117" w:name="_Toc1950"/>
      <w:bookmarkStart w:id="118" w:name="_Toc10394_WPSOffice_Level1"/>
      <w:bookmarkStart w:id="119" w:name="_Toc17212"/>
      <w:bookmarkStart w:id="120" w:name="_Toc3241_WPSOffice_Level1"/>
      <w:bookmarkStart w:id="121" w:name="_Toc9262"/>
      <w:bookmarkStart w:id="122" w:name="_Toc14137"/>
      <w:bookmarkStart w:id="123" w:name="_Toc1440"/>
      <w:bookmarkStart w:id="124" w:name="_Toc23015"/>
      <w:bookmarkStart w:id="125" w:name="_Toc27452"/>
      <w:bookmarkStart w:id="126" w:name="_Toc4816"/>
      <w:bookmarkStart w:id="127" w:name="_Toc17229"/>
      <w:bookmarkStart w:id="128" w:name="_Toc13995"/>
      <w:r>
        <w:rPr>
          <w:rFonts w:ascii="Times New Roman" w:hAnsi="Times New Roman" w:cs="Times New Roman"/>
          <w:color w:val="auto"/>
          <w:szCs w:val="32"/>
        </w:rPr>
        <w:t>3 建设项目工程分析</w:t>
      </w:r>
      <w:bookmarkEnd w:id="116"/>
      <w:bookmarkEnd w:id="117"/>
      <w:bookmarkEnd w:id="118"/>
      <w:bookmarkEnd w:id="119"/>
      <w:bookmarkEnd w:id="120"/>
      <w:bookmarkEnd w:id="121"/>
      <w:bookmarkEnd w:id="122"/>
      <w:bookmarkEnd w:id="123"/>
      <w:bookmarkEnd w:id="124"/>
      <w:bookmarkEnd w:id="125"/>
      <w:bookmarkEnd w:id="126"/>
      <w:bookmarkEnd w:id="127"/>
      <w:bookmarkEnd w:id="128"/>
    </w:p>
    <w:p>
      <w:pPr>
        <w:pStyle w:val="8"/>
        <w:keepLines w:val="0"/>
        <w:jc w:val="left"/>
        <w:rPr>
          <w:rFonts w:ascii="Times New Roman" w:hAnsi="Times New Roman" w:cs="Times New Roman"/>
          <w:color w:val="auto"/>
          <w:kern w:val="0"/>
          <w:szCs w:val="30"/>
        </w:rPr>
      </w:pPr>
      <w:bookmarkStart w:id="129" w:name="_Toc17823"/>
      <w:bookmarkStart w:id="130" w:name="_Toc1705"/>
      <w:bookmarkStart w:id="131" w:name="_Toc17426_WPSOffice_Level2"/>
      <w:bookmarkStart w:id="132" w:name="_Toc14251"/>
      <w:bookmarkStart w:id="133" w:name="_Toc6666"/>
      <w:bookmarkStart w:id="134" w:name="_Toc2528"/>
      <w:bookmarkStart w:id="135" w:name="_Toc3825"/>
      <w:bookmarkStart w:id="136" w:name="_Toc4997"/>
      <w:bookmarkStart w:id="137" w:name="_Toc10405"/>
      <w:bookmarkStart w:id="138" w:name="_Toc4989_WPSOffice_Level2"/>
      <w:bookmarkStart w:id="139" w:name="_Toc7755"/>
      <w:bookmarkStart w:id="140" w:name="_Toc25865"/>
      <w:bookmarkStart w:id="141" w:name="_Toc29373"/>
      <w:r>
        <w:rPr>
          <w:rFonts w:ascii="Times New Roman" w:hAnsi="Times New Roman" w:cs="Times New Roman"/>
          <w:color w:val="auto"/>
          <w:kern w:val="0"/>
          <w:szCs w:val="30"/>
        </w:rPr>
        <w:t>3.1 建设项目概况</w:t>
      </w:r>
      <w:bookmarkEnd w:id="129"/>
      <w:bookmarkEnd w:id="130"/>
      <w:bookmarkEnd w:id="131"/>
      <w:bookmarkEnd w:id="132"/>
      <w:bookmarkEnd w:id="133"/>
      <w:bookmarkEnd w:id="134"/>
      <w:bookmarkEnd w:id="135"/>
      <w:bookmarkEnd w:id="136"/>
      <w:bookmarkEnd w:id="137"/>
      <w:bookmarkEnd w:id="138"/>
      <w:bookmarkEnd w:id="139"/>
      <w:bookmarkEnd w:id="140"/>
      <w:bookmarkEnd w:id="141"/>
    </w:p>
    <w:p>
      <w:pPr>
        <w:pStyle w:val="9"/>
        <w:spacing w:line="413" w:lineRule="auto"/>
        <w:rPr>
          <w:rFonts w:ascii="Times New Roman" w:hAnsi="Times New Roman" w:cs="Times New Roman"/>
          <w:color w:val="auto"/>
        </w:rPr>
      </w:pPr>
      <w:bookmarkStart w:id="142" w:name="_Toc248875472"/>
      <w:bookmarkStart w:id="143" w:name="_Toc9234"/>
      <w:bookmarkStart w:id="144" w:name="_Toc24467"/>
      <w:r>
        <w:rPr>
          <w:rFonts w:ascii="Times New Roman" w:hAnsi="Times New Roman" w:cs="Times New Roman"/>
          <w:color w:val="auto"/>
        </w:rPr>
        <w:t>3.1.1 项目</w:t>
      </w:r>
      <w:bookmarkEnd w:id="142"/>
      <w:r>
        <w:rPr>
          <w:rFonts w:ascii="Times New Roman" w:hAnsi="Times New Roman" w:cs="Times New Roman"/>
          <w:color w:val="auto"/>
        </w:rPr>
        <w:t>基本情况</w:t>
      </w:r>
      <w:bookmarkEnd w:id="143"/>
      <w:bookmarkEnd w:id="144"/>
    </w:p>
    <w:p>
      <w:pPr>
        <w:spacing w:line="520" w:lineRule="exact"/>
        <w:rPr>
          <w:rFonts w:ascii="Times New Roman" w:hAnsi="Times New Roman" w:cs="Times New Roman"/>
          <w:color w:val="auto"/>
        </w:rPr>
      </w:pPr>
      <w:r>
        <w:rPr>
          <w:rFonts w:ascii="Times New Roman" w:hAnsi="Times New Roman" w:cs="Times New Roman"/>
          <w:color w:val="auto"/>
        </w:rPr>
        <w:t>项目名称：吉木萨尔县人民医院新院区建设项目；</w:t>
      </w:r>
    </w:p>
    <w:p>
      <w:pPr>
        <w:spacing w:line="520" w:lineRule="exact"/>
        <w:rPr>
          <w:rFonts w:ascii="Times New Roman" w:hAnsi="Times New Roman" w:cs="Times New Roman"/>
          <w:color w:val="auto"/>
        </w:rPr>
      </w:pPr>
      <w:r>
        <w:rPr>
          <w:rFonts w:ascii="Times New Roman" w:hAnsi="Times New Roman" w:cs="Times New Roman"/>
          <w:color w:val="auto"/>
        </w:rPr>
        <w:t>建设单位：吉木萨尔县人民医院；</w:t>
      </w:r>
    </w:p>
    <w:p>
      <w:pPr>
        <w:spacing w:line="520" w:lineRule="exact"/>
        <w:rPr>
          <w:rFonts w:ascii="Times New Roman" w:hAnsi="Times New Roman" w:cs="Times New Roman"/>
          <w:color w:val="auto"/>
        </w:rPr>
      </w:pPr>
      <w:r>
        <w:rPr>
          <w:rFonts w:ascii="Times New Roman" w:hAnsi="Times New Roman" w:cs="Times New Roman"/>
          <w:color w:val="auto"/>
        </w:rPr>
        <w:t>建设性质：新建；</w:t>
      </w:r>
    </w:p>
    <w:p>
      <w:pPr>
        <w:spacing w:line="520" w:lineRule="exact"/>
        <w:rPr>
          <w:rFonts w:ascii="Times New Roman" w:hAnsi="Times New Roman" w:cs="Times New Roman"/>
          <w:color w:val="auto"/>
        </w:rPr>
      </w:pPr>
      <w:r>
        <w:rPr>
          <w:rFonts w:ascii="Times New Roman" w:hAnsi="Times New Roman" w:cs="Times New Roman"/>
          <w:color w:val="auto"/>
        </w:rPr>
        <w:t>建设地点：位于吉木萨尔县城老城区南侧，北邻文襄路，西邻闽江路，南邻建国路，东邻准东路。项目区东侧为在建方舱医院，项目区西侧为空地，项目区南侧为</w:t>
      </w:r>
      <w:r>
        <w:rPr>
          <w:rFonts w:hint="eastAsia" w:ascii="Times New Roman" w:hAnsi="Times New Roman" w:cs="Times New Roman"/>
          <w:color w:val="auto"/>
        </w:rPr>
        <w:t>停车场</w:t>
      </w:r>
      <w:r>
        <w:rPr>
          <w:rFonts w:ascii="Times New Roman" w:hAnsi="Times New Roman" w:cs="Times New Roman"/>
          <w:color w:val="auto"/>
        </w:rPr>
        <w:t>，项目区北侧为庭州湾景观区，中心坐标：东经89°11'32.96"，北纬43°58'53.54"。项目地理位置见图3.1-1</w:t>
      </w:r>
      <w:r>
        <w:rPr>
          <w:rFonts w:hint="eastAsia" w:ascii="Times New Roman" w:hAnsi="Times New Roman" w:cs="Times New Roman"/>
          <w:color w:val="auto"/>
        </w:rPr>
        <w:t>，周边环境关系图详见图3.1-2</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占地面积：12.43万m</w:t>
      </w:r>
      <w:r>
        <w:rPr>
          <w:rFonts w:ascii="Times New Roman" w:hAnsi="Times New Roman" w:cs="Times New Roman"/>
          <w:color w:val="auto"/>
          <w:vertAlign w:val="superscript"/>
        </w:rPr>
        <w:t>2</w:t>
      </w:r>
      <w:r>
        <w:rPr>
          <w:rFonts w:ascii="Times New Roman" w:hAnsi="Times New Roman" w:cs="Times New Roman"/>
          <w:color w:val="auto"/>
        </w:rPr>
        <w:t>（约186亩）；</w:t>
      </w:r>
    </w:p>
    <w:p>
      <w:pPr>
        <w:spacing w:line="520" w:lineRule="exact"/>
        <w:rPr>
          <w:rFonts w:ascii="Times New Roman" w:hAnsi="Times New Roman" w:cs="Times New Roman"/>
          <w:color w:val="auto"/>
        </w:rPr>
      </w:pPr>
      <w:r>
        <w:rPr>
          <w:rFonts w:ascii="Times New Roman" w:hAnsi="Times New Roman" w:cs="Times New Roman"/>
          <w:color w:val="auto"/>
        </w:rPr>
        <w:t>建设周期：本项目建设期为2</w:t>
      </w:r>
      <w:r>
        <w:rPr>
          <w:rFonts w:hint="eastAsia" w:ascii="Times New Roman" w:hAnsi="Times New Roman" w:cs="Times New Roman"/>
          <w:color w:val="auto"/>
          <w:lang w:val="en-US" w:eastAsia="zh-CN"/>
        </w:rPr>
        <w:t>4</w:t>
      </w:r>
      <w:r>
        <w:rPr>
          <w:rFonts w:ascii="Times New Roman" w:hAnsi="Times New Roman" w:cs="Times New Roman"/>
          <w:color w:val="auto"/>
        </w:rPr>
        <w:t>个月，从2021年</w:t>
      </w:r>
      <w:r>
        <w:rPr>
          <w:rFonts w:hint="eastAsia" w:ascii="Times New Roman" w:hAnsi="Times New Roman" w:cs="Times New Roman"/>
          <w:color w:val="auto"/>
          <w:lang w:val="en-US" w:eastAsia="zh-CN"/>
        </w:rPr>
        <w:t>11</w:t>
      </w:r>
      <w:r>
        <w:rPr>
          <w:rFonts w:ascii="Times New Roman" w:hAnsi="Times New Roman" w:cs="Times New Roman"/>
          <w:color w:val="auto"/>
        </w:rPr>
        <w:t>月</w:t>
      </w:r>
      <w:r>
        <w:rPr>
          <w:rFonts w:hint="eastAsia" w:ascii="Times New Roman" w:hAnsi="Times New Roman" w:cs="Times New Roman"/>
          <w:color w:val="auto"/>
        </w:rPr>
        <w:t>起至</w:t>
      </w:r>
      <w:r>
        <w:rPr>
          <w:rFonts w:ascii="Times New Roman" w:hAnsi="Times New Roman" w:cs="Times New Roman"/>
          <w:color w:val="auto"/>
        </w:rPr>
        <w:t>2023年10月</w:t>
      </w:r>
      <w:r>
        <w:rPr>
          <w:rFonts w:hint="eastAsia" w:ascii="Times New Roman" w:hAnsi="Times New Roman" w:cs="Times New Roman"/>
          <w:color w:val="auto"/>
        </w:rPr>
        <w:t>止</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项目投资：本项目总投资为49000万元，其中环保投资为201万元，环保投资占工程总投资的0.41</w:t>
      </w:r>
      <w:r>
        <w:rPr>
          <w:rFonts w:ascii="Times New Roman" w:hAnsi="Times New Roman" w:eastAsia="Times New Roman" w:cs="Times New Roman"/>
          <w:color w:val="auto"/>
        </w:rPr>
        <w:t>%</w:t>
      </w:r>
      <w:r>
        <w:rPr>
          <w:rFonts w:ascii="Times New Roman" w:hAnsi="Times New Roman" w:cs="Times New Roman"/>
          <w:color w:val="auto"/>
        </w:rPr>
        <w:t>。</w:t>
      </w:r>
    </w:p>
    <w:p>
      <w:pPr>
        <w:pStyle w:val="9"/>
        <w:spacing w:line="413" w:lineRule="auto"/>
        <w:rPr>
          <w:rFonts w:ascii="Times New Roman" w:hAnsi="Times New Roman" w:cs="Times New Roman"/>
          <w:color w:val="auto"/>
        </w:rPr>
      </w:pPr>
      <w:bookmarkStart w:id="145" w:name="_Toc248875473"/>
      <w:bookmarkStart w:id="146" w:name="_Toc61321725"/>
      <w:bookmarkStart w:id="147" w:name="_Toc74566604"/>
      <w:bookmarkStart w:id="148" w:name="_Toc75537561"/>
      <w:bookmarkStart w:id="149" w:name="_Toc158533252"/>
      <w:bookmarkStart w:id="150" w:name="_Toc73156822"/>
      <w:bookmarkStart w:id="151" w:name="_Toc61615429"/>
      <w:bookmarkStart w:id="152" w:name="_Toc17712"/>
      <w:bookmarkStart w:id="153" w:name="_Toc61943249"/>
      <w:bookmarkStart w:id="154" w:name="_Toc73779812"/>
      <w:bookmarkStart w:id="155" w:name="_Toc25230"/>
      <w:bookmarkStart w:id="156" w:name="_Toc74449425"/>
      <w:bookmarkStart w:id="157" w:name="_Toc61531739"/>
      <w:r>
        <w:rPr>
          <w:rFonts w:ascii="Times New Roman" w:hAnsi="Times New Roman" w:cs="Times New Roman"/>
          <w:color w:val="auto"/>
        </w:rPr>
        <w:t>3.1.2 建设内容及规模</w:t>
      </w:r>
      <w:bookmarkEnd w:id="145"/>
      <w:bookmarkEnd w:id="146"/>
      <w:bookmarkEnd w:id="147"/>
      <w:bookmarkEnd w:id="148"/>
      <w:bookmarkEnd w:id="149"/>
      <w:bookmarkEnd w:id="150"/>
      <w:bookmarkEnd w:id="151"/>
      <w:bookmarkEnd w:id="152"/>
      <w:bookmarkEnd w:id="153"/>
      <w:bookmarkEnd w:id="154"/>
      <w:bookmarkEnd w:id="155"/>
      <w:bookmarkEnd w:id="156"/>
      <w:bookmarkEnd w:id="157"/>
    </w:p>
    <w:p>
      <w:pPr>
        <w:spacing w:line="520" w:lineRule="exact"/>
        <w:rPr>
          <w:rFonts w:ascii="Times New Roman" w:hAnsi="Times New Roman" w:cs="Times New Roman"/>
          <w:color w:val="auto"/>
          <w:highlight w:val="yellow"/>
        </w:rPr>
      </w:pPr>
      <w:r>
        <w:rPr>
          <w:rFonts w:ascii="Times New Roman" w:hAnsi="Times New Roman" w:cs="Times New Roman"/>
          <w:color w:val="auto"/>
        </w:rPr>
        <w:t>项目规划总建筑面积8万m</w:t>
      </w:r>
      <w:r>
        <w:rPr>
          <w:rFonts w:ascii="Times New Roman" w:hAnsi="Times New Roman" w:cs="Times New Roman"/>
          <w:color w:val="auto"/>
          <w:vertAlign w:val="superscript"/>
        </w:rPr>
        <w:t>2</w:t>
      </w:r>
      <w:r>
        <w:rPr>
          <w:rFonts w:ascii="Times New Roman" w:hAnsi="Times New Roman" w:cs="Times New Roman"/>
          <w:color w:val="auto"/>
        </w:rPr>
        <w:t>，建设门诊部、住院部、感染楼、医技科室、食堂、基建科办公用房。级别为综合性二级甲等医院，设计住院病床数600张。</w:t>
      </w:r>
    </w:p>
    <w:p>
      <w:pPr>
        <w:spacing w:line="520" w:lineRule="exact"/>
        <w:rPr>
          <w:rFonts w:ascii="Times New Roman" w:hAnsi="Times New Roman" w:cs="Times New Roman"/>
          <w:color w:val="auto"/>
        </w:rPr>
      </w:pPr>
      <w:r>
        <w:rPr>
          <w:rFonts w:hint="eastAsia" w:ascii="Times New Roman" w:hAnsi="Times New Roman" w:cs="Times New Roman"/>
          <w:color w:val="auto"/>
          <w:lang w:val="en-US" w:eastAsia="zh-CN"/>
        </w:rPr>
        <w:t>本项目</w:t>
      </w:r>
      <w:r>
        <w:rPr>
          <w:rFonts w:hint="eastAsia" w:ascii="Times New Roman" w:hAnsi="Times New Roman" w:cs="Times New Roman"/>
          <w:color w:val="auto"/>
        </w:rPr>
        <w:t>设置放射科，本次环评不包括辐射放射内容，项目中涉及辐射源仪器</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放射装置等</w:t>
      </w:r>
      <w:r>
        <w:rPr>
          <w:rFonts w:hint="eastAsia" w:ascii="Times New Roman" w:hAnsi="Times New Roman" w:cs="Times New Roman"/>
          <w:color w:val="auto"/>
        </w:rPr>
        <w:t>设备由建设单位另行办理相关环保手续。</w:t>
      </w:r>
    </w:p>
    <w:p>
      <w:pPr>
        <w:spacing w:line="520" w:lineRule="exact"/>
        <w:rPr>
          <w:rFonts w:ascii="Times New Roman" w:hAnsi="Times New Roman" w:cs="Times New Roman"/>
          <w:color w:val="auto"/>
        </w:rPr>
      </w:pPr>
      <w:r>
        <w:rPr>
          <w:rFonts w:ascii="Times New Roman" w:hAnsi="Times New Roman" w:cs="Times New Roman"/>
          <w:color w:val="auto"/>
        </w:rPr>
        <w:t>（1）门诊部</w:t>
      </w:r>
    </w:p>
    <w:p>
      <w:pPr>
        <w:spacing w:line="520" w:lineRule="exact"/>
        <w:rPr>
          <w:rFonts w:ascii="Times New Roman" w:hAnsi="Times New Roman" w:cs="Times New Roman"/>
          <w:color w:val="auto"/>
        </w:rPr>
      </w:pPr>
      <w:r>
        <w:rPr>
          <w:rFonts w:ascii="Times New Roman" w:hAnsi="Times New Roman" w:cs="Times New Roman"/>
          <w:color w:val="auto"/>
        </w:rPr>
        <w:t>新建门诊部1.5万m</w:t>
      </w:r>
      <w:r>
        <w:rPr>
          <w:rFonts w:ascii="Times New Roman" w:hAnsi="Times New Roman" w:cs="Times New Roman"/>
          <w:color w:val="auto"/>
          <w:vertAlign w:val="superscript"/>
        </w:rPr>
        <w:t>2</w:t>
      </w:r>
      <w:r>
        <w:rPr>
          <w:rFonts w:ascii="Times New Roman" w:hAnsi="Times New Roman" w:cs="Times New Roman"/>
          <w:color w:val="auto"/>
        </w:rPr>
        <w:t>，整体呈弧形布置，设置为地上三层、地下一层。设置功能区为：门诊收费、中西药房、导医区、分诊区、专家诊室、内科，外科，儿科，妇科，神经科，眼科，耳鼻喉科，口腔科，泌尿科，骨科，创伤科，内分泌科，皮肤科，传染病科，精神科等。</w:t>
      </w:r>
    </w:p>
    <w:p>
      <w:pPr>
        <w:spacing w:line="520" w:lineRule="exact"/>
        <w:rPr>
          <w:rFonts w:ascii="Times New Roman" w:hAnsi="Times New Roman" w:cs="Times New Roman"/>
          <w:color w:val="auto"/>
        </w:rPr>
      </w:pPr>
      <w:r>
        <w:rPr>
          <w:rFonts w:ascii="Times New Roman" w:hAnsi="Times New Roman" w:cs="Times New Roman"/>
          <w:color w:val="auto"/>
        </w:rPr>
        <w:t>（2）病房楼</w:t>
      </w:r>
    </w:p>
    <w:p>
      <w:pPr>
        <w:spacing w:line="520" w:lineRule="exact"/>
        <w:rPr>
          <w:rFonts w:ascii="Times New Roman" w:hAnsi="Times New Roman" w:cs="Times New Roman"/>
          <w:color w:val="auto"/>
        </w:rPr>
      </w:pPr>
      <w:r>
        <w:rPr>
          <w:rFonts w:ascii="Times New Roman" w:hAnsi="Times New Roman" w:cs="Times New Roman"/>
          <w:color w:val="auto"/>
        </w:rPr>
        <w:t>新建病房楼2.8万m</w:t>
      </w:r>
      <w:r>
        <w:rPr>
          <w:rFonts w:ascii="Times New Roman" w:hAnsi="Times New Roman" w:cs="Times New Roman"/>
          <w:color w:val="auto"/>
          <w:vertAlign w:val="superscript"/>
        </w:rPr>
        <w:t>2</w:t>
      </w:r>
      <w:r>
        <w:rPr>
          <w:rFonts w:ascii="Times New Roman" w:hAnsi="Times New Roman" w:cs="Times New Roman"/>
          <w:color w:val="auto"/>
        </w:rPr>
        <w:t>，整体呈弧形布置，设置为地上十一层、地下一层。设置功能区为：手术室、重症医学科病床10张、儿科病床40张、妇科病床40张、产科病床40张、眼耳鼻喉科病床40张、心内病床40张、普内病床40张、呼吸科病床40张、骨外科病床30张、泌尿外科病床40张、普外科病床40张、皮肤科病床10张、口腔科病床10张、老年病科病床40张、康复科病床40张、血透室病床10张、神经医学科病床40张、消化道内科胃肠镜病床30张等，合计病床床位约为580张。</w:t>
      </w:r>
    </w:p>
    <w:p>
      <w:pPr>
        <w:spacing w:line="520" w:lineRule="exact"/>
        <w:rPr>
          <w:rFonts w:ascii="Times New Roman" w:hAnsi="Times New Roman" w:cs="Times New Roman"/>
          <w:color w:val="auto"/>
        </w:rPr>
      </w:pPr>
      <w:r>
        <w:rPr>
          <w:rFonts w:ascii="Times New Roman" w:hAnsi="Times New Roman" w:cs="Times New Roman"/>
          <w:color w:val="auto"/>
        </w:rPr>
        <w:t>（3）急诊中心</w:t>
      </w:r>
    </w:p>
    <w:p>
      <w:pPr>
        <w:spacing w:line="520" w:lineRule="exact"/>
        <w:rPr>
          <w:rFonts w:ascii="Times New Roman" w:hAnsi="Times New Roman" w:cs="Times New Roman"/>
          <w:color w:val="auto"/>
        </w:rPr>
      </w:pPr>
      <w:r>
        <w:rPr>
          <w:rFonts w:ascii="Times New Roman" w:hAnsi="Times New Roman" w:cs="Times New Roman"/>
          <w:color w:val="auto"/>
        </w:rPr>
        <w:t>新建急诊中心0.3万m</w:t>
      </w:r>
      <w:r>
        <w:rPr>
          <w:rFonts w:ascii="Times New Roman" w:hAnsi="Times New Roman" w:cs="Times New Roman"/>
          <w:color w:val="auto"/>
          <w:vertAlign w:val="superscript"/>
        </w:rPr>
        <w:t>2</w:t>
      </w:r>
      <w:r>
        <w:rPr>
          <w:rFonts w:ascii="Times New Roman" w:hAnsi="Times New Roman" w:cs="Times New Roman"/>
          <w:color w:val="auto"/>
        </w:rPr>
        <w:t>，呈“一”字形布置，设置为地上三层，共设置病人床位20张。</w:t>
      </w:r>
    </w:p>
    <w:p>
      <w:pPr>
        <w:spacing w:line="520" w:lineRule="exact"/>
        <w:rPr>
          <w:rFonts w:ascii="Times New Roman" w:hAnsi="Times New Roman" w:cs="Times New Roman"/>
          <w:color w:val="auto"/>
        </w:rPr>
      </w:pPr>
      <w:r>
        <w:rPr>
          <w:rFonts w:ascii="Times New Roman" w:hAnsi="Times New Roman" w:cs="Times New Roman"/>
          <w:color w:val="auto"/>
        </w:rPr>
        <w:t>一层：设置挂号室、化验室、药房、收费室、急诊诊断室、抢救室、值班室等功能用房；</w:t>
      </w:r>
    </w:p>
    <w:p>
      <w:pPr>
        <w:spacing w:line="520" w:lineRule="exact"/>
        <w:rPr>
          <w:rFonts w:ascii="Times New Roman" w:hAnsi="Times New Roman" w:cs="Times New Roman"/>
          <w:color w:val="auto"/>
        </w:rPr>
      </w:pPr>
      <w:r>
        <w:rPr>
          <w:rFonts w:ascii="Times New Roman" w:hAnsi="Times New Roman" w:cs="Times New Roman"/>
          <w:color w:val="auto"/>
        </w:rPr>
        <w:t>二层：设置洗胃室、清创室（或者手术室）、功能检查室、治疗室、注射室等功能用房；</w:t>
      </w:r>
    </w:p>
    <w:p>
      <w:pPr>
        <w:spacing w:line="520" w:lineRule="exact"/>
        <w:rPr>
          <w:rFonts w:ascii="Times New Roman" w:hAnsi="Times New Roman" w:cs="Times New Roman"/>
          <w:color w:val="auto"/>
        </w:rPr>
      </w:pPr>
      <w:r>
        <w:rPr>
          <w:rFonts w:ascii="Times New Roman" w:hAnsi="Times New Roman" w:cs="Times New Roman"/>
          <w:color w:val="auto"/>
        </w:rPr>
        <w:t>三层：设置观察室、输液室、儿童输液室、库房、办公室、休息室、更衣室、污洗间、洁具间等功能用房。</w:t>
      </w:r>
    </w:p>
    <w:p>
      <w:pPr>
        <w:spacing w:line="520" w:lineRule="exact"/>
        <w:rPr>
          <w:rFonts w:ascii="Times New Roman" w:hAnsi="Times New Roman" w:cs="Times New Roman"/>
          <w:color w:val="auto"/>
        </w:rPr>
      </w:pPr>
      <w:r>
        <w:rPr>
          <w:rFonts w:ascii="Times New Roman" w:hAnsi="Times New Roman" w:cs="Times New Roman"/>
          <w:color w:val="auto"/>
        </w:rPr>
        <w:t>（4）医技楼</w:t>
      </w:r>
    </w:p>
    <w:p>
      <w:pPr>
        <w:spacing w:line="520" w:lineRule="exact"/>
        <w:rPr>
          <w:rFonts w:ascii="Times New Roman" w:hAnsi="Times New Roman" w:cs="Times New Roman"/>
          <w:color w:val="auto"/>
        </w:rPr>
      </w:pPr>
      <w:r>
        <w:rPr>
          <w:rFonts w:ascii="Times New Roman" w:hAnsi="Times New Roman" w:cs="Times New Roman"/>
          <w:color w:val="auto"/>
        </w:rPr>
        <w:t>医技楼1.8万m</w:t>
      </w:r>
      <w:r>
        <w:rPr>
          <w:rFonts w:ascii="Times New Roman" w:hAnsi="Times New Roman" w:cs="Times New Roman"/>
          <w:color w:val="auto"/>
          <w:vertAlign w:val="superscript"/>
        </w:rPr>
        <w:t>2</w:t>
      </w:r>
      <w:r>
        <w:rPr>
          <w:rFonts w:ascii="Times New Roman" w:hAnsi="Times New Roman" w:cs="Times New Roman"/>
          <w:color w:val="auto"/>
        </w:rPr>
        <w:t>，设置为地上四层、地下一层。设置功能包括检验科、超声室、放射科、心电脑电肌电功能室、病理室等。</w:t>
      </w:r>
      <w:r>
        <w:rPr>
          <w:rFonts w:hint="eastAsia" w:ascii="Times New Roman" w:hAnsi="Times New Roman" w:cs="Times New Roman"/>
          <w:color w:val="auto"/>
        </w:rPr>
        <w:t>本项目设置放射科，本次环评不包括辐射放射内容，项目中涉及辐射源仪器、放射装置等设备由建设单位另行办理相关环保手续。</w:t>
      </w:r>
    </w:p>
    <w:p>
      <w:pPr>
        <w:spacing w:line="520" w:lineRule="exact"/>
        <w:rPr>
          <w:rFonts w:ascii="Times New Roman" w:hAnsi="Times New Roman" w:cs="Times New Roman"/>
          <w:color w:val="auto"/>
        </w:rPr>
      </w:pPr>
      <w:r>
        <w:rPr>
          <w:rFonts w:ascii="Times New Roman" w:hAnsi="Times New Roman" w:cs="Times New Roman"/>
          <w:color w:val="auto"/>
        </w:rPr>
        <w:t>（5）传染病房楼</w:t>
      </w:r>
    </w:p>
    <w:p>
      <w:pPr>
        <w:spacing w:line="520" w:lineRule="exact"/>
        <w:rPr>
          <w:rFonts w:ascii="Times New Roman" w:hAnsi="Times New Roman" w:cs="Times New Roman"/>
          <w:color w:val="auto"/>
        </w:rPr>
      </w:pPr>
      <w:r>
        <w:rPr>
          <w:rFonts w:ascii="Times New Roman" w:hAnsi="Times New Roman" w:cs="Times New Roman"/>
          <w:color w:val="auto"/>
        </w:rPr>
        <w:t>新建传染病房楼0.6万m</w:t>
      </w:r>
      <w:r>
        <w:rPr>
          <w:rFonts w:ascii="Times New Roman" w:hAnsi="Times New Roman" w:cs="Times New Roman"/>
          <w:color w:val="auto"/>
          <w:vertAlign w:val="superscript"/>
        </w:rPr>
        <w:t>2</w:t>
      </w:r>
      <w:r>
        <w:rPr>
          <w:rFonts w:ascii="Times New Roman" w:hAnsi="Times New Roman" w:cs="Times New Roman"/>
          <w:color w:val="auto"/>
        </w:rPr>
        <w:t>，设置为地上四层、地下局部一层，框架结构，呈“一”字形布置。传染科病房楼为适应传染病的隔离，划分为清洁区、半污染区（缓冲区）和污染区，并严格进行区域管理。</w:t>
      </w:r>
    </w:p>
    <w:p>
      <w:pPr>
        <w:spacing w:line="520" w:lineRule="exact"/>
        <w:rPr>
          <w:rFonts w:ascii="Times New Roman" w:hAnsi="Times New Roman" w:cs="Times New Roman"/>
          <w:color w:val="auto"/>
        </w:rPr>
      </w:pPr>
      <w:r>
        <w:rPr>
          <w:rFonts w:ascii="Times New Roman" w:hAnsi="Times New Roman" w:cs="Times New Roman"/>
          <w:color w:val="auto"/>
        </w:rPr>
        <w:t>①清洁区：不接触传染病人或疑似病人的区域，设有更衣室、卫生通过间、值班室、小库房、小药房、配餐间。</w:t>
      </w:r>
    </w:p>
    <w:p>
      <w:pPr>
        <w:spacing w:line="520" w:lineRule="exact"/>
        <w:rPr>
          <w:rFonts w:ascii="Times New Roman" w:hAnsi="Times New Roman" w:cs="Times New Roman"/>
          <w:color w:val="auto"/>
        </w:rPr>
      </w:pPr>
      <w:r>
        <w:rPr>
          <w:rFonts w:ascii="Times New Roman" w:hAnsi="Times New Roman" w:cs="Times New Roman"/>
          <w:color w:val="auto"/>
        </w:rPr>
        <w:t>②半污染区：有可能直接或间接接触污染源的区域，包括内走廊、医师办公室、治疗室、处置室、护士站。</w:t>
      </w:r>
    </w:p>
    <w:p>
      <w:pPr>
        <w:spacing w:line="520" w:lineRule="exact"/>
        <w:rPr>
          <w:rFonts w:ascii="Times New Roman" w:hAnsi="Times New Roman" w:cs="Times New Roman"/>
          <w:color w:val="auto"/>
        </w:rPr>
      </w:pPr>
      <w:r>
        <w:rPr>
          <w:rFonts w:ascii="Times New Roman" w:hAnsi="Times New Roman" w:cs="Times New Roman"/>
          <w:color w:val="auto"/>
        </w:rPr>
        <w:t>③污染区：直接或间接接触传染病人或疑似病人的区域，包括各病室、病人卫生间及浴室、入院室、污衣污物间、垃圾存放。</w:t>
      </w:r>
    </w:p>
    <w:p>
      <w:pPr>
        <w:spacing w:line="520" w:lineRule="exact"/>
        <w:rPr>
          <w:rFonts w:ascii="Times New Roman" w:hAnsi="Times New Roman" w:cs="Times New Roman"/>
          <w:color w:val="auto"/>
        </w:rPr>
      </w:pPr>
      <w:r>
        <w:rPr>
          <w:rFonts w:ascii="Times New Roman" w:hAnsi="Times New Roman" w:cs="Times New Roman"/>
          <w:color w:val="auto"/>
        </w:rPr>
        <w:t>（6）综合医院单列项目房屋</w:t>
      </w:r>
    </w:p>
    <w:p>
      <w:pPr>
        <w:spacing w:line="520" w:lineRule="exact"/>
        <w:rPr>
          <w:rFonts w:ascii="Times New Roman" w:hAnsi="Times New Roman" w:cs="Times New Roman"/>
          <w:color w:val="auto"/>
        </w:rPr>
      </w:pPr>
      <w:r>
        <w:rPr>
          <w:rFonts w:ascii="Times New Roman" w:hAnsi="Times New Roman" w:cs="Times New Roman"/>
          <w:color w:val="auto"/>
        </w:rPr>
        <w:t>新建综合医院单列项目用房0.107万m</w:t>
      </w:r>
      <w:r>
        <w:rPr>
          <w:rFonts w:ascii="Times New Roman" w:hAnsi="Times New Roman" w:cs="Times New Roman"/>
          <w:color w:val="auto"/>
          <w:vertAlign w:val="superscript"/>
        </w:rPr>
        <w:t>2</w:t>
      </w:r>
      <w:r>
        <w:rPr>
          <w:rFonts w:ascii="Times New Roman" w:hAnsi="Times New Roman" w:cs="Times New Roman"/>
          <w:color w:val="auto"/>
        </w:rPr>
        <w:t>，设置核磁室面积为310m</w:t>
      </w:r>
      <w:r>
        <w:rPr>
          <w:rFonts w:ascii="Times New Roman" w:hAnsi="Times New Roman" w:cs="Times New Roman"/>
          <w:color w:val="auto"/>
          <w:vertAlign w:val="superscript"/>
        </w:rPr>
        <w:t>2</w:t>
      </w:r>
      <w:r>
        <w:rPr>
          <w:rFonts w:ascii="Times New Roman" w:hAnsi="Times New Roman" w:cs="Times New Roman"/>
          <w:color w:val="auto"/>
        </w:rPr>
        <w:t>；计算机断层扫描（CT）面积为260m</w:t>
      </w:r>
      <w:r>
        <w:rPr>
          <w:rFonts w:ascii="Times New Roman" w:hAnsi="Times New Roman" w:cs="Times New Roman"/>
          <w:color w:val="auto"/>
          <w:vertAlign w:val="superscript"/>
        </w:rPr>
        <w:t>2</w:t>
      </w:r>
      <w:r>
        <w:rPr>
          <w:rFonts w:ascii="Times New Roman" w:hAnsi="Times New Roman" w:cs="Times New Roman"/>
          <w:color w:val="auto"/>
        </w:rPr>
        <w:t>；DSA面积为500m</w:t>
      </w:r>
      <w:r>
        <w:rPr>
          <w:rFonts w:ascii="Times New Roman" w:hAnsi="Times New Roman" w:cs="Times New Roman"/>
          <w:color w:val="auto"/>
          <w:vertAlign w:val="superscript"/>
        </w:rPr>
        <w:t>2</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（7）医院保障系统</w:t>
      </w:r>
    </w:p>
    <w:p>
      <w:pPr>
        <w:spacing w:line="520" w:lineRule="exact"/>
        <w:rPr>
          <w:rFonts w:ascii="Times New Roman" w:hAnsi="Times New Roman" w:cs="Times New Roman"/>
          <w:color w:val="auto"/>
        </w:rPr>
      </w:pPr>
      <w:r>
        <w:rPr>
          <w:rFonts w:ascii="Times New Roman" w:hAnsi="Times New Roman" w:cs="Times New Roman"/>
          <w:color w:val="auto"/>
        </w:rPr>
        <w:t>新建后勤保障楼0.64万m</w:t>
      </w:r>
      <w:r>
        <w:rPr>
          <w:rFonts w:ascii="Times New Roman" w:hAnsi="Times New Roman" w:cs="Times New Roman"/>
          <w:color w:val="auto"/>
          <w:vertAlign w:val="superscript"/>
        </w:rPr>
        <w:t>2</w:t>
      </w:r>
      <w:r>
        <w:rPr>
          <w:rFonts w:ascii="Times New Roman" w:hAnsi="Times New Roman" w:cs="Times New Roman"/>
          <w:color w:val="auto"/>
        </w:rPr>
        <w:t>，设置为地上四层，框架结构，呈“一”字形布置，设置网络机房、洗消中心、供应室、消防控制室、视频监控室、污水处理系统、医疗垃圾暂存点、后勤保障等。</w:t>
      </w:r>
    </w:p>
    <w:p>
      <w:pPr>
        <w:spacing w:line="520" w:lineRule="exact"/>
        <w:rPr>
          <w:rFonts w:ascii="Times New Roman" w:hAnsi="Times New Roman" w:cs="Times New Roman"/>
          <w:color w:val="auto"/>
        </w:rPr>
      </w:pPr>
      <w:r>
        <w:rPr>
          <w:rFonts w:ascii="Times New Roman" w:hAnsi="Times New Roman" w:cs="Times New Roman"/>
          <w:color w:val="auto"/>
        </w:rPr>
        <w:t>（8）行政管理</w:t>
      </w:r>
    </w:p>
    <w:p>
      <w:pPr>
        <w:spacing w:line="520" w:lineRule="exact"/>
        <w:rPr>
          <w:rFonts w:ascii="Times New Roman" w:hAnsi="Times New Roman" w:cs="Times New Roman"/>
          <w:color w:val="auto"/>
        </w:rPr>
      </w:pPr>
      <w:r>
        <w:rPr>
          <w:rFonts w:ascii="Times New Roman" w:hAnsi="Times New Roman" w:cs="Times New Roman"/>
          <w:color w:val="auto"/>
        </w:rPr>
        <w:t>新建行政科研楼0.21万m</w:t>
      </w:r>
      <w:r>
        <w:rPr>
          <w:rFonts w:ascii="Times New Roman" w:hAnsi="Times New Roman" w:cs="Times New Roman"/>
          <w:color w:val="auto"/>
          <w:vertAlign w:val="superscript"/>
        </w:rPr>
        <w:t>2</w:t>
      </w:r>
      <w:r>
        <w:rPr>
          <w:rFonts w:ascii="Times New Roman" w:hAnsi="Times New Roman" w:cs="Times New Roman"/>
          <w:color w:val="auto"/>
        </w:rPr>
        <w:t>，设置为地上二层，框架结构，呈“一”字形布置。主要布置科研用房、培训用房、办公用房、图书馆等。</w:t>
      </w:r>
    </w:p>
    <w:p>
      <w:pPr>
        <w:spacing w:line="520" w:lineRule="exact"/>
        <w:rPr>
          <w:rFonts w:ascii="Times New Roman" w:hAnsi="Times New Roman" w:cs="Times New Roman"/>
          <w:color w:val="auto"/>
        </w:rPr>
      </w:pPr>
      <w:r>
        <w:rPr>
          <w:rFonts w:ascii="Times New Roman" w:hAnsi="Times New Roman" w:cs="Times New Roman"/>
          <w:color w:val="auto"/>
        </w:rPr>
        <w:t>（9）院内生活区</w:t>
      </w:r>
    </w:p>
    <w:p>
      <w:pPr>
        <w:spacing w:line="520" w:lineRule="exact"/>
        <w:rPr>
          <w:rFonts w:ascii="Times New Roman" w:hAnsi="Times New Roman" w:cs="Times New Roman"/>
          <w:color w:val="auto"/>
        </w:rPr>
      </w:pPr>
      <w:r>
        <w:rPr>
          <w:rFonts w:ascii="Times New Roman" w:hAnsi="Times New Roman" w:cs="Times New Roman"/>
          <w:color w:val="auto"/>
        </w:rPr>
        <w:t>新建院内生活综合楼0.2万m</w:t>
      </w:r>
      <w:r>
        <w:rPr>
          <w:rFonts w:ascii="Times New Roman" w:hAnsi="Times New Roman" w:cs="Times New Roman"/>
          <w:color w:val="auto"/>
          <w:vertAlign w:val="superscript"/>
        </w:rPr>
        <w:t>2</w:t>
      </w:r>
      <w:r>
        <w:rPr>
          <w:rFonts w:ascii="Times New Roman" w:hAnsi="Times New Roman" w:cs="Times New Roman"/>
          <w:color w:val="auto"/>
        </w:rPr>
        <w:t>，设置为地上二层，框架结构，呈“一”字形布置。主要布置室内活动用房、院内生活保障用房等。</w:t>
      </w:r>
    </w:p>
    <w:p>
      <w:pPr>
        <w:pStyle w:val="35"/>
        <w:spacing w:before="0" w:after="0" w:line="520" w:lineRule="exact"/>
        <w:rPr>
          <w:rFonts w:cs="Times New Roman"/>
          <w:color w:val="auto"/>
        </w:rPr>
      </w:pPr>
      <w:r>
        <w:rPr>
          <w:rFonts w:cs="Times New Roman"/>
          <w:color w:val="auto"/>
        </w:rPr>
        <w:t>表3.1-1   建设项目工程内容一览表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7"/>
        <w:gridCol w:w="1109"/>
        <w:gridCol w:w="6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389"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工程</w:t>
            </w:r>
          </w:p>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类别</w:t>
            </w:r>
          </w:p>
        </w:tc>
        <w:tc>
          <w:tcPr>
            <w:tcW w:w="667"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单项工程</w:t>
            </w:r>
          </w:p>
        </w:tc>
        <w:tc>
          <w:tcPr>
            <w:tcW w:w="3943"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主体</w:t>
            </w:r>
          </w:p>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工程</w:t>
            </w: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门诊楼</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1栋，共4F（地上三层，地下一层），建筑面积1.05万m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，位于医院南侧。1F主要包括：门诊大厅、中西药房、内科、外科、神经科、儿科、急诊科等；2F主要为内科门诊、外科门诊、皮肤科等；3F主要为眼科、口腔科、耳鼻喉科、专家门诊科、中医科等。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医技楼</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1栋，共5F（地上四层，地下一层），总建筑面积1.8万m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，位于医院门诊楼北侧。1F主要为影像中心、妇产科等；2F主要为各种功能检查中心、检验中心、门诊手术室、骨科等；3F主要为内镜中心、供应中心等；4F主要为ICU、手术中心、输血科、病理科等。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病房楼</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1栋，共12F（地上十一层，地下一层），位于医院医技楼北侧，总建筑面积2.8万m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，主要为病人住院使用，共设置580张床位。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急诊中心</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1栋，3F，位于医院门诊楼东侧，总建筑面积0.3万m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，共设置20张床位。1F主要为急诊输液室、抢救室、手术室等；2F主要为急诊监护室；3F主要为急诊留观区。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感染楼</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建筑面积0.6万m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，位于医院东北角，主要包括一楼发热门诊、肠道门诊、肝炎门诊等；二楼检验中心等、三楼传染科护理单元；四楼传染科护理单元等。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辅助</w:t>
            </w:r>
          </w:p>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工程</w:t>
            </w: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综合办公楼</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1栋，2F，位于院区西北侧，建筑面积6108.8m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，主要用于职工办公。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餐厅</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1栋，位于病房楼西侧，共2F，建筑面积2260.5m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，主要用于职工、病人和家属用餐，日均供应早、中、晚3餐。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停车场</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地下停车库：位于负一层，机动车停车位191个；地上机动车停车库：机动车停车位624个。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液氧站</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位于综合办公楼西南侧。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垃圾房</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位于院区东侧，总建筑面积128m</w:t>
            </w:r>
            <w:r>
              <w:rPr>
                <w:rFonts w:ascii="Times New Roman" w:hAnsi="Times New Roman" w:cs="Times New Roman"/>
                <w:color w:val="auto"/>
                <w:kern w:val="0"/>
                <w:sz w:val="21"/>
                <w:szCs w:val="21"/>
                <w:vertAlign w:val="superscript"/>
              </w:rPr>
              <w:t>2</w:t>
            </w:r>
            <w:r>
              <w:rPr>
                <w:rFonts w:ascii="Times New Roman" w:hAnsi="Times New Roman" w:cs="Times New Roman"/>
                <w:color w:val="auto"/>
                <w:kern w:val="0"/>
                <w:sz w:val="21"/>
                <w:szCs w:val="21"/>
              </w:rPr>
              <w:t>，主要用于各类医疗垃圾等临时存放。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公用</w:t>
            </w:r>
          </w:p>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工程</w:t>
            </w: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给水系统</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市政给水管网供给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排水系统</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院内废水经污水处理站处理达标后排入市政污水管网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供电系统</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市政电网提供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供热系统</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环保</w:t>
            </w:r>
          </w:p>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工程</w:t>
            </w:r>
          </w:p>
        </w:tc>
        <w:tc>
          <w:tcPr>
            <w:tcW w:w="667"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废气处理</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highlight w:val="yellow"/>
                <w:lang w:val="zh-CN"/>
              </w:rPr>
            </w:pPr>
            <w:r>
              <w:rPr>
                <w:rFonts w:ascii="Times New Roman" w:hAnsi="Times New Roman" w:cs="Times New Roman"/>
                <w:color w:val="auto"/>
                <w:kern w:val="0"/>
                <w:sz w:val="21"/>
                <w:szCs w:val="21"/>
              </w:rPr>
              <w:t>污水处理站</w:t>
            </w:r>
            <w:r>
              <w:rPr>
                <w:rFonts w:hint="eastAsia" w:ascii="Times New Roman" w:hAnsi="Times New Roman" w:cs="Times New Roman"/>
                <w:color w:val="auto"/>
                <w:kern w:val="0"/>
                <w:sz w:val="21"/>
                <w:szCs w:val="21"/>
                <w:lang w:val="en-US" w:eastAsia="zh-CN"/>
              </w:rPr>
              <w:t>有组织</w:t>
            </w:r>
            <w:r>
              <w:rPr>
                <w:rFonts w:ascii="Times New Roman" w:hAnsi="Times New Roman" w:cs="Times New Roman"/>
                <w:color w:val="auto"/>
                <w:kern w:val="0"/>
                <w:sz w:val="21"/>
                <w:szCs w:val="21"/>
              </w:rPr>
              <w:t>废气</w:t>
            </w:r>
            <w:r>
              <w:rPr>
                <w:rFonts w:hint="eastAsia" w:ascii="Times New Roman" w:hAnsi="Times New Roman" w:cs="Times New Roman"/>
                <w:color w:val="auto"/>
                <w:kern w:val="0"/>
                <w:sz w:val="21"/>
                <w:szCs w:val="21"/>
                <w:lang w:val="en-US" w:eastAsia="zh-CN"/>
              </w:rPr>
              <w:t>采用</w:t>
            </w:r>
            <w:r>
              <w:rPr>
                <w:rFonts w:ascii="Times New Roman" w:hAnsi="Times New Roman" w:cs="Times New Roman"/>
                <w:color w:val="auto"/>
                <w:kern w:val="0"/>
                <w:sz w:val="21"/>
                <w:szCs w:val="21"/>
              </w:rPr>
              <w:t>加盖封闭，预留进出气口，污水处理站废气收集后经等离子除臭装置处理</w:t>
            </w:r>
            <w:r>
              <w:rPr>
                <w:rFonts w:hint="eastAsia" w:ascii="Times New Roman" w:hAnsi="Times New Roman" w:cs="Times New Roman"/>
                <w:color w:val="auto"/>
                <w:kern w:val="0"/>
                <w:sz w:val="21"/>
                <w:szCs w:val="21"/>
                <w:lang w:val="en-US" w:eastAsia="zh-CN"/>
              </w:rPr>
              <w:t>后</w:t>
            </w:r>
            <w:r>
              <w:rPr>
                <w:rFonts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val="en-US" w:eastAsia="zh-CN"/>
              </w:rPr>
              <w:t>满足《恶臭污染物排放标准》（GB 14554-93）表2排放限值后</w:t>
            </w:r>
            <w:r>
              <w:rPr>
                <w:rFonts w:hint="eastAsia" w:ascii="Times New Roman" w:hAnsi="Times New Roman" w:cs="Times New Roman"/>
                <w:color w:val="auto"/>
                <w:kern w:val="0"/>
                <w:sz w:val="21"/>
                <w:szCs w:val="21"/>
                <w:lang w:eastAsia="zh-CN"/>
              </w:rPr>
              <w:t>，</w:t>
            </w:r>
            <w:r>
              <w:rPr>
                <w:rFonts w:ascii="Times New Roman" w:hAnsi="Times New Roman" w:cs="Times New Roman"/>
                <w:color w:val="auto"/>
                <w:kern w:val="0"/>
                <w:sz w:val="21"/>
                <w:szCs w:val="21"/>
              </w:rPr>
              <w:t>通过1根15m高排气筒达标排放</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无组织废气满足</w:t>
            </w:r>
            <w:r>
              <w:rPr>
                <w:rFonts w:hint="eastAsia" w:ascii="Times New Roman" w:hAnsi="Times New Roman" w:cs="Times New Roman"/>
                <w:color w:val="auto"/>
                <w:kern w:val="0"/>
                <w:sz w:val="21"/>
                <w:szCs w:val="21"/>
              </w:rPr>
              <w:t>《医疗机构水污染物排放标准》（GB18466-2005）表3限值</w:t>
            </w:r>
            <w:r>
              <w:rPr>
                <w:rFonts w:hint="eastAsia" w:ascii="Times New Roman" w:hAnsi="Times New Roman" w:cs="Times New Roman"/>
                <w:color w:val="auto"/>
                <w:kern w:val="0"/>
                <w:sz w:val="21"/>
                <w:szCs w:val="21"/>
                <w:lang w:val="en-US" w:eastAsia="zh-CN"/>
              </w:rPr>
              <w:t>后达标排放</w:t>
            </w:r>
            <w:r>
              <w:rPr>
                <w:rFonts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highlight w:val="yellow"/>
                <w:lang w:val="zh-CN"/>
              </w:rPr>
            </w:pPr>
            <w:r>
              <w:rPr>
                <w:rFonts w:ascii="Times New Roman" w:hAnsi="Times New Roman" w:cs="Times New Roman"/>
                <w:color w:val="auto"/>
                <w:kern w:val="0"/>
                <w:sz w:val="21"/>
                <w:szCs w:val="21"/>
              </w:rPr>
              <w:t>备用发电机废气满足《大气污染物综合排放标准》（GB16297-1996）表2中</w:t>
            </w:r>
            <w:r>
              <w:rPr>
                <w:rFonts w:hint="eastAsia" w:ascii="Times New Roman" w:hAnsi="Times New Roman" w:cs="Times New Roman"/>
                <w:color w:val="auto"/>
                <w:kern w:val="0"/>
                <w:sz w:val="21"/>
                <w:szCs w:val="21"/>
              </w:rPr>
              <w:t>无组织排放标准</w:t>
            </w:r>
            <w:r>
              <w:rPr>
                <w:rFonts w:hint="eastAsia" w:ascii="Times New Roman" w:hAnsi="Times New Roman" w:cs="Times New Roman"/>
                <w:color w:val="auto"/>
                <w:kern w:val="0"/>
                <w:sz w:val="21"/>
                <w:szCs w:val="21"/>
                <w:lang w:val="en-US" w:eastAsia="zh-CN"/>
              </w:rPr>
              <w:t>后，</w:t>
            </w:r>
            <w:r>
              <w:rPr>
                <w:rFonts w:hint="eastAsia" w:ascii="Times New Roman" w:hAnsi="Times New Roman" w:cs="Times New Roman"/>
                <w:color w:val="auto"/>
                <w:kern w:val="0"/>
                <w:sz w:val="21"/>
                <w:szCs w:val="21"/>
              </w:rPr>
              <w:t>以无组织形式排放</w:t>
            </w:r>
            <w:r>
              <w:rPr>
                <w:rFonts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highlight w:val="yellow"/>
              </w:rPr>
            </w:pPr>
            <w:r>
              <w:rPr>
                <w:rFonts w:ascii="Times New Roman" w:hAnsi="Times New Roman" w:cs="Times New Roman"/>
                <w:color w:val="auto"/>
                <w:kern w:val="0"/>
                <w:sz w:val="21"/>
                <w:szCs w:val="21"/>
              </w:rPr>
              <w:t>汽车尾气以无组织形式排放，地下车库加强通风换气，院区内加强绿化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3943" w:type="pct"/>
            <w:vAlign w:val="center"/>
          </w:tcPr>
          <w:p>
            <w:pPr>
              <w:adjustRightInd w:val="0"/>
              <w:spacing w:line="240" w:lineRule="auto"/>
              <w:ind w:firstLine="0" w:firstLineChars="0"/>
              <w:jc w:val="center"/>
              <w:rPr>
                <w:rFonts w:hint="default" w:ascii="Times New Roman" w:hAnsi="Times New Roman" w:cs="Times New Roman"/>
                <w:color w:val="auto"/>
                <w:kern w:val="0"/>
                <w:sz w:val="21"/>
                <w:szCs w:val="21"/>
                <w:highlight w:val="yellow"/>
                <w:lang w:val="en-US"/>
              </w:rPr>
            </w:pPr>
            <w:r>
              <w:rPr>
                <w:rFonts w:ascii="Times New Roman" w:hAnsi="Times New Roman" w:cs="Times New Roman"/>
                <w:color w:val="auto"/>
                <w:kern w:val="0"/>
                <w:sz w:val="21"/>
                <w:szCs w:val="21"/>
              </w:rPr>
              <w:t>食堂油烟废气</w:t>
            </w:r>
            <w:r>
              <w:rPr>
                <w:rFonts w:hint="eastAsia" w:ascii="Times New Roman" w:hAnsi="Times New Roman" w:cs="Times New Roman"/>
                <w:color w:val="auto"/>
                <w:kern w:val="0"/>
                <w:sz w:val="21"/>
                <w:szCs w:val="21"/>
                <w:lang w:val="en-US" w:eastAsia="zh-CN"/>
              </w:rPr>
              <w:t>经</w:t>
            </w:r>
            <w:r>
              <w:rPr>
                <w:rFonts w:ascii="Times New Roman" w:hAnsi="Times New Roman" w:cs="Times New Roman"/>
                <w:color w:val="auto"/>
                <w:kern w:val="0"/>
                <w:sz w:val="21"/>
                <w:szCs w:val="21"/>
              </w:rPr>
              <w:t>油烟净化器（处理效率不低于85%）</w:t>
            </w:r>
            <w:r>
              <w:rPr>
                <w:rFonts w:hint="eastAsia" w:ascii="Times New Roman" w:hAnsi="Times New Roman" w:cs="Times New Roman"/>
                <w:color w:val="auto"/>
                <w:kern w:val="0"/>
                <w:sz w:val="21"/>
                <w:szCs w:val="21"/>
                <w:lang w:val="en-US" w:eastAsia="zh-CN"/>
              </w:rPr>
              <w:t>处理</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达到《饮食业油烟排放标准（试行）》（GB18483-2001）相应标准限值后，由油烟专用烟道引至屋顶排放。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废水处理</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位于医院东侧，采用“预消毒池+生物化粪池+格栅+集水井+调节池+水解酸化池+生物接触氧化池+二沉池+消毒池”工艺处理达标后，</w:t>
            </w:r>
            <w:r>
              <w:rPr>
                <w:rFonts w:hint="eastAsia" w:ascii="Times New Roman" w:hAnsi="Times New Roman" w:cs="Times New Roman"/>
                <w:color w:val="auto"/>
                <w:kern w:val="0"/>
                <w:sz w:val="21"/>
                <w:szCs w:val="21"/>
                <w:lang w:val="en-US" w:eastAsia="zh-CN"/>
              </w:rPr>
              <w:t>排</w:t>
            </w:r>
            <w:r>
              <w:rPr>
                <w:rFonts w:ascii="Times New Roman" w:hAnsi="Times New Roman" w:cs="Times New Roman"/>
                <w:color w:val="auto"/>
                <w:kern w:val="0"/>
                <w:sz w:val="21"/>
                <w:szCs w:val="21"/>
              </w:rPr>
              <w:t>入市政污水管网，排入吉木萨尔县污水处理厂处理处置。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噪声处理</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隔声、减振，病房设隔声窗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Merge w:val="restar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固废处理</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设置医疗废物暂存间，符合“三防”要求，医疗废物委托有资质单位处置。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生活垃圾经垃圾桶收集后交由市环卫部门处理。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9" w:type="pct"/>
            <w:vMerge w:val="continue"/>
            <w:vAlign w:val="center"/>
          </w:tcPr>
          <w:p>
            <w:pPr>
              <w:adjustRightInd w:val="0"/>
              <w:spacing w:line="240" w:lineRule="auto"/>
              <w:ind w:firstLine="0" w:firstLineChars="0"/>
              <w:jc w:val="center"/>
              <w:rPr>
                <w:rFonts w:ascii="Times New Roman" w:hAnsi="Times New Roman" w:cs="Times New Roman"/>
                <w:color w:val="auto"/>
                <w:kern w:val="0"/>
                <w:sz w:val="21"/>
                <w:szCs w:val="21"/>
              </w:rPr>
            </w:pPr>
          </w:p>
        </w:tc>
        <w:tc>
          <w:tcPr>
            <w:tcW w:w="667"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绿化工程</w:t>
            </w:r>
          </w:p>
        </w:tc>
        <w:tc>
          <w:tcPr>
            <w:tcW w:w="3943" w:type="pct"/>
            <w:vAlign w:val="center"/>
          </w:tcPr>
          <w:p>
            <w:pPr>
              <w:adjustRightInd w:val="0"/>
              <w:spacing w:line="240" w:lineRule="auto"/>
              <w:ind w:firstLine="0" w:firstLineChars="0"/>
              <w:jc w:val="center"/>
              <w:rPr>
                <w:rFonts w:ascii="Times New Roman" w:hAnsi="Times New Roman" w:cs="Times New Roman"/>
                <w:color w:val="auto"/>
                <w:kern w:val="0"/>
                <w:sz w:val="21"/>
                <w:szCs w:val="21"/>
                <w:lang w:val="zh-CN"/>
              </w:rPr>
            </w:pPr>
            <w:r>
              <w:rPr>
                <w:rFonts w:ascii="Times New Roman" w:hAnsi="Times New Roman" w:cs="Times New Roman"/>
                <w:color w:val="auto"/>
                <w:kern w:val="0"/>
                <w:sz w:val="21"/>
                <w:szCs w:val="21"/>
              </w:rPr>
              <w:t>院内绿化面积约48587.67m</w:t>
            </w:r>
            <w:r>
              <w:rPr>
                <w:rFonts w:ascii="Times New Roman" w:hAnsi="Times New Roman" w:cs="Times New Roman"/>
                <w:color w:val="auto"/>
                <w:kern w:val="0"/>
                <w:sz w:val="21"/>
                <w:szCs w:val="21"/>
                <w:vertAlign w:val="superscript"/>
              </w:rPr>
              <w:t>2</w:t>
            </w:r>
          </w:p>
        </w:tc>
      </w:tr>
    </w:tbl>
    <w:p>
      <w:pPr>
        <w:pStyle w:val="9"/>
        <w:spacing w:line="413" w:lineRule="auto"/>
        <w:rPr>
          <w:rFonts w:ascii="Times New Roman" w:hAnsi="Times New Roman" w:cs="Times New Roman"/>
          <w:color w:val="auto"/>
        </w:rPr>
      </w:pPr>
      <w:bookmarkStart w:id="158" w:name="_Toc12587"/>
      <w:r>
        <w:rPr>
          <w:rFonts w:ascii="Times New Roman" w:hAnsi="Times New Roman" w:cs="Times New Roman"/>
          <w:color w:val="auto"/>
        </w:rPr>
        <w:t>3.1.3 主要原辅材料消耗</w:t>
      </w:r>
      <w:bookmarkEnd w:id="158"/>
    </w:p>
    <w:p>
      <w:pPr>
        <w:spacing w:line="520" w:lineRule="exact"/>
        <w:rPr>
          <w:rFonts w:ascii="Times New Roman" w:hAnsi="Times New Roman" w:cs="Times New Roman"/>
          <w:color w:val="auto"/>
        </w:rPr>
      </w:pPr>
      <w:r>
        <w:rPr>
          <w:rFonts w:ascii="Times New Roman" w:hAnsi="Times New Roman" w:cs="Times New Roman"/>
          <w:color w:val="auto"/>
        </w:rPr>
        <w:t>本项目的原辅材料消耗定额见表3.1-2。</w:t>
      </w:r>
    </w:p>
    <w:p>
      <w:pPr>
        <w:pStyle w:val="35"/>
        <w:spacing w:before="0" w:after="0" w:line="520" w:lineRule="exact"/>
        <w:rPr>
          <w:rFonts w:cs="Times New Roman"/>
          <w:color w:val="auto"/>
        </w:rPr>
      </w:pPr>
    </w:p>
    <w:p>
      <w:pPr>
        <w:pStyle w:val="35"/>
        <w:spacing w:before="0" w:after="0" w:line="520" w:lineRule="exact"/>
        <w:rPr>
          <w:rFonts w:cs="Times New Roman"/>
          <w:color w:val="auto"/>
        </w:rPr>
      </w:pPr>
      <w:r>
        <w:rPr>
          <w:rFonts w:cs="Times New Roman"/>
          <w:color w:val="auto"/>
        </w:rPr>
        <w:t>表3.1-2   原辅材料清单一览表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0"/>
        <w:gridCol w:w="2744"/>
        <w:gridCol w:w="2590"/>
        <w:gridCol w:w="835"/>
        <w:gridCol w:w="1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421"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序号</w:t>
            </w:r>
          </w:p>
        </w:tc>
        <w:tc>
          <w:tcPr>
            <w:tcW w:w="1650"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材料名称</w:t>
            </w:r>
          </w:p>
        </w:tc>
        <w:tc>
          <w:tcPr>
            <w:tcW w:w="1557"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型号规格</w:t>
            </w:r>
          </w:p>
        </w:tc>
        <w:tc>
          <w:tcPr>
            <w:tcW w:w="502"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单位</w:t>
            </w:r>
          </w:p>
        </w:tc>
        <w:tc>
          <w:tcPr>
            <w:tcW w:w="868"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年消耗量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0.9%氯化钠注射液（立软）</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0.9%*100ml</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袋</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82320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阿托伐他汀钙片</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20mg</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盒</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73800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0.9%氯化钠注射液</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10ml:90mg</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氯化钾注射液</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10ml:1g</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瓶</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38010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0.9%氯化钠注射液（立软）</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0.9%250ml</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袋</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注射用头孢呋辛钠</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1.5g</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二甲双胍片</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0.5g*20片</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盒</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0.9%氯化钠注射液（立软）</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0.9%500ml</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袋</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硝苯地平控释片（进口）</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30mg*7片</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盒</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5%葡萄糖注射液（立软）</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5%250ml</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袋</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阿司匹林肠溶片</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100mg*30片</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盒</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19890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5%葡萄糖注射液（立软）</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5%500ml</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袋</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13</w:t>
            </w:r>
          </w:p>
        </w:tc>
        <w:tc>
          <w:tcPr>
            <w:tcW w:w="1650"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参松养心胶囊</w:t>
            </w:r>
          </w:p>
        </w:tc>
        <w:tc>
          <w:tcPr>
            <w:tcW w:w="1557"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0.4g*36粒</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盒</w:t>
            </w:r>
          </w:p>
        </w:tc>
        <w:tc>
          <w:tcPr>
            <w:tcW w:w="868" w:type="pct"/>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医用棉签</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10CM*10支</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只</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15</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一次性薄膜手套</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大 中 小</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棉签</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10CM*10</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17</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一次性使用采血针</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0.7mm*25TWLB</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块</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18</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灭菌纱布块</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7*8*8</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19</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分离胶促凝管</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血常规管（EDTA）</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个</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21</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促凝管</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22</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一次性使用吸头6*52（白）</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500支/包（200UI）</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个</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23</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一次性注射器20ML</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20ml</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片</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70800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24</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医用输液瓶口贴</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B型</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个</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25</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一次性使用无菌注射器-带针</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10ml</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26</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200VI滤芯吸头</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96支/盒*50盒/箱</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双</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27</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一次性橡胶检查手套</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中</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54600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28</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一次性针灸针</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0.3mm*50mm</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片</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29</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一次性使用心电电极</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31.1245.21</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支</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21"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30</w:t>
            </w:r>
          </w:p>
        </w:tc>
        <w:tc>
          <w:tcPr>
            <w:tcW w:w="165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10VI滤芯吸头</w:t>
            </w:r>
          </w:p>
        </w:tc>
        <w:tc>
          <w:tcPr>
            <w:tcW w:w="1557"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96支/盒*50盒/箱</w:t>
            </w:r>
          </w:p>
        </w:tc>
        <w:tc>
          <w:tcPr>
            <w:tcW w:w="502"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只</w:t>
            </w:r>
          </w:p>
        </w:tc>
        <w:tc>
          <w:tcPr>
            <w:tcW w:w="868"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720000</w:t>
            </w:r>
          </w:p>
        </w:tc>
      </w:tr>
    </w:tbl>
    <w:p>
      <w:pPr>
        <w:pStyle w:val="9"/>
        <w:spacing w:line="413" w:lineRule="auto"/>
        <w:rPr>
          <w:rFonts w:ascii="Times New Roman" w:hAnsi="Times New Roman" w:cs="Times New Roman"/>
          <w:color w:val="auto"/>
        </w:rPr>
      </w:pPr>
      <w:bookmarkStart w:id="159" w:name="_Toc2866"/>
      <w:r>
        <w:rPr>
          <w:rFonts w:ascii="Times New Roman" w:hAnsi="Times New Roman" w:cs="Times New Roman"/>
          <w:color w:val="auto"/>
        </w:rPr>
        <w:t>3.1.4 主要生产设备</w:t>
      </w:r>
      <w:bookmarkEnd w:id="159"/>
    </w:p>
    <w:p>
      <w:pPr>
        <w:spacing w:line="520" w:lineRule="exact"/>
        <w:rPr>
          <w:rFonts w:ascii="Times New Roman" w:hAnsi="Times New Roman" w:cs="Times New Roman"/>
          <w:color w:val="auto"/>
        </w:rPr>
      </w:pPr>
      <w:r>
        <w:rPr>
          <w:rFonts w:ascii="Times New Roman" w:hAnsi="Times New Roman" w:cs="Times New Roman"/>
          <w:color w:val="auto"/>
        </w:rPr>
        <w:t>本项目主要设备清单一览表详见表3.1-3。</w:t>
      </w:r>
      <w:r>
        <w:rPr>
          <w:rFonts w:hint="eastAsia" w:ascii="Times New Roman" w:hAnsi="Times New Roman" w:cs="Times New Roman"/>
          <w:color w:val="auto"/>
        </w:rPr>
        <w:t>医疗设备涉及的辐射内容包括所有放射源、射线装置及放射性同位素等均由建设单位委托其它有资质的评价单位另行评价，本次评价不包含辐射项目的评价内容。</w:t>
      </w:r>
    </w:p>
    <w:p>
      <w:pPr>
        <w:pStyle w:val="35"/>
        <w:spacing w:before="0" w:after="0" w:line="520" w:lineRule="exact"/>
        <w:rPr>
          <w:rFonts w:cs="Times New Roman"/>
          <w:color w:val="auto"/>
        </w:rPr>
      </w:pPr>
    </w:p>
    <w:p>
      <w:pPr>
        <w:pStyle w:val="35"/>
        <w:spacing w:before="0" w:after="0" w:line="520" w:lineRule="exact"/>
        <w:rPr>
          <w:rFonts w:cs="Times New Roman"/>
          <w:color w:val="auto"/>
        </w:rPr>
      </w:pPr>
    </w:p>
    <w:p>
      <w:pPr>
        <w:pStyle w:val="35"/>
        <w:spacing w:before="0" w:after="0" w:line="520" w:lineRule="exact"/>
        <w:rPr>
          <w:rFonts w:cs="Times New Roman"/>
          <w:color w:val="auto"/>
          <w:highlight w:val="yellow"/>
        </w:rPr>
      </w:pPr>
      <w:r>
        <w:rPr>
          <w:rFonts w:cs="Times New Roman"/>
          <w:color w:val="auto"/>
        </w:rPr>
        <w:t>表3.1-3   主要设备一览表</w:t>
      </w:r>
    </w:p>
    <w:tbl>
      <w:tblPr>
        <w:tblStyle w:val="24"/>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9"/>
        <w:gridCol w:w="2861"/>
        <w:gridCol w:w="2386"/>
        <w:gridCol w:w="2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430"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bookmarkStart w:id="160" w:name="_Toc1508"/>
            <w:r>
              <w:rPr>
                <w:rFonts w:ascii="Times New Roman" w:hAnsi="Times New Roman" w:cs="Times New Roman"/>
                <w:b/>
                <w:bCs/>
                <w:color w:val="auto"/>
                <w:kern w:val="0"/>
                <w:sz w:val="21"/>
                <w:szCs w:val="21"/>
              </w:rPr>
              <w:t>序号</w:t>
            </w:r>
          </w:p>
        </w:tc>
        <w:tc>
          <w:tcPr>
            <w:tcW w:w="1712"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设备名称</w:t>
            </w:r>
          </w:p>
        </w:tc>
        <w:tc>
          <w:tcPr>
            <w:tcW w:w="1428"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单位</w:t>
            </w:r>
          </w:p>
        </w:tc>
        <w:tc>
          <w:tcPr>
            <w:tcW w:w="1428" w:type="pct"/>
            <w:vAlign w:val="center"/>
          </w:tcPr>
          <w:p>
            <w:pPr>
              <w:adjustRightInd w:val="0"/>
              <w:spacing w:line="240" w:lineRule="auto"/>
              <w:ind w:firstLine="0" w:firstLineChars="0"/>
              <w:jc w:val="center"/>
              <w:rPr>
                <w:rFonts w:ascii="Times New Roman" w:hAnsi="Times New Roman" w:cs="Times New Roman"/>
                <w:b/>
                <w:bCs/>
                <w:color w:val="auto"/>
                <w:kern w:val="0"/>
                <w:sz w:val="21"/>
                <w:szCs w:val="21"/>
              </w:rPr>
            </w:pPr>
            <w:r>
              <w:rPr>
                <w:rFonts w:ascii="Times New Roman" w:hAnsi="Times New Roman" w:cs="Times New Roman"/>
                <w:b/>
                <w:bCs/>
                <w:color w:val="auto"/>
                <w:kern w:val="0"/>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电子胃肠镜</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台</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心电图机</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套</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呼吸机</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台</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麻醉机</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台</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血液透析机</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台</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智能康复系统</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套</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全自动生化分析仪系统</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套</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8</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全自动免疫发光检测系统</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套</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9</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全自动尿液流水线系统</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套</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脑电地形图仪</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台</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11</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麻醉深度监护系统</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套</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30" w:type="pct"/>
            <w:vAlign w:val="center"/>
          </w:tcPr>
          <w:p>
            <w:pPr>
              <w:adjustRightInd w:val="0"/>
              <w:spacing w:line="240" w:lineRule="auto"/>
              <w:ind w:firstLine="0" w:firstLineChars="0"/>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12</w:t>
            </w:r>
          </w:p>
        </w:tc>
        <w:tc>
          <w:tcPr>
            <w:tcW w:w="1712"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中央输液系统</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套</w:t>
            </w:r>
          </w:p>
        </w:tc>
        <w:tc>
          <w:tcPr>
            <w:tcW w:w="1428" w:type="pct"/>
            <w:vAlign w:val="center"/>
          </w:tcPr>
          <w:p>
            <w:pPr>
              <w:adjustRightInd w:val="0"/>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 w:val="21"/>
                <w:szCs w:val="21"/>
              </w:rPr>
              <w:t>2</w:t>
            </w:r>
          </w:p>
        </w:tc>
      </w:tr>
    </w:tbl>
    <w:p>
      <w:pPr>
        <w:pStyle w:val="9"/>
        <w:spacing w:line="413" w:lineRule="auto"/>
        <w:rPr>
          <w:rFonts w:ascii="Times New Roman" w:hAnsi="Times New Roman" w:cs="Times New Roman"/>
          <w:color w:val="auto"/>
        </w:rPr>
      </w:pPr>
      <w:r>
        <w:rPr>
          <w:rFonts w:ascii="Times New Roman" w:hAnsi="Times New Roman" w:cs="Times New Roman"/>
          <w:color w:val="auto"/>
        </w:rPr>
        <w:t>3.1.5 项目生产制度及劳动定员</w:t>
      </w:r>
      <w:bookmarkEnd w:id="160"/>
    </w:p>
    <w:p>
      <w:pPr>
        <w:spacing w:line="520" w:lineRule="exact"/>
        <w:ind w:firstLine="456"/>
        <w:rPr>
          <w:rFonts w:ascii="Times New Roman" w:hAnsi="Times New Roman" w:cs="Times New Roman"/>
          <w:color w:val="auto"/>
          <w:spacing w:val="-6"/>
          <w:highlight w:val="yellow"/>
        </w:rPr>
      </w:pPr>
      <w:r>
        <w:rPr>
          <w:rFonts w:ascii="Times New Roman" w:hAnsi="Times New Roman" w:cs="Times New Roman"/>
          <w:color w:val="auto"/>
          <w:spacing w:val="-6"/>
        </w:rPr>
        <w:t>本项目新增劳动定员540人，每天工作24小时，三班制，全年工作365天。</w:t>
      </w:r>
    </w:p>
    <w:p>
      <w:pPr>
        <w:pStyle w:val="8"/>
        <w:keepLines w:val="0"/>
        <w:jc w:val="left"/>
        <w:rPr>
          <w:rFonts w:ascii="Times New Roman" w:hAnsi="Times New Roman" w:cs="Times New Roman"/>
          <w:color w:val="auto"/>
          <w:kern w:val="0"/>
          <w:szCs w:val="30"/>
        </w:rPr>
      </w:pPr>
      <w:bookmarkStart w:id="161" w:name="_Toc29067_WPSOffice_Level2"/>
      <w:bookmarkStart w:id="162" w:name="_Toc27163"/>
      <w:bookmarkStart w:id="163" w:name="_Toc20993"/>
      <w:r>
        <w:rPr>
          <w:rFonts w:ascii="Times New Roman" w:hAnsi="Times New Roman" w:cs="Times New Roman"/>
          <w:color w:val="auto"/>
          <w:kern w:val="0"/>
          <w:szCs w:val="30"/>
        </w:rPr>
        <w:t xml:space="preserve">3.2 </w:t>
      </w:r>
      <w:bookmarkEnd w:id="161"/>
      <w:r>
        <w:rPr>
          <w:rFonts w:ascii="Times New Roman" w:hAnsi="Times New Roman" w:cs="Times New Roman"/>
          <w:color w:val="auto"/>
          <w:kern w:val="0"/>
          <w:szCs w:val="30"/>
        </w:rPr>
        <w:t>公用工程</w:t>
      </w:r>
      <w:bookmarkEnd w:id="162"/>
      <w:bookmarkEnd w:id="163"/>
    </w:p>
    <w:p>
      <w:pPr>
        <w:pStyle w:val="9"/>
        <w:spacing w:line="413" w:lineRule="auto"/>
        <w:rPr>
          <w:rFonts w:ascii="Times New Roman" w:hAnsi="Times New Roman" w:cs="Times New Roman"/>
          <w:color w:val="auto"/>
        </w:rPr>
      </w:pPr>
      <w:bookmarkStart w:id="164" w:name="_Toc16284"/>
      <w:r>
        <w:rPr>
          <w:rFonts w:ascii="Times New Roman" w:hAnsi="Times New Roman" w:cs="Times New Roman"/>
          <w:color w:val="auto"/>
        </w:rPr>
        <w:t>3.2.1 给排水工程</w:t>
      </w:r>
      <w:bookmarkEnd w:id="164"/>
    </w:p>
    <w:p>
      <w:pPr>
        <w:spacing w:line="520" w:lineRule="exact"/>
        <w:rPr>
          <w:rFonts w:ascii="Times New Roman" w:hAnsi="Times New Roman" w:cs="Times New Roman"/>
          <w:color w:val="auto"/>
        </w:rPr>
      </w:pPr>
      <w:r>
        <w:rPr>
          <w:rFonts w:ascii="Times New Roman" w:hAnsi="Times New Roman" w:cs="Times New Roman"/>
          <w:color w:val="auto"/>
        </w:rPr>
        <w:t>（1）供水</w:t>
      </w:r>
    </w:p>
    <w:p>
      <w:pPr>
        <w:spacing w:line="520" w:lineRule="exact"/>
        <w:rPr>
          <w:rFonts w:ascii="Times New Roman" w:hAnsi="Times New Roman" w:cs="Times New Roman"/>
          <w:color w:val="auto"/>
        </w:rPr>
      </w:pPr>
      <w:r>
        <w:rPr>
          <w:rFonts w:ascii="Times New Roman" w:hAnsi="Times New Roman" w:cs="Times New Roman"/>
          <w:color w:val="auto"/>
        </w:rPr>
        <w:t>院区新鲜用水由吉木萨尔县市政供水管网供应。</w:t>
      </w:r>
    </w:p>
    <w:p>
      <w:pPr>
        <w:spacing w:line="520" w:lineRule="exact"/>
        <w:rPr>
          <w:rFonts w:ascii="Times New Roman" w:hAnsi="Times New Roman" w:cs="Times New Roman"/>
          <w:color w:val="auto"/>
        </w:rPr>
      </w:pPr>
      <w:r>
        <w:rPr>
          <w:rFonts w:ascii="Times New Roman" w:hAnsi="Times New Roman" w:cs="Times New Roman"/>
          <w:color w:val="auto"/>
        </w:rPr>
        <w:t>（2）排水</w:t>
      </w:r>
    </w:p>
    <w:p>
      <w:pPr>
        <w:spacing w:line="520" w:lineRule="exact"/>
        <w:rPr>
          <w:rFonts w:ascii="Times New Roman" w:hAnsi="Times New Roman" w:cs="Times New Roman"/>
          <w:color w:val="auto"/>
        </w:rPr>
      </w:pPr>
      <w:r>
        <w:rPr>
          <w:rFonts w:ascii="Times New Roman" w:hAnsi="Times New Roman" w:cs="Times New Roman"/>
          <w:color w:val="auto"/>
        </w:rPr>
        <w:t>院区感染废水需经消毒预处理，酸性废水需经中和处理，</w:t>
      </w:r>
      <w:r>
        <w:rPr>
          <w:rFonts w:hint="eastAsia" w:ascii="Times New Roman" w:hAnsi="Times New Roman" w:cs="Times New Roman"/>
          <w:color w:val="auto"/>
        </w:rPr>
        <w:t>再</w:t>
      </w:r>
      <w:r>
        <w:rPr>
          <w:rFonts w:ascii="Times New Roman" w:hAnsi="Times New Roman" w:cs="Times New Roman"/>
          <w:color w:val="auto"/>
        </w:rPr>
        <w:t>与院区其他综合污水一起进入医院污水处理站进行处理，食堂废水经隔油池预处理后与其他生活污水一起进入医院污水处理站进行处理，废水处理达到《医疗机构水污染物排放标准》（GB18466-2005）表2中预处理标准</w:t>
      </w:r>
      <w:r>
        <w:rPr>
          <w:rFonts w:hint="eastAsia" w:ascii="Times New Roman" w:hAnsi="Times New Roman" w:cs="Times New Roman"/>
          <w:color w:val="auto"/>
          <w:lang w:val="en-US" w:eastAsia="zh-CN"/>
        </w:rPr>
        <w:t>后</w:t>
      </w:r>
      <w:r>
        <w:rPr>
          <w:rFonts w:ascii="Times New Roman" w:hAnsi="Times New Roman" w:cs="Times New Roman"/>
          <w:color w:val="auto"/>
        </w:rPr>
        <w:t>，排入市政污水管网，最终进入吉木萨尔县污水处理厂处理处置。</w:t>
      </w:r>
    </w:p>
    <w:p>
      <w:pPr>
        <w:pStyle w:val="9"/>
        <w:spacing w:line="413" w:lineRule="auto"/>
        <w:rPr>
          <w:rFonts w:ascii="Times New Roman" w:hAnsi="Times New Roman" w:cs="Times New Roman"/>
          <w:color w:val="auto"/>
        </w:rPr>
      </w:pPr>
      <w:bookmarkStart w:id="165" w:name="_Toc27713"/>
      <w:r>
        <w:rPr>
          <w:rFonts w:ascii="Times New Roman" w:hAnsi="Times New Roman" w:cs="Times New Roman"/>
          <w:color w:val="auto"/>
        </w:rPr>
        <w:t>3.2.2 供电工程</w:t>
      </w:r>
      <w:bookmarkEnd w:id="165"/>
    </w:p>
    <w:p>
      <w:pPr>
        <w:spacing w:line="520" w:lineRule="exact"/>
        <w:rPr>
          <w:rFonts w:ascii="Times New Roman" w:hAnsi="Times New Roman" w:cs="Times New Roman"/>
          <w:color w:val="auto"/>
        </w:rPr>
      </w:pPr>
      <w:r>
        <w:rPr>
          <w:rFonts w:ascii="Times New Roman" w:hAnsi="Times New Roman" w:cs="Times New Roman"/>
          <w:color w:val="auto"/>
        </w:rPr>
        <w:t>本项目现有工程供电由市政供电管网供给，场区内设一座350kVA变压器，可满足项目需要。</w:t>
      </w:r>
    </w:p>
    <w:p>
      <w:pPr>
        <w:pStyle w:val="9"/>
        <w:spacing w:line="413" w:lineRule="auto"/>
        <w:rPr>
          <w:rFonts w:ascii="Times New Roman" w:hAnsi="Times New Roman" w:cs="Times New Roman"/>
          <w:color w:val="auto"/>
        </w:rPr>
      </w:pPr>
      <w:bookmarkStart w:id="166" w:name="_Toc29129"/>
      <w:r>
        <w:rPr>
          <w:rFonts w:ascii="Times New Roman" w:hAnsi="Times New Roman" w:cs="Times New Roman"/>
          <w:color w:val="auto"/>
        </w:rPr>
        <w:t>3.2.3 供暖工程</w:t>
      </w:r>
      <w:bookmarkEnd w:id="166"/>
    </w:p>
    <w:p>
      <w:pPr>
        <w:spacing w:line="520" w:lineRule="exact"/>
        <w:rPr>
          <w:rFonts w:ascii="Times New Roman" w:hAnsi="Times New Roman" w:cs="Times New Roman"/>
          <w:color w:val="auto"/>
        </w:rPr>
      </w:pPr>
      <w:r>
        <w:rPr>
          <w:rFonts w:ascii="Times New Roman" w:hAnsi="Times New Roman" w:cs="Times New Roman"/>
          <w:color w:val="auto"/>
        </w:rPr>
        <w:t>本项目采用集中供热方式供给。</w:t>
      </w:r>
    </w:p>
    <w:p>
      <w:pPr>
        <w:pStyle w:val="9"/>
        <w:spacing w:line="413" w:lineRule="auto"/>
        <w:rPr>
          <w:rFonts w:ascii="Times New Roman" w:hAnsi="Times New Roman" w:cs="Times New Roman"/>
          <w:color w:val="auto"/>
        </w:rPr>
      </w:pPr>
      <w:bookmarkStart w:id="167" w:name="_Toc17790"/>
      <w:r>
        <w:rPr>
          <w:rFonts w:ascii="Times New Roman" w:hAnsi="Times New Roman" w:cs="Times New Roman"/>
          <w:color w:val="auto"/>
        </w:rPr>
        <w:t xml:space="preserve">3.2.4 </w:t>
      </w:r>
      <w:bookmarkEnd w:id="167"/>
      <w:r>
        <w:rPr>
          <w:rFonts w:ascii="Times New Roman" w:hAnsi="Times New Roman" w:cs="Times New Roman"/>
          <w:color w:val="auto"/>
        </w:rPr>
        <w:t>消防工程</w:t>
      </w:r>
    </w:p>
    <w:p>
      <w:pPr>
        <w:spacing w:line="520" w:lineRule="exact"/>
        <w:rPr>
          <w:rFonts w:ascii="Times New Roman" w:hAnsi="Times New Roman" w:cs="Times New Roman"/>
          <w:color w:val="auto"/>
        </w:rPr>
      </w:pPr>
      <w:r>
        <w:rPr>
          <w:rFonts w:ascii="Times New Roman" w:hAnsi="Times New Roman" w:cs="Times New Roman"/>
          <w:color w:val="auto"/>
        </w:rPr>
        <w:t>项目区室外按间距≤120m、保护半径≤150m设置了地上消火栓，设计流量10L/s。楼内设置了室内消火栓及灭火器系统。</w:t>
      </w:r>
    </w:p>
    <w:p>
      <w:pPr>
        <w:spacing w:line="520" w:lineRule="exact"/>
        <w:rPr>
          <w:rFonts w:ascii="Times New Roman" w:hAnsi="Times New Roman" w:cs="Times New Roman"/>
          <w:color w:val="auto"/>
        </w:rPr>
      </w:pPr>
      <w:r>
        <w:rPr>
          <w:rFonts w:ascii="Times New Roman" w:hAnsi="Times New Roman" w:cs="Times New Roman"/>
          <w:color w:val="auto"/>
        </w:rPr>
        <w:t>每楼层灭火器箱内置MF/ABC4*2磷酸铵盐干粉灭火器2只。</w:t>
      </w:r>
    </w:p>
    <w:p>
      <w:pPr>
        <w:spacing w:line="520" w:lineRule="exact"/>
        <w:rPr>
          <w:rFonts w:ascii="Times New Roman" w:hAnsi="Times New Roman" w:cs="Times New Roman"/>
          <w:color w:val="auto"/>
        </w:rPr>
      </w:pPr>
      <w:r>
        <w:rPr>
          <w:rFonts w:ascii="Times New Roman" w:hAnsi="Times New Roman" w:cs="Times New Roman"/>
          <w:color w:val="auto"/>
        </w:rPr>
        <w:t>医教综合楼为内廊式建筑，每层布置2部疏散楼梯间、2部电梯间，中间走道宽3.0m。走道、楼梯间、电梯间与出入口组成科学的消防疏散体系，满足人员的疏散和消防的要求。</w:t>
      </w:r>
    </w:p>
    <w:p>
      <w:pPr>
        <w:pStyle w:val="9"/>
        <w:spacing w:line="413" w:lineRule="auto"/>
        <w:rPr>
          <w:rFonts w:ascii="Times New Roman" w:hAnsi="Times New Roman" w:cs="Times New Roman"/>
          <w:color w:val="auto"/>
        </w:rPr>
      </w:pPr>
      <w:bookmarkStart w:id="168" w:name="_Toc4953"/>
      <w:r>
        <w:rPr>
          <w:rFonts w:ascii="Times New Roman" w:hAnsi="Times New Roman" w:cs="Times New Roman"/>
          <w:color w:val="auto"/>
        </w:rPr>
        <w:t>3.2.5 防渗工程</w:t>
      </w:r>
      <w:bookmarkEnd w:id="168"/>
    </w:p>
    <w:p>
      <w:pPr>
        <w:spacing w:line="520" w:lineRule="exact"/>
        <w:rPr>
          <w:rFonts w:ascii="Times New Roman" w:hAnsi="Times New Roman" w:cs="Times New Roman"/>
          <w:color w:val="auto"/>
        </w:rPr>
      </w:pPr>
      <w:r>
        <w:rPr>
          <w:rFonts w:ascii="Times New Roman" w:hAnsi="Times New Roman" w:cs="Times New Roman"/>
          <w:color w:val="auto"/>
        </w:rPr>
        <w:t>对本项目而言，污水处理站的跑、冒、滴、漏是造成水污染的主要影响因素，如果密封、安全及防渗措施不当会使</w:t>
      </w:r>
      <w:r>
        <w:rPr>
          <w:rFonts w:hint="eastAsia" w:ascii="Times New Roman" w:hAnsi="Times New Roman" w:cs="Times New Roman"/>
          <w:color w:val="auto"/>
        </w:rPr>
        <w:t>运行</w:t>
      </w:r>
      <w:r>
        <w:rPr>
          <w:rFonts w:ascii="Times New Roman" w:hAnsi="Times New Roman" w:cs="Times New Roman"/>
          <w:color w:val="auto"/>
        </w:rPr>
        <w:t>过程中产生的</w:t>
      </w:r>
      <w:r>
        <w:rPr>
          <w:rFonts w:hint="eastAsia" w:ascii="Times New Roman" w:hAnsi="Times New Roman" w:cs="Times New Roman"/>
          <w:color w:val="auto"/>
        </w:rPr>
        <w:t>废水</w:t>
      </w:r>
      <w:r>
        <w:rPr>
          <w:rFonts w:ascii="Times New Roman" w:hAnsi="Times New Roman" w:cs="Times New Roman"/>
          <w:color w:val="auto"/>
        </w:rPr>
        <w:t>和固废等污染物渗入土层，对水环境造成污染，根据《环境影响评价技术导则-地下水环境》（HJ610-2016）的相关要求，可以把本项目对地下水的污染影响降低到最小，有效地保护院区所在区域水文地质环境和地下水资源，因此本项目应严格采取以下防渗措施保证水环境：</w:t>
      </w:r>
    </w:p>
    <w:p>
      <w:pPr>
        <w:spacing w:line="520" w:lineRule="exact"/>
        <w:rPr>
          <w:rFonts w:ascii="Times New Roman" w:hAnsi="Times New Roman" w:cs="Times New Roman"/>
          <w:color w:val="auto"/>
        </w:rPr>
      </w:pPr>
      <w:r>
        <w:rPr>
          <w:rFonts w:ascii="Times New Roman" w:hAnsi="Times New Roman" w:cs="Times New Roman"/>
          <w:color w:val="auto"/>
        </w:rPr>
        <w:t>（1）院区内除绿地不做防渗外，其余均做防渗处理，具体为：院区道路采用普通水泥防渗，厚度为4~6cm；门诊、急诊、住院楼等效黏土防渗层Mb≥1.5m，K≤1×10</w:t>
      </w:r>
      <w:r>
        <w:rPr>
          <w:rFonts w:ascii="Times New Roman" w:hAnsi="Times New Roman" w:cs="Times New Roman"/>
          <w:color w:val="auto"/>
          <w:vertAlign w:val="superscript"/>
        </w:rPr>
        <w:t>-7</w:t>
      </w:r>
      <w:r>
        <w:rPr>
          <w:rFonts w:ascii="Times New Roman" w:hAnsi="Times New Roman" w:cs="Times New Roman"/>
          <w:color w:val="auto"/>
        </w:rPr>
        <w:t>cm/s。</w:t>
      </w:r>
    </w:p>
    <w:p>
      <w:pPr>
        <w:spacing w:line="520" w:lineRule="exact"/>
        <w:rPr>
          <w:rFonts w:ascii="Times New Roman" w:hAnsi="Times New Roman" w:cs="Times New Roman"/>
          <w:color w:val="auto"/>
        </w:rPr>
      </w:pPr>
      <w:r>
        <w:rPr>
          <w:rFonts w:ascii="Times New Roman" w:hAnsi="Times New Roman" w:cs="Times New Roman"/>
          <w:color w:val="auto"/>
        </w:rPr>
        <w:t>（2）污水处理站及危废暂存间等效黏土防渗层Mb≥6m，K≤1×10</w:t>
      </w:r>
      <w:r>
        <w:rPr>
          <w:rFonts w:ascii="Times New Roman" w:hAnsi="Times New Roman" w:cs="Times New Roman"/>
          <w:color w:val="auto"/>
          <w:vertAlign w:val="superscript"/>
        </w:rPr>
        <w:t>-</w:t>
      </w:r>
      <w:r>
        <w:rPr>
          <w:rFonts w:hint="eastAsia" w:ascii="Times New Roman" w:hAnsi="Times New Roman" w:cs="Times New Roman"/>
          <w:color w:val="auto"/>
          <w:vertAlign w:val="superscript"/>
        </w:rPr>
        <w:t>10</w:t>
      </w:r>
      <w:r>
        <w:rPr>
          <w:rFonts w:ascii="Times New Roman" w:hAnsi="Times New Roman" w:cs="Times New Roman"/>
          <w:color w:val="auto"/>
        </w:rPr>
        <w:t>cm/s。</w:t>
      </w:r>
    </w:p>
    <w:p>
      <w:pPr>
        <w:pStyle w:val="8"/>
        <w:keepLines w:val="0"/>
        <w:jc w:val="left"/>
        <w:rPr>
          <w:rFonts w:ascii="Times New Roman" w:hAnsi="Times New Roman" w:cs="Times New Roman"/>
          <w:color w:val="auto"/>
          <w:kern w:val="0"/>
          <w:szCs w:val="30"/>
        </w:rPr>
      </w:pPr>
      <w:bookmarkStart w:id="169" w:name="_Toc13801"/>
      <w:bookmarkStart w:id="170" w:name="_Toc12541"/>
      <w:bookmarkStart w:id="171" w:name="_Toc4590_WPSOffice_Level2"/>
      <w:r>
        <w:rPr>
          <w:rFonts w:ascii="Times New Roman" w:hAnsi="Times New Roman" w:cs="Times New Roman"/>
          <w:color w:val="auto"/>
          <w:kern w:val="0"/>
          <w:szCs w:val="30"/>
        </w:rPr>
        <w:t>3.3 总平面布置</w:t>
      </w:r>
      <w:bookmarkEnd w:id="169"/>
      <w:bookmarkEnd w:id="170"/>
      <w:bookmarkEnd w:id="171"/>
    </w:p>
    <w:p>
      <w:pPr>
        <w:pStyle w:val="9"/>
        <w:spacing w:line="413" w:lineRule="auto"/>
        <w:rPr>
          <w:rFonts w:ascii="Times New Roman" w:hAnsi="Times New Roman" w:cs="Times New Roman"/>
          <w:color w:val="auto"/>
        </w:rPr>
      </w:pPr>
      <w:bookmarkStart w:id="172" w:name="_Toc24335"/>
      <w:r>
        <w:rPr>
          <w:rFonts w:ascii="Times New Roman" w:hAnsi="Times New Roman" w:cs="Times New Roman"/>
          <w:color w:val="auto"/>
        </w:rPr>
        <w:t xml:space="preserve">3.3.1 </w:t>
      </w:r>
      <w:bookmarkEnd w:id="172"/>
      <w:r>
        <w:rPr>
          <w:rFonts w:ascii="Times New Roman" w:hAnsi="Times New Roman" w:cs="Times New Roman"/>
          <w:color w:val="auto"/>
        </w:rPr>
        <w:t>布置原则</w:t>
      </w:r>
    </w:p>
    <w:p>
      <w:pPr>
        <w:spacing w:line="520" w:lineRule="exact"/>
        <w:rPr>
          <w:rFonts w:ascii="Times New Roman" w:hAnsi="Times New Roman" w:cs="Times New Roman"/>
          <w:color w:val="auto"/>
        </w:rPr>
      </w:pPr>
      <w:r>
        <w:rPr>
          <w:rFonts w:ascii="Times New Roman" w:hAnsi="Times New Roman" w:cs="Times New Roman"/>
          <w:color w:val="auto"/>
        </w:rPr>
        <w:t>（1）满足国家有关设计规范的要求；</w:t>
      </w:r>
    </w:p>
    <w:p>
      <w:pPr>
        <w:spacing w:line="520" w:lineRule="exact"/>
        <w:rPr>
          <w:rFonts w:ascii="Times New Roman" w:hAnsi="Times New Roman" w:cs="Times New Roman"/>
          <w:color w:val="auto"/>
        </w:rPr>
      </w:pPr>
      <w:r>
        <w:rPr>
          <w:rFonts w:ascii="Times New Roman" w:hAnsi="Times New Roman" w:cs="Times New Roman"/>
          <w:color w:val="auto"/>
        </w:rPr>
        <w:t>（2）满足医院总体规划和长远发展的要求；</w:t>
      </w:r>
    </w:p>
    <w:p>
      <w:pPr>
        <w:spacing w:line="520" w:lineRule="exact"/>
        <w:rPr>
          <w:rFonts w:ascii="Times New Roman" w:hAnsi="Times New Roman" w:cs="Times New Roman"/>
          <w:color w:val="auto"/>
        </w:rPr>
      </w:pPr>
      <w:r>
        <w:rPr>
          <w:rFonts w:ascii="Times New Roman" w:hAnsi="Times New Roman" w:cs="Times New Roman"/>
          <w:color w:val="auto"/>
        </w:rPr>
        <w:t>（3）做到人、患分流，功能分区明确，满足安全救治和管理要求；</w:t>
      </w:r>
    </w:p>
    <w:p>
      <w:pPr>
        <w:spacing w:line="520" w:lineRule="exact"/>
        <w:rPr>
          <w:rFonts w:ascii="Times New Roman" w:hAnsi="Times New Roman" w:cs="Times New Roman"/>
          <w:color w:val="auto"/>
        </w:rPr>
      </w:pPr>
      <w:r>
        <w:rPr>
          <w:rFonts w:ascii="Times New Roman" w:hAnsi="Times New Roman" w:cs="Times New Roman"/>
          <w:color w:val="auto"/>
        </w:rPr>
        <w:t>（4）满足医院医疗要求，使物流顺畅，物料输送短捷；</w:t>
      </w:r>
    </w:p>
    <w:p>
      <w:pPr>
        <w:spacing w:line="520" w:lineRule="exact"/>
        <w:rPr>
          <w:rFonts w:ascii="Times New Roman" w:hAnsi="Times New Roman" w:cs="Times New Roman"/>
          <w:color w:val="auto"/>
        </w:rPr>
      </w:pPr>
      <w:r>
        <w:rPr>
          <w:rFonts w:ascii="Times New Roman" w:hAnsi="Times New Roman" w:cs="Times New Roman"/>
          <w:color w:val="auto"/>
        </w:rPr>
        <w:t>（5）方便医院日常运转、维修和管理，注意环境保护；</w:t>
      </w:r>
    </w:p>
    <w:p>
      <w:pPr>
        <w:spacing w:line="520" w:lineRule="exact"/>
        <w:rPr>
          <w:rFonts w:ascii="Times New Roman" w:hAnsi="Times New Roman" w:cs="Times New Roman"/>
          <w:color w:val="auto"/>
        </w:rPr>
      </w:pPr>
      <w:r>
        <w:rPr>
          <w:rFonts w:ascii="Times New Roman" w:hAnsi="Times New Roman" w:cs="Times New Roman"/>
          <w:color w:val="auto"/>
        </w:rPr>
        <w:t>（6）在满足国家有关医疗卫生、劳动安全、防火等工程技术规范的要求下，布置紧凑，节约用地，力求整体协调、美观。</w:t>
      </w:r>
    </w:p>
    <w:p>
      <w:pPr>
        <w:pStyle w:val="9"/>
        <w:spacing w:line="413" w:lineRule="auto"/>
        <w:rPr>
          <w:rFonts w:ascii="Times New Roman" w:hAnsi="Times New Roman" w:cs="Times New Roman"/>
          <w:color w:val="auto"/>
        </w:rPr>
      </w:pPr>
      <w:bookmarkStart w:id="173" w:name="_Toc24601"/>
      <w:r>
        <w:rPr>
          <w:rFonts w:ascii="Times New Roman" w:hAnsi="Times New Roman" w:cs="Times New Roman"/>
          <w:color w:val="auto"/>
        </w:rPr>
        <w:t>3.3.2 项目区平面布置</w:t>
      </w:r>
      <w:bookmarkEnd w:id="173"/>
    </w:p>
    <w:p>
      <w:pPr>
        <w:spacing w:line="520" w:lineRule="exact"/>
        <w:rPr>
          <w:rFonts w:ascii="Times New Roman" w:hAnsi="Times New Roman" w:cs="Times New Roman"/>
          <w:color w:val="auto"/>
        </w:rPr>
      </w:pPr>
      <w:r>
        <w:rPr>
          <w:rFonts w:ascii="Times New Roman" w:hAnsi="Times New Roman" w:cs="Times New Roman"/>
          <w:color w:val="auto"/>
        </w:rPr>
        <w:t>本项目位于吉木萨尔县城老城区南侧，北邻文襄路，西邻闽江路，南邻建国路，东邻准东路。地块为长方形，从南往北依次为门诊楼、医技楼、病房楼。在院区南侧建国路设置医院主出入口，西侧闽江路设有行政后勤出入口、住院部出入口，东侧准东路设置污物专用出入口。感染楼位于院区东北侧，设有专用感染楼门诊入口，有效降低了感染病的传播途径及接触面积，减少传染危险。</w:t>
      </w:r>
    </w:p>
    <w:p>
      <w:pPr>
        <w:spacing w:line="520" w:lineRule="exact"/>
        <w:rPr>
          <w:rFonts w:ascii="Times New Roman" w:hAnsi="Times New Roman" w:cs="Times New Roman"/>
          <w:color w:val="auto"/>
        </w:rPr>
      </w:pPr>
      <w:r>
        <w:rPr>
          <w:rFonts w:ascii="Times New Roman" w:hAnsi="Times New Roman" w:cs="Times New Roman"/>
          <w:color w:val="auto"/>
        </w:rPr>
        <w:t>门诊楼正对主入口，医技楼位于门诊楼后方，方便患者门诊就医或咨询，内设医技用房、药剂用房、急诊、门诊等，为患者急诊、化验、检查、取药提供方便。病房楼设在医技楼北侧，方便患者就近入住病房及日常检查。食堂及办公楼等位于厂区西侧，与医院门诊、医技楼等有一定距离，形成相对独立生活区，便于医、患生活，减少相互影响；医院的四周均设有景观绿带，突出一种清幽、和谐、亲切的氛围。院区建筑风格多样，环境优美，可以改善医护人员和患者的情绪、心情。院区总体平面布置合理。医院总平面布置图详见下图3.3-1。</w:t>
      </w:r>
    </w:p>
    <w:p>
      <w:pPr>
        <w:pStyle w:val="8"/>
        <w:keepLines w:val="0"/>
        <w:jc w:val="left"/>
        <w:rPr>
          <w:rFonts w:ascii="Times New Roman" w:hAnsi="Times New Roman" w:cs="Times New Roman"/>
          <w:color w:val="auto"/>
          <w:kern w:val="0"/>
          <w:szCs w:val="30"/>
        </w:rPr>
      </w:pPr>
      <w:bookmarkStart w:id="174" w:name="_Toc5967"/>
      <w:bookmarkStart w:id="175" w:name="_Toc7166"/>
      <w:r>
        <w:rPr>
          <w:rFonts w:ascii="Times New Roman" w:hAnsi="Times New Roman" w:cs="Times New Roman"/>
          <w:color w:val="auto"/>
          <w:kern w:val="0"/>
          <w:szCs w:val="30"/>
        </w:rPr>
        <w:t>3.4 污染源分析</w:t>
      </w:r>
      <w:bookmarkEnd w:id="174"/>
      <w:bookmarkEnd w:id="175"/>
    </w:p>
    <w:p>
      <w:pPr>
        <w:pStyle w:val="9"/>
        <w:spacing w:line="413" w:lineRule="auto"/>
        <w:rPr>
          <w:rFonts w:ascii="Times New Roman" w:hAnsi="Times New Roman" w:cs="Times New Roman"/>
          <w:color w:val="auto"/>
        </w:rPr>
      </w:pPr>
      <w:bookmarkStart w:id="176" w:name="_Toc17716"/>
      <w:r>
        <w:rPr>
          <w:rFonts w:ascii="Times New Roman" w:hAnsi="Times New Roman" w:cs="Times New Roman"/>
          <w:color w:val="auto"/>
        </w:rPr>
        <w:t>3.4.1 施工期污染源分析</w:t>
      </w:r>
      <w:bookmarkEnd w:id="176"/>
    </w:p>
    <w:p>
      <w:pPr>
        <w:spacing w:line="520" w:lineRule="exact"/>
        <w:rPr>
          <w:rFonts w:ascii="Times New Roman" w:hAnsi="Times New Roman" w:cs="Times New Roman"/>
          <w:color w:val="auto"/>
        </w:rPr>
      </w:pPr>
      <w:r>
        <w:rPr>
          <w:rFonts w:ascii="Times New Roman" w:hAnsi="Times New Roman" w:cs="Times New Roman"/>
          <w:color w:val="auto"/>
        </w:rPr>
        <w:t>本项目施工期的主要工艺流程及产污环节见图3.4-1。</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3757930" cy="6061075"/>
            <wp:effectExtent l="0" t="0" r="13970" b="158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3"/>
                    <a:stretch>
                      <a:fillRect/>
                    </a:stretch>
                  </pic:blipFill>
                  <pic:spPr>
                    <a:xfrm>
                      <a:off x="0" y="0"/>
                      <a:ext cx="3757930" cy="6061075"/>
                    </a:xfrm>
                    <a:prstGeom prst="rect">
                      <a:avLst/>
                    </a:prstGeom>
                    <a:noFill/>
                    <a:ln>
                      <a:noFill/>
                    </a:ln>
                  </pic:spPr>
                </pic:pic>
              </a:graphicData>
            </a:graphic>
          </wp:inline>
        </w:drawing>
      </w:r>
    </w:p>
    <w:p>
      <w:pPr>
        <w:pStyle w:val="35"/>
        <w:spacing w:before="0" w:after="0" w:line="520" w:lineRule="exact"/>
        <w:rPr>
          <w:rFonts w:cs="Times New Roman"/>
          <w:color w:val="auto"/>
        </w:rPr>
      </w:pPr>
      <w:r>
        <w:rPr>
          <w:rFonts w:cs="Times New Roman"/>
          <w:color w:val="auto"/>
        </w:rPr>
        <w:t>图3.4-1   建设项目施工期工艺流程及产污环节图</w:t>
      </w:r>
    </w:p>
    <w:p>
      <w:pPr>
        <w:pStyle w:val="10"/>
        <w:rPr>
          <w:rFonts w:cs="Times New Roman"/>
          <w:color w:val="auto"/>
          <w:kern w:val="0"/>
        </w:rPr>
      </w:pPr>
      <w:r>
        <w:rPr>
          <w:rFonts w:cs="Times New Roman"/>
          <w:color w:val="auto"/>
          <w:kern w:val="0"/>
        </w:rPr>
        <w:t>3.4.1.1施工期水污染源分析</w:t>
      </w:r>
    </w:p>
    <w:p>
      <w:pPr>
        <w:spacing w:line="520" w:lineRule="exact"/>
        <w:rPr>
          <w:rFonts w:ascii="Times New Roman" w:hAnsi="Times New Roman" w:cs="Times New Roman"/>
          <w:color w:val="auto"/>
        </w:rPr>
      </w:pPr>
      <w:r>
        <w:rPr>
          <w:rFonts w:ascii="Times New Roman" w:hAnsi="Times New Roman" w:cs="Times New Roman"/>
          <w:color w:val="auto"/>
        </w:rPr>
        <w:t>施工期废水主要为生产废水和生活污水。施工期产生的生产废水主要为施工设备冲洗过程中产生的废水等。</w:t>
      </w:r>
    </w:p>
    <w:p>
      <w:pPr>
        <w:spacing w:line="520" w:lineRule="exact"/>
        <w:rPr>
          <w:rFonts w:ascii="Times New Roman" w:hAnsi="Times New Roman" w:cs="Times New Roman"/>
          <w:color w:val="auto"/>
        </w:rPr>
      </w:pPr>
      <w:r>
        <w:rPr>
          <w:rFonts w:ascii="Times New Roman" w:hAnsi="Times New Roman" w:cs="Times New Roman"/>
          <w:color w:val="auto"/>
        </w:rPr>
        <w:t>（1）生产废水</w:t>
      </w:r>
    </w:p>
    <w:p>
      <w:pPr>
        <w:spacing w:line="520" w:lineRule="exact"/>
        <w:rPr>
          <w:rFonts w:ascii="Times New Roman" w:hAnsi="Times New Roman" w:cs="Times New Roman"/>
          <w:color w:val="auto"/>
        </w:rPr>
      </w:pPr>
      <w:r>
        <w:rPr>
          <w:rFonts w:ascii="Times New Roman" w:hAnsi="Times New Roman" w:cs="Times New Roman"/>
          <w:color w:val="auto"/>
        </w:rPr>
        <w:t>施工废水来自于材料、设备冲洗和水泥养护等过程，废水中主要以悬浮物为主，未经处理的施工废水水质pH：9～12，SS：3000～5000mg/l，考虑项目废水流动性强，废水处理单元简单，处理效果明显的要求，项目施工废水选用沉淀池并进行防渗，沉淀两小时以上后，经沉淀分离后的上清液回用，沉淀泥浆固化后应定期及时清运至建筑垃圾堆放场地。</w:t>
      </w:r>
    </w:p>
    <w:p>
      <w:pPr>
        <w:spacing w:line="520" w:lineRule="exact"/>
        <w:rPr>
          <w:rFonts w:ascii="Times New Roman" w:hAnsi="Times New Roman" w:cs="Times New Roman"/>
          <w:color w:val="auto"/>
        </w:rPr>
      </w:pPr>
      <w:r>
        <w:rPr>
          <w:rFonts w:ascii="Times New Roman" w:hAnsi="Times New Roman" w:cs="Times New Roman"/>
          <w:color w:val="auto"/>
        </w:rPr>
        <w:t>（2）生活污水</w:t>
      </w:r>
    </w:p>
    <w:p>
      <w:pPr>
        <w:spacing w:line="520" w:lineRule="exact"/>
        <w:rPr>
          <w:rFonts w:ascii="Times New Roman" w:hAnsi="Times New Roman" w:cs="Times New Roman"/>
          <w:color w:val="auto"/>
        </w:rPr>
      </w:pPr>
      <w:r>
        <w:rPr>
          <w:rFonts w:ascii="Times New Roman" w:hAnsi="Times New Roman" w:cs="Times New Roman"/>
          <w:color w:val="auto"/>
        </w:rPr>
        <w:t>本项目施工人员工地不设置宿舍和食堂。项目施工人员约为40人，由于施工人员食宿均不在施工工地，则生活用水取50L/人·d。施工有效施工期按照630天计算，生活用水量为1260m</w:t>
      </w:r>
      <w:r>
        <w:rPr>
          <w:rFonts w:ascii="Times New Roman" w:hAnsi="Times New Roman" w:cs="Times New Roman"/>
          <w:color w:val="auto"/>
          <w:vertAlign w:val="superscript"/>
        </w:rPr>
        <w:t>3</w:t>
      </w:r>
      <w:r>
        <w:rPr>
          <w:rFonts w:ascii="Times New Roman" w:hAnsi="Times New Roman" w:cs="Times New Roman"/>
          <w:color w:val="auto"/>
        </w:rPr>
        <w:t>。生活污水排放量按用水量的80％计，则生活污水排放量共1008m</w:t>
      </w:r>
      <w:r>
        <w:rPr>
          <w:rFonts w:ascii="Times New Roman" w:hAnsi="Times New Roman" w:cs="Times New Roman"/>
          <w:color w:val="auto"/>
          <w:vertAlign w:val="superscript"/>
        </w:rPr>
        <w:t>3</w:t>
      </w:r>
      <w:r>
        <w:rPr>
          <w:rFonts w:ascii="Times New Roman" w:hAnsi="Times New Roman" w:cs="Times New Roman"/>
          <w:color w:val="auto"/>
        </w:rPr>
        <w:t>。类比同类型污水水质，工程排放生活污水中主要污染物为COD</w:t>
      </w:r>
      <w:r>
        <w:rPr>
          <w:rFonts w:ascii="Times New Roman" w:hAnsi="Times New Roman" w:cs="Times New Roman"/>
          <w:color w:val="auto"/>
          <w:vertAlign w:val="subscript"/>
        </w:rPr>
        <w:t>cr</w:t>
      </w:r>
      <w:r>
        <w:rPr>
          <w:rFonts w:ascii="Times New Roman" w:hAnsi="Times New Roman" w:cs="Times New Roman"/>
          <w:color w:val="auto"/>
        </w:rPr>
        <w:t>、BOD</w:t>
      </w:r>
      <w:r>
        <w:rPr>
          <w:rFonts w:ascii="Times New Roman" w:hAnsi="Times New Roman" w:cs="Times New Roman"/>
          <w:color w:val="auto"/>
          <w:vertAlign w:val="subscript"/>
        </w:rPr>
        <w:t>5</w:t>
      </w:r>
      <w:r>
        <w:rPr>
          <w:rFonts w:ascii="Times New Roman" w:hAnsi="Times New Roman" w:cs="Times New Roman"/>
          <w:color w:val="auto"/>
        </w:rPr>
        <w:t>和SS，各污染物浓度分别为：COD</w:t>
      </w:r>
      <w:r>
        <w:rPr>
          <w:rFonts w:ascii="Times New Roman" w:hAnsi="Times New Roman" w:cs="Times New Roman"/>
          <w:color w:val="auto"/>
          <w:vertAlign w:val="subscript"/>
        </w:rPr>
        <w:t>cr</w:t>
      </w:r>
      <w:r>
        <w:rPr>
          <w:rFonts w:ascii="Times New Roman" w:hAnsi="Times New Roman" w:cs="Times New Roman"/>
          <w:color w:val="auto"/>
        </w:rPr>
        <w:t>：280mg/l、BOD</w:t>
      </w:r>
      <w:r>
        <w:rPr>
          <w:rFonts w:ascii="Times New Roman" w:hAnsi="Times New Roman" w:cs="Times New Roman"/>
          <w:color w:val="auto"/>
          <w:vertAlign w:val="subscript"/>
        </w:rPr>
        <w:t>5</w:t>
      </w:r>
      <w:r>
        <w:rPr>
          <w:rFonts w:ascii="Times New Roman" w:hAnsi="Times New Roman" w:cs="Times New Roman"/>
          <w:color w:val="auto"/>
        </w:rPr>
        <w:t>：160mg/l、SS：200mg/l。生活污水排入市政污水管网。</w:t>
      </w:r>
    </w:p>
    <w:p>
      <w:pPr>
        <w:pStyle w:val="10"/>
        <w:rPr>
          <w:rFonts w:cs="Times New Roman"/>
          <w:color w:val="auto"/>
          <w:kern w:val="0"/>
        </w:rPr>
      </w:pPr>
      <w:r>
        <w:rPr>
          <w:rFonts w:cs="Times New Roman"/>
          <w:color w:val="auto"/>
          <w:kern w:val="0"/>
        </w:rPr>
        <w:t>3.4.1.2 施工期大气污染源分析</w:t>
      </w:r>
    </w:p>
    <w:p>
      <w:pPr>
        <w:spacing w:line="520" w:lineRule="exact"/>
        <w:rPr>
          <w:rFonts w:ascii="Times New Roman" w:hAnsi="Times New Roman" w:cs="Times New Roman"/>
          <w:color w:val="auto"/>
        </w:rPr>
      </w:pPr>
      <w:r>
        <w:rPr>
          <w:rFonts w:ascii="Times New Roman" w:hAnsi="Times New Roman" w:cs="Times New Roman"/>
          <w:color w:val="auto"/>
        </w:rPr>
        <w:t>（1）扬尘</w:t>
      </w:r>
    </w:p>
    <w:p>
      <w:pPr>
        <w:spacing w:line="520" w:lineRule="exact"/>
        <w:rPr>
          <w:rFonts w:ascii="Times New Roman" w:hAnsi="Times New Roman" w:cs="Times New Roman"/>
          <w:color w:val="auto"/>
        </w:rPr>
      </w:pPr>
      <w:r>
        <w:rPr>
          <w:rFonts w:ascii="Times New Roman" w:hAnsi="Times New Roman" w:cs="Times New Roman"/>
          <w:color w:val="auto"/>
        </w:rPr>
        <w:t>项目在建设施工过程中，土石方开挖活动、建材运输车辆和建材堆置会引起一定的扬尘等。汽车和载重汽车在转运土石方过程中会产生一定的扬尘，将对施工及沿途区域的环境空气质量造成一定程度的影响。其产生量与路面种类、天气状况以及汽车运行速度等因素有关。据国内测定资料：当运石车以4m/s（14.4km/h）速度运行时，汽车经过的路面空气中粉尘量约为10~15mg/m</w:t>
      </w:r>
      <w:r>
        <w:rPr>
          <w:rFonts w:ascii="Times New Roman" w:hAnsi="Times New Roman" w:cs="Times New Roman"/>
          <w:color w:val="auto"/>
          <w:vertAlign w:val="superscript"/>
        </w:rPr>
        <w:t>3</w:t>
      </w:r>
      <w:r>
        <w:rPr>
          <w:rFonts w:ascii="Times New Roman" w:hAnsi="Times New Roman" w:cs="Times New Roman"/>
          <w:color w:val="auto"/>
        </w:rPr>
        <w:t>。本工程区内多为简易公路，汽车行进速度＜15km/h，因此扬尘产生量＜15mg/m</w:t>
      </w:r>
      <w:r>
        <w:rPr>
          <w:rFonts w:ascii="Times New Roman" w:hAnsi="Times New Roman" w:cs="Times New Roman"/>
          <w:color w:val="auto"/>
          <w:vertAlign w:val="superscript"/>
        </w:rPr>
        <w:t>3</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（2）施工机械尾气</w:t>
      </w:r>
    </w:p>
    <w:p>
      <w:pPr>
        <w:spacing w:line="520" w:lineRule="exact"/>
        <w:rPr>
          <w:rFonts w:ascii="Times New Roman" w:hAnsi="Times New Roman" w:cs="Times New Roman"/>
          <w:color w:val="auto"/>
        </w:rPr>
      </w:pPr>
      <w:r>
        <w:rPr>
          <w:rFonts w:ascii="Times New Roman" w:hAnsi="Times New Roman" w:cs="Times New Roman"/>
          <w:color w:val="auto"/>
        </w:rPr>
        <w:t>施工期施工机械运行产生的燃油废气、运输车辆运输产生的尾气均是动力燃料柴油和汽油燃烧后所产生，是影响空气环境的主要污染物之一，主要成份是碳氢化合物、CO和NO</w:t>
      </w:r>
      <w:r>
        <w:rPr>
          <w:rFonts w:ascii="Times New Roman" w:hAnsi="Times New Roman" w:cs="Times New Roman"/>
          <w:color w:val="auto"/>
          <w:vertAlign w:val="subscript"/>
        </w:rPr>
        <w:t>x</w:t>
      </w:r>
      <w:r>
        <w:rPr>
          <w:rFonts w:ascii="Times New Roman" w:hAnsi="Times New Roman" w:cs="Times New Roman"/>
          <w:color w:val="auto"/>
        </w:rPr>
        <w:t>，属无组织排放。随着施工活动的结束，施工期的废气影响随即消失。</w:t>
      </w:r>
    </w:p>
    <w:p>
      <w:pPr>
        <w:pStyle w:val="10"/>
        <w:rPr>
          <w:rFonts w:cs="Times New Roman"/>
          <w:color w:val="auto"/>
          <w:kern w:val="0"/>
        </w:rPr>
      </w:pPr>
      <w:r>
        <w:rPr>
          <w:rFonts w:cs="Times New Roman"/>
          <w:color w:val="auto"/>
          <w:kern w:val="0"/>
        </w:rPr>
        <w:t>3.4.1.3 施工期噪声污染源分析</w:t>
      </w:r>
    </w:p>
    <w:p>
      <w:pPr>
        <w:spacing w:line="520" w:lineRule="exact"/>
        <w:rPr>
          <w:rFonts w:ascii="Times New Roman" w:hAnsi="Times New Roman" w:cs="Times New Roman"/>
          <w:color w:val="auto"/>
        </w:rPr>
      </w:pPr>
      <w:r>
        <w:rPr>
          <w:rFonts w:ascii="Times New Roman" w:hAnsi="Times New Roman" w:cs="Times New Roman"/>
          <w:color w:val="auto"/>
        </w:rPr>
        <w:t>施工期噪声主要来自两个方面，一是建筑施工活动和工程施工机械噪声，二是运输车辆的交通噪声；此外，在设备安装过程也有可能产生噪声污染。</w:t>
      </w:r>
    </w:p>
    <w:p>
      <w:pPr>
        <w:spacing w:line="520" w:lineRule="exact"/>
        <w:rPr>
          <w:rFonts w:ascii="Times New Roman" w:hAnsi="Times New Roman" w:cs="Times New Roman"/>
          <w:color w:val="auto"/>
        </w:rPr>
      </w:pPr>
      <w:r>
        <w:rPr>
          <w:rFonts w:ascii="Times New Roman" w:hAnsi="Times New Roman" w:cs="Times New Roman"/>
          <w:color w:val="auto"/>
        </w:rPr>
        <w:t>施工机械噪声污染源为各种施工机械、运输车辆等使用和运行过程中产生的施工噪声。常用施工机械及车辆噪声源强见表3.4-1。</w:t>
      </w:r>
    </w:p>
    <w:p>
      <w:pPr>
        <w:pStyle w:val="35"/>
        <w:spacing w:before="0" w:after="0" w:line="520" w:lineRule="exact"/>
        <w:rPr>
          <w:rFonts w:cs="Times New Roman"/>
          <w:color w:val="auto"/>
        </w:rPr>
      </w:pPr>
      <w:r>
        <w:rPr>
          <w:rFonts w:cs="Times New Roman"/>
          <w:color w:val="auto"/>
        </w:rPr>
        <w:t>表3.4-1   常用施工机械噪声源强表  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2741"/>
        <w:gridCol w:w="2182"/>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2"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施工阶段</w:t>
            </w:r>
          </w:p>
        </w:tc>
        <w:tc>
          <w:tcPr>
            <w:tcW w:w="1608"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施工机械</w:t>
            </w:r>
          </w:p>
        </w:tc>
        <w:tc>
          <w:tcPr>
            <w:tcW w:w="1280"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平均声级（dB（A））</w:t>
            </w:r>
          </w:p>
        </w:tc>
        <w:tc>
          <w:tcPr>
            <w:tcW w:w="1208"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测量距离（m）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土方</w:t>
            </w:r>
          </w:p>
        </w:tc>
        <w:tc>
          <w:tcPr>
            <w:tcW w:w="16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挖掘机</w:t>
            </w:r>
          </w:p>
        </w:tc>
        <w:tc>
          <w:tcPr>
            <w:tcW w:w="12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84</w:t>
            </w:r>
          </w:p>
        </w:tc>
        <w:tc>
          <w:tcPr>
            <w:tcW w:w="12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continue"/>
            <w:vAlign w:val="center"/>
          </w:tcPr>
          <w:p>
            <w:pPr>
              <w:pStyle w:val="36"/>
              <w:rPr>
                <w:rFonts w:ascii="Times New Roman" w:hAnsi="Times New Roman" w:cs="Times New Roman"/>
                <w:color w:val="auto"/>
                <w:szCs w:val="21"/>
              </w:rPr>
            </w:pPr>
          </w:p>
        </w:tc>
        <w:tc>
          <w:tcPr>
            <w:tcW w:w="16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推土机</w:t>
            </w:r>
          </w:p>
        </w:tc>
        <w:tc>
          <w:tcPr>
            <w:tcW w:w="12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81</w:t>
            </w:r>
          </w:p>
        </w:tc>
        <w:tc>
          <w:tcPr>
            <w:tcW w:w="12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continue"/>
            <w:vAlign w:val="center"/>
          </w:tcPr>
          <w:p>
            <w:pPr>
              <w:pStyle w:val="36"/>
              <w:rPr>
                <w:rFonts w:ascii="Times New Roman" w:hAnsi="Times New Roman" w:cs="Times New Roman"/>
                <w:color w:val="auto"/>
                <w:szCs w:val="21"/>
              </w:rPr>
            </w:pPr>
          </w:p>
        </w:tc>
        <w:tc>
          <w:tcPr>
            <w:tcW w:w="16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装载机</w:t>
            </w:r>
          </w:p>
        </w:tc>
        <w:tc>
          <w:tcPr>
            <w:tcW w:w="12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71</w:t>
            </w:r>
          </w:p>
        </w:tc>
        <w:tc>
          <w:tcPr>
            <w:tcW w:w="12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restar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结构</w:t>
            </w:r>
          </w:p>
        </w:tc>
        <w:tc>
          <w:tcPr>
            <w:tcW w:w="16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混凝土搅拌机</w:t>
            </w:r>
          </w:p>
        </w:tc>
        <w:tc>
          <w:tcPr>
            <w:tcW w:w="12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79</w:t>
            </w:r>
          </w:p>
        </w:tc>
        <w:tc>
          <w:tcPr>
            <w:tcW w:w="12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pct"/>
            <w:vMerge w:val="continue"/>
            <w:vAlign w:val="center"/>
          </w:tcPr>
          <w:p>
            <w:pPr>
              <w:pStyle w:val="36"/>
              <w:rPr>
                <w:rFonts w:ascii="Times New Roman" w:hAnsi="Times New Roman" w:cs="Times New Roman"/>
                <w:color w:val="auto"/>
                <w:szCs w:val="21"/>
              </w:rPr>
            </w:pPr>
          </w:p>
        </w:tc>
        <w:tc>
          <w:tcPr>
            <w:tcW w:w="16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混凝土振捣器</w:t>
            </w:r>
          </w:p>
        </w:tc>
        <w:tc>
          <w:tcPr>
            <w:tcW w:w="12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80</w:t>
            </w:r>
          </w:p>
        </w:tc>
        <w:tc>
          <w:tcPr>
            <w:tcW w:w="1208"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12</w:t>
            </w:r>
          </w:p>
        </w:tc>
      </w:tr>
    </w:tbl>
    <w:p>
      <w:pPr>
        <w:spacing w:line="520" w:lineRule="exact"/>
        <w:rPr>
          <w:rFonts w:ascii="Times New Roman" w:hAnsi="Times New Roman" w:cs="Times New Roman"/>
          <w:color w:val="auto"/>
        </w:rPr>
      </w:pPr>
      <w:r>
        <w:rPr>
          <w:rFonts w:ascii="Times New Roman" w:hAnsi="Times New Roman" w:cs="Times New Roman"/>
          <w:color w:val="auto"/>
        </w:rPr>
        <w:t>在本项目的建设过程中，需经过土地平整、挖掘、基础水泥浇筑等工序。在此期间，建设区域较为空旷，同时建筑所需的机械设备基本无隔声、防振等措施，因此在建设施工阶段所产生的噪声源声级较高，且噪声的传播条件较好，对周边地区环境的造成一定影响。</w:t>
      </w:r>
    </w:p>
    <w:p>
      <w:pPr>
        <w:pStyle w:val="10"/>
        <w:rPr>
          <w:rFonts w:cs="Times New Roman"/>
          <w:color w:val="auto"/>
          <w:kern w:val="0"/>
        </w:rPr>
      </w:pPr>
      <w:r>
        <w:rPr>
          <w:rFonts w:cs="Times New Roman"/>
          <w:color w:val="auto"/>
          <w:kern w:val="0"/>
        </w:rPr>
        <w:t>3.4.1.4 施工期固废污染源分析</w:t>
      </w:r>
    </w:p>
    <w:p>
      <w:pPr>
        <w:spacing w:line="520" w:lineRule="exact"/>
        <w:rPr>
          <w:rFonts w:ascii="Times New Roman" w:hAnsi="Times New Roman" w:cs="Times New Roman"/>
          <w:color w:val="auto"/>
        </w:rPr>
      </w:pPr>
      <w:r>
        <w:rPr>
          <w:rFonts w:ascii="Times New Roman" w:hAnsi="Times New Roman" w:cs="Times New Roman"/>
          <w:color w:val="auto"/>
        </w:rPr>
        <w:t>本项目施工期固废主要包括建筑垃圾、废包装材料和施工人员生活垃圾。</w:t>
      </w:r>
    </w:p>
    <w:p>
      <w:pPr>
        <w:spacing w:line="520" w:lineRule="exact"/>
        <w:rPr>
          <w:rFonts w:ascii="Times New Roman" w:hAnsi="Times New Roman" w:cs="Times New Roman"/>
          <w:color w:val="auto"/>
        </w:rPr>
      </w:pPr>
      <w:r>
        <w:rPr>
          <w:rFonts w:ascii="Times New Roman" w:hAnsi="Times New Roman" w:cs="Times New Roman"/>
          <w:color w:val="auto"/>
        </w:rPr>
        <w:t>（1）施工土石方及建筑垃圾</w:t>
      </w:r>
    </w:p>
    <w:p>
      <w:pPr>
        <w:spacing w:line="520" w:lineRule="exact"/>
        <w:rPr>
          <w:rFonts w:ascii="Times New Roman" w:hAnsi="Times New Roman" w:cs="Times New Roman"/>
          <w:color w:val="auto"/>
        </w:rPr>
      </w:pPr>
      <w:r>
        <w:rPr>
          <w:rFonts w:ascii="Times New Roman" w:hAnsi="Times New Roman" w:cs="Times New Roman"/>
          <w:color w:val="auto"/>
        </w:rPr>
        <w:t>施工期产生的建筑垃圾主要包括开挖产生的土石方、混凝土废料、砂石、碎砖、废钢板等。本工程总挖方</w:t>
      </w:r>
      <w:r>
        <w:rPr>
          <w:rFonts w:hint="eastAsia" w:ascii="Times New Roman" w:hAnsi="Times New Roman" w:cs="Times New Roman"/>
          <w:color w:val="auto"/>
        </w:rPr>
        <w:t>845</w:t>
      </w:r>
      <w:r>
        <w:rPr>
          <w:rFonts w:ascii="Times New Roman" w:hAnsi="Times New Roman" w:cs="Times New Roman"/>
          <w:color w:val="auto"/>
        </w:rPr>
        <w:t>00m</w:t>
      </w:r>
      <w:r>
        <w:rPr>
          <w:rFonts w:ascii="Times New Roman" w:hAnsi="Times New Roman" w:cs="Times New Roman"/>
          <w:color w:val="auto"/>
          <w:vertAlign w:val="superscript"/>
        </w:rPr>
        <w:t>3</w:t>
      </w:r>
      <w:r>
        <w:rPr>
          <w:rFonts w:ascii="Times New Roman" w:hAnsi="Times New Roman" w:cs="Times New Roman"/>
          <w:color w:val="auto"/>
        </w:rPr>
        <w:t>，总填方</w:t>
      </w:r>
      <w:r>
        <w:rPr>
          <w:rFonts w:hint="eastAsia" w:ascii="Times New Roman" w:hAnsi="Times New Roman" w:cs="Times New Roman"/>
          <w:color w:val="auto"/>
        </w:rPr>
        <w:t>8</w:t>
      </w:r>
      <w:r>
        <w:rPr>
          <w:rFonts w:ascii="Times New Roman" w:hAnsi="Times New Roman" w:cs="Times New Roman"/>
          <w:color w:val="auto"/>
        </w:rPr>
        <w:t>1000m</w:t>
      </w:r>
      <w:r>
        <w:rPr>
          <w:rFonts w:ascii="Times New Roman" w:hAnsi="Times New Roman" w:cs="Times New Roman"/>
          <w:color w:val="auto"/>
          <w:vertAlign w:val="superscript"/>
        </w:rPr>
        <w:t>3</w:t>
      </w:r>
      <w:r>
        <w:rPr>
          <w:rFonts w:ascii="Times New Roman" w:hAnsi="Times New Roman" w:cs="Times New Roman"/>
          <w:color w:val="auto"/>
        </w:rPr>
        <w:t>，工程弃方3500m</w:t>
      </w:r>
      <w:r>
        <w:rPr>
          <w:rFonts w:ascii="Times New Roman" w:hAnsi="Times New Roman" w:cs="Times New Roman"/>
          <w:color w:val="auto"/>
          <w:vertAlign w:val="superscript"/>
        </w:rPr>
        <w:t>3</w:t>
      </w:r>
      <w:r>
        <w:rPr>
          <w:rFonts w:ascii="Times New Roman" w:hAnsi="Times New Roman" w:cs="Times New Roman"/>
          <w:color w:val="auto"/>
        </w:rPr>
        <w:t>；产生的废钢筋可进行回收；对于不能回收的建筑垃圾，如混凝土废料、碎砖、砂石等材料，经集中收集后及时清运至填埋场处理。</w:t>
      </w:r>
    </w:p>
    <w:p>
      <w:pPr>
        <w:spacing w:line="520" w:lineRule="exact"/>
        <w:rPr>
          <w:rFonts w:ascii="Times New Roman" w:hAnsi="Times New Roman" w:cs="Times New Roman"/>
          <w:color w:val="auto"/>
        </w:rPr>
      </w:pPr>
      <w:r>
        <w:rPr>
          <w:rFonts w:ascii="Times New Roman" w:hAnsi="Times New Roman" w:cs="Times New Roman"/>
          <w:color w:val="auto"/>
        </w:rPr>
        <w:t>（2）废包装材料</w:t>
      </w:r>
    </w:p>
    <w:p>
      <w:pPr>
        <w:spacing w:line="520" w:lineRule="exact"/>
        <w:rPr>
          <w:rFonts w:ascii="Times New Roman" w:hAnsi="Times New Roman" w:cs="Times New Roman"/>
          <w:color w:val="auto"/>
        </w:rPr>
      </w:pPr>
      <w:r>
        <w:rPr>
          <w:rFonts w:ascii="Times New Roman" w:hAnsi="Times New Roman" w:cs="Times New Roman"/>
          <w:color w:val="auto"/>
        </w:rPr>
        <w:t>施工期设备安装过程</w:t>
      </w:r>
      <w:r>
        <w:rPr>
          <w:rFonts w:hint="eastAsia" w:ascii="Times New Roman" w:hAnsi="Times New Roman" w:cs="Times New Roman"/>
          <w:color w:val="auto"/>
        </w:rPr>
        <w:t>中</w:t>
      </w:r>
      <w:r>
        <w:rPr>
          <w:rFonts w:ascii="Times New Roman" w:hAnsi="Times New Roman" w:cs="Times New Roman"/>
          <w:color w:val="auto"/>
        </w:rPr>
        <w:t>废包装材料以塑料、纸板、木板等为主，预计产生量约0.2t，应分类收集后统一外售至废旧资源回收站。</w:t>
      </w:r>
    </w:p>
    <w:p>
      <w:pPr>
        <w:spacing w:line="520" w:lineRule="exact"/>
        <w:rPr>
          <w:rFonts w:ascii="Times New Roman" w:hAnsi="Times New Roman" w:cs="Times New Roman"/>
          <w:color w:val="auto"/>
        </w:rPr>
      </w:pPr>
      <w:r>
        <w:rPr>
          <w:rFonts w:ascii="Times New Roman" w:hAnsi="Times New Roman" w:cs="Times New Roman"/>
          <w:color w:val="auto"/>
        </w:rPr>
        <w:t>（3）生活垃圾</w:t>
      </w:r>
    </w:p>
    <w:p>
      <w:pPr>
        <w:spacing w:line="520" w:lineRule="exact"/>
        <w:rPr>
          <w:rFonts w:ascii="Times New Roman" w:hAnsi="Times New Roman" w:cs="Times New Roman"/>
          <w:color w:val="auto"/>
          <w:highlight w:val="yellow"/>
        </w:rPr>
      </w:pPr>
      <w:r>
        <w:rPr>
          <w:rFonts w:ascii="Times New Roman" w:hAnsi="Times New Roman" w:cs="Times New Roman"/>
          <w:color w:val="auto"/>
        </w:rPr>
        <w:t>项目施工高峰期施工人员按40人计，生活垃圾按0.5kg/人·d计，施工期间生活垃圾产生量约20kg/d。施工人员生活垃圾依托</w:t>
      </w:r>
      <w:r>
        <w:rPr>
          <w:rFonts w:hint="eastAsia" w:ascii="Times New Roman" w:hAnsi="Times New Roman" w:cs="Times New Roman"/>
          <w:color w:val="auto"/>
        </w:rPr>
        <w:t>院</w:t>
      </w:r>
      <w:r>
        <w:rPr>
          <w:rFonts w:ascii="Times New Roman" w:hAnsi="Times New Roman" w:cs="Times New Roman"/>
          <w:color w:val="auto"/>
        </w:rPr>
        <w:t>区垃圾桶，生活垃圾经集中收集后，定期拉运至生活垃圾填埋场集中处理。吉木萨尔县生活垃圾填埋场总占地21.94万m</w:t>
      </w:r>
      <w:r>
        <w:rPr>
          <w:rFonts w:ascii="Times New Roman" w:hAnsi="Times New Roman" w:cs="Times New Roman"/>
          <w:color w:val="auto"/>
          <w:vertAlign w:val="superscript"/>
        </w:rPr>
        <w:t>2</w:t>
      </w:r>
      <w:r>
        <w:rPr>
          <w:rFonts w:ascii="Times New Roman" w:hAnsi="Times New Roman" w:cs="Times New Roman"/>
          <w:color w:val="auto"/>
        </w:rPr>
        <w:t>，近期总库容63万m</w:t>
      </w:r>
      <w:r>
        <w:rPr>
          <w:rFonts w:ascii="Times New Roman" w:hAnsi="Times New Roman" w:cs="Times New Roman"/>
          <w:color w:val="auto"/>
          <w:vertAlign w:val="superscript"/>
        </w:rPr>
        <w:t>3</w:t>
      </w:r>
      <w:r>
        <w:rPr>
          <w:rFonts w:ascii="Times New Roman" w:hAnsi="Times New Roman" w:cs="Times New Roman"/>
          <w:color w:val="auto"/>
        </w:rPr>
        <w:t>，服务年限11年；远期总库容94.5万m</w:t>
      </w:r>
      <w:r>
        <w:rPr>
          <w:rFonts w:ascii="Times New Roman" w:hAnsi="Times New Roman" w:cs="Times New Roman"/>
          <w:color w:val="auto"/>
          <w:vertAlign w:val="superscript"/>
        </w:rPr>
        <w:t>3</w:t>
      </w:r>
      <w:r>
        <w:rPr>
          <w:rFonts w:ascii="Times New Roman" w:hAnsi="Times New Roman" w:cs="Times New Roman"/>
          <w:color w:val="auto"/>
        </w:rPr>
        <w:t>，服务年限12年。该项目总投资2352.81万元，2014年建成并投运。目前已正常投入使用，基本能够满足县城日常垃圾处理工作需要。</w:t>
      </w:r>
    </w:p>
    <w:p>
      <w:pPr>
        <w:pStyle w:val="9"/>
        <w:spacing w:line="413" w:lineRule="auto"/>
        <w:rPr>
          <w:rFonts w:ascii="Times New Roman" w:hAnsi="Times New Roman" w:cs="Times New Roman"/>
          <w:color w:val="auto"/>
        </w:rPr>
      </w:pPr>
      <w:bookmarkStart w:id="177" w:name="_Toc11048"/>
      <w:r>
        <w:rPr>
          <w:rFonts w:ascii="Times New Roman" w:hAnsi="Times New Roman" w:cs="Times New Roman"/>
          <w:color w:val="auto"/>
        </w:rPr>
        <w:t>3.4.2 运营期污染源分析</w:t>
      </w:r>
      <w:bookmarkEnd w:id="177"/>
    </w:p>
    <w:p>
      <w:pPr>
        <w:spacing w:line="520" w:lineRule="exact"/>
        <w:rPr>
          <w:rFonts w:ascii="Times New Roman" w:hAnsi="Times New Roman" w:cs="Times New Roman"/>
          <w:color w:val="auto"/>
        </w:rPr>
      </w:pPr>
      <w:r>
        <w:rPr>
          <w:rFonts w:ascii="Times New Roman" w:hAnsi="Times New Roman" w:cs="Times New Roman"/>
          <w:color w:val="auto"/>
        </w:rPr>
        <w:t>本工程为医院建设项目，在运营期对环境的主要影响因素有医疗废水、生活污水；食堂产生的油烟废气，污水处理站产生的恶臭；空调、引风机、水泵等产生的设备噪声及交通噪声；医疗垃圾、生活垃圾、厨余垃圾、污泥等。项目运营后主要产污流程图如下图3.4-2。</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5273040" cy="3043555"/>
            <wp:effectExtent l="0" t="0" r="3810" b="444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4"/>
                    <a:stretch>
                      <a:fillRect/>
                    </a:stretch>
                  </pic:blipFill>
                  <pic:spPr>
                    <a:xfrm>
                      <a:off x="0" y="0"/>
                      <a:ext cx="5273040" cy="3043555"/>
                    </a:xfrm>
                    <a:prstGeom prst="rect">
                      <a:avLst/>
                    </a:prstGeom>
                    <a:noFill/>
                    <a:ln>
                      <a:noFill/>
                    </a:ln>
                  </pic:spPr>
                </pic:pic>
              </a:graphicData>
            </a:graphic>
          </wp:inline>
        </w:drawing>
      </w:r>
    </w:p>
    <w:p>
      <w:pPr>
        <w:pStyle w:val="35"/>
        <w:spacing w:before="0" w:after="0" w:line="520" w:lineRule="exact"/>
        <w:rPr>
          <w:rFonts w:cs="Times New Roman"/>
          <w:color w:val="auto"/>
        </w:rPr>
      </w:pPr>
      <w:r>
        <w:rPr>
          <w:rFonts w:cs="Times New Roman"/>
          <w:color w:val="auto"/>
        </w:rPr>
        <w:t>图3.4-2   建设项目施工期工艺流程及产污环节图</w:t>
      </w:r>
    </w:p>
    <w:p>
      <w:pPr>
        <w:pStyle w:val="10"/>
        <w:rPr>
          <w:rFonts w:cs="Times New Roman"/>
          <w:color w:val="auto"/>
          <w:kern w:val="0"/>
        </w:rPr>
      </w:pPr>
      <w:r>
        <w:rPr>
          <w:rFonts w:cs="Times New Roman"/>
          <w:color w:val="auto"/>
          <w:kern w:val="0"/>
        </w:rPr>
        <w:t>3.4.2.1 运营期水污染源分析</w:t>
      </w:r>
    </w:p>
    <w:p>
      <w:pPr>
        <w:snapToGrid w:val="0"/>
        <w:spacing w:line="520" w:lineRule="exact"/>
        <w:rPr>
          <w:rFonts w:hint="eastAsia" w:ascii="Times New Roman" w:hAnsi="Times New Roman" w:cs="Times New Roman"/>
          <w:color w:val="auto"/>
        </w:rPr>
      </w:pPr>
      <w:r>
        <w:rPr>
          <w:rFonts w:hint="eastAsia" w:ascii="Times New Roman" w:hAnsi="Times New Roman" w:cs="Times New Roman"/>
          <w:color w:val="auto"/>
          <w:lang w:val="en-US" w:eastAsia="zh-CN"/>
        </w:rPr>
        <w:t>本项目放射科</w:t>
      </w:r>
      <w:r>
        <w:rPr>
          <w:rFonts w:hint="eastAsia" w:ascii="Times New Roman" w:hAnsi="Times New Roman" w:cs="Times New Roman"/>
          <w:color w:val="auto"/>
        </w:rPr>
        <w:t>产生的放射性废水属于特殊医疗废水，同时涉及辐射的环境影响评价工作由建设单位委托其它有资质的评价单位承担，本次评价不包含辐射项目的评价内容。</w:t>
      </w:r>
    </w:p>
    <w:p>
      <w:pPr>
        <w:snapToGrid w:val="0"/>
        <w:spacing w:line="520" w:lineRule="exact"/>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本项目产生的废水</w:t>
      </w:r>
      <w:r>
        <w:rPr>
          <w:rFonts w:ascii="Times New Roman" w:hAnsi="Times New Roman" w:cs="Times New Roman"/>
          <w:color w:val="auto"/>
        </w:rPr>
        <w:t>主要为感染废水、餐饮废水、医护及职工办公生活污水、病房和门诊产生的废水、保洁废水以及医院检验、分析、治疗产生的特殊废</w:t>
      </w:r>
      <w:r>
        <w:rPr>
          <w:rFonts w:hint="eastAsia" w:ascii="Times New Roman" w:hAnsi="Times New Roman" w:cs="Times New Roman"/>
          <w:color w:val="auto"/>
          <w:lang w:val="en-US" w:eastAsia="zh-CN"/>
        </w:rPr>
        <w:t>水</w:t>
      </w:r>
      <w:r>
        <w:rPr>
          <w:rFonts w:ascii="Times New Roman" w:hAnsi="Times New Roman" w:cs="Times New Roman"/>
          <w:color w:val="auto"/>
        </w:rPr>
        <w:t>等。</w:t>
      </w:r>
    </w:p>
    <w:p>
      <w:pPr>
        <w:snapToGrid w:val="0"/>
        <w:spacing w:line="520" w:lineRule="exact"/>
        <w:rPr>
          <w:rFonts w:ascii="Times New Roman" w:hAnsi="Times New Roman" w:cs="Times New Roman"/>
          <w:color w:val="auto"/>
        </w:rPr>
      </w:pPr>
      <w:r>
        <w:rPr>
          <w:rFonts w:ascii="Times New Roman" w:hAnsi="Times New Roman" w:cs="Times New Roman"/>
          <w:color w:val="auto"/>
        </w:rPr>
        <w:t>其中，医院检验仅进行常规化验，不使用铬类化合物及氰类化合物作为检验药剂，无含铬、含氰废水，排放污水中不含第一类污染物；口腔科目前已不采用含汞材料，无含汞废水产生。考虑到感染门诊的废水特殊性，感染楼内的用水和院内其他用水单独计算。</w:t>
      </w:r>
    </w:p>
    <w:p>
      <w:pPr>
        <w:snapToGrid w:val="0"/>
        <w:spacing w:line="520" w:lineRule="exact"/>
        <w:rPr>
          <w:rFonts w:ascii="Times New Roman" w:hAnsi="Times New Roman" w:cs="Times New Roman"/>
          <w:color w:val="auto"/>
        </w:rPr>
      </w:pPr>
      <w:r>
        <w:rPr>
          <w:rFonts w:ascii="Times New Roman" w:hAnsi="Times New Roman" w:cs="Times New Roman"/>
          <w:color w:val="auto"/>
        </w:rPr>
        <w:t>（1）废水来源及废水量</w:t>
      </w:r>
    </w:p>
    <w:p>
      <w:pPr>
        <w:snapToGrid w:val="0"/>
        <w:spacing w:line="520" w:lineRule="exact"/>
        <w:rPr>
          <w:rFonts w:ascii="Times New Roman" w:hAnsi="Times New Roman" w:cs="Times New Roman"/>
          <w:color w:val="auto"/>
        </w:rPr>
      </w:pPr>
      <w:r>
        <w:rPr>
          <w:rFonts w:ascii="Times New Roman" w:hAnsi="Times New Roman" w:cs="Times New Roman"/>
          <w:color w:val="auto"/>
        </w:rPr>
        <w:t>1）感染性用水计算</w:t>
      </w:r>
    </w:p>
    <w:p>
      <w:pPr>
        <w:snapToGrid w:val="0"/>
        <w:spacing w:line="520" w:lineRule="exact"/>
        <w:rPr>
          <w:rFonts w:ascii="Times New Roman" w:hAnsi="Times New Roman" w:cs="Times New Roman"/>
          <w:color w:val="auto"/>
        </w:rPr>
      </w:pPr>
      <w:r>
        <w:rPr>
          <w:rFonts w:ascii="Times New Roman" w:hAnsi="Times New Roman" w:cs="Times New Roman"/>
          <w:color w:val="auto"/>
        </w:rPr>
        <w:t>①感染门诊用水</w:t>
      </w:r>
    </w:p>
    <w:p>
      <w:pPr>
        <w:snapToGrid w:val="0"/>
        <w:spacing w:line="520" w:lineRule="exact"/>
        <w:rPr>
          <w:rFonts w:ascii="Times New Roman" w:hAnsi="Times New Roman" w:cs="Times New Roman"/>
          <w:color w:val="auto"/>
        </w:rPr>
      </w:pPr>
      <w:r>
        <w:rPr>
          <w:rFonts w:ascii="Times New Roman" w:hAnsi="Times New Roman" w:cs="Times New Roman"/>
          <w:color w:val="auto"/>
        </w:rPr>
        <w:t>项目感染门诊人数20人·次/日，依据《综合医院建筑设计规范》（GB 51039-2014），按最大用水量考虑，用水定额以15L/人·次计。则门诊用水量为0.3m</w:t>
      </w:r>
      <w:r>
        <w:rPr>
          <w:rFonts w:ascii="Times New Roman" w:hAnsi="Times New Roman" w:cs="Times New Roman"/>
          <w:color w:val="auto"/>
          <w:vertAlign w:val="superscript"/>
        </w:rPr>
        <w:t>3</w:t>
      </w:r>
      <w:r>
        <w:rPr>
          <w:rFonts w:ascii="Times New Roman" w:hAnsi="Times New Roman" w:cs="Times New Roman"/>
          <w:color w:val="auto"/>
        </w:rPr>
        <w:t>/d（109.5m</w:t>
      </w:r>
      <w:r>
        <w:rPr>
          <w:rFonts w:ascii="Times New Roman" w:hAnsi="Times New Roman" w:cs="Times New Roman"/>
          <w:color w:val="auto"/>
          <w:vertAlign w:val="superscript"/>
        </w:rPr>
        <w:t>3</w:t>
      </w:r>
      <w:r>
        <w:rPr>
          <w:rFonts w:ascii="Times New Roman" w:hAnsi="Times New Roman" w:cs="Times New Roman"/>
          <w:color w:val="auto"/>
        </w:rPr>
        <w:t>/a），排污系数以0.8计，则门诊废水量为0.24m</w:t>
      </w:r>
      <w:r>
        <w:rPr>
          <w:rFonts w:ascii="Times New Roman" w:hAnsi="Times New Roman" w:cs="Times New Roman"/>
          <w:color w:val="auto"/>
          <w:vertAlign w:val="superscript"/>
        </w:rPr>
        <w:t>3</w:t>
      </w:r>
      <w:r>
        <w:rPr>
          <w:rFonts w:ascii="Times New Roman" w:hAnsi="Times New Roman" w:cs="Times New Roman"/>
          <w:color w:val="auto"/>
        </w:rPr>
        <w:t>/d（87.6m</w:t>
      </w:r>
      <w:r>
        <w:rPr>
          <w:rFonts w:ascii="Times New Roman" w:hAnsi="Times New Roman" w:cs="Times New Roman"/>
          <w:color w:val="auto"/>
          <w:vertAlign w:val="superscript"/>
        </w:rPr>
        <w:t>3</w:t>
      </w:r>
      <w:r>
        <w:rPr>
          <w:rFonts w:ascii="Times New Roman" w:hAnsi="Times New Roman" w:cs="Times New Roman"/>
          <w:color w:val="auto"/>
        </w:rPr>
        <w:t>/a）。</w:t>
      </w:r>
    </w:p>
    <w:p>
      <w:pPr>
        <w:snapToGrid w:val="0"/>
        <w:spacing w:line="520" w:lineRule="exact"/>
        <w:rPr>
          <w:rFonts w:ascii="Times New Roman" w:hAnsi="Times New Roman" w:cs="Times New Roman"/>
          <w:color w:val="auto"/>
        </w:rPr>
      </w:pPr>
      <w:r>
        <w:rPr>
          <w:rFonts w:ascii="Times New Roman" w:hAnsi="Times New Roman" w:cs="Times New Roman"/>
          <w:color w:val="auto"/>
        </w:rPr>
        <w:t>②感染门诊医护人员用水</w:t>
      </w:r>
    </w:p>
    <w:p>
      <w:pPr>
        <w:snapToGrid w:val="0"/>
        <w:spacing w:line="520" w:lineRule="exact"/>
        <w:rPr>
          <w:rFonts w:ascii="Times New Roman" w:hAnsi="Times New Roman" w:cs="Times New Roman"/>
          <w:color w:val="auto"/>
        </w:rPr>
      </w:pPr>
      <w:r>
        <w:rPr>
          <w:rFonts w:ascii="Times New Roman" w:hAnsi="Times New Roman" w:cs="Times New Roman"/>
          <w:color w:val="auto"/>
        </w:rPr>
        <w:t>感染门诊的医护人员约为60人，依据《综合医院建筑设计规范》（GB 51039-2014），按最大用水量考虑，用水定额以250L/人·班计，则用水量为15m</w:t>
      </w:r>
      <w:r>
        <w:rPr>
          <w:rFonts w:ascii="Times New Roman" w:hAnsi="Times New Roman" w:cs="Times New Roman"/>
          <w:color w:val="auto"/>
          <w:vertAlign w:val="superscript"/>
        </w:rPr>
        <w:t>3</w:t>
      </w:r>
      <w:r>
        <w:rPr>
          <w:rFonts w:ascii="Times New Roman" w:hAnsi="Times New Roman" w:cs="Times New Roman"/>
          <w:color w:val="auto"/>
        </w:rPr>
        <w:t>/d（5475m</w:t>
      </w:r>
      <w:r>
        <w:rPr>
          <w:rFonts w:ascii="Times New Roman" w:hAnsi="Times New Roman" w:cs="Times New Roman"/>
          <w:color w:val="auto"/>
          <w:vertAlign w:val="superscript"/>
        </w:rPr>
        <w:t>3</w:t>
      </w:r>
      <w:r>
        <w:rPr>
          <w:rFonts w:ascii="Times New Roman" w:hAnsi="Times New Roman" w:cs="Times New Roman"/>
          <w:color w:val="auto"/>
        </w:rPr>
        <w:t>/a）；排污系数取0.8%，则废水排放量为12m</w:t>
      </w:r>
      <w:r>
        <w:rPr>
          <w:rFonts w:ascii="Times New Roman" w:hAnsi="Times New Roman" w:cs="Times New Roman"/>
          <w:color w:val="auto"/>
          <w:vertAlign w:val="superscript"/>
        </w:rPr>
        <w:t>3</w:t>
      </w:r>
      <w:r>
        <w:rPr>
          <w:rFonts w:ascii="Times New Roman" w:hAnsi="Times New Roman" w:cs="Times New Roman"/>
          <w:color w:val="auto"/>
        </w:rPr>
        <w:t>/d（4380m</w:t>
      </w:r>
      <w:r>
        <w:rPr>
          <w:rFonts w:ascii="Times New Roman" w:hAnsi="Times New Roman" w:cs="Times New Roman"/>
          <w:color w:val="auto"/>
          <w:vertAlign w:val="superscript"/>
        </w:rPr>
        <w:t>3</w:t>
      </w:r>
      <w:r>
        <w:rPr>
          <w:rFonts w:ascii="Times New Roman" w:hAnsi="Times New Roman" w:cs="Times New Roman"/>
          <w:color w:val="auto"/>
        </w:rPr>
        <w:t>/a）。</w:t>
      </w:r>
    </w:p>
    <w:p>
      <w:pPr>
        <w:snapToGrid w:val="0"/>
        <w:spacing w:line="520" w:lineRule="exact"/>
        <w:rPr>
          <w:rFonts w:ascii="Times New Roman" w:hAnsi="Times New Roman" w:cs="Times New Roman"/>
          <w:color w:val="auto"/>
        </w:rPr>
      </w:pPr>
      <w:r>
        <w:rPr>
          <w:rFonts w:ascii="Times New Roman" w:hAnsi="Times New Roman" w:cs="Times New Roman"/>
          <w:color w:val="auto"/>
        </w:rPr>
        <w:t>③感染门诊检验用水</w:t>
      </w:r>
    </w:p>
    <w:p>
      <w:pPr>
        <w:snapToGrid w:val="0"/>
        <w:spacing w:line="520" w:lineRule="exact"/>
        <w:rPr>
          <w:rFonts w:ascii="Times New Roman" w:hAnsi="Times New Roman" w:cs="Times New Roman"/>
          <w:color w:val="auto"/>
        </w:rPr>
      </w:pPr>
      <w:r>
        <w:rPr>
          <w:rFonts w:ascii="Times New Roman" w:hAnsi="Times New Roman" w:cs="Times New Roman"/>
          <w:color w:val="auto"/>
        </w:rPr>
        <w:t>感染门诊内检验室主要为仪器检查，用水量较少。检验室用水量按120L/d计算，则年用水量为43.8m</w:t>
      </w:r>
      <w:r>
        <w:rPr>
          <w:rFonts w:ascii="Times New Roman" w:hAnsi="Times New Roman" w:cs="Times New Roman"/>
          <w:color w:val="auto"/>
          <w:vertAlign w:val="superscript"/>
        </w:rPr>
        <w:t>3</w:t>
      </w:r>
      <w:r>
        <w:rPr>
          <w:rFonts w:ascii="Times New Roman" w:hAnsi="Times New Roman" w:cs="Times New Roman"/>
          <w:color w:val="auto"/>
        </w:rPr>
        <w:t>/a，排水系数按0.8计算，则检验用水产生量约35.04m</w:t>
      </w:r>
      <w:r>
        <w:rPr>
          <w:rFonts w:ascii="Times New Roman" w:hAnsi="Times New Roman" w:cs="Times New Roman"/>
          <w:color w:val="auto"/>
          <w:vertAlign w:val="superscript"/>
        </w:rPr>
        <w:t>3</w:t>
      </w:r>
      <w:r>
        <w:rPr>
          <w:rFonts w:ascii="Times New Roman" w:hAnsi="Times New Roman" w:cs="Times New Roman"/>
          <w:color w:val="auto"/>
        </w:rPr>
        <w:t>/a。项目在病理、血液检查和化验中不使用含重铬酸钾、三氧化铬、铬酸钾、氰化物等试剂，因此化验废水不含铬、氰化物等污染物。</w:t>
      </w:r>
    </w:p>
    <w:p>
      <w:pPr>
        <w:snapToGrid w:val="0"/>
        <w:spacing w:line="520" w:lineRule="exact"/>
        <w:rPr>
          <w:rFonts w:ascii="Times New Roman" w:hAnsi="Times New Roman" w:cs="Times New Roman"/>
          <w:color w:val="auto"/>
        </w:rPr>
      </w:pPr>
      <w:r>
        <w:rPr>
          <w:rFonts w:ascii="Times New Roman" w:hAnsi="Times New Roman" w:cs="Times New Roman"/>
          <w:color w:val="auto"/>
        </w:rPr>
        <w:t>综上，感染门诊内每天约产生12.34m</w:t>
      </w:r>
      <w:r>
        <w:rPr>
          <w:rFonts w:ascii="Times New Roman" w:hAnsi="Times New Roman" w:cs="Times New Roman"/>
          <w:color w:val="auto"/>
          <w:vertAlign w:val="superscript"/>
        </w:rPr>
        <w:t>3</w:t>
      </w:r>
      <w:r>
        <w:rPr>
          <w:rFonts w:ascii="Times New Roman" w:hAnsi="Times New Roman" w:cs="Times New Roman"/>
          <w:color w:val="auto"/>
        </w:rPr>
        <w:t>/d的废水排放，感染门诊设置单独一套消毒处理设施，预处理后的感染门诊废水经过单独的一根管道送至院内综合污水处理站，混合院内其他废水进行处理。</w:t>
      </w:r>
    </w:p>
    <w:p>
      <w:pPr>
        <w:snapToGrid w:val="0"/>
        <w:spacing w:line="520" w:lineRule="exact"/>
        <w:rPr>
          <w:rFonts w:ascii="Times New Roman" w:hAnsi="Times New Roman" w:cs="Times New Roman"/>
          <w:color w:val="auto"/>
        </w:rPr>
      </w:pPr>
      <w:r>
        <w:rPr>
          <w:rFonts w:ascii="Times New Roman" w:hAnsi="Times New Roman" w:cs="Times New Roman"/>
          <w:color w:val="auto"/>
        </w:rPr>
        <w:t>2）非感染性用水计算</w:t>
      </w:r>
    </w:p>
    <w:p>
      <w:pPr>
        <w:snapToGrid w:val="0"/>
        <w:spacing w:line="520" w:lineRule="exact"/>
        <w:rPr>
          <w:rFonts w:ascii="Times New Roman" w:hAnsi="Times New Roman" w:cs="Times New Roman"/>
          <w:color w:val="auto"/>
        </w:rPr>
      </w:pPr>
      <w:r>
        <w:rPr>
          <w:rFonts w:ascii="Times New Roman" w:hAnsi="Times New Roman" w:cs="Times New Roman"/>
          <w:color w:val="auto"/>
        </w:rPr>
        <w:t>①门、急诊用水</w:t>
      </w:r>
    </w:p>
    <w:p>
      <w:pPr>
        <w:snapToGrid w:val="0"/>
        <w:spacing w:line="520" w:lineRule="exact"/>
        <w:rPr>
          <w:rFonts w:ascii="Times New Roman" w:hAnsi="Times New Roman" w:cs="Times New Roman"/>
          <w:color w:val="auto"/>
        </w:rPr>
      </w:pPr>
      <w:r>
        <w:rPr>
          <w:rFonts w:ascii="Times New Roman" w:hAnsi="Times New Roman" w:cs="Times New Roman"/>
          <w:color w:val="auto"/>
        </w:rPr>
        <w:t>项目营运期日门诊人数1000人次（不含感染门诊），用水定额以15L/人·次计。则门、急诊用水量为15m</w:t>
      </w:r>
      <w:r>
        <w:rPr>
          <w:rFonts w:ascii="Times New Roman" w:hAnsi="Times New Roman" w:cs="Times New Roman"/>
          <w:color w:val="auto"/>
          <w:vertAlign w:val="superscript"/>
        </w:rPr>
        <w:t>3</w:t>
      </w:r>
      <w:r>
        <w:rPr>
          <w:rFonts w:ascii="Times New Roman" w:hAnsi="Times New Roman" w:cs="Times New Roman"/>
          <w:color w:val="auto"/>
        </w:rPr>
        <w:t>/d（5475m</w:t>
      </w:r>
      <w:r>
        <w:rPr>
          <w:rFonts w:ascii="Times New Roman" w:hAnsi="Times New Roman" w:cs="Times New Roman"/>
          <w:color w:val="auto"/>
          <w:vertAlign w:val="superscript"/>
        </w:rPr>
        <w:t>3</w:t>
      </w:r>
      <w:r>
        <w:rPr>
          <w:rFonts w:ascii="Times New Roman" w:hAnsi="Times New Roman" w:cs="Times New Roman"/>
          <w:color w:val="auto"/>
        </w:rPr>
        <w:t>/a），排污系数以0.8计，则门、急诊废水量为12m</w:t>
      </w:r>
      <w:r>
        <w:rPr>
          <w:rFonts w:ascii="Times New Roman" w:hAnsi="Times New Roman" w:cs="Times New Roman"/>
          <w:color w:val="auto"/>
          <w:vertAlign w:val="superscript"/>
        </w:rPr>
        <w:t>3</w:t>
      </w:r>
      <w:r>
        <w:rPr>
          <w:rFonts w:ascii="Times New Roman" w:hAnsi="Times New Roman" w:cs="Times New Roman"/>
          <w:color w:val="auto"/>
        </w:rPr>
        <w:t>/d（4380m</w:t>
      </w:r>
      <w:r>
        <w:rPr>
          <w:rFonts w:ascii="Times New Roman" w:hAnsi="Times New Roman" w:cs="Times New Roman"/>
          <w:color w:val="auto"/>
          <w:vertAlign w:val="superscript"/>
        </w:rPr>
        <w:t>3</w:t>
      </w:r>
      <w:r>
        <w:rPr>
          <w:rFonts w:ascii="Times New Roman" w:hAnsi="Times New Roman" w:cs="Times New Roman"/>
          <w:color w:val="auto"/>
        </w:rPr>
        <w:t>/a），与其他废水混合进入污水处理站处理。</w:t>
      </w:r>
    </w:p>
    <w:p>
      <w:pPr>
        <w:snapToGrid w:val="0"/>
        <w:spacing w:line="520" w:lineRule="exact"/>
        <w:rPr>
          <w:rFonts w:ascii="Times New Roman" w:hAnsi="Times New Roman" w:cs="Times New Roman"/>
          <w:color w:val="auto"/>
        </w:rPr>
      </w:pPr>
      <w:r>
        <w:rPr>
          <w:rFonts w:ascii="Times New Roman" w:hAnsi="Times New Roman" w:cs="Times New Roman"/>
          <w:color w:val="auto"/>
        </w:rPr>
        <w:t>②病房用水</w:t>
      </w:r>
    </w:p>
    <w:p>
      <w:pPr>
        <w:snapToGrid w:val="0"/>
        <w:spacing w:line="520" w:lineRule="exact"/>
        <w:rPr>
          <w:rFonts w:ascii="Times New Roman" w:hAnsi="Times New Roman" w:cs="Times New Roman"/>
          <w:color w:val="auto"/>
        </w:rPr>
      </w:pPr>
      <w:r>
        <w:rPr>
          <w:rFonts w:ascii="Times New Roman" w:hAnsi="Times New Roman" w:cs="Times New Roman"/>
          <w:color w:val="auto"/>
        </w:rPr>
        <w:t>项目住病房设600张病床。依据《综合医院建筑设计规范》（GB 51039-2014），用水定额以250L/人计，则病房用水量为150m</w:t>
      </w:r>
      <w:r>
        <w:rPr>
          <w:rFonts w:ascii="Times New Roman" w:hAnsi="Times New Roman" w:cs="Times New Roman"/>
          <w:color w:val="auto"/>
          <w:vertAlign w:val="superscript"/>
        </w:rPr>
        <w:t>3</w:t>
      </w:r>
      <w:r>
        <w:rPr>
          <w:rFonts w:ascii="Times New Roman" w:hAnsi="Times New Roman" w:cs="Times New Roman"/>
          <w:color w:val="auto"/>
        </w:rPr>
        <w:t>/d（54750m</w:t>
      </w:r>
      <w:r>
        <w:rPr>
          <w:rFonts w:ascii="Times New Roman" w:hAnsi="Times New Roman" w:cs="Times New Roman"/>
          <w:color w:val="auto"/>
          <w:vertAlign w:val="superscript"/>
        </w:rPr>
        <w:t>3</w:t>
      </w:r>
      <w:r>
        <w:rPr>
          <w:rFonts w:ascii="Times New Roman" w:hAnsi="Times New Roman" w:cs="Times New Roman"/>
          <w:color w:val="auto"/>
        </w:rPr>
        <w:t>/a），排污系数以0.8计，则病房废水排放量为120m</w:t>
      </w:r>
      <w:r>
        <w:rPr>
          <w:rFonts w:ascii="Times New Roman" w:hAnsi="Times New Roman" w:cs="Times New Roman"/>
          <w:color w:val="auto"/>
          <w:vertAlign w:val="superscript"/>
        </w:rPr>
        <w:t>3</w:t>
      </w:r>
      <w:r>
        <w:rPr>
          <w:rFonts w:ascii="Times New Roman" w:hAnsi="Times New Roman" w:cs="Times New Roman"/>
          <w:color w:val="auto"/>
        </w:rPr>
        <w:t>/d（43800m</w:t>
      </w:r>
      <w:r>
        <w:rPr>
          <w:rFonts w:ascii="Times New Roman" w:hAnsi="Times New Roman" w:cs="Times New Roman"/>
          <w:color w:val="auto"/>
          <w:vertAlign w:val="superscript"/>
        </w:rPr>
        <w:t>3</w:t>
      </w:r>
      <w:r>
        <w:rPr>
          <w:rFonts w:ascii="Times New Roman" w:hAnsi="Times New Roman" w:cs="Times New Roman"/>
          <w:color w:val="auto"/>
        </w:rPr>
        <w:t>/a），与其他废水混合进入污水处理站处理。医院洗衣房用水已囊括在住院部用水范畴内，本环评不再重复分析。</w:t>
      </w:r>
    </w:p>
    <w:p>
      <w:pPr>
        <w:snapToGrid w:val="0"/>
        <w:spacing w:line="520" w:lineRule="exact"/>
        <w:rPr>
          <w:rFonts w:ascii="Times New Roman" w:hAnsi="Times New Roman" w:cs="Times New Roman"/>
          <w:color w:val="auto"/>
        </w:rPr>
      </w:pPr>
      <w:r>
        <w:rPr>
          <w:rFonts w:ascii="Times New Roman" w:hAnsi="Times New Roman" w:cs="Times New Roman"/>
          <w:color w:val="auto"/>
        </w:rPr>
        <w:t>③检验用水</w:t>
      </w:r>
    </w:p>
    <w:p>
      <w:pPr>
        <w:snapToGrid w:val="0"/>
        <w:spacing w:line="520" w:lineRule="exact"/>
        <w:rPr>
          <w:rFonts w:ascii="Times New Roman" w:hAnsi="Times New Roman" w:cs="Times New Roman"/>
          <w:color w:val="auto"/>
        </w:rPr>
      </w:pPr>
      <w:r>
        <w:rPr>
          <w:rFonts w:ascii="Times New Roman" w:hAnsi="Times New Roman" w:cs="Times New Roman"/>
          <w:color w:val="auto"/>
        </w:rPr>
        <w:t>根据《医院污水处理工程技术规范》（HJ2029-2013），特殊性质污水应单独收集，经预处理后与医院污水合并处理，不得将酸性废水随意排入下水道。根据医院提供的资料，本项目检验时产生少量的酸性废水，产生量约3m</w:t>
      </w:r>
      <w:r>
        <w:rPr>
          <w:rFonts w:ascii="Times New Roman" w:hAnsi="Times New Roman" w:cs="Times New Roman"/>
          <w:color w:val="auto"/>
          <w:vertAlign w:val="superscript"/>
        </w:rPr>
        <w:t>3</w:t>
      </w:r>
      <w:r>
        <w:rPr>
          <w:rFonts w:ascii="Times New Roman" w:hAnsi="Times New Roman" w:cs="Times New Roman"/>
          <w:color w:val="auto"/>
        </w:rPr>
        <w:t>/d（1095m</w:t>
      </w:r>
      <w:r>
        <w:rPr>
          <w:rFonts w:ascii="Times New Roman" w:hAnsi="Times New Roman" w:cs="Times New Roman"/>
          <w:color w:val="auto"/>
          <w:vertAlign w:val="superscript"/>
        </w:rPr>
        <w:t>3</w:t>
      </w:r>
      <w:r>
        <w:rPr>
          <w:rFonts w:ascii="Times New Roman" w:hAnsi="Times New Roman" w:cs="Times New Roman"/>
          <w:color w:val="auto"/>
        </w:rPr>
        <w:t>/a），排放系数取0.8，则废水排放量为2.4m</w:t>
      </w:r>
      <w:r>
        <w:rPr>
          <w:rFonts w:ascii="Times New Roman" w:hAnsi="Times New Roman" w:cs="Times New Roman"/>
          <w:color w:val="auto"/>
          <w:vertAlign w:val="superscript"/>
        </w:rPr>
        <w:t>3</w:t>
      </w:r>
      <w:r>
        <w:rPr>
          <w:rFonts w:ascii="Times New Roman" w:hAnsi="Times New Roman" w:cs="Times New Roman"/>
          <w:color w:val="auto"/>
        </w:rPr>
        <w:t>/d（876m</w:t>
      </w:r>
      <w:r>
        <w:rPr>
          <w:rFonts w:ascii="Times New Roman" w:hAnsi="Times New Roman" w:cs="Times New Roman"/>
          <w:color w:val="auto"/>
          <w:vertAlign w:val="superscript"/>
        </w:rPr>
        <w:t>3</w:t>
      </w:r>
      <w:r>
        <w:rPr>
          <w:rFonts w:ascii="Times New Roman" w:hAnsi="Times New Roman" w:cs="Times New Roman"/>
          <w:color w:val="auto"/>
        </w:rPr>
        <w:t>/a）。经中和池预处理后，与其他废水混合进入污水处理站处理。</w:t>
      </w:r>
    </w:p>
    <w:p>
      <w:pPr>
        <w:snapToGrid w:val="0"/>
        <w:spacing w:line="520" w:lineRule="exact"/>
        <w:rPr>
          <w:rFonts w:ascii="Times New Roman" w:hAnsi="Times New Roman" w:cs="Times New Roman"/>
          <w:color w:val="auto"/>
        </w:rPr>
      </w:pPr>
      <w:r>
        <w:rPr>
          <w:rFonts w:ascii="Times New Roman" w:hAnsi="Times New Roman" w:cs="Times New Roman"/>
          <w:color w:val="auto"/>
        </w:rPr>
        <w:t>④医务人员用水</w:t>
      </w:r>
    </w:p>
    <w:p>
      <w:pPr>
        <w:snapToGrid w:val="0"/>
        <w:spacing w:line="520" w:lineRule="exact"/>
        <w:rPr>
          <w:rFonts w:ascii="Times New Roman" w:hAnsi="Times New Roman" w:cs="Times New Roman"/>
          <w:color w:val="auto"/>
        </w:rPr>
      </w:pPr>
      <w:r>
        <w:rPr>
          <w:rFonts w:ascii="Times New Roman" w:hAnsi="Times New Roman" w:cs="Times New Roman"/>
          <w:color w:val="auto"/>
        </w:rPr>
        <w:t>本项目医务人员480人，根据《综合医院建筑设计规范》（GB51039-2014），医务人员每日用水定额以250L/人计，则生活用水量合计为120m</w:t>
      </w:r>
      <w:r>
        <w:rPr>
          <w:rFonts w:ascii="Times New Roman" w:hAnsi="Times New Roman" w:cs="Times New Roman"/>
          <w:color w:val="auto"/>
          <w:vertAlign w:val="superscript"/>
        </w:rPr>
        <w:t>3</w:t>
      </w:r>
      <w:r>
        <w:rPr>
          <w:rFonts w:ascii="Times New Roman" w:hAnsi="Times New Roman" w:cs="Times New Roman"/>
          <w:color w:val="auto"/>
        </w:rPr>
        <w:t>/d（43800m</w:t>
      </w:r>
      <w:r>
        <w:rPr>
          <w:rFonts w:ascii="Times New Roman" w:hAnsi="Times New Roman" w:cs="Times New Roman"/>
          <w:color w:val="auto"/>
          <w:vertAlign w:val="superscript"/>
        </w:rPr>
        <w:t>3</w:t>
      </w:r>
      <w:r>
        <w:rPr>
          <w:rFonts w:ascii="Times New Roman" w:hAnsi="Times New Roman" w:cs="Times New Roman"/>
          <w:color w:val="auto"/>
        </w:rPr>
        <w:t>/a），产污系数以0.8计，则生活污水量为96m</w:t>
      </w:r>
      <w:r>
        <w:rPr>
          <w:rFonts w:ascii="Times New Roman" w:hAnsi="Times New Roman" w:cs="Times New Roman"/>
          <w:color w:val="auto"/>
          <w:vertAlign w:val="superscript"/>
        </w:rPr>
        <w:t>3</w:t>
      </w:r>
      <w:r>
        <w:rPr>
          <w:rFonts w:ascii="Times New Roman" w:hAnsi="Times New Roman" w:cs="Times New Roman"/>
          <w:color w:val="auto"/>
        </w:rPr>
        <w:t>/d（35040m</w:t>
      </w:r>
      <w:r>
        <w:rPr>
          <w:rFonts w:ascii="Times New Roman" w:hAnsi="Times New Roman" w:cs="Times New Roman"/>
          <w:color w:val="auto"/>
          <w:vertAlign w:val="superscript"/>
        </w:rPr>
        <w:t>3</w:t>
      </w:r>
      <w:r>
        <w:rPr>
          <w:rFonts w:ascii="Times New Roman" w:hAnsi="Times New Roman" w:cs="Times New Roman"/>
          <w:color w:val="auto"/>
        </w:rPr>
        <w:t>/a），与其他废水混合进入经污水处理站处理。</w:t>
      </w:r>
    </w:p>
    <w:p>
      <w:pPr>
        <w:snapToGrid w:val="0"/>
        <w:spacing w:line="520" w:lineRule="exact"/>
        <w:rPr>
          <w:rFonts w:ascii="Times New Roman" w:hAnsi="Times New Roman" w:cs="Times New Roman"/>
          <w:color w:val="auto"/>
        </w:rPr>
      </w:pPr>
      <w:r>
        <w:rPr>
          <w:rFonts w:ascii="Times New Roman" w:hAnsi="Times New Roman" w:cs="Times New Roman"/>
          <w:color w:val="auto"/>
        </w:rPr>
        <w:t>⑤食堂用水</w:t>
      </w:r>
    </w:p>
    <w:p>
      <w:pPr>
        <w:snapToGrid w:val="0"/>
        <w:spacing w:line="520" w:lineRule="exact"/>
        <w:rPr>
          <w:rFonts w:ascii="Times New Roman" w:hAnsi="Times New Roman" w:cs="Times New Roman"/>
          <w:color w:val="auto"/>
        </w:rPr>
      </w:pPr>
      <w:r>
        <w:rPr>
          <w:rFonts w:ascii="Times New Roman" w:hAnsi="Times New Roman" w:cs="Times New Roman"/>
          <w:color w:val="auto"/>
        </w:rPr>
        <w:t>医院食堂供应早、中、晚三餐，其中医护人员日均就餐量按540人次/d计，门诊及住院病人就餐人次按600人次/d计，则日均就餐人员为2000人次，一年按365天计，食堂就餐用水量按25L/人·次，食堂用水量为50m</w:t>
      </w:r>
      <w:r>
        <w:rPr>
          <w:rFonts w:ascii="Times New Roman" w:hAnsi="Times New Roman" w:cs="Times New Roman"/>
          <w:color w:val="auto"/>
          <w:vertAlign w:val="superscript"/>
        </w:rPr>
        <w:t>3</w:t>
      </w:r>
      <w:r>
        <w:rPr>
          <w:rFonts w:ascii="Times New Roman" w:hAnsi="Times New Roman" w:cs="Times New Roman"/>
          <w:color w:val="auto"/>
        </w:rPr>
        <w:t>/d（18250m</w:t>
      </w:r>
      <w:r>
        <w:rPr>
          <w:rFonts w:ascii="Times New Roman" w:hAnsi="Times New Roman" w:cs="Times New Roman"/>
          <w:color w:val="auto"/>
          <w:vertAlign w:val="superscript"/>
        </w:rPr>
        <w:t>3</w:t>
      </w:r>
      <w:r>
        <w:rPr>
          <w:rFonts w:ascii="Times New Roman" w:hAnsi="Times New Roman" w:cs="Times New Roman"/>
          <w:color w:val="auto"/>
        </w:rPr>
        <w:t>/a），排水系数按0.8计，则食堂废水量为40m</w:t>
      </w:r>
      <w:r>
        <w:rPr>
          <w:rFonts w:ascii="Times New Roman" w:hAnsi="Times New Roman" w:cs="Times New Roman"/>
          <w:color w:val="auto"/>
          <w:vertAlign w:val="superscript"/>
        </w:rPr>
        <w:t>3</w:t>
      </w:r>
      <w:r>
        <w:rPr>
          <w:rFonts w:ascii="Times New Roman" w:hAnsi="Times New Roman" w:cs="Times New Roman"/>
          <w:color w:val="auto"/>
        </w:rPr>
        <w:t>/d（14600m</w:t>
      </w:r>
      <w:r>
        <w:rPr>
          <w:rFonts w:ascii="Times New Roman" w:hAnsi="Times New Roman" w:cs="Times New Roman"/>
          <w:color w:val="auto"/>
          <w:vertAlign w:val="superscript"/>
        </w:rPr>
        <w:t>3</w:t>
      </w:r>
      <w:r>
        <w:rPr>
          <w:rFonts w:ascii="Times New Roman" w:hAnsi="Times New Roman" w:cs="Times New Roman"/>
          <w:color w:val="auto"/>
        </w:rPr>
        <w:t>/a）。食堂废水要经过隔油池预处理后与其他废水混合进入污水处理站处理。</w:t>
      </w:r>
    </w:p>
    <w:p>
      <w:pPr>
        <w:snapToGrid w:val="0"/>
        <w:spacing w:line="520" w:lineRule="exact"/>
        <w:rPr>
          <w:rFonts w:ascii="Times New Roman" w:hAnsi="Times New Roman" w:cs="Times New Roman"/>
          <w:color w:val="auto"/>
        </w:rPr>
      </w:pPr>
      <w:r>
        <w:rPr>
          <w:rFonts w:ascii="Times New Roman" w:hAnsi="Times New Roman" w:cs="Times New Roman"/>
          <w:color w:val="auto"/>
        </w:rPr>
        <w:t>⑥地面保洁废水</w:t>
      </w:r>
    </w:p>
    <w:p>
      <w:pPr>
        <w:snapToGrid w:val="0"/>
        <w:spacing w:line="520" w:lineRule="exact"/>
        <w:rPr>
          <w:rFonts w:ascii="Times New Roman" w:hAnsi="Times New Roman" w:cs="Times New Roman"/>
          <w:color w:val="auto"/>
        </w:rPr>
      </w:pPr>
      <w:r>
        <w:rPr>
          <w:rFonts w:ascii="Times New Roman" w:hAnsi="Times New Roman" w:cs="Times New Roman"/>
          <w:color w:val="auto"/>
        </w:rPr>
        <w:t>根据医院提供资料，医院需保洁部分建筑面积约为73955m</w:t>
      </w:r>
      <w:r>
        <w:rPr>
          <w:rFonts w:ascii="Times New Roman" w:hAnsi="Times New Roman" w:cs="Times New Roman"/>
          <w:color w:val="auto"/>
          <w:vertAlign w:val="superscript"/>
        </w:rPr>
        <w:t>2</w:t>
      </w:r>
      <w:r>
        <w:rPr>
          <w:rFonts w:ascii="Times New Roman" w:hAnsi="Times New Roman" w:cs="Times New Roman"/>
          <w:color w:val="auto"/>
        </w:rPr>
        <w:t>，每天需要保洁一次。地面保洁用水量按0.2L/m</w:t>
      </w:r>
      <w:r>
        <w:rPr>
          <w:rFonts w:ascii="Times New Roman" w:hAnsi="Times New Roman" w:cs="Times New Roman"/>
          <w:color w:val="auto"/>
          <w:vertAlign w:val="superscript"/>
        </w:rPr>
        <w:t>2</w:t>
      </w:r>
      <w:r>
        <w:rPr>
          <w:rFonts w:ascii="Times New Roman" w:hAnsi="Times New Roman" w:cs="Times New Roman"/>
          <w:color w:val="auto"/>
        </w:rPr>
        <w:t>·次，用水量为14.8m</w:t>
      </w:r>
      <w:r>
        <w:rPr>
          <w:rFonts w:ascii="Times New Roman" w:hAnsi="Times New Roman" w:cs="Times New Roman"/>
          <w:color w:val="auto"/>
          <w:vertAlign w:val="superscript"/>
        </w:rPr>
        <w:t>3</w:t>
      </w:r>
      <w:r>
        <w:rPr>
          <w:rFonts w:ascii="Times New Roman" w:hAnsi="Times New Roman" w:cs="Times New Roman"/>
          <w:color w:val="auto"/>
        </w:rPr>
        <w:t>/d（5402m</w:t>
      </w:r>
      <w:r>
        <w:rPr>
          <w:rFonts w:ascii="Times New Roman" w:hAnsi="Times New Roman" w:cs="Times New Roman"/>
          <w:color w:val="auto"/>
          <w:vertAlign w:val="superscript"/>
        </w:rPr>
        <w:t>3</w:t>
      </w:r>
      <w:r>
        <w:rPr>
          <w:rFonts w:ascii="Times New Roman" w:hAnsi="Times New Roman" w:cs="Times New Roman"/>
          <w:color w:val="auto"/>
        </w:rPr>
        <w:t>/a），排污系数取0.8，则地面保洁废水排放量为11.84m</w:t>
      </w:r>
      <w:r>
        <w:rPr>
          <w:rFonts w:ascii="Times New Roman" w:hAnsi="Times New Roman" w:cs="Times New Roman"/>
          <w:color w:val="auto"/>
          <w:vertAlign w:val="superscript"/>
        </w:rPr>
        <w:t>3</w:t>
      </w:r>
      <w:r>
        <w:rPr>
          <w:rFonts w:ascii="Times New Roman" w:hAnsi="Times New Roman" w:cs="Times New Roman"/>
          <w:color w:val="auto"/>
        </w:rPr>
        <w:t>/d（4321.6m</w:t>
      </w:r>
      <w:r>
        <w:rPr>
          <w:rFonts w:ascii="Times New Roman" w:hAnsi="Times New Roman" w:cs="Times New Roman"/>
          <w:color w:val="auto"/>
          <w:vertAlign w:val="superscript"/>
        </w:rPr>
        <w:t>3</w:t>
      </w:r>
      <w:r>
        <w:rPr>
          <w:rFonts w:ascii="Times New Roman" w:hAnsi="Times New Roman" w:cs="Times New Roman"/>
          <w:color w:val="auto"/>
        </w:rPr>
        <w:t>/a）。</w:t>
      </w:r>
    </w:p>
    <w:p>
      <w:pPr>
        <w:snapToGrid w:val="0"/>
        <w:spacing w:line="520" w:lineRule="exact"/>
        <w:rPr>
          <w:rFonts w:ascii="Times New Roman" w:hAnsi="Times New Roman" w:cs="Times New Roman"/>
          <w:color w:val="auto"/>
        </w:rPr>
      </w:pPr>
      <w:r>
        <w:rPr>
          <w:rFonts w:ascii="Times New Roman" w:hAnsi="Times New Roman" w:cs="Times New Roman"/>
          <w:color w:val="auto"/>
        </w:rPr>
        <w:t>⑦绿化用水</w:t>
      </w:r>
    </w:p>
    <w:p>
      <w:pPr>
        <w:snapToGrid w:val="0"/>
        <w:spacing w:line="520" w:lineRule="exact"/>
        <w:rPr>
          <w:rFonts w:ascii="Times New Roman" w:hAnsi="Times New Roman" w:cs="Times New Roman"/>
          <w:color w:val="auto"/>
        </w:rPr>
      </w:pPr>
      <w:r>
        <w:rPr>
          <w:rFonts w:ascii="Times New Roman" w:hAnsi="Times New Roman" w:cs="Times New Roman"/>
          <w:color w:val="auto"/>
        </w:rPr>
        <w:t>根据医院提供资料，项目绿化率约39%，本项目建成后绿化面积约为48587.67m</w:t>
      </w:r>
      <w:r>
        <w:rPr>
          <w:rFonts w:ascii="Times New Roman" w:hAnsi="Times New Roman" w:cs="Times New Roman"/>
          <w:color w:val="auto"/>
          <w:vertAlign w:val="superscript"/>
        </w:rPr>
        <w:t>2</w:t>
      </w:r>
      <w:r>
        <w:rPr>
          <w:rFonts w:ascii="Times New Roman" w:hAnsi="Times New Roman" w:cs="Times New Roman"/>
          <w:color w:val="auto"/>
        </w:rPr>
        <w:t>，其用水量按2L/（m</w:t>
      </w:r>
      <w:r>
        <w:rPr>
          <w:rFonts w:ascii="Times New Roman" w:hAnsi="Times New Roman" w:cs="Times New Roman"/>
          <w:color w:val="auto"/>
          <w:vertAlign w:val="superscript"/>
        </w:rPr>
        <w:t>2</w:t>
      </w:r>
      <w:r>
        <w:rPr>
          <w:rFonts w:ascii="Times New Roman" w:hAnsi="Times New Roman" w:cs="Times New Roman"/>
          <w:color w:val="auto"/>
        </w:rPr>
        <w:t>·周）计，共计用水量为12.78m</w:t>
      </w:r>
      <w:r>
        <w:rPr>
          <w:rFonts w:ascii="Times New Roman" w:hAnsi="Times New Roman" w:cs="Times New Roman"/>
          <w:color w:val="auto"/>
          <w:vertAlign w:val="superscript"/>
        </w:rPr>
        <w:t>3</w:t>
      </w:r>
      <w:r>
        <w:rPr>
          <w:rFonts w:ascii="Times New Roman" w:hAnsi="Times New Roman" w:cs="Times New Roman"/>
          <w:color w:val="auto"/>
        </w:rPr>
        <w:t>/d（4664.42m</w:t>
      </w:r>
      <w:r>
        <w:rPr>
          <w:rFonts w:ascii="Times New Roman" w:hAnsi="Times New Roman" w:cs="Times New Roman"/>
          <w:color w:val="auto"/>
          <w:vertAlign w:val="superscript"/>
        </w:rPr>
        <w:t>3</w:t>
      </w:r>
      <w:r>
        <w:rPr>
          <w:rFonts w:ascii="Times New Roman" w:hAnsi="Times New Roman" w:cs="Times New Roman"/>
          <w:color w:val="auto"/>
        </w:rPr>
        <w:t>/a）。</w:t>
      </w:r>
    </w:p>
    <w:p>
      <w:pPr>
        <w:snapToGrid w:val="0"/>
        <w:spacing w:line="520" w:lineRule="exact"/>
        <w:rPr>
          <w:rFonts w:ascii="Times New Roman" w:hAnsi="Times New Roman" w:cs="Times New Roman"/>
          <w:color w:val="auto"/>
        </w:rPr>
      </w:pPr>
      <w:r>
        <w:rPr>
          <w:rFonts w:ascii="Times New Roman" w:hAnsi="Times New Roman" w:cs="Times New Roman"/>
          <w:color w:val="auto"/>
        </w:rPr>
        <w:t>⑧不可预见用水</w:t>
      </w:r>
    </w:p>
    <w:p>
      <w:pPr>
        <w:snapToGrid w:val="0"/>
        <w:spacing w:line="520" w:lineRule="exact"/>
        <w:rPr>
          <w:rFonts w:ascii="Times New Roman" w:hAnsi="Times New Roman" w:cs="Times New Roman"/>
          <w:color w:val="auto"/>
        </w:rPr>
      </w:pPr>
      <w:r>
        <w:rPr>
          <w:rFonts w:ascii="Times New Roman" w:hAnsi="Times New Roman" w:cs="Times New Roman"/>
          <w:color w:val="auto"/>
        </w:rPr>
        <w:t>未预见用水量约占其他总用水量的5%，项目其他用水量365.58m</w:t>
      </w:r>
      <w:r>
        <w:rPr>
          <w:rFonts w:ascii="Times New Roman" w:hAnsi="Times New Roman" w:cs="Times New Roman"/>
          <w:color w:val="auto"/>
          <w:vertAlign w:val="superscript"/>
        </w:rPr>
        <w:t>3</w:t>
      </w:r>
      <w:r>
        <w:rPr>
          <w:rFonts w:ascii="Times New Roman" w:hAnsi="Times New Roman" w:cs="Times New Roman"/>
          <w:color w:val="auto"/>
        </w:rPr>
        <w:t>/d，因此，未预见用水量18.28m</w:t>
      </w:r>
      <w:r>
        <w:rPr>
          <w:rFonts w:ascii="Times New Roman" w:hAnsi="Times New Roman" w:cs="Times New Roman"/>
          <w:color w:val="auto"/>
          <w:vertAlign w:val="superscript"/>
        </w:rPr>
        <w:t>3</w:t>
      </w:r>
      <w:r>
        <w:rPr>
          <w:rFonts w:ascii="Times New Roman" w:hAnsi="Times New Roman" w:cs="Times New Roman"/>
          <w:color w:val="auto"/>
        </w:rPr>
        <w:t>/d（6672.2m</w:t>
      </w:r>
      <w:r>
        <w:rPr>
          <w:rFonts w:ascii="Times New Roman" w:hAnsi="Times New Roman" w:cs="Times New Roman"/>
          <w:color w:val="auto"/>
          <w:vertAlign w:val="superscript"/>
        </w:rPr>
        <w:t>3</w:t>
      </w:r>
      <w:r>
        <w:rPr>
          <w:rFonts w:ascii="Times New Roman" w:hAnsi="Times New Roman" w:cs="Times New Roman"/>
          <w:color w:val="auto"/>
        </w:rPr>
        <w:t>/a）。</w:t>
      </w:r>
    </w:p>
    <w:p>
      <w:pPr>
        <w:snapToGrid w:val="0"/>
        <w:spacing w:line="520" w:lineRule="exact"/>
        <w:rPr>
          <w:rFonts w:ascii="Times New Roman" w:hAnsi="Times New Roman" w:cs="Times New Roman"/>
          <w:color w:val="auto"/>
        </w:rPr>
      </w:pPr>
      <w:r>
        <w:rPr>
          <w:rFonts w:ascii="Times New Roman" w:hAnsi="Times New Roman" w:cs="Times New Roman"/>
          <w:color w:val="auto"/>
        </w:rPr>
        <w:t>项目营运期用水量为399.28m</w:t>
      </w:r>
      <w:r>
        <w:rPr>
          <w:rFonts w:ascii="Times New Roman" w:hAnsi="Times New Roman" w:cs="Times New Roman"/>
          <w:color w:val="auto"/>
          <w:vertAlign w:val="superscript"/>
        </w:rPr>
        <w:t>3</w:t>
      </w:r>
      <w:r>
        <w:rPr>
          <w:rFonts w:ascii="Times New Roman" w:hAnsi="Times New Roman" w:cs="Times New Roman"/>
          <w:color w:val="auto"/>
        </w:rPr>
        <w:t>/d（145737.2m</w:t>
      </w:r>
      <w:r>
        <w:rPr>
          <w:rFonts w:ascii="Times New Roman" w:hAnsi="Times New Roman" w:cs="Times New Roman"/>
          <w:color w:val="auto"/>
          <w:vertAlign w:val="superscript"/>
        </w:rPr>
        <w:t>3</w:t>
      </w:r>
      <w:r>
        <w:rPr>
          <w:rFonts w:ascii="Times New Roman" w:hAnsi="Times New Roman" w:cs="Times New Roman"/>
          <w:color w:val="auto"/>
        </w:rPr>
        <w:t>/a），排水量为309.2m</w:t>
      </w:r>
      <w:r>
        <w:rPr>
          <w:rFonts w:ascii="Times New Roman" w:hAnsi="Times New Roman" w:cs="Times New Roman"/>
          <w:color w:val="auto"/>
          <w:vertAlign w:val="superscript"/>
        </w:rPr>
        <w:t>3</w:t>
      </w:r>
      <w:r>
        <w:rPr>
          <w:rFonts w:ascii="Times New Roman" w:hAnsi="Times New Roman" w:cs="Times New Roman"/>
          <w:color w:val="auto"/>
        </w:rPr>
        <w:t>/d（112858m</w:t>
      </w:r>
      <w:r>
        <w:rPr>
          <w:rFonts w:ascii="Times New Roman" w:hAnsi="Times New Roman" w:cs="Times New Roman"/>
          <w:color w:val="auto"/>
          <w:vertAlign w:val="superscript"/>
        </w:rPr>
        <w:t>3</w:t>
      </w:r>
      <w:r>
        <w:rPr>
          <w:rFonts w:ascii="Times New Roman" w:hAnsi="Times New Roman" w:cs="Times New Roman"/>
          <w:color w:val="auto"/>
        </w:rPr>
        <w:t>/a）。</w:t>
      </w:r>
    </w:p>
    <w:p>
      <w:pPr>
        <w:snapToGrid w:val="0"/>
        <w:spacing w:line="520" w:lineRule="exact"/>
        <w:rPr>
          <w:rFonts w:ascii="Times New Roman" w:hAnsi="Times New Roman" w:cs="Times New Roman"/>
          <w:color w:val="auto"/>
        </w:rPr>
      </w:pPr>
      <w:r>
        <w:rPr>
          <w:rFonts w:ascii="Times New Roman" w:hAnsi="Times New Roman" w:cs="Times New Roman"/>
          <w:color w:val="auto"/>
        </w:rPr>
        <w:t>综上所述，本项目用水排水情况见表3.4-2。</w:t>
      </w:r>
    </w:p>
    <w:p>
      <w:pPr>
        <w:pStyle w:val="35"/>
        <w:snapToGrid w:val="0"/>
        <w:spacing w:before="0" w:after="0" w:line="520" w:lineRule="exact"/>
        <w:rPr>
          <w:rFonts w:cs="Times New Roman"/>
          <w:color w:val="auto"/>
        </w:rPr>
      </w:pPr>
      <w:r>
        <w:rPr>
          <w:rFonts w:cs="Times New Roman"/>
          <w:color w:val="auto"/>
        </w:rPr>
        <w:t>表3.4-2   建设项目用水排水情况一览表</w:t>
      </w:r>
    </w:p>
    <w:tbl>
      <w:tblPr>
        <w:tblStyle w:val="24"/>
        <w:tblW w:w="528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3"/>
        <w:gridCol w:w="1400"/>
        <w:gridCol w:w="1272"/>
        <w:gridCol w:w="938"/>
        <w:gridCol w:w="1020"/>
        <w:gridCol w:w="748"/>
        <w:gridCol w:w="950"/>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blHeader/>
        </w:trPr>
        <w:tc>
          <w:tcPr>
            <w:tcW w:w="786"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项目</w:t>
            </w:r>
          </w:p>
        </w:tc>
        <w:tc>
          <w:tcPr>
            <w:tcW w:w="796"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用水标准</w:t>
            </w:r>
          </w:p>
        </w:tc>
        <w:tc>
          <w:tcPr>
            <w:tcW w:w="722"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日均配额</w:t>
            </w:r>
          </w:p>
        </w:tc>
        <w:tc>
          <w:tcPr>
            <w:tcW w:w="53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日均用水量（t/d）</w:t>
            </w:r>
          </w:p>
        </w:tc>
        <w:tc>
          <w:tcPr>
            <w:tcW w:w="58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年用水量</w:t>
            </w:r>
          </w:p>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（t/a）</w:t>
            </w:r>
          </w:p>
        </w:tc>
        <w:tc>
          <w:tcPr>
            <w:tcW w:w="42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日排水量（t/d）</w:t>
            </w:r>
          </w:p>
        </w:tc>
        <w:tc>
          <w:tcPr>
            <w:tcW w:w="54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年排水量</w:t>
            </w:r>
          </w:p>
        </w:tc>
        <w:tc>
          <w:tcPr>
            <w:tcW w:w="614"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000" w:type="pct"/>
            <w:gridSpan w:val="8"/>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感染性用水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感染门诊用水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15L/人·次</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20人·次/d</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0.3</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109.5</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0.24</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87.6</w:t>
            </w:r>
          </w:p>
        </w:tc>
        <w:tc>
          <w:tcPr>
            <w:tcW w:w="614"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经消毒处理后排入污水站处理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医务人员</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250L/人·班</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60人</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5475</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4380</w:t>
            </w:r>
          </w:p>
        </w:tc>
        <w:tc>
          <w:tcPr>
            <w:tcW w:w="614"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检验用水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43.8</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0.096</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35.04</w:t>
            </w:r>
          </w:p>
        </w:tc>
        <w:tc>
          <w:tcPr>
            <w:tcW w:w="614"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000" w:type="pct"/>
            <w:gridSpan w:val="8"/>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非感染性用水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门急诊用水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15L/人·次</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1000人·次/d</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5475</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4380</w:t>
            </w:r>
          </w:p>
        </w:tc>
        <w:tc>
          <w:tcPr>
            <w:tcW w:w="614"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酸性废水经中和处理，食堂废水经隔油处理， 一并纳入自建的污水处理站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病房用水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250L·床/人</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600床</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150</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54750</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43800</w:t>
            </w:r>
          </w:p>
        </w:tc>
        <w:tc>
          <w:tcPr>
            <w:tcW w:w="61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检验用水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1095</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876</w:t>
            </w:r>
          </w:p>
        </w:tc>
        <w:tc>
          <w:tcPr>
            <w:tcW w:w="61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医务人员用水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250L/人·班</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480人</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43800</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96</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35040</w:t>
            </w:r>
          </w:p>
        </w:tc>
        <w:tc>
          <w:tcPr>
            <w:tcW w:w="61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地面保洁用水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0.2L/m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·次</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73955m</w:t>
            </w:r>
            <w:r>
              <w:rPr>
                <w:rFonts w:ascii="Times New Roman" w:hAnsi="Times New Roman" w:cs="Times New Roman"/>
                <w:color w:val="auto"/>
                <w:sz w:val="21"/>
                <w:szCs w:val="21"/>
                <w:vertAlign w:val="superscript"/>
              </w:rPr>
              <w:t>2</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14.8</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5402</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11.84</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4321.6</w:t>
            </w:r>
          </w:p>
        </w:tc>
        <w:tc>
          <w:tcPr>
            <w:tcW w:w="61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不可预见用水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上述总用水量5%</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18.28</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6672.2</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14.62</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5336.3</w:t>
            </w:r>
          </w:p>
        </w:tc>
        <w:tc>
          <w:tcPr>
            <w:tcW w:w="61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食堂用水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25L/人·次</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2000人·次/d</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18250</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14600</w:t>
            </w:r>
          </w:p>
        </w:tc>
        <w:tc>
          <w:tcPr>
            <w:tcW w:w="61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8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绿化用水</w:t>
            </w:r>
          </w:p>
        </w:tc>
        <w:tc>
          <w:tcPr>
            <w:tcW w:w="7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2L/（m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·周）</w:t>
            </w:r>
          </w:p>
        </w:tc>
        <w:tc>
          <w:tcPr>
            <w:tcW w:w="72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48587.67m</w:t>
            </w:r>
            <w:r>
              <w:rPr>
                <w:rFonts w:ascii="Times New Roman" w:hAnsi="Times New Roman" w:cs="Times New Roman"/>
                <w:color w:val="auto"/>
                <w:sz w:val="21"/>
                <w:szCs w:val="21"/>
                <w:vertAlign w:val="superscript"/>
              </w:rPr>
              <w:t>2</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12.78</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4664.42</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61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305" w:type="pct"/>
            <w:gridSpan w:val="3"/>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53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399.28</w:t>
            </w:r>
          </w:p>
        </w:tc>
        <w:tc>
          <w:tcPr>
            <w:tcW w:w="58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145737.2</w:t>
            </w:r>
          </w:p>
        </w:tc>
        <w:tc>
          <w:tcPr>
            <w:tcW w:w="4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309.2</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112858</w:t>
            </w:r>
          </w:p>
        </w:tc>
        <w:tc>
          <w:tcPr>
            <w:tcW w:w="61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snapToGrid w:val="0"/>
        <w:spacing w:line="240" w:lineRule="auto"/>
        <w:ind w:firstLine="0" w:firstLineChars="0"/>
        <w:rPr>
          <w:rFonts w:ascii="Times New Roman" w:hAnsi="Times New Roman" w:cs="Times New Roman"/>
          <w:color w:val="auto"/>
        </w:rPr>
      </w:pPr>
      <w:r>
        <w:rPr>
          <w:rFonts w:ascii="Times New Roman" w:hAnsi="Times New Roman" w:cs="Times New Roman"/>
          <w:color w:val="auto"/>
        </w:rPr>
        <mc:AlternateContent>
          <mc:Choice Requires="wps">
            <w:drawing>
              <wp:anchor distT="0" distB="0" distL="114300" distR="114300" simplePos="0" relativeHeight="251689984" behindDoc="0" locked="0" layoutInCell="1" allowOverlap="1">
                <wp:simplePos x="0" y="0"/>
                <wp:positionH relativeFrom="column">
                  <wp:posOffset>3356610</wp:posOffset>
                </wp:positionH>
                <wp:positionV relativeFrom="paragraph">
                  <wp:posOffset>6831330</wp:posOffset>
                </wp:positionV>
                <wp:extent cx="133985" cy="1270"/>
                <wp:effectExtent l="0" t="48260" r="18415" b="64770"/>
                <wp:wrapNone/>
                <wp:docPr id="109" name="直接箭头连接符 109"/>
                <wp:cNvGraphicFramePr/>
                <a:graphic xmlns:a="http://schemas.openxmlformats.org/drawingml/2006/main">
                  <a:graphicData uri="http://schemas.microsoft.com/office/word/2010/wordprocessingShape">
                    <wps:wsp>
                      <wps:cNvCnPr/>
                      <wps:spPr>
                        <a:xfrm flipV="1">
                          <a:off x="0" y="0"/>
                          <a:ext cx="13398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64.3pt;margin-top:537.9pt;height:0.1pt;width:10.55pt;z-index:251689984;mso-width-relative:page;mso-height-relative:page;" filled="f" stroked="t" coordsize="21600,21600" o:gfxdata="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agX5NoAAAAN&#10;AQAADwAAAAAAAAABACAAAAAiAAAAZHJzL2Rvd25yZXYueG1sUEsBAhQAFAAAAAgAh07iQMal2Ewa&#10;AgAAAAQAAA4AAAAAAAAAAQAgAAAAKQEAAGRycy9lMm9Eb2MueG1sUEsFBgAAAAAGAAYAWQEAALUF&#10;A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8960" behindDoc="0" locked="0" layoutInCell="1" allowOverlap="1">
                <wp:simplePos x="0" y="0"/>
                <wp:positionH relativeFrom="column">
                  <wp:posOffset>2413635</wp:posOffset>
                </wp:positionH>
                <wp:positionV relativeFrom="paragraph">
                  <wp:posOffset>6818630</wp:posOffset>
                </wp:positionV>
                <wp:extent cx="353060" cy="4445"/>
                <wp:effectExtent l="0" t="48260" r="8890" b="61595"/>
                <wp:wrapNone/>
                <wp:docPr id="104" name="直接箭头连接符 104"/>
                <wp:cNvGraphicFramePr/>
                <a:graphic xmlns:a="http://schemas.openxmlformats.org/drawingml/2006/main">
                  <a:graphicData uri="http://schemas.microsoft.com/office/word/2010/wordprocessingShape">
                    <wps:wsp>
                      <wps:cNvCnPr/>
                      <wps:spPr>
                        <a:xfrm flipV="1">
                          <a:off x="0" y="0"/>
                          <a:ext cx="35306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0.05pt;margin-top:536.9pt;height:0.35pt;width:27.8pt;z-index:251688960;mso-width-relative:page;mso-height-relative:page;" filled="f" stroked="t" coordsize="21600,21600" o:gfxdata="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kbWldoAAAANAQAA&#10;DwAAAAAAAAABACAAAAAiAAAAZHJzL2Rvd25yZXYueG1sUEsBAhQAFAAAAAgAh07iQNB+QwAXAgAA&#10;AAQAAA4AAAAAAAAAAQAgAAAAKQEAAGRycy9lMm9Eb2MueG1sUEsFBgAAAAAGAAYAWQEAALIFAAAA&#10;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6912" behindDoc="0" locked="0" layoutInCell="1" allowOverlap="1">
                <wp:simplePos x="0" y="0"/>
                <wp:positionH relativeFrom="column">
                  <wp:posOffset>2004060</wp:posOffset>
                </wp:positionH>
                <wp:positionV relativeFrom="paragraph">
                  <wp:posOffset>6416675</wp:posOffset>
                </wp:positionV>
                <wp:extent cx="609600" cy="219075"/>
                <wp:effectExtent l="0" t="48260" r="0" b="18415"/>
                <wp:wrapNone/>
                <wp:docPr id="68" name="曲线连接符 68"/>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57.8pt;margin-top:505.25pt;height:17.25pt;width:48pt;z-index:251686912;mso-width-relative:page;mso-height-relative:page;" filled="f" stroked="t" coordsize="21600,21600" o:gfxdata="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aA&#10;bUPZAAAADQEAAA8AAAAAAAAAAQAgAAAAIgAAAGRycy9kb3ducmV2LnhtbFBLAQIUABQAAAAIAIdO&#10;4kASL2VWIgIAABQEAAAOAAAAAAAAAAEAIAAAACgBAABkcnMvZTJvRG9jLnhtbFBLBQYAAAAABgAG&#10;AFkBAAC8BQ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3968750</wp:posOffset>
                </wp:positionV>
                <wp:extent cx="1285875" cy="0"/>
                <wp:effectExtent l="0" t="48895" r="9525" b="65405"/>
                <wp:wrapNone/>
                <wp:docPr id="10" name="直接箭头连接符 10"/>
                <wp:cNvGraphicFramePr/>
                <a:graphic xmlns:a="http://schemas.openxmlformats.org/drawingml/2006/main">
                  <a:graphicData uri="http://schemas.microsoft.com/office/word/2010/wordprocessingShape">
                    <wps:wsp>
                      <wps:cNvCnPr/>
                      <wps:spPr>
                        <a:xfrm>
                          <a:off x="1356360" y="4041775"/>
                          <a:ext cx="1285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0.7pt;margin-top:312.5pt;height:0pt;width:101.25pt;z-index:251661312;mso-width-relative:page;mso-height-relative:page;" filled="f" stroked="t" coordsize="21600,21600" o:gfxdata="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jPyIzXAAAACgEA&#10;AA8AAAAAAAAAAQAgAAAAIgAAAGRycy9kb3ducmV2LnhtbFBLAQIUABQAAAAIAIdO4kDxQTDoGwIA&#10;AP4DAAAOAAAAAAAAAAEAIAAAACYBAABkcnMvZTJvRG9jLnhtbFBLBQYAAAAABgAGAFkBAACzBQAA&#10;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92032" behindDoc="0" locked="0" layoutInCell="1" allowOverlap="1">
                <wp:simplePos x="0" y="0"/>
                <wp:positionH relativeFrom="column">
                  <wp:posOffset>2480310</wp:posOffset>
                </wp:positionH>
                <wp:positionV relativeFrom="paragraph">
                  <wp:posOffset>7102475</wp:posOffset>
                </wp:positionV>
                <wp:extent cx="609600" cy="219075"/>
                <wp:effectExtent l="0" t="48260" r="0" b="18415"/>
                <wp:wrapNone/>
                <wp:docPr id="117" name="曲线连接符 117"/>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95.3pt;margin-top:559.25pt;height:17.25pt;width:48pt;z-index:251692032;mso-width-relative:page;mso-height-relative:page;" filled="f" stroked="t" coordsize="21600,21600" o:gfxdata="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HmPV9oAAAANAQAADwAAAAAAAAABACAAAAAiAAAAZHJzL2Rvd25yZXYueG1sUEsBAhQAFAAAAAgA&#10;h07iQOcvsB0jAgAAFgQAAA4AAAAAAAAAAQAgAAAAKQEAAGRycy9lMm9Eb2MueG1sUEsFBgAAAAAG&#10;AAYAWQEAAL4FA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91008" behindDoc="0" locked="0" layoutInCell="1" allowOverlap="1">
                <wp:simplePos x="0" y="0"/>
                <wp:positionH relativeFrom="column">
                  <wp:posOffset>1270635</wp:posOffset>
                </wp:positionH>
                <wp:positionV relativeFrom="paragraph">
                  <wp:posOffset>7527925</wp:posOffset>
                </wp:positionV>
                <wp:extent cx="609600" cy="9525"/>
                <wp:effectExtent l="0" t="47625" r="0" b="57150"/>
                <wp:wrapNone/>
                <wp:docPr id="112" name="直接箭头连接符 112"/>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0.05pt;margin-top:592.75pt;height:0.75pt;width:48pt;z-index:251691008;mso-width-relative:page;mso-height-relative:page;" filled="f" stroked="t" coordsize="21600,21600" o:gfxdata="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FmDs2QAAAA0BAAAP&#10;AAAAAAAAAAEAIAAAACIAAABkcnMvZG93bnJldi54bWxQSwECFAAUAAAACACHTuJAziGyaxcCAAAA&#10;BA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7936" behindDoc="0" locked="0" layoutInCell="1" allowOverlap="1">
                <wp:simplePos x="0" y="0"/>
                <wp:positionH relativeFrom="column">
                  <wp:posOffset>1270635</wp:posOffset>
                </wp:positionH>
                <wp:positionV relativeFrom="paragraph">
                  <wp:posOffset>6809105</wp:posOffset>
                </wp:positionV>
                <wp:extent cx="381635" cy="4445"/>
                <wp:effectExtent l="0" t="48260" r="18415" b="61595"/>
                <wp:wrapNone/>
                <wp:docPr id="103" name="直接箭头连接符 103"/>
                <wp:cNvGraphicFramePr/>
                <a:graphic xmlns:a="http://schemas.openxmlformats.org/drawingml/2006/main">
                  <a:graphicData uri="http://schemas.microsoft.com/office/word/2010/wordprocessingShape">
                    <wps:wsp>
                      <wps:cNvCnPr/>
                      <wps:spPr>
                        <a:xfrm flipV="1">
                          <a:off x="0" y="0"/>
                          <a:ext cx="38163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0.05pt;margin-top:536.15pt;height:0.35pt;width:30.05pt;z-index:251687936;mso-width-relative:page;mso-height-relative:page;" filled="f" stroked="t" coordsize="21600,21600" o:gfxdata="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PTVL2QAAAA0BAAAP&#10;AAAAAAAAAAEAIAAAACIAAABkcnMvZG93bnJldi54bWxQSwECFAAUAAAACACHTuJA1zG3LBcCAAAA&#10;BA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4864" behindDoc="0" locked="0" layoutInCell="1" allowOverlap="1">
                <wp:simplePos x="0" y="0"/>
                <wp:positionH relativeFrom="column">
                  <wp:posOffset>3489960</wp:posOffset>
                </wp:positionH>
                <wp:positionV relativeFrom="paragraph">
                  <wp:posOffset>4422775</wp:posOffset>
                </wp:positionV>
                <wp:extent cx="609600" cy="9525"/>
                <wp:effectExtent l="0" t="47625" r="0" b="57150"/>
                <wp:wrapNone/>
                <wp:docPr id="97" name="直接箭头连接符 97"/>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4.8pt;margin-top:348.25pt;height:0.75pt;width:48pt;z-index:251684864;mso-width-relative:page;mso-height-relative:page;" filled="f" stroked="t" coordsize="21600,21600" o:gfxdata="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rkOn2QAAAAsBAAAP&#10;AAAAAAAAAAEAIAAAACIAAABkcnMvZG93bnJldi54bWxQSwECFAAUAAAACACHTuJA1sL6YRcCAAD+&#10;Aw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3840" behindDoc="0" locked="0" layoutInCell="1" allowOverlap="1">
                <wp:simplePos x="0" y="0"/>
                <wp:positionH relativeFrom="column">
                  <wp:posOffset>3480435</wp:posOffset>
                </wp:positionH>
                <wp:positionV relativeFrom="paragraph">
                  <wp:posOffset>1289050</wp:posOffset>
                </wp:positionV>
                <wp:extent cx="609600" cy="9525"/>
                <wp:effectExtent l="0" t="47625" r="0" b="57150"/>
                <wp:wrapNone/>
                <wp:docPr id="98" name="直接箭头连接符 98"/>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4.05pt;margin-top:101.5pt;height:0.75pt;width:48pt;z-index:251683840;mso-width-relative:page;mso-height-relative:page;" filled="f" stroked="t" coordsize="21600,21600" o:gfxdata="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bxEudgAAAALAQAADwAA&#10;AAAAAAABACAAAAAiAAAAZHJzL2Rvd25yZXYueG1sUEsBAhQAFAAAAAgAh07iQH7FOBMWAgAA/gMA&#10;AA4AAAAAAAAAAQAgAAAAJwEAAGRycy9lMm9Eb2MueG1sUEsFBgAAAAAGAAYAWQEAAK8FA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5888" behindDoc="0" locked="0" layoutInCell="1" allowOverlap="1">
                <wp:simplePos x="0" y="0"/>
                <wp:positionH relativeFrom="column">
                  <wp:posOffset>3461385</wp:posOffset>
                </wp:positionH>
                <wp:positionV relativeFrom="paragraph">
                  <wp:posOffset>530860</wp:posOffset>
                </wp:positionV>
                <wp:extent cx="0" cy="1552575"/>
                <wp:effectExtent l="4445" t="0" r="14605" b="9525"/>
                <wp:wrapNone/>
                <wp:docPr id="8" name="直接连接符 8"/>
                <wp:cNvGraphicFramePr/>
                <a:graphic xmlns:a="http://schemas.openxmlformats.org/drawingml/2006/main">
                  <a:graphicData uri="http://schemas.microsoft.com/office/word/2010/wordprocessingShape">
                    <wps:wsp>
                      <wps:cNvCnPr/>
                      <wps:spPr>
                        <a:xfrm>
                          <a:off x="5156835" y="1502410"/>
                          <a:ext cx="0" cy="155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2.55pt;margin-top:41.8pt;height:122.25pt;width:0pt;z-index:251685888;mso-width-relative:page;mso-height-relative:page;" filled="f" stroked="t" coordsize="21600,21600" o:gfxdata="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fQfatcAAAAKAQAADwAAAAAAAAABACAAAAAiAAAAZHJzL2Rvd25yZXYueG1sUEsBAhQAFAAAAAgA&#10;h07iQBETwiTtAQAAvQMAAA4AAAAAAAAAAQAgAAAAJgEAAGRycy9lMm9Eb2MueG1sUEsFBgAAAAAG&#10;AAYAWQEAAIUFAAAAAA==&#10;">
                <v:fill on="f" focussize="0,0"/>
                <v:stroke weight="0.5pt" color="#000000 [3200]" miterlimit="8" joinstyle="miter"/>
                <v:imagedata o:title=""/>
                <o:lock v:ext="edit" aspectratio="f"/>
              </v:line>
            </w:pict>
          </mc:Fallback>
        </mc:AlternateContent>
      </w:r>
      <w:r>
        <w:rPr>
          <w:rFonts w:ascii="Times New Roman" w:hAnsi="Times New Roman" w:cs="Times New Roman"/>
          <w:color w:val="auto"/>
        </w:rPr>
        <mc:AlternateContent>
          <mc:Choice Requires="wps">
            <w:drawing>
              <wp:anchor distT="0" distB="0" distL="114300" distR="114300" simplePos="0" relativeHeight="251682816" behindDoc="0" locked="0" layoutInCell="1" allowOverlap="1">
                <wp:simplePos x="0" y="0"/>
                <wp:positionH relativeFrom="column">
                  <wp:posOffset>2423160</wp:posOffset>
                </wp:positionH>
                <wp:positionV relativeFrom="paragraph">
                  <wp:posOffset>5749925</wp:posOffset>
                </wp:positionV>
                <wp:extent cx="609600" cy="219075"/>
                <wp:effectExtent l="0" t="48260" r="0" b="18415"/>
                <wp:wrapNone/>
                <wp:docPr id="87" name="曲线连接符 87"/>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90.8pt;margin-top:452.75pt;height:17.25pt;width:48pt;z-index:251682816;mso-width-relative:page;mso-height-relative:page;" filled="f" stroked="t" coordsize="21600,21600" o:gfxdata="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0&#10;TCLp2gAAAAsBAAAPAAAAAAAAAAEAIAAAACIAAABkcnMvZG93bnJldi54bWxQSwECFAAUAAAACACH&#10;TuJAoTosHCICAAAUBAAADgAAAAAAAAABACAAAAApAQAAZHJzL2Uyb0RvYy54bWxQSwUGAAAAAAYA&#10;BgBZAQAAvQU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7456" behindDoc="0" locked="0" layoutInCell="1" allowOverlap="1">
                <wp:simplePos x="0" y="0"/>
                <wp:positionH relativeFrom="column">
                  <wp:posOffset>2461260</wp:posOffset>
                </wp:positionH>
                <wp:positionV relativeFrom="paragraph">
                  <wp:posOffset>806450</wp:posOffset>
                </wp:positionV>
                <wp:extent cx="609600" cy="219075"/>
                <wp:effectExtent l="0" t="48260" r="0" b="18415"/>
                <wp:wrapNone/>
                <wp:docPr id="25" name="曲线连接符 25"/>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93.8pt;margin-top:63.5pt;height:17.25pt;width:48pt;z-index:251667456;mso-width-relative:page;mso-height-relative:page;" filled="f" stroked="t" coordsize="21600,21600" o:gfxdata="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H7dQ2QAAAAsBAAAPAAAAAAAAAAEAIAAAACIAAABkcnMvZG93bnJldi54bWxQSwECFAAUAAAACACH&#10;TuJAP/r0cSMCAAAUBAAADgAAAAAAAAABACAAAAAoAQAAZHJzL2Uyb0RvYy54bWxQSwUGAAAAAAYA&#10;BgBZAQAAvQU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5648" behindDoc="0" locked="0" layoutInCell="1" allowOverlap="1">
                <wp:simplePos x="0" y="0"/>
                <wp:positionH relativeFrom="column">
                  <wp:posOffset>2375535</wp:posOffset>
                </wp:positionH>
                <wp:positionV relativeFrom="paragraph">
                  <wp:posOffset>5092700</wp:posOffset>
                </wp:positionV>
                <wp:extent cx="609600" cy="219075"/>
                <wp:effectExtent l="0" t="48260" r="0" b="18415"/>
                <wp:wrapNone/>
                <wp:docPr id="49" name="曲线连接符 49"/>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87.05pt;margin-top:401pt;height:17.25pt;width:48pt;z-index:251675648;mso-width-relative:page;mso-height-relative:page;" filled="f" stroked="t" coordsize="21600,21600" o:gfxdata="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aJ652QAAAAsBAAAPAAAAAAAAAAEAIAAAACIAAABkcnMvZG93bnJldi54bWxQSwECFAAUAAAACACH&#10;TuJAA/GDbCMCAAAUBAAADgAAAAAAAAABACAAAAAoAQAAZHJzL2Uyb0RvYy54bWxQSwUGAAAAAAYA&#10;BgBZAQAAvQU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0768" behindDoc="0" locked="0" layoutInCell="1" allowOverlap="1">
                <wp:simplePos x="0" y="0"/>
                <wp:positionH relativeFrom="column">
                  <wp:posOffset>1270635</wp:posOffset>
                </wp:positionH>
                <wp:positionV relativeFrom="paragraph">
                  <wp:posOffset>4813300</wp:posOffset>
                </wp:positionV>
                <wp:extent cx="609600" cy="9525"/>
                <wp:effectExtent l="0" t="47625" r="0" b="57150"/>
                <wp:wrapNone/>
                <wp:docPr id="63" name="直接箭头连接符 63"/>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0.05pt;margin-top:379pt;height:0.75pt;width:48pt;z-index:251680768;mso-width-relative:page;mso-height-relative:page;" filled="f" stroked="t" coordsize="21600,21600" o:gfxdata="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yHrfrZAAAACwEAAA8A&#10;AAAAAAAAAQAgAAAAIgAAAGRycy9kb3ducmV2LnhtbFBLAQIUABQAAAAIAIdO4kANfQ7XFgIAAP4D&#10;AAAOAAAAAAAAAAEAIAAAACgBAABkcnMvZTJvRG9jLnhtbFBLBQYAAAAABgAGAFkBAACwBQ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81792" behindDoc="0" locked="0" layoutInCell="1" allowOverlap="1">
                <wp:simplePos x="0" y="0"/>
                <wp:positionH relativeFrom="column">
                  <wp:posOffset>2870835</wp:posOffset>
                </wp:positionH>
                <wp:positionV relativeFrom="paragraph">
                  <wp:posOffset>4813300</wp:posOffset>
                </wp:positionV>
                <wp:extent cx="609600" cy="9525"/>
                <wp:effectExtent l="0" t="47625" r="0" b="57150"/>
                <wp:wrapNone/>
                <wp:docPr id="62" name="直接箭头连接符 62"/>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6.05pt;margin-top:379pt;height:0.75pt;width:48pt;z-index:251681792;mso-width-relative:page;mso-height-relative:page;" filled="f" stroked="t" coordsize="21600,21600" o:gfxdata="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3oSU2QAAAAsBAAAP&#10;AAAAAAAAAAEAIAAAACIAAABkcnMvZG93bnJldi54bWxQSwECFAAUAAAACACHTuJArCsUIRcCAAD+&#10;Aw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6672" behindDoc="0" locked="0" layoutInCell="1" allowOverlap="1">
                <wp:simplePos x="0" y="0"/>
                <wp:positionH relativeFrom="column">
                  <wp:posOffset>2289810</wp:posOffset>
                </wp:positionH>
                <wp:positionV relativeFrom="paragraph">
                  <wp:posOffset>4416425</wp:posOffset>
                </wp:positionV>
                <wp:extent cx="609600" cy="219075"/>
                <wp:effectExtent l="0" t="48260" r="0" b="18415"/>
                <wp:wrapNone/>
                <wp:docPr id="50" name="曲线连接符 50"/>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80.3pt;margin-top:347.75pt;height:17.25pt;width:48pt;z-index:251676672;mso-width-relative:page;mso-height-relative:page;" filled="f" stroked="t" coordsize="21600,21600" o:gfxdata="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ho5V2gAAAAsBAAAPAAAAAAAAAAEAIAAAACIAAABkcnMvZG93bnJldi54bWxQSwECFAAUAAAACACH&#10;TuJAW2Hl+iICAAAUBAAADgAAAAAAAAABACAAAAApAQAAZHJzL2Uyb0RvYy54bWxQSwUGAAAAAAYA&#10;BgBZAQAAvQU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9744" behindDoc="0" locked="0" layoutInCell="1" allowOverlap="1">
                <wp:simplePos x="0" y="0"/>
                <wp:positionH relativeFrom="column">
                  <wp:posOffset>2270760</wp:posOffset>
                </wp:positionH>
                <wp:positionV relativeFrom="paragraph">
                  <wp:posOffset>3730625</wp:posOffset>
                </wp:positionV>
                <wp:extent cx="609600" cy="219075"/>
                <wp:effectExtent l="0" t="48260" r="0" b="18415"/>
                <wp:wrapNone/>
                <wp:docPr id="61" name="曲线连接符 61"/>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78.8pt;margin-top:293.75pt;height:17.25pt;width:48pt;z-index:251679744;mso-width-relative:page;mso-height-relative:page;" filled="f" stroked="t" coordsize="21600,21600" o:gfxdata="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6UIE2gAAAAsBAAAPAAAAAAAAAAEAIAAAACIAAABkcnMvZG93bnJldi54bWxQSwECFAAUAAAACACH&#10;TuJADoL7SCICAAAUBAAADgAAAAAAAAABACAAAAApAQAAZHJzL2Uyb0RvYy54bWxQSwUGAAAAAAYA&#10;BgBZAQAAvQU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3600" behindDoc="0" locked="0" layoutInCell="1" allowOverlap="1">
                <wp:simplePos x="0" y="0"/>
                <wp:positionH relativeFrom="column">
                  <wp:posOffset>2870835</wp:posOffset>
                </wp:positionH>
                <wp:positionV relativeFrom="paragraph">
                  <wp:posOffset>3441700</wp:posOffset>
                </wp:positionV>
                <wp:extent cx="609600" cy="9525"/>
                <wp:effectExtent l="0" t="47625" r="0" b="57150"/>
                <wp:wrapNone/>
                <wp:docPr id="37" name="直接箭头连接符 37"/>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6.05pt;margin-top:271pt;height:0.75pt;width:48pt;z-index:251673600;mso-width-relative:page;mso-height-relative:page;" filled="f" stroked="t" coordsize="21600,21600" o:gfxdata="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hprztoAAAALAQAA&#10;DwAAAAAAAAABACAAAAAiAAAAZHJzL2Rvd25yZXYueG1sUEsBAhQAFAAAAAgAh07iQECMr/EXAgAA&#10;/gMAAA4AAAAAAAAAAQAgAAAAKQEAAGRycy9lMm9Eb2MueG1sUEsFBgAAAAAGAAYAWQEAALIFAAAA&#10;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2576" behindDoc="0" locked="0" layoutInCell="1" allowOverlap="1">
                <wp:simplePos x="0" y="0"/>
                <wp:positionH relativeFrom="column">
                  <wp:posOffset>1270635</wp:posOffset>
                </wp:positionH>
                <wp:positionV relativeFrom="paragraph">
                  <wp:posOffset>3441700</wp:posOffset>
                </wp:positionV>
                <wp:extent cx="609600" cy="9525"/>
                <wp:effectExtent l="0" t="47625" r="0" b="57150"/>
                <wp:wrapNone/>
                <wp:docPr id="38" name="直接箭头连接符 38"/>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0.05pt;margin-top:271pt;height:0.75pt;width:48pt;z-index:251672576;mso-width-relative:page;mso-height-relative:page;" filled="f" stroked="t" coordsize="21600,21600" o:gfxdata="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lDQqDYAAAACwEAAA8A&#10;AAAAAAAAAQAgAAAAIgAAAGRycy9kb3ducmV2LnhtbFBLAQIUABQAAAAIAIdO4kDoi22DFwIAAP4D&#10;AAAOAAAAAAAAAAEAIAAAACcBAABkcnMvZTJvRG9jLnhtbFBLBQYAAAAABgAGAFkBAACwBQ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7696" behindDoc="0" locked="0" layoutInCell="1" allowOverlap="1">
                <wp:simplePos x="0" y="0"/>
                <wp:positionH relativeFrom="column">
                  <wp:posOffset>2308860</wp:posOffset>
                </wp:positionH>
                <wp:positionV relativeFrom="paragraph">
                  <wp:posOffset>3044825</wp:posOffset>
                </wp:positionV>
                <wp:extent cx="609600" cy="219075"/>
                <wp:effectExtent l="0" t="48260" r="0" b="18415"/>
                <wp:wrapNone/>
                <wp:docPr id="51" name="曲线连接符 51"/>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81.8pt;margin-top:239.75pt;height:17.25pt;width:48pt;z-index:251677696;mso-width-relative:page;mso-height-relative:page;" filled="f" stroked="t" coordsize="21600,21600" o:gfxdata="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OXM62gAAAAsBAAAPAAAAAAAAAAEAIAAAACIAAABkcnMvZG93bnJldi54bWxQSwECFAAUAAAACACH&#10;TuJAg8OCCiICAAAUBAAADgAAAAAAAAABACAAAAApAQAAZHJzL2Uyb0RvYy54bWxQSwUGAAAAAAYA&#10;BgBZAQAAvQU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0528" behindDoc="0" locked="0" layoutInCell="1" allowOverlap="1">
                <wp:simplePos x="0" y="0"/>
                <wp:positionH relativeFrom="column">
                  <wp:posOffset>1280160</wp:posOffset>
                </wp:positionH>
                <wp:positionV relativeFrom="paragraph">
                  <wp:posOffset>2746375</wp:posOffset>
                </wp:positionV>
                <wp:extent cx="609600" cy="9525"/>
                <wp:effectExtent l="0" t="47625" r="0" b="57150"/>
                <wp:wrapNone/>
                <wp:docPr id="35" name="直接箭头连接符 35"/>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0.8pt;margin-top:216.25pt;height:0.75pt;width:48pt;z-index:251670528;mso-width-relative:page;mso-height-relative:page;" filled="f" stroked="t" coordsize="21600,21600" o:gfxdata="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iBDY2QAAAAsBAAAP&#10;AAAAAAAAAAEAIAAAACIAAABkcnMvZG93bnJldi54bWxQSwECFAAUAAAACACHTuJAQyfqxhcCAAD+&#10;Aw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1552" behindDoc="0" locked="0" layoutInCell="1" allowOverlap="1">
                <wp:simplePos x="0" y="0"/>
                <wp:positionH relativeFrom="column">
                  <wp:posOffset>2880360</wp:posOffset>
                </wp:positionH>
                <wp:positionV relativeFrom="paragraph">
                  <wp:posOffset>2746375</wp:posOffset>
                </wp:positionV>
                <wp:extent cx="609600" cy="9525"/>
                <wp:effectExtent l="0" t="47625" r="0" b="57150"/>
                <wp:wrapNone/>
                <wp:docPr id="34" name="直接箭头连接符 34"/>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6.8pt;margin-top:216.25pt;height:0.75pt;width:48pt;z-index:251671552;mso-width-relative:page;mso-height-relative:page;" filled="f" stroked="t" coordsize="21600,21600" o:gfxdata="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0Tm22QAAAAsBAAAP&#10;AAAAAAAAAAEAIAAAACIAAABkcnMvZG93bnJldi54bWxQSwECFAAUAAAACACHTuJA4nHwMBcCAAD+&#10;Aw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4624" behindDoc="0" locked="0" layoutInCell="1" allowOverlap="1">
                <wp:simplePos x="0" y="0"/>
                <wp:positionH relativeFrom="column">
                  <wp:posOffset>2318385</wp:posOffset>
                </wp:positionH>
                <wp:positionV relativeFrom="paragraph">
                  <wp:posOffset>2359025</wp:posOffset>
                </wp:positionV>
                <wp:extent cx="609600" cy="219075"/>
                <wp:effectExtent l="0" t="48260" r="0" b="18415"/>
                <wp:wrapNone/>
                <wp:docPr id="48" name="曲线连接符 48"/>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82.55pt;margin-top:185.75pt;height:17.25pt;width:48pt;z-index:251674624;mso-width-relative:page;mso-height-relative:page;" filled="f" stroked="t" coordsize="21600,21600" o:gfxdata="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5&#10;Sw3T2QAAAAsBAAAPAAAAAAAAAAEAIAAAACIAAABkcnMvZG93bnJldi54bWxQSwECFAAUAAAACACH&#10;TuJA21PknCMCAAAUBAAADgAAAAAAAAABACAAAAAoAQAAZHJzL2Uyb0RvYy54bWxQSwUGAAAAAAYA&#10;BgBZAQAAvQU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9504" behindDoc="0" locked="0" layoutInCell="1" allowOverlap="1">
                <wp:simplePos x="0" y="0"/>
                <wp:positionH relativeFrom="column">
                  <wp:posOffset>2851785</wp:posOffset>
                </wp:positionH>
                <wp:positionV relativeFrom="paragraph">
                  <wp:posOffset>2079625</wp:posOffset>
                </wp:positionV>
                <wp:extent cx="609600" cy="9525"/>
                <wp:effectExtent l="0" t="47625" r="0" b="57150"/>
                <wp:wrapNone/>
                <wp:docPr id="32" name="直接箭头连接符 32"/>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4.55pt;margin-top:163.75pt;height:0.75pt;width:48pt;z-index:251669504;mso-width-relative:page;mso-height-relative:page;" filled="f" stroked="t" coordsize="21600,21600" o:gfxdata="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K8409oAAAALAQAA&#10;DwAAAAAAAAABACAAAAAiAAAAZHJzL2Rvd25yZXYueG1sUEsBAhQAFAAAAAgAh07iQOeMPmkXAgAA&#10;/gMAAA4AAAAAAAAAAQAgAAAAKQEAAGRycy9lMm9Eb2MueG1sUEsFBgAAAAAGAAYAWQEAALIFAAAA&#10;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8480" behindDoc="0" locked="0" layoutInCell="1" allowOverlap="1">
                <wp:simplePos x="0" y="0"/>
                <wp:positionH relativeFrom="column">
                  <wp:posOffset>1261110</wp:posOffset>
                </wp:positionH>
                <wp:positionV relativeFrom="paragraph">
                  <wp:posOffset>2089150</wp:posOffset>
                </wp:positionV>
                <wp:extent cx="609600" cy="9525"/>
                <wp:effectExtent l="0" t="47625" r="0" b="57150"/>
                <wp:wrapNone/>
                <wp:docPr id="33" name="直接箭头连接符 33"/>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99.3pt;margin-top:164.5pt;height:0.75pt;width:48pt;z-index:251668480;mso-width-relative:page;mso-height-relative:page;" filled="f" stroked="t" coordsize="21600,21600" o:gfxdata="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X70d2QAAAAsBAAAP&#10;AAAAAAAAAAEAIAAAACIAAABkcnMvZG93bnJldi54bWxQSwECFAAUAAAACACHTuJARtoknxcCAAD+&#10;Aw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78720" behindDoc="0" locked="0" layoutInCell="1" allowOverlap="1">
                <wp:simplePos x="0" y="0"/>
                <wp:positionH relativeFrom="column">
                  <wp:posOffset>2251710</wp:posOffset>
                </wp:positionH>
                <wp:positionV relativeFrom="paragraph">
                  <wp:posOffset>1673225</wp:posOffset>
                </wp:positionV>
                <wp:extent cx="609600" cy="219075"/>
                <wp:effectExtent l="0" t="48260" r="0" b="18415"/>
                <wp:wrapNone/>
                <wp:docPr id="52" name="曲线连接符 52"/>
                <wp:cNvGraphicFramePr/>
                <a:graphic xmlns:a="http://schemas.openxmlformats.org/drawingml/2006/main">
                  <a:graphicData uri="http://schemas.microsoft.com/office/word/2010/wordprocessingShape">
                    <wps:wsp>
                      <wps:cNvCnPr/>
                      <wps:spPr>
                        <a:xfrm flipV="1">
                          <a:off x="0" y="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77.3pt;margin-top:131.75pt;height:17.25pt;width:48pt;z-index:251678720;mso-width-relative:page;mso-height-relative:page;" filled="f" stroked="t" coordsize="21600,21600" o:gfxdata="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0GIi9oAAAALAQAADwAAAAAAAAABACAAAAAiAAAAZHJzL2Rvd25yZXYueG1sUEsBAhQAFAAAAAgA&#10;h07iQKoiW8EjAgAAFAQAAA4AAAAAAAAAAQAgAAAAKQEAAGRycy9lMm9Eb2MueG1sUEsFBgAAAAAG&#10;AAYAWQEAAL4FA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1270635</wp:posOffset>
                </wp:positionH>
                <wp:positionV relativeFrom="paragraph">
                  <wp:posOffset>1298575</wp:posOffset>
                </wp:positionV>
                <wp:extent cx="609600" cy="9525"/>
                <wp:effectExtent l="0" t="47625" r="0" b="57150"/>
                <wp:wrapNone/>
                <wp:docPr id="24" name="直接箭头连接符 24"/>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0.05pt;margin-top:102.25pt;height:0.75pt;width:48pt;z-index:251665408;mso-width-relative:page;mso-height-relative:page;" filled="f" stroked="t" coordsize="21600,21600" o:gfxdata="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755rNcAAAALAQAADwAA&#10;AAAAAAABACAAAAAiAAAAZHJzL2Rvd25yZXYueG1sUEsBAhQAFAAAAAgAh07iQMr415EXAgAA/gMA&#10;AA4AAAAAAAAAAQAgAAAAJgEAAGRycy9lMm9Eb2MueG1sUEsFBgAAAAAGAAYAWQEAAK8FA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6432" behindDoc="0" locked="0" layoutInCell="1" allowOverlap="1">
                <wp:simplePos x="0" y="0"/>
                <wp:positionH relativeFrom="column">
                  <wp:posOffset>2870835</wp:posOffset>
                </wp:positionH>
                <wp:positionV relativeFrom="paragraph">
                  <wp:posOffset>1298575</wp:posOffset>
                </wp:positionV>
                <wp:extent cx="609600" cy="9525"/>
                <wp:effectExtent l="0" t="47625" r="0" b="57150"/>
                <wp:wrapNone/>
                <wp:docPr id="23" name="直接箭头连接符 23"/>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6.05pt;margin-top:102.25pt;height:0.75pt;width:48pt;z-index:251666432;mso-width-relative:page;mso-height-relative:page;" filled="f" stroked="t" coordsize="21600,21600" o:gfxdata="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51DC2QAAAAsBAAAP&#10;AAAAAAAAAAEAIAAAACIAAABkcnMvZG93bnJldi54bWxQSwECFAAUAAAACACHTuJAblMDPhcCAAD+&#10;AwAADgAAAAAAAAABACAAAAAoAQAAZHJzL2Uyb0RvYy54bWxQSwUGAAAAAAYABgBZAQAAsQ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2870835</wp:posOffset>
                </wp:positionH>
                <wp:positionV relativeFrom="paragraph">
                  <wp:posOffset>546100</wp:posOffset>
                </wp:positionV>
                <wp:extent cx="609600" cy="9525"/>
                <wp:effectExtent l="0" t="47625" r="0" b="57150"/>
                <wp:wrapNone/>
                <wp:docPr id="18" name="直接箭头连接符 18"/>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26.05pt;margin-top:43pt;height:0.75pt;width:48pt;z-index:251664384;mso-width-relative:page;mso-height-relative:page;" filled="f" stroked="t" coordsize="21600,21600" o:gfxdata="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77ZR1wAAAAkBAAAPAAAA&#10;AAAAAAEAIAAAACIAAABkcnMvZG93bnJldi54bWxQSwECFAAUAAAACACHTuJA+Z9TGhYCAAD+AwAA&#10;DgAAAAAAAAABACAAAAAmAQAAZHJzL2Uyb0RvYy54bWxQSwUGAAAAAAYABgBZAQAArgU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3360" behindDoc="0" locked="0" layoutInCell="1" allowOverlap="1">
                <wp:simplePos x="0" y="0"/>
                <wp:positionH relativeFrom="column">
                  <wp:posOffset>1270635</wp:posOffset>
                </wp:positionH>
                <wp:positionV relativeFrom="paragraph">
                  <wp:posOffset>546100</wp:posOffset>
                </wp:positionV>
                <wp:extent cx="609600" cy="9525"/>
                <wp:effectExtent l="0" t="47625" r="0" b="57150"/>
                <wp:wrapNone/>
                <wp:docPr id="14" name="直接箭头连接符 14"/>
                <wp:cNvGraphicFramePr/>
                <a:graphic xmlns:a="http://schemas.openxmlformats.org/drawingml/2006/main">
                  <a:graphicData uri="http://schemas.microsoft.com/office/word/2010/wordprocessingShape">
                    <wps:wsp>
                      <wps:cNvCnPr/>
                      <wps:spPr>
                        <a:xfrm flipV="1">
                          <a:off x="0" y="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0.05pt;margin-top:43pt;height:0.75pt;width:48pt;z-index:251663360;mso-width-relative:page;mso-height-relative:page;" filled="f" stroked="t" coordsize="21600,21600" o:gfxdata="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Glh3WAAAACQEAAA8AAAAA&#10;AAAAAQAgAAAAIgAAAGRycy9kb3ducmV2LnhtbFBLAQIUABQAAAAIAIdO4kDzZc6pFgIAAP4DAAAO&#10;AAAAAAAAAAEAIAAAACUBAABkcnMvZTJvRG9jLnhtbFBLBQYAAAAABgAGAFkBAACtBQA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2442210</wp:posOffset>
                </wp:positionH>
                <wp:positionV relativeFrom="paragraph">
                  <wp:posOffset>139700</wp:posOffset>
                </wp:positionV>
                <wp:extent cx="609600" cy="219075"/>
                <wp:effectExtent l="0" t="48260" r="0" b="18415"/>
                <wp:wrapNone/>
                <wp:docPr id="13" name="曲线连接符 13"/>
                <wp:cNvGraphicFramePr/>
                <a:graphic xmlns:a="http://schemas.openxmlformats.org/drawingml/2006/main">
                  <a:graphicData uri="http://schemas.microsoft.com/office/word/2010/wordprocessingShape">
                    <wps:wsp>
                      <wps:cNvCnPr/>
                      <wps:spPr>
                        <a:xfrm flipV="1">
                          <a:off x="3651885" y="958850"/>
                          <a:ext cx="609600" cy="219075"/>
                        </a:xfrm>
                        <a:prstGeom prst="curvedConnector3">
                          <a:avLst>
                            <a:gd name="adj1" fmla="val 50104"/>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92.3pt;margin-top:11pt;height:17.25pt;width:48pt;z-index:251662336;mso-width-relative:page;mso-height-relative:page;" filled="f" stroked="t" coordsize="21600,21600" o:gfxdata="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lu6MdgAAAAJAQAADwAAAAAAAAABACAAAAAiAAAAZHJzL2Rvd25yZXYueG1sUEsB&#10;AhQAFAAAAAgAh07iQNsPt4kuAgAAHwQAAA4AAAAAAAAAAQAgAAAAJwEAAGRycy9lMm9Eb2MueG1s&#10;UEsFBgAAAAAGAAYAWQEAAMcFAAAAAA==&#10;" adj="10822">
                <v:fill on="f" focussize="0,0"/>
                <v:stroke weight="0.5pt" color="#000000 [3213]" miterlimit="8" joinstyle="miter" dashstyle="longDash" endarrow="open"/>
                <v:imagedata o:title=""/>
                <o:lock v:ext="edit" aspectratio="f"/>
              </v:shape>
            </w:pict>
          </mc:Fallback>
        </mc:AlternateContent>
      </w:r>
      <w:r>
        <w:rPr>
          <w:rFonts w:ascii="Times New Roman" w:hAnsi="Times New Roman" w:cs="Times New Roman"/>
          <w:color w:val="auto"/>
        </w:rPr>
        <mc:AlternateContent>
          <mc:Choice Requires="wpc">
            <w:drawing>
              <wp:inline distT="0" distB="0" distL="114300" distR="114300">
                <wp:extent cx="5274310" cy="7932420"/>
                <wp:effectExtent l="0" t="0" r="1905" b="0"/>
                <wp:docPr id="4" name="画布 4"/>
                <wp:cNvGraphicFramePr/>
                <a:graphic xmlns:a="http://schemas.openxmlformats.org/drawingml/2006/main">
                  <a:graphicData uri="http://schemas.microsoft.com/office/word/2010/wordprocessingCanvas">
                    <wpc:wpc>
                      <wpc:bg/>
                      <wpc:whole/>
                      <wps:wsp>
                        <wps:cNvPr id="5" name="文本框 5"/>
                        <wps:cNvSpPr txBox="1"/>
                        <wps:spPr>
                          <a:xfrm>
                            <a:off x="1870710" y="35496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感染门诊用水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9050" y="3634105"/>
                            <a:ext cx="112268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新鲜水：</w:t>
                              </w:r>
                              <w:r>
                                <w:rPr>
                                  <w:rFonts w:ascii="Times New Roman" w:hAnsi="Times New Roman" w:cs="Times New Roman"/>
                                  <w:sz w:val="21"/>
                                  <w:szCs w:val="21"/>
                                </w:rPr>
                                <w:t>399.28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直接连接符 12"/>
                        <wps:cNvCnPr/>
                        <wps:spPr>
                          <a:xfrm>
                            <a:off x="1261110" y="546100"/>
                            <a:ext cx="0" cy="698817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文本框 16"/>
                        <wps:cNvSpPr txBox="1"/>
                        <wps:spPr>
                          <a:xfrm>
                            <a:off x="1198880" y="22733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2903855" y="0"/>
                            <a:ext cx="71374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2780030" y="2559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1884680" y="1031875"/>
                            <a:ext cx="989965" cy="5041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szCs w:val="21"/>
                                </w:rPr>
                              </w:pPr>
                              <w:r>
                                <w:rPr>
                                  <w:rFonts w:hint="eastAsia"/>
                                  <w:sz w:val="21"/>
                                  <w:szCs w:val="21"/>
                                </w:rPr>
                                <w:t>感染门诊医护人员用水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2794000" y="99885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861185" y="1907540"/>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检验用水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170305" y="17703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751455" y="179895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096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1880235" y="258381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门急诊用水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1189355" y="24561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789555" y="24561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直接箭头连接符 40"/>
                        <wps:cNvCnPr/>
                        <wps:spPr>
                          <a:xfrm flipV="1">
                            <a:off x="2875280" y="413258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1" name="直接箭头连接符 41"/>
                        <wps:cNvCnPr/>
                        <wps:spPr>
                          <a:xfrm flipV="1">
                            <a:off x="1256030" y="4123055"/>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2" name="文本框 42"/>
                        <wps:cNvSpPr txBox="1"/>
                        <wps:spPr>
                          <a:xfrm>
                            <a:off x="1208405" y="9702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2789555" y="5988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1198880" y="45231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1198880" y="31134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2656205" y="2141855"/>
                            <a:ext cx="713740" cy="370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2732405" y="14655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1875155" y="395160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检验用水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1884045" y="463740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医护人员用水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1875155" y="3256280"/>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病房用水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2665730" y="34944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2780030" y="381825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1217930" y="37992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2703830" y="28467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2780030" y="313245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箭头连接符 70"/>
                        <wps:cNvCnPr/>
                        <wps:spPr>
                          <a:xfrm flipV="1">
                            <a:off x="2868295" y="551688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1" name="直接箭头连接符 71"/>
                        <wps:cNvCnPr/>
                        <wps:spPr>
                          <a:xfrm flipV="1">
                            <a:off x="1268095" y="551688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6" name="直接箭头连接符 76"/>
                        <wps:cNvCnPr/>
                        <wps:spPr>
                          <a:xfrm flipV="1">
                            <a:off x="2875280" y="615188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7" name="直接箭头连接符 77"/>
                        <wps:cNvCnPr/>
                        <wps:spPr>
                          <a:xfrm flipV="1">
                            <a:off x="1275080" y="6151880"/>
                            <a:ext cx="6096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8" name="文本框 78"/>
                        <wps:cNvSpPr txBox="1"/>
                        <wps:spPr>
                          <a:xfrm>
                            <a:off x="2703830" y="419925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2799080" y="45135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2780030" y="48945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2799080" y="521843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11.84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82"/>
                        <wps:cNvSpPr txBox="1"/>
                        <wps:spPr>
                          <a:xfrm>
                            <a:off x="1160780" y="52374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3"/>
                        <wps:cNvSpPr txBox="1"/>
                        <wps:spPr>
                          <a:xfrm>
                            <a:off x="1875155" y="5313680"/>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地面保洁用水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84"/>
                        <wps:cNvSpPr txBox="1"/>
                        <wps:spPr>
                          <a:xfrm>
                            <a:off x="4103370" y="185610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脱氯池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4084955" y="109410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预消毒池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1884680" y="597090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不可预见用水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92"/>
                        <wps:cNvSpPr txBox="1"/>
                        <wps:spPr>
                          <a:xfrm>
                            <a:off x="2513330" y="6285230"/>
                            <a:ext cx="44704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93"/>
                        <wps:cNvSpPr txBox="1"/>
                        <wps:spPr>
                          <a:xfrm>
                            <a:off x="2351405" y="6580505"/>
                            <a:ext cx="41910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4465955" y="14370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3389630" y="41325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299.86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1189355" y="6542405"/>
                            <a:ext cx="4756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a:stCxn id="85" idx="2"/>
                        </wps:cNvCnPr>
                        <wps:spPr>
                          <a:xfrm flipH="1">
                            <a:off x="4575810" y="1437005"/>
                            <a:ext cx="4445" cy="4273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4" name="直接连接符 64"/>
                        <wps:cNvCnPr/>
                        <wps:spPr>
                          <a:xfrm>
                            <a:off x="3489960" y="2750185"/>
                            <a:ext cx="635" cy="4081145"/>
                          </a:xfrm>
                          <a:prstGeom prst="line">
                            <a:avLst/>
                          </a:prstGeom>
                        </wps:spPr>
                        <wps:style>
                          <a:lnRef idx="1">
                            <a:schemeClr val="dk1"/>
                          </a:lnRef>
                          <a:fillRef idx="0">
                            <a:schemeClr val="dk1"/>
                          </a:fillRef>
                          <a:effectRef idx="0">
                            <a:schemeClr val="dk1"/>
                          </a:effectRef>
                          <a:fontRef idx="minor">
                            <a:schemeClr val="tx1"/>
                          </a:fontRef>
                        </wps:style>
                        <wps:bodyPr/>
                      </wps:wsp>
                      <wps:wsp>
                        <wps:cNvPr id="65" name="文本框 65"/>
                        <wps:cNvSpPr txBox="1"/>
                        <wps:spPr>
                          <a:xfrm>
                            <a:off x="4094480" y="4227830"/>
                            <a:ext cx="1149985" cy="3441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医院污水处理站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直接箭头连接符 66"/>
                        <wps:cNvCnPr/>
                        <wps:spPr>
                          <a:xfrm flipH="1">
                            <a:off x="4594860" y="2208530"/>
                            <a:ext cx="3810" cy="2033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9" name="文本框 69"/>
                        <wps:cNvSpPr txBox="1"/>
                        <wps:spPr>
                          <a:xfrm>
                            <a:off x="1646555" y="6637655"/>
                            <a:ext cx="762000"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62" w:beforeLines="20" w:line="240" w:lineRule="auto"/>
                                <w:ind w:firstLine="0" w:firstLineChars="0"/>
                                <w:jc w:val="center"/>
                                <w:rPr>
                                  <w:sz w:val="21"/>
                                  <w:szCs w:val="21"/>
                                </w:rPr>
                              </w:pPr>
                              <w:r>
                                <w:rPr>
                                  <w:rFonts w:hint="eastAsia"/>
                                  <w:sz w:val="21"/>
                                  <w:szCs w:val="21"/>
                                </w:rPr>
                                <w:t>食堂用水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74"/>
                        <wps:cNvSpPr txBox="1"/>
                        <wps:spPr>
                          <a:xfrm>
                            <a:off x="1198880" y="58566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18.28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2837180" y="55518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3.66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2760980" y="58566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14.62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2770505" y="6637655"/>
                            <a:ext cx="590550"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62" w:beforeLines="20" w:line="240" w:lineRule="auto"/>
                                <w:ind w:firstLine="0" w:firstLineChars="0"/>
                                <w:jc w:val="center"/>
                                <w:rPr>
                                  <w:sz w:val="21"/>
                                  <w:szCs w:val="21"/>
                                </w:rPr>
                              </w:pPr>
                              <w:r>
                                <w:rPr>
                                  <w:rFonts w:hint="eastAsia"/>
                                  <w:sz w:val="21"/>
                                  <w:szCs w:val="21"/>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直接箭头连接符 106"/>
                        <wps:cNvCnPr/>
                        <wps:spPr>
                          <a:xfrm>
                            <a:off x="4765040" y="4580255"/>
                            <a:ext cx="1905" cy="942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7" name="文本框 107"/>
                        <wps:cNvSpPr txBox="1"/>
                        <wps:spPr>
                          <a:xfrm>
                            <a:off x="3361055" y="98933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4437380" y="318960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12.34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4312920" y="5532755"/>
                            <a:ext cx="885190" cy="34290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院区总排口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11"/>
                        <wps:cNvSpPr txBox="1"/>
                        <wps:spPr>
                          <a:xfrm>
                            <a:off x="3208020" y="6447155"/>
                            <a:ext cx="428625" cy="238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1866900" y="7323455"/>
                            <a:ext cx="989965" cy="342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1"/>
                                  <w:szCs w:val="21"/>
                                </w:rPr>
                              </w:pPr>
                              <w:r>
                                <w:rPr>
                                  <w:rFonts w:hint="eastAsia"/>
                                  <w:sz w:val="21"/>
                                  <w:szCs w:val="21"/>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114"/>
                        <wps:cNvSpPr txBox="1"/>
                        <wps:spPr>
                          <a:xfrm>
                            <a:off x="4132580" y="4885055"/>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309.2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1208405" y="721868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12.78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2884805" y="7009130"/>
                            <a:ext cx="71374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12.78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直接箭头连接符 120"/>
                        <wps:cNvCnPr/>
                        <wps:spPr>
                          <a:xfrm>
                            <a:off x="4766310" y="5886450"/>
                            <a:ext cx="0" cy="3810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1" name="文本框 121"/>
                        <wps:cNvSpPr txBox="1"/>
                        <wps:spPr>
                          <a:xfrm>
                            <a:off x="3978910" y="6990080"/>
                            <a:ext cx="1295400"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szCs w:val="21"/>
                                </w:rPr>
                              </w:pPr>
                              <w:r>
                                <w:rPr>
                                  <w:rFonts w:hint="eastAsia"/>
                                  <w:sz w:val="21"/>
                                  <w:szCs w:val="21"/>
                                </w:rPr>
                                <w:t>最终进入吉木萨尔县污水处理厂处理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124"/>
                        <wps:cNvSpPr txBox="1"/>
                        <wps:spPr>
                          <a:xfrm>
                            <a:off x="3997960" y="6294755"/>
                            <a:ext cx="1276350" cy="322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sz w:val="21"/>
                                  <w:szCs w:val="21"/>
                                </w:rPr>
                              </w:pPr>
                              <w:r>
                                <w:rPr>
                                  <w:rFonts w:hint="eastAsia"/>
                                  <w:sz w:val="21"/>
                                  <w:szCs w:val="21"/>
                                </w:rPr>
                                <w:t>排入市政污水管网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直接箭头连接符 125"/>
                        <wps:cNvCnPr/>
                        <wps:spPr>
                          <a:xfrm>
                            <a:off x="4742180" y="6580505"/>
                            <a:ext cx="0" cy="3810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624.6pt;width:415.3pt;" coordsize="5274310,7932420" editas="canvas" o:gfxdata="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">
                <o:lock v:ext="edit" aspectratio="f"/>
                <v:shape id="_x0000_s1026" o:spid="_x0000_s1026" style="position:absolute;left:0;top:0;height:7932420;width:5274310;" filled="f" stroked="f" coordsize="21600,21600" o:gfxdata="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">
                  <v:fill on="f" focussize="0,0"/>
                  <v:stroke on="f"/>
                  <v:imagedata o:title=""/>
                  <o:lock v:ext="edit" aspectratio="f"/>
                </v:shape>
                <v:shape id="_x0000_s1026" o:spid="_x0000_s1026" o:spt="202" type="#_x0000_t202" style="position:absolute;left:1870710;top:35496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kHVjXX&#10;AAAABgEAAA8AAAAAAAAAAQAgAAAAIgAAAGRycy9kb3ducmV2LnhtbFBLAQIUABQAAAAIAIdO4kB8&#10;Dcy1WgIAAJgEAAAOAAAAAAAAAAEAIAAAACYBAABkcnMvZTJvRG9jLnhtbFBLBQYAAAAABgAGAFkB&#10;AADyBQ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感染门诊用水</w:t>
                        </w:r>
                      </w:p>
                    </w:txbxContent>
                  </v:textbox>
                </v:shape>
                <v:shape id="_x0000_s1026" o:spid="_x0000_s1026" o:spt="202" type="#_x0000_t202" style="position:absolute;left:19050;top:3634105;height:342900;width:112268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O4vD9cAAAAGAQAADwAAAAAAAAABACAAAAAi&#10;AAAAZHJzL2Rvd25yZXYueG1sUEsBAhQAFAAAAAgAh07iQDvFeaxEAgAAcAQAAA4AAAAAAAAAAQAg&#10;AAAAJgEAAGRycy9lMm9Eb2MueG1sUEsFBgAAAAAGAAYAWQEAANwFAAAAAA==&#10;">
                  <v:fill on="f" focussize="0,0"/>
                  <v:stroke on="f" weight="0.5pt"/>
                  <v:imagedata o:title=""/>
                  <o:lock v:ext="edit" aspectratio="f"/>
                  <v:textbox>
                    <w:txbxContent>
                      <w:p>
                        <w:pPr>
                          <w:ind w:firstLine="0" w:firstLineChars="0"/>
                          <w:jc w:val="center"/>
                          <w:rPr>
                            <w:sz w:val="21"/>
                            <w:szCs w:val="21"/>
                          </w:rPr>
                        </w:pPr>
                        <w:r>
                          <w:rPr>
                            <w:rFonts w:hint="eastAsia"/>
                            <w:sz w:val="21"/>
                            <w:szCs w:val="21"/>
                          </w:rPr>
                          <w:t>新鲜水：</w:t>
                        </w:r>
                        <w:r>
                          <w:rPr>
                            <w:rFonts w:ascii="Times New Roman" w:hAnsi="Times New Roman" w:cs="Times New Roman"/>
                            <w:sz w:val="21"/>
                            <w:szCs w:val="21"/>
                          </w:rPr>
                          <w:t>399.28</w:t>
                        </w:r>
                      </w:p>
                    </w:txbxContent>
                  </v:textbox>
                </v:shape>
                <v:line id="_x0000_s1026" o:spid="_x0000_s1026" o:spt="20" style="position:absolute;left:1261110;top:546100;height:6988175;width:0;" filled="f" stroked="t" coordsize="21600,21600" o:gfxdata="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Wz&#10;DznVAAAABgEAAA8AAAAAAAAAAQAgAAAAIgAAAGRycy9kb3ducmV2LnhtbFBLAQIUABQAAAAIAIdO&#10;4kBo6phV7QEAAL4DAAAOAAAAAAAAAAEAIAAAACQBAABkcnMvZTJvRG9jLnhtbFBLBQYAAAAABgAG&#10;AFkBAACDBQAAAAA=&#10;">
                  <v:fill on="f" focussize="0,0"/>
                  <v:stroke weight="0.5pt" color="#000000 [3200]" miterlimit="8" joinstyle="miter"/>
                  <v:imagedata o:title=""/>
                  <o:lock v:ext="edit" aspectratio="f"/>
                </v:line>
                <v:shape id="_x0000_s1026" o:spid="_x0000_s1026" o:spt="202" type="#_x0000_t202" style="position:absolute;left:1198880;top:22733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7i8P1wAAAAYBAAAPAAAAAAAAAAEAIAAA&#10;ACIAAABkcnMvZG93bnJldi54bWxQSwECFAAUAAAACACHTuJAi2kcmkYCAAByBAAADgAAAAAAAAAB&#10;ACAAAAAmAQAAZHJzL2Uyb0RvYy54bWxQSwUGAAAAAAYABgBZAQAA3g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0.3</w:t>
                        </w:r>
                      </w:p>
                    </w:txbxContent>
                  </v:textbox>
                </v:shape>
                <v:shape id="_x0000_s1026" o:spid="_x0000_s1026" o:spt="202" type="#_x0000_t202" style="position:absolute;left:2903855;top:0;height:295275;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&#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O4vD9cAAAAGAQAADwAAAAAAAAABACAAAAAiAAAA&#10;ZHJzL2Rvd25yZXYueG1sUEsBAhQAFAAAAAgAh07iQATldlRBAgAAbQQAAA4AAAAAAAAAAQAgAAAA&#10;JgEAAGRycy9lMm9Eb2MueG1sUEsFBgAAAAAGAAYAWQEAANk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06</w:t>
                        </w:r>
                      </w:p>
                    </w:txbxContent>
                  </v:textbox>
                </v:shape>
                <v:shape id="_x0000_s1026" o:spid="_x0000_s1026" o:spt="202" type="#_x0000_t202" style="position:absolute;left:2780030;top:2559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4vD9cAAAAGAQAADwAAAAAAAAABACAA&#10;AAAiAAAAZHJzL2Rvd25yZXYueG1sUEsBAhQAFAAAAAgAh07iQChMui9HAgAAcgQAAA4AAAAAAAAA&#10;AQAgAAAAJgEAAGRycy9lMm9Eb2MueG1sUEsFBgAAAAAGAAYAWQEAAN8FA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24</w:t>
                        </w:r>
                      </w:p>
                    </w:txbxContent>
                  </v:textbox>
                </v:shape>
                <v:shape id="_x0000_s1026" o:spid="_x0000_s1026" o:spt="202" type="#_x0000_t202" style="position:absolute;left:1884680;top:1031875;height:50419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B1Y11wAAAAYBAAAPAAAAAAAAAAEAIAAAACIAAABkcnMvZG93bnJldi54bWxQSwECFAAUAAAACACH&#10;TuJAH3bTP14CAACbBAAADgAAAAAAAAABACAAAAAmAQAAZHJzL2Uyb0RvYy54bWxQSwUGAAAAAAYA&#10;BgBZAQAA9gUAAAAA&#10;">
                  <v:fill on="f" focussize="0,0"/>
                  <v:stroke weight="0.5pt" color="#000000 [3204]" joinstyle="round"/>
                  <v:imagedata o:title=""/>
                  <o:lock v:ext="edit" aspectratio="f"/>
                  <v:textbox>
                    <w:txbxContent>
                      <w:p>
                        <w:pPr>
                          <w:spacing w:line="240" w:lineRule="auto"/>
                          <w:ind w:firstLine="0" w:firstLineChars="0"/>
                          <w:jc w:val="center"/>
                          <w:rPr>
                            <w:sz w:val="21"/>
                            <w:szCs w:val="21"/>
                          </w:rPr>
                        </w:pPr>
                        <w:r>
                          <w:rPr>
                            <w:rFonts w:hint="eastAsia"/>
                            <w:sz w:val="21"/>
                            <w:szCs w:val="21"/>
                          </w:rPr>
                          <w:t>感染门诊医护人员用水</w:t>
                        </w:r>
                      </w:p>
                    </w:txbxContent>
                  </v:textbox>
                </v:shape>
                <v:shape id="_x0000_s1026" o:spid="_x0000_s1026" o:spt="202" type="#_x0000_t202" style="position:absolute;left:2794000;top:99885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B14q57SAIAAHI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w:t>
                        </w:r>
                      </w:p>
                    </w:txbxContent>
                  </v:textbox>
                </v:shape>
                <v:shape id="_x0000_s1026" o:spid="_x0000_s1026" o:spt="202" type="#_x0000_t202" style="position:absolute;left:1861185;top:1907540;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kH&#10;VjXXAAAABgEAAA8AAAAAAAAAAQAgAAAAIgAAAGRycy9kb3ducmV2LnhtbFBLAQIUABQAAAAIAIdO&#10;4kBG9fYkXQIAAJsEAAAOAAAAAAAAAAEAIAAAACYBAABkcnMvZTJvRG9jLnhtbFBLBQYAAAAABgAG&#10;AFkBAAD1BQ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检验用水</w:t>
                        </w:r>
                      </w:p>
                    </w:txbxContent>
                  </v:textbox>
                </v:shape>
                <v:shape id="_x0000_s1026" o:spid="_x0000_s1026" o:spt="202" type="#_x0000_t202" style="position:absolute;left:1170305;top:17703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7i8P1wAAAAYBAAAPAAAAAAAAAAEAIAAA&#10;ACIAAABkcnMvZG93bnJldi54bWxQSwECFAAUAAAACACHTuJARckOUEYCAABzBAAADgAAAAAAAAAB&#10;ACAAAAAmAQAAZHJzL2Uyb0RvYy54bWxQSwUGAAAAAAYABgBZAQAA3g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12</w:t>
                        </w:r>
                      </w:p>
                    </w:txbxContent>
                  </v:textbox>
                </v:shape>
                <v:shape id="_x0000_s1026" o:spid="_x0000_s1026" o:spt="202" type="#_x0000_t202" style="position:absolute;left:2751455;top:179895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4vD9cAAAAGAQAADwAAAAAAAAABACAA&#10;AAAiAAAAZHJzL2Rvd25yZXYueG1sUEsBAhQAFAAAAAgAh07iQBbFQ7pHAgAAcwQAAA4AAAAAAAAA&#10;AQAgAAAAJgEAAGRycy9lMm9Eb2MueG1sUEsFBgAAAAAGAAYAWQEAAN8FA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096</w:t>
                        </w:r>
                      </w:p>
                    </w:txbxContent>
                  </v:textbox>
                </v:shape>
                <v:shape id="_x0000_s1026" o:spid="_x0000_s1026" o:spt="202" type="#_x0000_t202" style="position:absolute;left:1880235;top:258381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B1Y11wAAAAYBAAAPAAAAAAAAAAEAIAAAACIAAABkcnMvZG93bnJldi54bWxQSwECFAAUAAAACACH&#10;TuJAtOjgTF4CAACbBAAADgAAAAAAAAABACAAAAAmAQAAZHJzL2Uyb0RvYy54bWxQSwUGAAAAAAYA&#10;BgBZAQAA9gU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门急诊用水</w:t>
                        </w:r>
                      </w:p>
                    </w:txbxContent>
                  </v:textbox>
                </v:shape>
                <v:shape id="_x0000_s1026" o:spid="_x0000_s1026" o:spt="202" type="#_x0000_t202" style="position:absolute;left:1189355;top:24561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4vD9cAAAAGAQAADwAAAAAAAAABACAA&#10;AAAiAAAAZHJzL2Rvd25yZXYueG1sUEsBAhQAFAAAAAgAh07iQFpVUZJHAgAAcwQAAA4AAAAAAAAA&#10;AQAgAAAAJgEAAGRycy9lMm9Eb2MueG1sUEsFBgAAAAAGAAYAWQEAAN8FA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w:t>
                        </w:r>
                      </w:p>
                    </w:txbxContent>
                  </v:textbox>
                </v:shape>
                <v:shape id="_x0000_s1026" o:spid="_x0000_s1026" o:spt="202" type="#_x0000_t202" style="position:absolute;left:2789555;top:24561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BsvIQb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w:t>
                        </w:r>
                      </w:p>
                    </w:txbxContent>
                  </v:textbox>
                </v:shape>
                <v:shape id="_x0000_s1026" o:spid="_x0000_s1026" o:spt="32" type="#_x0000_t32" style="position:absolute;left:2875280;top:4132580;flip:y;height:9525;width:609600;"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gKNn9YA&#10;AAAGAQAADwAAAAAAAAABACAAAAAiAAAAZHJzL2Rvd25yZXYueG1sUEsBAhQAFAAAAAgAh07iQOwx&#10;5+EhAgAACgQAAA4AAAAAAAAAAQAgAAAAJQEAAGRycy9lMm9Eb2MueG1sUEsFBgAAAAAGAAYAWQEA&#10;ALgFAAAAAA==&#10;">
                  <v:fill on="f" focussize="0,0"/>
                  <v:stroke weight="0.5pt" color="#000000 [3200]" miterlimit="8" joinstyle="miter" endarrow="open"/>
                  <v:imagedata o:title=""/>
                  <o:lock v:ext="edit" aspectratio="f"/>
                </v:shape>
                <v:shape id="_x0000_s1026" o:spid="_x0000_s1026" o:spt="32" type="#_x0000_t32" style="position:absolute;left:1256030;top:4123055;flip:y;height:9525;width:609600;"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oCjZ/W&#10;AAAABgEAAA8AAAAAAAAAAQAgAAAAIgAAAGRycy9kb3ducmV2LnhtbFBLAQIUABQAAAAIAIdO4kAS&#10;e7NTIgIAAAoEAAAOAAAAAAAAAAEAIAAAACUBAABkcnMvZTJvRG9jLnhtbFBLBQYAAAAABgAGAFkB&#10;AAC5BQAAAAA=&#10;">
                  <v:fill on="f" focussize="0,0"/>
                  <v:stroke weight="0.5pt" color="#000000 [3200]" miterlimit="8" joinstyle="miter" endarrow="open"/>
                  <v:imagedata o:title=""/>
                  <o:lock v:ext="edit" aspectratio="f"/>
                </v:shape>
                <v:shape id="_x0000_s1026" o:spid="_x0000_s1026" o:spt="202" type="#_x0000_t202" style="position:absolute;left:1208405;top:9702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AlckhjSAIAAHI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w:t>
                        </w:r>
                      </w:p>
                    </w:txbxContent>
                  </v:textbox>
                </v:shape>
                <v:shape id="_x0000_s1026" o:spid="_x0000_s1026" o:spt="202" type="#_x0000_t202" style="position:absolute;left:2789555;top:5988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Wu+l6UkCAABy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p>
                    </w:txbxContent>
                  </v:textbox>
                </v:shape>
                <v:shape id="_x0000_s1026" o:spid="_x0000_s1026" o:spt="202" type="#_x0000_t202" style="position:absolute;left:1198880;top:45231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DxjQmA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120</w:t>
                        </w:r>
                      </w:p>
                    </w:txbxContent>
                  </v:textbox>
                </v:shape>
                <v:shape id="_x0000_s1026" o:spid="_x0000_s1026" o:spt="202" type="#_x0000_t202" style="position:absolute;left:1198880;top:31134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QZ0EikkCAABz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150</w:t>
                        </w:r>
                      </w:p>
                    </w:txbxContent>
                  </v:textbox>
                </v:shape>
                <v:shape id="_x0000_s1026" o:spid="_x0000_s1026" o:spt="202" type="#_x0000_t202" style="position:absolute;left:2656205;top:2141855;height:37084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CoLcty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p>
                    </w:txbxContent>
                  </v:textbox>
                </v:shape>
                <v:shape id="_x0000_s1026" o:spid="_x0000_s1026" o:spt="202" type="#_x0000_t202" style="position:absolute;left:2732405;top:14655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B2HaZH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024</w:t>
                        </w:r>
                      </w:p>
                    </w:txbxContent>
                  </v:textbox>
                </v:shape>
                <v:shape id="_x0000_s1026" o:spid="_x0000_s1026" o:spt="202" type="#_x0000_t202" style="position:absolute;left:1875155;top:395160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QdWNdcAAAAGAQAADwAAAAAAAAABACAAAAAiAAAAZHJzL2Rvd25yZXYueG1sUEsBAhQAFAAAAAgA&#10;h07iQEMqbzBfAgAAmwQAAA4AAAAAAAAAAQAgAAAAJgEAAGRycy9lMm9Eb2MueG1sUEsFBgAAAAAG&#10;AAYAWQEAAPcFA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检验用水</w:t>
                        </w:r>
                      </w:p>
                    </w:txbxContent>
                  </v:textbox>
                </v:shape>
                <v:shape id="_x0000_s1026" o:spid="_x0000_s1026" o:spt="202" type="#_x0000_t202" style="position:absolute;left:1884045;top:463740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QdWNdcAAAAGAQAADwAAAAAAAAABACAAAAAiAAAAZHJzL2Rvd25yZXYueG1sUEsBAhQAFAAAAAgA&#10;h07iQKyFEnZfAgAAmwQAAA4AAAAAAAAAAQAgAAAAJgEAAGRycy9lMm9Eb2MueG1sUEsFBgAAAAAG&#10;AAYAWQEAAPcFA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医护人员用水</w:t>
                        </w:r>
                      </w:p>
                    </w:txbxContent>
                  </v:textbox>
                </v:shape>
                <v:shape id="_x0000_s1026" o:spid="_x0000_s1026" o:spt="202" type="#_x0000_t202" style="position:absolute;left:1875155;top:3256280;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QdW&#10;NdcAAAAGAQAADwAAAAAAAAABACAAAAAiAAAAZHJzL2Rvd25yZXYueG1sUEsBAhQAFAAAAAgAh07i&#10;QORC1IdcAgAAmwQAAA4AAAAAAAAAAQAgAAAAJgEAAGRycy9lMm9Eb2MueG1sUEsFBgAAAAAGAAYA&#10;WQEAAPQFA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病房用水</w:t>
                        </w:r>
                      </w:p>
                    </w:txbxContent>
                  </v:textbox>
                </v:shape>
                <v:shape id="_x0000_s1026" o:spid="_x0000_s1026" o:spt="202" type="#_x0000_t202" style="position:absolute;left:2665730;top:34944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C6zOA9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6</w:t>
                        </w:r>
                      </w:p>
                    </w:txbxContent>
                  </v:textbox>
                </v:shape>
                <v:shape id="_x0000_s1026" o:spid="_x0000_s1026" o:spt="202" type="#_x0000_t202" style="position:absolute;left:2780030;top:381825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5B0uG0kCAABz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2.4</w:t>
                        </w:r>
                      </w:p>
                    </w:txbxContent>
                  </v:textbox>
                </v:shape>
                <v:shape id="_x0000_s1026" o:spid="_x0000_s1026" o:spt="202" type="#_x0000_t202" style="position:absolute;left:1217930;top:37992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4vD9cAAAAGAQAADwAAAAAAAAABACAA&#10;AAAiAAAAZHJzL2Rvd25yZXYueG1sUEsBAhQAFAAAAAgAh07iQB6VU5pHAgAAcwQAAA4AAAAAAAAA&#10;AQAgAAAAJgEAAGRycy9lMm9Eb2MueG1sUEsFBgAAAAAGAAYAWQEAAN8FA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3.0</w:t>
                        </w:r>
                      </w:p>
                    </w:txbxContent>
                  </v:textbox>
                </v:shape>
                <v:shape id="_x0000_s1026" o:spid="_x0000_s1026" o:spt="202" type="#_x0000_t202" style="position:absolute;left:2703830;top:28467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D9eBcd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30</w:t>
                        </w:r>
                      </w:p>
                    </w:txbxContent>
                  </v:textbox>
                </v:shape>
                <v:shape id="_x0000_s1026" o:spid="_x0000_s1026" o:spt="202" type="#_x0000_t202" style="position:absolute;left:2780030;top:313245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4vD9cAAAAGAQAADwAAAAAAAAABACAA&#10;AAAiAAAAZHJzL2Rvd25yZXYueG1sUEsBAhQAFAAAAAgAh07iQAYTMMdHAgAAcwQAAA4AAAAAAAAA&#10;AQAgAAAAJgEAAGRycy9lMm9Eb2MueG1sUEsFBgAAAAAGAAYAWQEAAN8FA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120</w:t>
                        </w:r>
                      </w:p>
                    </w:txbxContent>
                  </v:textbox>
                </v:shape>
                <v:shape id="_x0000_s1026" o:spid="_x0000_s1026" o:spt="32" type="#_x0000_t32" style="position:absolute;left:2868295;top:5516880;flip:y;height:9525;width:609600;"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gKN&#10;n9YAAAAGAQAADwAAAAAAAAABACAAAAAiAAAAZHJzL2Rvd25yZXYueG1sUEsBAhQAFAAAAAgAh07i&#10;QGOxzEckAgAACgQAAA4AAAAAAAAAAQAgAAAAJQEAAGRycy9lMm9Eb2MueG1sUEsFBgAAAAAGAAYA&#10;WQEAALsFAAAAAA==&#10;">
                  <v:fill on="f" focussize="0,0"/>
                  <v:stroke weight="0.5pt" color="#000000 [3200]" miterlimit="8" joinstyle="miter" endarrow="open"/>
                  <v:imagedata o:title=""/>
                  <o:lock v:ext="edit" aspectratio="f"/>
                </v:shape>
                <v:shape id="_x0000_s1026" o:spid="_x0000_s1026" o:spt="32" type="#_x0000_t32" style="position:absolute;left:1268095;top:5516880;flip:y;height:9525;width:609600;"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gKN&#10;n9YAAAAGAQAADwAAAAAAAAABACAAAAAiAAAAZHJzL2Rvd25yZXYueG1sUEsBAhQAFAAAAAgAh07i&#10;QLopEkckAgAACgQAAA4AAAAAAAAAAQAgAAAAJQEAAGRycy9lMm9Eb2MueG1sUEsFBgAAAAAGAAYA&#10;WQEAALsFAAAAAA==&#10;">
                  <v:fill on="f" focussize="0,0"/>
                  <v:stroke weight="0.5pt" color="#000000 [3200]" miterlimit="8" joinstyle="miter" endarrow="open"/>
                  <v:imagedata o:title=""/>
                  <o:lock v:ext="edit" aspectratio="f"/>
                </v:shape>
                <v:shape id="_x0000_s1026" o:spid="_x0000_s1026" o:spt="32" type="#_x0000_t32" style="position:absolute;left:2875280;top:6151880;flip:y;height:9525;width:609600;"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oCjZ/W&#10;AAAABgEAAA8AAAAAAAAAAQAgAAAAIgAAAGRycy9kb3ducmV2LnhtbFBLAQIUABQAAAAIAIdO4kCR&#10;WgWKIgIAAAoEAAAOAAAAAAAAAAEAIAAAACUBAABkcnMvZTJvRG9jLnhtbFBLBQYAAAAABgAGAFkB&#10;AAC5BQAAAAA=&#10;">
                  <v:fill on="f" focussize="0,0"/>
                  <v:stroke weight="0.5pt" color="#000000 [3200]" miterlimit="8" joinstyle="miter" endarrow="open"/>
                  <v:imagedata o:title=""/>
                  <o:lock v:ext="edit" aspectratio="f"/>
                </v:shape>
                <v:shape id="_x0000_s1026" o:spid="_x0000_s1026" o:spt="32" type="#_x0000_t32" style="position:absolute;left:1275080;top:6151880;flip:y;height:9525;width:609600;"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gKNn9YA&#10;AAAGAQAADwAAAAAAAAABACAAAAAiAAAAZHJzL2Rvd25yZXYueG1sUEsBAhQAFAAAAAgAh07iQEjC&#10;24ohAgAACgQAAA4AAAAAAAAAAQAgAAAAJQEAAGRycy9lMm9Eb2MueG1sUEsFBgAAAAAGAAYAWQEA&#10;ALgFAAAAAA==&#10;">
                  <v:fill on="f" focussize="0,0"/>
                  <v:stroke weight="0.5pt" color="#000000 [3200]" miterlimit="8" joinstyle="miter" endarrow="open"/>
                  <v:imagedata o:title=""/>
                  <o:lock v:ext="edit" aspectratio="f"/>
                </v:shape>
                <v:shape id="_x0000_s1026" o:spid="_x0000_s1026" o:spt="202" type="#_x0000_t202" style="position:absolute;left:2703830;top:419925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O4vD9cAAAAGAQAADwAAAAAAAAAB&#10;ACAAAAAiAAAAZHJzL2Rvd25yZXYueG1sUEsBAhQAFAAAAAgAh07iQCu0VdJKAgAAcwQAAA4AAAAA&#10;AAAAAQAgAAAAJgEAAGRycy9lMm9Eb2MueG1sUEsFBgAAAAAGAAYAWQEAAOIFA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24</w:t>
                        </w:r>
                      </w:p>
                    </w:txbxContent>
                  </v:textbox>
                </v:shape>
                <v:shape id="_x0000_s1026" o:spid="_x0000_s1026" o:spt="202" type="#_x0000_t202" style="position:absolute;left:2799080;top:45135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BJzOxk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96</w:t>
                        </w:r>
                      </w:p>
                    </w:txbxContent>
                  </v:textbox>
                </v:shape>
                <v:shape id="_x0000_s1026" o:spid="_x0000_s1026" o:spt="202" type="#_x0000_t202" style="position:absolute;left:2780030;top:48945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DnGgjz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2.96</w:t>
                        </w:r>
                      </w:p>
                    </w:txbxContent>
                  </v:textbox>
                </v:shape>
                <v:shape id="_x0000_s1026" o:spid="_x0000_s1026" o:spt="202" type="#_x0000_t202" style="position:absolute;left:2799080;top:521843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Bwfc0MSAIAAHMEAAAOAAAAAAAA&#10;AAEAIAAAACYBAABkcnMvZTJvRG9jLnhtbFBLBQYAAAAABgAGAFkBAADgBQ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11.84</w:t>
                        </w:r>
                      </w:p>
                    </w:txbxContent>
                  </v:textbox>
                </v:shape>
                <v:shape id="_x0000_s1026" o:spid="_x0000_s1026" o:spt="202" type="#_x0000_t202" style="position:absolute;left:1160780;top:52374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7i8P1wAAAAYBAAAPAAAAAAAAAAEAIAAA&#10;ACIAAABkcnMvZG93bnJldi54bWxQSwECFAAUAAAACACHTuJAP2U2sUYCAABzBAAADgAAAAAAAAAB&#10;ACAAAAAmAQAAZHJzL2Uyb0RvYy54bWxQSwUGAAAAAAYABgBZAQAA3g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14.8</w:t>
                        </w:r>
                      </w:p>
                    </w:txbxContent>
                  </v:textbox>
                </v:shape>
                <v:shape id="_x0000_s1026" o:spid="_x0000_s1026" o:spt="202" type="#_x0000_t202" style="position:absolute;left:1875155;top:5313680;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kH&#10;VjXXAAAABgEAAA8AAAAAAAAAAQAgAAAAIgAAAGRycy9kb3ducmV2LnhtbFBLAQIUABQAAAAIAIdO&#10;4kBBsizYXQIAAJsEAAAOAAAAAAAAAAEAIAAAACYBAABkcnMvZTJvRG9jLnhtbFBLBQYAAAAABgAG&#10;AFkBAAD1BQ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地面保洁用水</w:t>
                        </w:r>
                      </w:p>
                    </w:txbxContent>
                  </v:textbox>
                </v:shape>
                <v:shape id="_x0000_s1026" o:spid="_x0000_s1026" o:spt="202" type="#_x0000_t202" style="position:absolute;left:4103370;top:185610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QdWNdcAAAAGAQAADwAAAAAAAAABACAAAAAiAAAAZHJzL2Rvd25yZXYueG1sUEsBAhQAFAAAAAgA&#10;h07iQE+v+gpfAgAAmwQAAA4AAAAAAAAAAQAgAAAAJgEAAGRycy9lMm9Eb2MueG1sUEsFBgAAAAAG&#10;AAYAWQEAAPcFA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脱氯池</w:t>
                        </w:r>
                      </w:p>
                    </w:txbxContent>
                  </v:textbox>
                </v:shape>
                <v:shape id="_x0000_s1026" o:spid="_x0000_s1026" o:spt="202" type="#_x0000_t202" style="position:absolute;left:4084955;top:109410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B1Y11wAAAAYBAAAPAAAAAAAAAAEAIAAAACIAAABkcnMvZG93bnJldi54bWxQSwECFAAUAAAACACH&#10;TuJAZKpRRV4CAACbBAAADgAAAAAAAAABACAAAAAmAQAAZHJzL2Uyb0RvYy54bWxQSwUGAAAAAAYA&#10;BgBZAQAA9gU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预消毒池</w:t>
                        </w:r>
                      </w:p>
                    </w:txbxContent>
                  </v:textbox>
                </v:shape>
                <v:shape id="_x0000_s1026" o:spid="_x0000_s1026" o:spt="202" type="#_x0000_t202" style="position:absolute;left:1884680;top:597090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kHVjXXAAAABgEAAA8AAAAAAAAAAQAgAAAAIgAAAGRycy9kb3ducmV2LnhtbFBLAQIUABQAAAAI&#10;AIdO4kDib783YAIAAJsEAAAOAAAAAAAAAAEAIAAAACYBAABkcnMvZTJvRG9jLnhtbFBLBQYAAAAA&#10;BgAGAFkBAAD4BQ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不可预见用水</w:t>
                        </w:r>
                      </w:p>
                    </w:txbxContent>
                  </v:textbox>
                </v:shape>
                <v:shape id="_x0000_s1026" o:spid="_x0000_s1026" o:spt="202" type="#_x0000_t202" style="position:absolute;left:2513330;top:6285230;height:266700;width:4470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4vD9cAAAAGAQAADwAAAAAAAAABACAA&#10;AAAiAAAAZHJzL2Rvd25yZXYueG1sUEsBAhQAFAAAAAgAh07iQFjIvQNHAgAAcwQAAA4AAAAAAAAA&#10;AQAgAAAAJgEAAGRycy9lMm9Eb2MueG1sUEsFBgAAAAAGAAYAWQEAAN8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10</w:t>
                        </w:r>
                      </w:p>
                    </w:txbxContent>
                  </v:textbox>
                </v:shape>
                <v:shape id="_x0000_s1026" o:spid="_x0000_s1026" o:spt="202" type="#_x0000_t202" style="position:absolute;left:2351405;top:6580505;height:238125;width:41910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AOLZfUSAIAAHMEAAAOAAAAAAAA&#10;AAEAIAAAACYBAABkcnMvZTJvRG9jLnhtbFBLBQYAAAAABgAGAFkBAADgBQ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40</w:t>
                        </w:r>
                      </w:p>
                    </w:txbxContent>
                  </v:textbox>
                </v:shape>
                <v:shape id="_x0000_s1026" o:spid="_x0000_s1026" o:spt="202" type="#_x0000_t202" style="position:absolute;left:4465955;top:14370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O4vD9cAAAAGAQAADwAAAAAAAAAB&#10;ACAAAAAiAAAAZHJzL2Rvd25yZXYueG1sUEsBAhQAFAAAAAgAh07iQNQ70IBKAgAAcwQAAA4AAAAA&#10;AAAAAQAgAAAAJgEAAGRycy9lMm9Eb2MueG1sUEsFBgAAAAAGAAYAWQEAAOIFA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12.34</w:t>
                        </w:r>
                      </w:p>
                    </w:txbxContent>
                  </v:textbox>
                </v:shape>
                <v:shape id="_x0000_s1026" o:spid="_x0000_s1026" o:spt="202" type="#_x0000_t202" style="position:absolute;left:3389630;top:41325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FTJoCUkCAABz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299.86</w:t>
                        </w:r>
                      </w:p>
                    </w:txbxContent>
                  </v:textbox>
                </v:shape>
                <v:shape id="_x0000_s1026" o:spid="_x0000_s1026" o:spt="202" type="#_x0000_t202" style="position:absolute;left:1189355;top:6542405;height:276225;width:475615;"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I6f9g0kCAABzBAAADgAAAAAA&#10;AAABACAAAAAmAQAAZHJzL2Uyb0RvYy54bWxQSwUGAAAAAAYABgBZAQAA4QU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50</w:t>
                        </w:r>
                      </w:p>
                    </w:txbxContent>
                  </v:textbox>
                </v:shape>
                <v:shape id="_x0000_s1026" o:spid="_x0000_s1026" o:spt="32" type="#_x0000_t32" style="position:absolute;left:4575810;top:1437005;flip:x;height:427355;width:4445;"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Ao2f1gAAAAYBAAAPAAAAAAAAAAEAIAAAACIAAABkcnMvZG93bnJldi54&#10;bWxQSwECFAAUAAAACACHTuJA+t+uEDUCAAAxBAAADgAAAAAAAAABACAAAAAlAQAAZHJzL2Uyb0Rv&#10;Yy54bWxQSwUGAAAAAAYABgBZAQAAzAUAAAAA&#10;">
                  <v:fill on="f" focussize="0,0"/>
                  <v:stroke weight="0.5pt" color="#000000 [3200]" miterlimit="8" joinstyle="miter" endarrow="open"/>
                  <v:imagedata o:title=""/>
                  <o:lock v:ext="edit" aspectratio="f"/>
                </v:shape>
                <v:line id="_x0000_s1026" o:spid="_x0000_s1026" o:spt="20" style="position:absolute;left:3489960;top:2750185;height:4081145;width:635;" filled="f" stroked="t" coordsize="21600,21600" o:gfxdata="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WzDznVAAAABgEAAA8AAAAAAAAAAQAgAAAAIgAAAGRycy9kb3ducmV2LnhtbFBLAQIUABQA&#10;AAAIAIdO4kDlzYal8wEAAMEDAAAOAAAAAAAAAAEAIAAAACQBAABkcnMvZTJvRG9jLnhtbFBLBQYA&#10;AAAABgAGAFkBAACJBQAAAAA=&#10;">
                  <v:fill on="f" focussize="0,0"/>
                  <v:stroke weight="0.5pt" color="#000000 [3200]" miterlimit="8" joinstyle="miter"/>
                  <v:imagedata o:title=""/>
                  <o:lock v:ext="edit" aspectratio="f"/>
                </v:line>
                <v:shape id="_x0000_s1026" o:spid="_x0000_s1026" o:spt="202" type="#_x0000_t202" style="position:absolute;left:4094480;top:4227830;height:344170;width:114998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kH&#10;VjXXAAAABgEAAA8AAAAAAAAAAQAgAAAAIgAAAGRycy9kb3ducmV2LnhtbFBLAQIUABQAAAAIAIdO&#10;4kCpbEoWXQIAAJwEAAAOAAAAAAAAAAEAIAAAACYBAABkcnMvZTJvRG9jLnhtbFBLBQYAAAAABgAG&#10;AFkBAAD1BQ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医院污水处理站</w:t>
                        </w:r>
                      </w:p>
                    </w:txbxContent>
                  </v:textbox>
                </v:shape>
                <v:shape id="_x0000_s1026" o:spid="_x0000_s1026" o:spt="32" type="#_x0000_t32" style="position:absolute;left:4594860;top:2208530;flip:x;height:2033270;width:3810;" filled="f" stroked="t" coordsize="21600,21600" o:gfxdata="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C&#10;jZ/WAAAABgEAAA8AAAAAAAAAAQAgAAAAIgAAAGRycy9kb3ducmV2LnhtbFBLAQIUABQAAAAIAIdO&#10;4kA24zbKJQIAAAsEAAAOAAAAAAAAAAEAIAAAACUBAABkcnMvZTJvRG9jLnhtbFBLBQYAAAAABgAG&#10;AFkBAAC8BQAAAAA=&#10;">
                  <v:fill on="f" focussize="0,0"/>
                  <v:stroke weight="0.5pt" color="#000000 [3200]" miterlimit="8" joinstyle="miter" endarrow="open"/>
                  <v:imagedata o:title=""/>
                  <o:lock v:ext="edit" aspectratio="f"/>
                </v:shape>
                <v:shape id="_x0000_s1026" o:spid="_x0000_s1026" o:spt="202" type="#_x0000_t202" style="position:absolute;left:1646555;top:6637655;height:342900;width:762000;"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kHVjXX&#10;AAAABgEAAA8AAAAAAAAAAQAgAAAAIgAAAGRycy9kb3ducmV2LnhtbFBLAQIUABQAAAAIAIdO4kDA&#10;7yK5WgIAAJsEAAAOAAAAAAAAAAEAIAAAACYBAABkcnMvZTJvRG9jLnhtbFBLBQYAAAAABgAGAFkB&#10;AADyBQAAAAA=&#10;">
                  <v:fill on="f" focussize="0,0"/>
                  <v:stroke weight="0.5pt" color="#000000 [3204]" joinstyle="round"/>
                  <v:imagedata o:title=""/>
                  <o:lock v:ext="edit" aspectratio="f"/>
                  <v:textbox>
                    <w:txbxContent>
                      <w:p>
                        <w:pPr>
                          <w:spacing w:before="62" w:beforeLines="20" w:line="240" w:lineRule="auto"/>
                          <w:ind w:firstLine="0" w:firstLineChars="0"/>
                          <w:jc w:val="center"/>
                          <w:rPr>
                            <w:sz w:val="21"/>
                            <w:szCs w:val="21"/>
                          </w:rPr>
                        </w:pPr>
                        <w:r>
                          <w:rPr>
                            <w:rFonts w:hint="eastAsia"/>
                            <w:sz w:val="21"/>
                            <w:szCs w:val="21"/>
                          </w:rPr>
                          <w:t>食堂用水</w:t>
                        </w:r>
                      </w:p>
                    </w:txbxContent>
                  </v:textbox>
                </v:shape>
                <v:shape id="_x0000_s1026" o:spid="_x0000_s1026" o:spt="202" type="#_x0000_t202" style="position:absolute;left:1198880;top:58566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iRzgukkCAABz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18.28</w:t>
                        </w:r>
                      </w:p>
                    </w:txbxContent>
                  </v:textbox>
                </v:shape>
                <v:shape id="_x0000_s1026" o:spid="_x0000_s1026" o:spt="202" type="#_x0000_t202" style="position:absolute;left:2837180;top:55518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tPk7P0kCAABz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3.66</w:t>
                        </w:r>
                      </w:p>
                    </w:txbxContent>
                  </v:textbox>
                </v:shape>
                <v:shape id="_x0000_s1026" o:spid="_x0000_s1026" o:spt="202" type="#_x0000_t202" style="position:absolute;left:2760980;top:58566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fkl1iUkCAABz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14.62</w:t>
                        </w:r>
                      </w:p>
                    </w:txbxContent>
                  </v:textbox>
                </v:shape>
                <v:shape id="_x0000_s1026" o:spid="_x0000_s1026" o:spt="202" type="#_x0000_t202" style="position:absolute;left:2770505;top:6637655;height:342900;width:590550;"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B1Y11wAAAAYBAAAPAAAAAAAAAAEAIAAAACIAAABkcnMvZG93bnJldi54bWxQSwECFAAUAAAACACH&#10;TuJA52bw0F4CAACdBAAADgAAAAAAAAABACAAAAAmAQAAZHJzL2Uyb0RvYy54bWxQSwUGAAAAAAYA&#10;BgBZAQAA9gUAAAAA&#10;">
                  <v:fill on="f" focussize="0,0"/>
                  <v:stroke weight="0.5pt" color="#000000 [3204]" joinstyle="round"/>
                  <v:imagedata o:title=""/>
                  <o:lock v:ext="edit" aspectratio="f"/>
                  <v:textbox>
                    <w:txbxContent>
                      <w:p>
                        <w:pPr>
                          <w:spacing w:before="62" w:beforeLines="20" w:line="240" w:lineRule="auto"/>
                          <w:ind w:firstLine="0" w:firstLineChars="0"/>
                          <w:jc w:val="center"/>
                          <w:rPr>
                            <w:sz w:val="21"/>
                            <w:szCs w:val="21"/>
                          </w:rPr>
                        </w:pPr>
                        <w:r>
                          <w:rPr>
                            <w:rFonts w:hint="eastAsia"/>
                            <w:sz w:val="21"/>
                            <w:szCs w:val="21"/>
                          </w:rPr>
                          <w:t>隔油池</w:t>
                        </w:r>
                      </w:p>
                    </w:txbxContent>
                  </v:textbox>
                </v:shape>
                <v:shape id="_x0000_s1026" o:spid="_x0000_s1026" o:spt="32" type="#_x0000_t32" style="position:absolute;left:4765040;top:4580255;height:942975;width:1905;" filled="f" stroked="t" coordsize="21600,21600" o:gfxdata="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aLol1gAA&#10;AAYBAAAPAAAAAAAAAAEAIAAAACIAAABkcnMvZG93bnJldi54bWxQSwECFAAUAAAACACHTuJA6IfY&#10;OSACAAACBAAADgAAAAAAAAABACAAAAAlAQAAZHJzL2Uyb0RvYy54bWxQSwUGAAAAAAYABgBZAQAA&#10;twUAAAAA&#10;">
                  <v:fill on="f" focussize="0,0"/>
                  <v:stroke weight="0.5pt" color="#000000 [3200]" miterlimit="8" joinstyle="miter" endarrow="open"/>
                  <v:imagedata o:title=""/>
                  <o:lock v:ext="edit" aspectratio="f"/>
                </v:shape>
                <v:shape id="_x0000_s1026" o:spid="_x0000_s1026" o:spt="202" type="#_x0000_t202" style="position:absolute;left:3361055;top:98933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HwSHn0kCAAB0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12.34</w:t>
                        </w:r>
                      </w:p>
                    </w:txbxContent>
                  </v:textbox>
                </v:shape>
                <v:shape id="_x0000_s1026" o:spid="_x0000_s1026" o:spt="202" type="#_x0000_t202" style="position:absolute;left:4437380;top:318960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YxwK0kkCAAB1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12.34</w:t>
                        </w:r>
                      </w:p>
                    </w:txbxContent>
                  </v:textbox>
                </v:shape>
                <v:shape id="_x0000_s1026" o:spid="_x0000_s1026" o:spt="202" type="#_x0000_t202" style="position:absolute;left:4312920;top:5532755;height:342900;width:885190;"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J&#10;B1Y11wAAAAYBAAAPAAAAAAAAAAEAIAAAACIAAABkcnMvZG93bnJldi54bWxQSwECFAAUAAAACACH&#10;TuJARaD++F4CAACeBAAADgAAAAAAAAABACAAAAAmAQAAZHJzL2Uyb0RvYy54bWxQSwUGAAAAAAYA&#10;BgBZAQAA9gUAAAAA&#10;">
                  <v:fill on="f" focussize="0,0"/>
                  <v:stroke weight="0.5pt" color="#000000 [3213]" joinstyle="round"/>
                  <v:imagedata o:title=""/>
                  <o:lock v:ext="edit" aspectratio="f"/>
                  <v:textbox>
                    <w:txbxContent>
                      <w:p>
                        <w:pPr>
                          <w:ind w:firstLine="0" w:firstLineChars="0"/>
                          <w:jc w:val="center"/>
                          <w:rPr>
                            <w:sz w:val="21"/>
                            <w:szCs w:val="21"/>
                          </w:rPr>
                        </w:pPr>
                        <w:r>
                          <w:rPr>
                            <w:rFonts w:hint="eastAsia"/>
                            <w:sz w:val="21"/>
                            <w:szCs w:val="21"/>
                          </w:rPr>
                          <w:t>院区总排口</w:t>
                        </w:r>
                      </w:p>
                    </w:txbxContent>
                  </v:textbox>
                </v:shape>
                <v:shape id="_x0000_s1026" o:spid="_x0000_s1026" o:spt="202" type="#_x0000_t202" style="position:absolute;left:3208020;top:6447155;height:238760;width:428625;"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O4vD9cAAAAGAQAADwAAAAAAAAAB&#10;ACAAAAAiAAAAZHJzL2Rvd25yZXYueG1sUEsBAhQAFAAAAAgAh07iQFacvglKAgAAdQQAAA4AAAAA&#10;AAAAAQAgAAAAJgEAAGRycy9lMm9Eb2MueG1sUEsFBgAAAAAGAAYAWQEAAOIFAAAAAA==&#10;">
                  <v:fill on="f" focussize="0,0"/>
                  <v:stroke on="f" weight="0.5pt"/>
                  <v:imagedata o:title=""/>
                  <o:lock v:ext="edit" aspectratio="f"/>
                  <v:textbox>
                    <w:txbxContent>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40</w:t>
                        </w:r>
                      </w:p>
                    </w:txbxContent>
                  </v:textbox>
                </v:shape>
                <v:shape id="_x0000_s1026" o:spid="_x0000_s1026" o:spt="202" type="#_x0000_t202" style="position:absolute;left:1866900;top:7323455;height:342900;width:989965;" filled="f" stroked="t" coordsize="21600,21600" o:gfxdata="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QdW&#10;NdcAAAAGAQAADwAAAAAAAAABACAAAAAiAAAAZHJzL2Rvd25yZXYueG1sUEsBAhQAFAAAAAgAh07i&#10;QM5rAF1cAgAAnQQAAA4AAAAAAAAAAQAgAAAAJgEAAGRycy9lMm9Eb2MueG1sUEsFBgAAAAAGAAYA&#10;WQEAAPQFAAAAAA==&#10;">
                  <v:fill on="f" focussize="0,0"/>
                  <v:stroke weight="0.5pt" color="#000000 [3204]" joinstyle="round"/>
                  <v:imagedata o:title=""/>
                  <o:lock v:ext="edit" aspectratio="f"/>
                  <v:textbox>
                    <w:txbxContent>
                      <w:p>
                        <w:pPr>
                          <w:ind w:firstLine="0" w:firstLineChars="0"/>
                          <w:jc w:val="center"/>
                          <w:rPr>
                            <w:sz w:val="21"/>
                            <w:szCs w:val="21"/>
                          </w:rPr>
                        </w:pPr>
                        <w:r>
                          <w:rPr>
                            <w:rFonts w:hint="eastAsia"/>
                            <w:sz w:val="21"/>
                            <w:szCs w:val="21"/>
                          </w:rPr>
                          <w:t>绿化用水</w:t>
                        </w:r>
                      </w:p>
                    </w:txbxContent>
                  </v:textbox>
                </v:shape>
                <v:shape id="_x0000_s1026" o:spid="_x0000_s1026" o:spt="202" type="#_x0000_t202" style="position:absolute;left:4132580;top:4885055;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cbS650kCAAB1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309.2</w:t>
                        </w:r>
                      </w:p>
                    </w:txbxContent>
                  </v:textbox>
                </v:shape>
                <v:shape id="_x0000_s1026" o:spid="_x0000_s1026" o:spt="202" type="#_x0000_t202" style="position:absolute;left:1208405;top:721868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lab+BUkCAAB1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12.78</w:t>
                        </w:r>
                      </w:p>
                    </w:txbxContent>
                  </v:textbox>
                </v:shape>
                <v:shape id="_x0000_s1026" o:spid="_x0000_s1026" o:spt="202" type="#_x0000_t202" style="position:absolute;left:2884805;top:7009130;height:351790;width:71374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7i8P1wAAAAYBAAAPAAAAAAAAAAEA&#10;IAAAACIAAABkcnMvZG93bnJldi54bWxQSwECFAAUAAAACACHTuJAolAIeEkCAAB1BAAADgAAAAAA&#10;AAABACAAAAAmAQAAZHJzL2Uyb0RvYy54bWxQSwUGAAAAAAYABgBZAQAA4QUAAAAA&#10;">
                  <v:fill on="f" focussize="0,0"/>
                  <v:stroke on="f" weight="0.5pt"/>
                  <v:imagedata o:title=""/>
                  <o:lock v:ext="edit" aspectratio="f"/>
                  <v:textbox>
                    <w:txbxContent>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12.78</w:t>
                        </w:r>
                      </w:p>
                    </w:txbxContent>
                  </v:textbox>
                </v:shape>
                <v:shape id="_x0000_s1026" o:spid="_x0000_s1026" o:spt="32" type="#_x0000_t32" style="position:absolute;left:4766310;top:5886450;height:381000;width:0;" filled="f" stroked="t" coordsize="21600,21600" o:gfxdata="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RouiXWAAAABgEA&#10;AA8AAAAAAAAAAQAgAAAAIgAAAGRycy9kb3ducmV2LnhtbFBLAQIUABQAAAAIAIdO4kAbf3C3HAIA&#10;AP8DAAAOAAAAAAAAAAEAIAAAACUBAABkcnMvZTJvRG9jLnhtbFBLBQYAAAAABgAGAFkBAACzBQAA&#10;AAA=&#10;">
                  <v:fill on="f" focussize="0,0"/>
                  <v:stroke weight="0.5pt" color="#000000 [3200]" miterlimit="8" joinstyle="miter" endarrow="open"/>
                  <v:imagedata o:title=""/>
                  <o:lock v:ext="edit" aspectratio="f"/>
                </v:shape>
                <v:shape id="_x0000_s1026" o:spid="_x0000_s1026" o:spt="202" type="#_x0000_t202" style="position:absolute;left:3978910;top:6990080;height:484505;width:129540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O4vD9cAAAAGAQAADwAAAAAAAAABACAA&#10;AAAiAAAAZHJzL2Rvd25yZXYueG1sUEsBAhQAFAAAAAgAh07iQHmxMgRHAgAAdgQAAA4AAAAAAAAA&#10;AQAgAAAAJgEAAGRycy9lMm9Eb2MueG1sUEsFBgAAAAAGAAYAWQEAAN8FAAAAAA==&#10;">
                  <v:fill on="f" focussize="0,0"/>
                  <v:stroke on="f" weight="0.5pt"/>
                  <v:imagedata o:title=""/>
                  <o:lock v:ext="edit" aspectratio="f"/>
                  <v:textbox>
                    <w:txbxContent>
                      <w:p>
                        <w:pPr>
                          <w:spacing w:line="240" w:lineRule="auto"/>
                          <w:ind w:firstLine="0" w:firstLineChars="0"/>
                          <w:jc w:val="center"/>
                          <w:rPr>
                            <w:sz w:val="21"/>
                            <w:szCs w:val="21"/>
                          </w:rPr>
                        </w:pPr>
                        <w:r>
                          <w:rPr>
                            <w:rFonts w:hint="eastAsia"/>
                            <w:sz w:val="21"/>
                            <w:szCs w:val="21"/>
                          </w:rPr>
                          <w:t>最终进入吉木萨尔县污水处理厂处理</w:t>
                        </w:r>
                      </w:p>
                    </w:txbxContent>
                  </v:textbox>
                </v:shape>
                <v:shape id="_x0000_s1026" o:spid="_x0000_s1026" o:spt="202" type="#_x0000_t202" style="position:absolute;left:3997960;top:6294755;height:322580;width:1276350;" filled="f" stroked="f" coordsize="21600,21600" o:gfxdata="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uLw/XAAAABgEAAA8AAAAAAAAAAQAg&#10;AAAAIgAAAGRycy9kb3ducmV2LnhtbFBLAQIUABQAAAAIAIdO4kCPgBZaSAIAAHYEAAAOAAAAAAAA&#10;AAEAIAAAACYBAABkcnMvZTJvRG9jLnhtbFBLBQYAAAAABgAGAFkBAADgBQAAAAA=&#10;">
                  <v:fill on="f" focussize="0,0"/>
                  <v:stroke on="f" weight="0.5pt"/>
                  <v:imagedata o:title=""/>
                  <o:lock v:ext="edit" aspectratio="f"/>
                  <v:textbox>
                    <w:txbxContent>
                      <w:p>
                        <w:pPr>
                          <w:spacing w:line="240" w:lineRule="auto"/>
                          <w:ind w:firstLine="0" w:firstLineChars="0"/>
                          <w:jc w:val="center"/>
                          <w:rPr>
                            <w:sz w:val="21"/>
                            <w:szCs w:val="21"/>
                          </w:rPr>
                        </w:pPr>
                        <w:r>
                          <w:rPr>
                            <w:rFonts w:hint="eastAsia"/>
                            <w:sz w:val="21"/>
                            <w:szCs w:val="21"/>
                          </w:rPr>
                          <w:t>排入市政污水管网</w:t>
                        </w:r>
                      </w:p>
                    </w:txbxContent>
                  </v:textbox>
                </v:shape>
                <v:shape id="_x0000_s1026" o:spid="_x0000_s1026" o:spt="32" type="#_x0000_t32" style="position:absolute;left:4742180;top:6580505;height:381000;width:0;" filled="f" stroked="t" coordsize="21600,21600" o:gfxdata="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aLol1gAAAAYB&#10;AAAPAAAAAAAAAAEAIAAAACIAAABkcnMvZG93bnJldi54bWxQSwECFAAUAAAACACHTuJA/Z59jR0C&#10;AAD/AwAADgAAAAAAAAABACAAAAAlAQAAZHJzL2Uyb0RvYy54bWxQSwUGAAAAAAYABgBZAQAAtAUA&#10;AAAA&#10;">
                  <v:fill on="f" focussize="0,0"/>
                  <v:stroke weight="0.5pt" color="#000000 [3200]" miterlimit="8" joinstyle="miter" endarrow="open"/>
                  <v:imagedata o:title=""/>
                  <o:lock v:ext="edit" aspectratio="f"/>
                </v:shape>
                <w10:wrap type="none"/>
                <w10:anchorlock/>
              </v:group>
            </w:pict>
          </mc:Fallback>
        </mc:AlternateContent>
      </w:r>
    </w:p>
    <w:p>
      <w:pPr>
        <w:pStyle w:val="35"/>
        <w:spacing w:before="0" w:after="0" w:line="520" w:lineRule="exact"/>
        <w:rPr>
          <w:rFonts w:cs="Times New Roman"/>
          <w:color w:val="auto"/>
        </w:rPr>
      </w:pPr>
      <w:r>
        <w:rPr>
          <w:rFonts w:cs="Times New Roman"/>
          <w:color w:val="auto"/>
        </w:rPr>
        <w:t>图3.4-3   项目水平衡图  单位：m</w:t>
      </w:r>
      <w:r>
        <w:rPr>
          <w:rFonts w:cs="Times New Roman"/>
          <w:color w:val="auto"/>
          <w:vertAlign w:val="superscript"/>
        </w:rPr>
        <w:t>3</w:t>
      </w:r>
      <w:r>
        <w:rPr>
          <w:rFonts w:cs="Times New Roman"/>
          <w:color w:val="auto"/>
        </w:rPr>
        <w:t>/d</w:t>
      </w:r>
    </w:p>
    <w:p>
      <w:pPr>
        <w:snapToGrid w:val="0"/>
        <w:spacing w:line="520" w:lineRule="exact"/>
        <w:rPr>
          <w:rFonts w:ascii="Times New Roman" w:hAnsi="Times New Roman" w:cs="Times New Roman"/>
          <w:color w:val="auto"/>
        </w:rPr>
      </w:pPr>
    </w:p>
    <w:p>
      <w:pPr>
        <w:snapToGrid w:val="0"/>
        <w:spacing w:line="520" w:lineRule="exact"/>
        <w:rPr>
          <w:rFonts w:ascii="Times New Roman" w:hAnsi="Times New Roman" w:cs="Times New Roman"/>
          <w:color w:val="auto"/>
        </w:rPr>
      </w:pPr>
      <w:r>
        <w:rPr>
          <w:rFonts w:ascii="Times New Roman" w:hAnsi="Times New Roman" w:cs="Times New Roman"/>
          <w:color w:val="auto"/>
        </w:rPr>
        <w:t>（2）废水水质情况</w:t>
      </w:r>
    </w:p>
    <w:p>
      <w:pPr>
        <w:snapToGrid w:val="0"/>
        <w:spacing w:line="520" w:lineRule="exact"/>
        <w:rPr>
          <w:rFonts w:ascii="Times New Roman" w:hAnsi="Times New Roman" w:cs="Times New Roman"/>
          <w:color w:val="auto"/>
        </w:rPr>
      </w:pPr>
      <w:r>
        <w:rPr>
          <w:rFonts w:ascii="Times New Roman" w:hAnsi="Times New Roman" w:cs="Times New Roman"/>
          <w:color w:val="auto"/>
        </w:rPr>
        <w:t>本项目排放的废水包括感染废水、食堂废水、医务人员办公生活污水、病房和门诊产生的废水、保洁废水以及医院检验、分析、治疗产生的特殊废水。其中特殊废水主要为酸性废水，须经中和处理后与其他废水一起进入医院污水处理站进行处理；感染性废水须经消毒预处理后与其他废水一起进入医院污水处理站进行处理；食堂废水经隔油池预处理后与其他污水一起进入医院污水处理站进行处理。医院污水处理站的废水采用“预消毒池+生物化粪池+格栅+集水井+调节池+水解酸化池+生物接触氧化池+二沉池+消毒池”工艺处理，达到《医疗机构水污染物排放标准》（GB18466-2005）表2中预处理标准限值和吉木萨尔县污水处理厂进水水质要求后排入市政污水管网，最终进入吉木萨尔县污水处理厂统一处理</w:t>
      </w:r>
      <w:r>
        <w:rPr>
          <w:rFonts w:hint="eastAsia" w:ascii="Times New Roman" w:hAnsi="Times New Roman" w:cs="Times New Roman"/>
          <w:color w:val="auto"/>
        </w:rPr>
        <w:t>处置</w:t>
      </w:r>
      <w:r>
        <w:rPr>
          <w:rFonts w:ascii="Times New Roman" w:hAnsi="Times New Roman" w:cs="Times New Roman"/>
          <w:color w:val="auto"/>
        </w:rPr>
        <w:t>。</w:t>
      </w:r>
    </w:p>
    <w:p>
      <w:pPr>
        <w:snapToGrid w:val="0"/>
        <w:spacing w:line="520" w:lineRule="exact"/>
        <w:rPr>
          <w:rFonts w:ascii="Times New Roman" w:hAnsi="Times New Roman" w:cs="Times New Roman"/>
          <w:color w:val="auto"/>
        </w:rPr>
      </w:pPr>
      <w:r>
        <w:rPr>
          <w:rFonts w:ascii="Times New Roman" w:hAnsi="Times New Roman" w:cs="Times New Roman"/>
          <w:color w:val="auto"/>
        </w:rPr>
        <w:t>项目医院污水中COD</w:t>
      </w:r>
      <w:r>
        <w:rPr>
          <w:rFonts w:ascii="Times New Roman" w:hAnsi="Times New Roman" w:cs="Times New Roman"/>
          <w:color w:val="auto"/>
          <w:vertAlign w:val="subscript"/>
        </w:rPr>
        <w:t>Cr</w:t>
      </w:r>
      <w:r>
        <w:rPr>
          <w:rFonts w:ascii="Times New Roman" w:hAnsi="Times New Roman" w:cs="Times New Roman"/>
          <w:color w:val="auto"/>
        </w:rPr>
        <w:t>、BOD</w:t>
      </w:r>
      <w:r>
        <w:rPr>
          <w:rFonts w:ascii="Times New Roman" w:hAnsi="Times New Roman" w:cs="Times New Roman"/>
          <w:color w:val="auto"/>
          <w:vertAlign w:val="subscript"/>
        </w:rPr>
        <w:t>5</w:t>
      </w:r>
      <w:r>
        <w:rPr>
          <w:rFonts w:ascii="Times New Roman" w:hAnsi="Times New Roman" w:cs="Times New Roman"/>
          <w:color w:val="auto"/>
        </w:rPr>
        <w:t>、SS、NH</w:t>
      </w:r>
      <w:r>
        <w:rPr>
          <w:rFonts w:ascii="Times New Roman" w:hAnsi="Times New Roman" w:cs="Times New Roman"/>
          <w:color w:val="auto"/>
          <w:vertAlign w:val="subscript"/>
        </w:rPr>
        <w:t>3</w:t>
      </w:r>
      <w:r>
        <w:rPr>
          <w:rFonts w:ascii="Times New Roman" w:hAnsi="Times New Roman" w:cs="Times New Roman"/>
          <w:color w:val="auto"/>
        </w:rPr>
        <w:t>-N、粪大肠杆菌等主要水质指标的产生浓度参考《医院污水处理工程技术规范》（HJ2029-2013）中的医院污水水质指标参考数据，详见表3.4-3。</w:t>
      </w:r>
    </w:p>
    <w:p>
      <w:pPr>
        <w:pStyle w:val="35"/>
        <w:snapToGrid w:val="0"/>
        <w:spacing w:before="0" w:after="0" w:line="520" w:lineRule="exact"/>
        <w:rPr>
          <w:rFonts w:cs="Times New Roman"/>
          <w:color w:val="auto"/>
        </w:rPr>
      </w:pPr>
      <w:r>
        <w:rPr>
          <w:rFonts w:cs="Times New Roman"/>
          <w:color w:val="auto"/>
        </w:rPr>
        <w:t>表3.4-3   医院污水水质指标参考数据  单位：mg/L</w:t>
      </w:r>
    </w:p>
    <w:tbl>
      <w:tblPr>
        <w:tblStyle w:val="24"/>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10"/>
        <w:gridCol w:w="1186"/>
        <w:gridCol w:w="1186"/>
        <w:gridCol w:w="1186"/>
        <w:gridCol w:w="1189"/>
        <w:gridCol w:w="1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69"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指标</w:t>
            </w:r>
          </w:p>
        </w:tc>
        <w:tc>
          <w:tcPr>
            <w:tcW w:w="71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COD</w:t>
            </w:r>
            <w:r>
              <w:rPr>
                <w:rFonts w:ascii="Times New Roman" w:hAnsi="Times New Roman" w:cs="Times New Roman"/>
                <w:b/>
                <w:bCs/>
                <w:color w:val="auto"/>
                <w:sz w:val="21"/>
                <w:szCs w:val="21"/>
                <w:vertAlign w:val="subscript"/>
              </w:rPr>
              <w:t>Cr</w:t>
            </w:r>
          </w:p>
        </w:tc>
        <w:tc>
          <w:tcPr>
            <w:tcW w:w="71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BOD</w:t>
            </w:r>
            <w:r>
              <w:rPr>
                <w:rFonts w:ascii="Times New Roman" w:hAnsi="Times New Roman" w:cs="Times New Roman"/>
                <w:b/>
                <w:bCs/>
                <w:color w:val="auto"/>
                <w:sz w:val="21"/>
                <w:szCs w:val="21"/>
                <w:vertAlign w:val="subscript"/>
              </w:rPr>
              <w:t>5</w:t>
            </w:r>
          </w:p>
        </w:tc>
        <w:tc>
          <w:tcPr>
            <w:tcW w:w="71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SS</w:t>
            </w:r>
          </w:p>
        </w:tc>
        <w:tc>
          <w:tcPr>
            <w:tcW w:w="71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NH</w:t>
            </w:r>
            <w:r>
              <w:rPr>
                <w:rFonts w:ascii="Times New Roman" w:hAnsi="Times New Roman" w:cs="Times New Roman"/>
                <w:b/>
                <w:bCs/>
                <w:color w:val="auto"/>
                <w:sz w:val="21"/>
                <w:szCs w:val="21"/>
                <w:vertAlign w:val="subscript"/>
              </w:rPr>
              <w:t>3</w:t>
            </w:r>
            <w:r>
              <w:rPr>
                <w:rFonts w:ascii="Times New Roman" w:hAnsi="Times New Roman" w:cs="Times New Roman"/>
                <w:b/>
                <w:bCs/>
                <w:color w:val="auto"/>
                <w:sz w:val="21"/>
                <w:szCs w:val="21"/>
              </w:rPr>
              <w:t>-N</w:t>
            </w:r>
          </w:p>
        </w:tc>
        <w:tc>
          <w:tcPr>
            <w:tcW w:w="117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粪大肠杆菌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6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污染物浓度范围</w:t>
            </w:r>
          </w:p>
        </w:tc>
        <w:tc>
          <w:tcPr>
            <w:tcW w:w="7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150～300</w:t>
            </w:r>
          </w:p>
        </w:tc>
        <w:tc>
          <w:tcPr>
            <w:tcW w:w="7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80～150</w:t>
            </w:r>
          </w:p>
        </w:tc>
        <w:tc>
          <w:tcPr>
            <w:tcW w:w="7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40～120</w:t>
            </w:r>
          </w:p>
        </w:tc>
        <w:tc>
          <w:tcPr>
            <w:tcW w:w="7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10～50</w:t>
            </w:r>
          </w:p>
        </w:tc>
        <w:tc>
          <w:tcPr>
            <w:tcW w:w="117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1.0×10</w:t>
            </w:r>
            <w:r>
              <w:rPr>
                <w:rFonts w:ascii="Times New Roman" w:hAnsi="Times New Roman" w:cs="Times New Roman"/>
                <w:color w:val="auto"/>
                <w:sz w:val="21"/>
                <w:szCs w:val="21"/>
                <w:vertAlign w:val="superscript"/>
              </w:rPr>
              <w:t>6</w:t>
            </w:r>
            <w:r>
              <w:rPr>
                <w:rFonts w:ascii="Times New Roman" w:hAnsi="Times New Roman" w:cs="Times New Roman"/>
                <w:color w:val="auto"/>
                <w:sz w:val="21"/>
                <w:szCs w:val="21"/>
              </w:rPr>
              <w:t>～3.0×10</w:t>
            </w:r>
            <w:r>
              <w:rPr>
                <w:rFonts w:ascii="Times New Roman" w:hAnsi="Times New Roman" w:cs="Times New Roman"/>
                <w:color w:val="auto"/>
                <w:sz w:val="21"/>
                <w:szCs w:val="21"/>
                <w:vertAlign w:val="superscript"/>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6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平均值</w:t>
            </w:r>
          </w:p>
        </w:tc>
        <w:tc>
          <w:tcPr>
            <w:tcW w:w="7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w:t>
            </w:r>
          </w:p>
        </w:tc>
        <w:tc>
          <w:tcPr>
            <w:tcW w:w="7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71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7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c>
          <w:tcPr>
            <w:tcW w:w="117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1.6×10</w:t>
            </w:r>
            <w:r>
              <w:rPr>
                <w:rFonts w:ascii="Times New Roman" w:hAnsi="Times New Roman" w:cs="Times New Roman"/>
                <w:color w:val="auto"/>
                <w:sz w:val="21"/>
                <w:szCs w:val="21"/>
                <w:vertAlign w:val="superscript"/>
              </w:rPr>
              <w:t>8</w:t>
            </w:r>
          </w:p>
        </w:tc>
      </w:tr>
    </w:tbl>
    <w:p>
      <w:pPr>
        <w:snapToGrid w:val="0"/>
        <w:spacing w:line="520" w:lineRule="exact"/>
        <w:rPr>
          <w:rFonts w:ascii="Times New Roman" w:hAnsi="Times New Roman" w:cs="Times New Roman"/>
          <w:color w:val="auto"/>
        </w:rPr>
      </w:pPr>
      <w:r>
        <w:rPr>
          <w:rFonts w:ascii="Times New Roman" w:hAnsi="Times New Roman" w:cs="Times New Roman"/>
          <w:color w:val="auto"/>
        </w:rPr>
        <w:t>本项目各类水污染物产生量与排放量汇总见表3.4-4。</w:t>
      </w:r>
    </w:p>
    <w:p>
      <w:pPr>
        <w:pStyle w:val="35"/>
        <w:snapToGrid w:val="0"/>
        <w:spacing w:before="0" w:after="0" w:line="520" w:lineRule="exact"/>
        <w:rPr>
          <w:rFonts w:cs="Times New Roman"/>
          <w:color w:val="auto"/>
          <w:highlight w:val="none"/>
        </w:rPr>
      </w:pPr>
      <w:r>
        <w:rPr>
          <w:rFonts w:cs="Times New Roman"/>
          <w:color w:val="auto"/>
          <w:highlight w:val="none"/>
        </w:rPr>
        <w:t>表3.4-4   本项目水污染物产生及排放情况表</w:t>
      </w:r>
    </w:p>
    <w:tbl>
      <w:tblPr>
        <w:tblStyle w:val="24"/>
        <w:tblW w:w="50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90"/>
        <w:gridCol w:w="1973"/>
        <w:gridCol w:w="897"/>
        <w:gridCol w:w="902"/>
        <w:gridCol w:w="814"/>
        <w:gridCol w:w="668"/>
        <w:gridCol w:w="866"/>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89" w:type="pct"/>
            <w:gridSpan w:val="2"/>
            <w:vAlign w:val="center"/>
          </w:tcPr>
          <w:p>
            <w:pPr>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污染物名称</w:t>
            </w:r>
          </w:p>
        </w:tc>
        <w:tc>
          <w:tcPr>
            <w:tcW w:w="529" w:type="pct"/>
            <w:vAlign w:val="center"/>
          </w:tcPr>
          <w:p>
            <w:pPr>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废水量</w:t>
            </w:r>
          </w:p>
        </w:tc>
        <w:tc>
          <w:tcPr>
            <w:tcW w:w="532" w:type="pct"/>
            <w:vAlign w:val="center"/>
          </w:tcPr>
          <w:p>
            <w:pPr>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COD</w:t>
            </w:r>
          </w:p>
        </w:tc>
        <w:tc>
          <w:tcPr>
            <w:tcW w:w="480" w:type="pct"/>
            <w:vAlign w:val="center"/>
          </w:tcPr>
          <w:p>
            <w:pPr>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BOD</w:t>
            </w:r>
            <w:r>
              <w:rPr>
                <w:rFonts w:ascii="Times New Roman" w:hAnsi="Times New Roman" w:cs="Times New Roman"/>
                <w:b/>
                <w:bCs/>
                <w:color w:val="auto"/>
                <w:sz w:val="21"/>
                <w:szCs w:val="21"/>
                <w:highlight w:val="none"/>
                <w:vertAlign w:val="subscript"/>
              </w:rPr>
              <w:t>5</w:t>
            </w:r>
          </w:p>
        </w:tc>
        <w:tc>
          <w:tcPr>
            <w:tcW w:w="394" w:type="pct"/>
            <w:vAlign w:val="center"/>
          </w:tcPr>
          <w:p>
            <w:pPr>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SS</w:t>
            </w:r>
          </w:p>
        </w:tc>
        <w:tc>
          <w:tcPr>
            <w:tcW w:w="511" w:type="pct"/>
            <w:vAlign w:val="center"/>
          </w:tcPr>
          <w:p>
            <w:pPr>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NH</w:t>
            </w:r>
            <w:r>
              <w:rPr>
                <w:rFonts w:ascii="Times New Roman" w:hAnsi="Times New Roman" w:cs="Times New Roman"/>
                <w:b/>
                <w:bCs/>
                <w:color w:val="auto"/>
                <w:sz w:val="21"/>
                <w:szCs w:val="21"/>
                <w:highlight w:val="none"/>
                <w:vertAlign w:val="subscript"/>
              </w:rPr>
              <w:t>3</w:t>
            </w:r>
            <w:r>
              <w:rPr>
                <w:rFonts w:ascii="Times New Roman" w:hAnsi="Times New Roman" w:cs="Times New Roman"/>
                <w:b/>
                <w:bCs/>
                <w:color w:val="auto"/>
                <w:sz w:val="21"/>
                <w:szCs w:val="21"/>
                <w:highlight w:val="none"/>
              </w:rPr>
              <w:t>-N</w:t>
            </w:r>
          </w:p>
        </w:tc>
        <w:tc>
          <w:tcPr>
            <w:tcW w:w="862" w:type="pct"/>
            <w:vAlign w:val="center"/>
          </w:tcPr>
          <w:p>
            <w:pPr>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粪大肠杆菌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25" w:type="pct"/>
            <w:vMerge w:val="restar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医院污水站混合</w:t>
            </w:r>
          </w:p>
        </w:tc>
        <w:tc>
          <w:tcPr>
            <w:tcW w:w="1163"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产生</w:t>
            </w:r>
            <w:r>
              <w:rPr>
                <w:rFonts w:ascii="Times New Roman" w:hAnsi="Times New Roman" w:cs="Times New Roman"/>
                <w:color w:val="auto"/>
                <w:sz w:val="21"/>
                <w:szCs w:val="21"/>
                <w:highlight w:val="none"/>
              </w:rPr>
              <w:t>浓度（mg/L）</w:t>
            </w:r>
          </w:p>
        </w:tc>
        <w:tc>
          <w:tcPr>
            <w:tcW w:w="529"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532"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300</w:t>
            </w:r>
          </w:p>
        </w:tc>
        <w:tc>
          <w:tcPr>
            <w:tcW w:w="480"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150</w:t>
            </w:r>
          </w:p>
        </w:tc>
        <w:tc>
          <w:tcPr>
            <w:tcW w:w="394"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120</w:t>
            </w:r>
          </w:p>
        </w:tc>
        <w:tc>
          <w:tcPr>
            <w:tcW w:w="511"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862"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3.0×10</w:t>
            </w:r>
            <w:r>
              <w:rPr>
                <w:rFonts w:ascii="Times New Roman" w:hAnsi="Times New Roman" w:cs="Times New Roman"/>
                <w:color w:val="auto"/>
                <w:sz w:val="21"/>
                <w:szCs w:val="21"/>
                <w:highlight w:val="none"/>
                <w:vertAlign w:val="superscript"/>
              </w:rPr>
              <w:t>8</w:t>
            </w:r>
            <w:r>
              <w:rPr>
                <w:rFonts w:hint="eastAsia" w:ascii="Times New Roman" w:hAnsi="Times New Roman" w:cs="Times New Roman"/>
                <w:color w:val="auto"/>
                <w:sz w:val="21"/>
                <w:szCs w:val="21"/>
                <w:highlight w:val="none"/>
                <w:lang w:val="en-US" w:eastAsia="zh-CN"/>
              </w:rPr>
              <w:t>MPN</w:t>
            </w:r>
            <w:r>
              <w:rPr>
                <w:rFonts w:ascii="Times New Roman" w:hAnsi="Times New Roman" w:cs="Times New Roman"/>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25" w:type="pct"/>
            <w:vMerge w:val="continue"/>
            <w:vAlign w:val="center"/>
          </w:tcPr>
          <w:p>
            <w:pPr>
              <w:spacing w:line="240" w:lineRule="auto"/>
              <w:ind w:firstLine="0" w:firstLineChars="0"/>
              <w:jc w:val="center"/>
              <w:rPr>
                <w:rFonts w:ascii="Times New Roman" w:hAnsi="Times New Roman" w:cs="Times New Roman"/>
                <w:color w:val="auto"/>
                <w:sz w:val="21"/>
                <w:szCs w:val="21"/>
                <w:highlight w:val="none"/>
              </w:rPr>
            </w:pPr>
          </w:p>
        </w:tc>
        <w:tc>
          <w:tcPr>
            <w:tcW w:w="1163"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产生量（m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/a）</w:t>
            </w:r>
          </w:p>
        </w:tc>
        <w:tc>
          <w:tcPr>
            <w:tcW w:w="529"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112858</w:t>
            </w:r>
          </w:p>
        </w:tc>
        <w:tc>
          <w:tcPr>
            <w:tcW w:w="532"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33.86</w:t>
            </w:r>
          </w:p>
        </w:tc>
        <w:tc>
          <w:tcPr>
            <w:tcW w:w="480"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16.93</w:t>
            </w:r>
          </w:p>
        </w:tc>
        <w:tc>
          <w:tcPr>
            <w:tcW w:w="394"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13.54</w:t>
            </w:r>
          </w:p>
        </w:tc>
        <w:tc>
          <w:tcPr>
            <w:tcW w:w="511"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5.64</w:t>
            </w:r>
          </w:p>
        </w:tc>
        <w:tc>
          <w:tcPr>
            <w:tcW w:w="862"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val="en-US" w:eastAsia="zh-CN"/>
              </w:rPr>
              <w:t>39</w:t>
            </w:r>
            <w:r>
              <w:rPr>
                <w:rFonts w:ascii="Times New Roman" w:hAnsi="Times New Roman" w:cs="Times New Roman"/>
                <w:color w:val="auto"/>
                <w:sz w:val="21"/>
                <w:szCs w:val="21"/>
                <w:highlight w:val="none"/>
              </w:rPr>
              <w:t>×10</w:t>
            </w:r>
            <w:r>
              <w:rPr>
                <w:rFonts w:hint="eastAsia" w:ascii="Times New Roman" w:hAnsi="Times New Roman" w:cs="Times New Roman"/>
                <w:color w:val="auto"/>
                <w:sz w:val="21"/>
                <w:szCs w:val="21"/>
                <w:highlight w:val="none"/>
                <w:vertAlign w:val="superscript"/>
                <w:lang w:val="en-US" w:eastAsia="zh-CN"/>
              </w:rPr>
              <w:t>16</w:t>
            </w:r>
            <w:r>
              <w:rPr>
                <w:rFonts w:hint="eastAsia" w:ascii="Times New Roman" w:hAnsi="Times New Roman" w:cs="Times New Roman"/>
                <w:color w:val="auto"/>
                <w:sz w:val="21"/>
                <w:szCs w:val="21"/>
                <w:highlight w:val="none"/>
                <w:lang w:val="en-US" w:eastAsia="zh-CN"/>
              </w:rPr>
              <w:t>MPN</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25"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rPr>
            </w:pPr>
          </w:p>
        </w:tc>
        <w:tc>
          <w:tcPr>
            <w:tcW w:w="1163" w:type="pct"/>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去除效率（%）</w:t>
            </w:r>
          </w:p>
        </w:tc>
        <w:tc>
          <w:tcPr>
            <w:tcW w:w="529"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32"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w:t>
            </w:r>
          </w:p>
        </w:tc>
        <w:tc>
          <w:tcPr>
            <w:tcW w:w="480"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68</w:t>
            </w:r>
          </w:p>
        </w:tc>
        <w:tc>
          <w:tcPr>
            <w:tcW w:w="394"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85</w:t>
            </w:r>
          </w:p>
        </w:tc>
        <w:tc>
          <w:tcPr>
            <w:tcW w:w="511"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862"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&lt;5000</w:t>
            </w:r>
            <w:r>
              <w:rPr>
                <w:rFonts w:hint="eastAsia" w:ascii="Times New Roman" w:hAnsi="Times New Roman" w:cs="Times New Roman"/>
                <w:color w:val="auto"/>
                <w:sz w:val="21"/>
                <w:szCs w:val="21"/>
                <w:highlight w:val="none"/>
                <w:lang w:val="en-US" w:eastAsia="zh-CN"/>
              </w:rPr>
              <w:t>MPN</w:t>
            </w:r>
            <w:r>
              <w:rPr>
                <w:rFonts w:ascii="Times New Roman" w:hAnsi="Times New Roman" w:cs="Times New Roman"/>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25" w:type="pct"/>
            <w:vMerge w:val="continue"/>
            <w:vAlign w:val="center"/>
          </w:tcPr>
          <w:p>
            <w:pPr>
              <w:spacing w:line="240" w:lineRule="auto"/>
              <w:ind w:firstLine="0" w:firstLineChars="0"/>
              <w:jc w:val="center"/>
              <w:rPr>
                <w:rFonts w:ascii="Times New Roman" w:hAnsi="Times New Roman" w:cs="Times New Roman"/>
                <w:color w:val="auto"/>
                <w:sz w:val="21"/>
                <w:szCs w:val="21"/>
                <w:highlight w:val="none"/>
              </w:rPr>
            </w:pPr>
          </w:p>
        </w:tc>
        <w:tc>
          <w:tcPr>
            <w:tcW w:w="1163" w:type="pct"/>
            <w:vAlign w:val="center"/>
          </w:tcPr>
          <w:p>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排放浓度（mg/L）</w:t>
            </w:r>
          </w:p>
        </w:tc>
        <w:tc>
          <w:tcPr>
            <w:tcW w:w="529" w:type="pct"/>
            <w:vAlign w:val="center"/>
          </w:tcPr>
          <w:p>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w:t>
            </w:r>
          </w:p>
        </w:tc>
        <w:tc>
          <w:tcPr>
            <w:tcW w:w="532"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129</w:t>
            </w:r>
          </w:p>
        </w:tc>
        <w:tc>
          <w:tcPr>
            <w:tcW w:w="480"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48</w:t>
            </w:r>
          </w:p>
        </w:tc>
        <w:tc>
          <w:tcPr>
            <w:tcW w:w="394"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18</w:t>
            </w:r>
          </w:p>
        </w:tc>
        <w:tc>
          <w:tcPr>
            <w:tcW w:w="511"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25</w:t>
            </w:r>
          </w:p>
        </w:tc>
        <w:tc>
          <w:tcPr>
            <w:tcW w:w="862" w:type="pct"/>
            <w:vAlign w:val="center"/>
          </w:tcPr>
          <w:p>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&lt;5000</w:t>
            </w:r>
            <w:r>
              <w:rPr>
                <w:rFonts w:hint="eastAsia" w:ascii="Times New Roman" w:hAnsi="Times New Roman" w:cs="Times New Roman"/>
                <w:color w:val="auto"/>
                <w:sz w:val="21"/>
                <w:szCs w:val="21"/>
                <w:highlight w:val="none"/>
                <w:lang w:val="en-US" w:eastAsia="zh-CN"/>
              </w:rPr>
              <w:t>MPN</w:t>
            </w:r>
            <w:r>
              <w:rPr>
                <w:rFonts w:ascii="Times New Roman" w:hAnsi="Times New Roman" w:cs="Times New Roman"/>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25" w:type="pct"/>
            <w:vMerge w:val="continue"/>
            <w:vAlign w:val="center"/>
          </w:tcPr>
          <w:p>
            <w:pPr>
              <w:spacing w:line="240" w:lineRule="auto"/>
              <w:ind w:firstLine="0" w:firstLineChars="0"/>
              <w:jc w:val="center"/>
              <w:rPr>
                <w:rFonts w:ascii="Times New Roman" w:hAnsi="Times New Roman" w:cs="Times New Roman"/>
                <w:color w:val="auto"/>
                <w:sz w:val="21"/>
                <w:szCs w:val="21"/>
                <w:highlight w:val="none"/>
              </w:rPr>
            </w:pPr>
          </w:p>
        </w:tc>
        <w:tc>
          <w:tcPr>
            <w:tcW w:w="1163" w:type="pct"/>
            <w:vAlign w:val="center"/>
          </w:tcPr>
          <w:p>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排放量（t/a）</w:t>
            </w:r>
          </w:p>
        </w:tc>
        <w:tc>
          <w:tcPr>
            <w:tcW w:w="529" w:type="pct"/>
            <w:vAlign w:val="center"/>
          </w:tcPr>
          <w:p>
            <w:pPr>
              <w:spacing w:line="240" w:lineRule="auto"/>
              <w:ind w:firstLine="0" w:firstLineChars="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112858</w:t>
            </w:r>
          </w:p>
        </w:tc>
        <w:tc>
          <w:tcPr>
            <w:tcW w:w="532"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14.56</w:t>
            </w:r>
          </w:p>
        </w:tc>
        <w:tc>
          <w:tcPr>
            <w:tcW w:w="480"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5.42</w:t>
            </w:r>
          </w:p>
        </w:tc>
        <w:tc>
          <w:tcPr>
            <w:tcW w:w="394"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2.03</w:t>
            </w:r>
          </w:p>
        </w:tc>
        <w:tc>
          <w:tcPr>
            <w:tcW w:w="511"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2.82</w:t>
            </w:r>
          </w:p>
        </w:tc>
        <w:tc>
          <w:tcPr>
            <w:tcW w:w="862"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5.64</w:t>
            </w:r>
            <w:r>
              <w:rPr>
                <w:rFonts w:hint="default" w:ascii="Arial" w:hAnsi="Arial" w:cs="Arial"/>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10</w:t>
            </w:r>
            <w:r>
              <w:rPr>
                <w:rFonts w:hint="eastAsia" w:ascii="Times New Roman" w:hAnsi="Times New Roman" w:cs="Times New Roman"/>
                <w:color w:val="auto"/>
                <w:kern w:val="2"/>
                <w:sz w:val="21"/>
                <w:szCs w:val="21"/>
                <w:highlight w:val="none"/>
                <w:vertAlign w:val="superscript"/>
                <w:lang w:val="en-US" w:eastAsia="zh-CN" w:bidi="ar-SA"/>
              </w:rPr>
              <w:t>11</w:t>
            </w:r>
            <w:r>
              <w:rPr>
                <w:rFonts w:hint="eastAsia" w:ascii="Times New Roman" w:hAnsi="Times New Roman" w:cs="Times New Roman"/>
                <w:color w:val="auto"/>
                <w:sz w:val="21"/>
                <w:szCs w:val="21"/>
                <w:highlight w:val="none"/>
                <w:lang w:val="en-US" w:eastAsia="zh-CN"/>
              </w:rPr>
              <w:t>MPN</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89" w:type="pct"/>
            <w:gridSpan w:val="2"/>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《医疗机构水污染物排放标准》表2中预处理标准限值</w:t>
            </w:r>
            <w:r>
              <w:rPr>
                <w:rFonts w:ascii="Times New Roman" w:hAnsi="Times New Roman" w:cs="Times New Roman"/>
                <w:color w:val="auto"/>
                <w:sz w:val="21"/>
                <w:szCs w:val="21"/>
                <w:highlight w:val="none"/>
              </w:rPr>
              <w:t>（mg/L</w:t>
            </w:r>
            <w:r>
              <w:rPr>
                <w:rFonts w:hint="eastAsia" w:ascii="Times New Roman" w:hAnsi="Times New Roman" w:cs="Times New Roman"/>
                <w:color w:val="auto"/>
                <w:sz w:val="21"/>
                <w:szCs w:val="21"/>
                <w:highlight w:val="none"/>
                <w:lang w:eastAsia="zh-CN"/>
              </w:rPr>
              <w:t>）</w:t>
            </w:r>
          </w:p>
        </w:tc>
        <w:tc>
          <w:tcPr>
            <w:tcW w:w="529"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32"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250</w:t>
            </w:r>
          </w:p>
        </w:tc>
        <w:tc>
          <w:tcPr>
            <w:tcW w:w="480"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100</w:t>
            </w:r>
          </w:p>
        </w:tc>
        <w:tc>
          <w:tcPr>
            <w:tcW w:w="394"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cs="Times New Roman"/>
                <w:color w:val="auto"/>
                <w:sz w:val="21"/>
                <w:szCs w:val="21"/>
                <w:highlight w:val="none"/>
              </w:rPr>
              <w:t>60</w:t>
            </w:r>
          </w:p>
        </w:tc>
        <w:tc>
          <w:tcPr>
            <w:tcW w:w="511"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862" w:type="pct"/>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&lt;5000个/L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689" w:type="pct"/>
            <w:gridSpan w:val="2"/>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污水排入城镇下水道水质标准》中A级</w:t>
            </w:r>
            <w:r>
              <w:rPr>
                <w:rFonts w:ascii="Times New Roman" w:hAnsi="Times New Roman" w:cs="Times New Roman"/>
                <w:color w:val="auto"/>
                <w:sz w:val="21"/>
                <w:szCs w:val="21"/>
              </w:rPr>
              <w:t>排放</w:t>
            </w:r>
            <w:r>
              <w:rPr>
                <w:rFonts w:hint="eastAsia" w:ascii="Times New Roman" w:hAnsi="Times New Roman" w:cs="Times New Roman"/>
                <w:color w:val="auto"/>
                <w:sz w:val="21"/>
                <w:szCs w:val="21"/>
                <w:lang w:val="en-US" w:eastAsia="zh-CN"/>
              </w:rPr>
              <w:t>限值</w:t>
            </w:r>
            <w:r>
              <w:rPr>
                <w:rFonts w:ascii="Times New Roman" w:hAnsi="Times New Roman" w:cs="Times New Roman"/>
                <w:color w:val="auto"/>
                <w:sz w:val="21"/>
                <w:szCs w:val="21"/>
              </w:rPr>
              <w:t>（mg/L）</w:t>
            </w:r>
          </w:p>
        </w:tc>
        <w:tc>
          <w:tcPr>
            <w:tcW w:w="529"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32"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500</w:t>
            </w:r>
          </w:p>
        </w:tc>
        <w:tc>
          <w:tcPr>
            <w:tcW w:w="480"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350</w:t>
            </w:r>
          </w:p>
        </w:tc>
        <w:tc>
          <w:tcPr>
            <w:tcW w:w="394"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400</w:t>
            </w:r>
          </w:p>
        </w:tc>
        <w:tc>
          <w:tcPr>
            <w:tcW w:w="511"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45</w:t>
            </w:r>
          </w:p>
        </w:tc>
        <w:tc>
          <w:tcPr>
            <w:tcW w:w="862"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pPr>
        <w:pStyle w:val="10"/>
        <w:spacing w:before="468" w:beforeLines="150" w:after="0" w:line="240" w:lineRule="auto"/>
        <w:rPr>
          <w:rFonts w:cs="Times New Roman"/>
          <w:color w:val="auto"/>
          <w:kern w:val="0"/>
        </w:rPr>
      </w:pPr>
    </w:p>
    <w:p>
      <w:pPr>
        <w:pStyle w:val="10"/>
        <w:spacing w:before="468" w:beforeLines="150" w:after="0" w:line="240" w:lineRule="auto"/>
        <w:rPr>
          <w:rFonts w:cs="Times New Roman"/>
          <w:color w:val="auto"/>
          <w:kern w:val="0"/>
        </w:rPr>
      </w:pPr>
      <w:r>
        <w:rPr>
          <w:rFonts w:cs="Times New Roman"/>
          <w:color w:val="auto"/>
          <w:kern w:val="0"/>
        </w:rPr>
        <w:t>3.4.2.1 运营期大气污染源分析</w:t>
      </w:r>
    </w:p>
    <w:p>
      <w:pPr>
        <w:spacing w:line="520" w:lineRule="exact"/>
        <w:rPr>
          <w:rFonts w:ascii="Times New Roman" w:hAnsi="Times New Roman" w:cs="Times New Roman"/>
          <w:color w:val="auto"/>
        </w:rPr>
      </w:pPr>
      <w:r>
        <w:rPr>
          <w:rFonts w:ascii="Times New Roman" w:hAnsi="Times New Roman" w:cs="Times New Roman"/>
          <w:color w:val="auto"/>
        </w:rPr>
        <w:t>本项目不设煎药室，无熬药废气。运营期产生的废气主要为污水处理站恶臭、</w:t>
      </w:r>
      <w:r>
        <w:rPr>
          <w:rFonts w:hint="eastAsia" w:ascii="Times New Roman" w:hAnsi="Times New Roman" w:cs="Times New Roman"/>
          <w:color w:val="auto"/>
          <w:lang w:eastAsia="zh-CN"/>
        </w:rPr>
        <w:t>带菌空气</w:t>
      </w:r>
      <w:r>
        <w:rPr>
          <w:rFonts w:ascii="Times New Roman" w:hAnsi="Times New Roman" w:cs="Times New Roman"/>
          <w:color w:val="auto"/>
        </w:rPr>
        <w:t>、食堂油烟及备用发电机废气、汽车尾气等。</w:t>
      </w:r>
    </w:p>
    <w:p>
      <w:pPr>
        <w:numPr>
          <w:ilvl w:val="0"/>
          <w:numId w:val="2"/>
        </w:numPr>
        <w:spacing w:line="520" w:lineRule="exact"/>
        <w:rPr>
          <w:rFonts w:ascii="Times New Roman" w:hAnsi="Times New Roman" w:cs="Times New Roman"/>
          <w:color w:val="auto"/>
        </w:rPr>
      </w:pPr>
      <w:r>
        <w:rPr>
          <w:rFonts w:ascii="Times New Roman" w:hAnsi="Times New Roman" w:cs="Times New Roman"/>
          <w:color w:val="auto"/>
        </w:rPr>
        <w:t>污水处理站恶臭</w:t>
      </w:r>
    </w:p>
    <w:p>
      <w:pPr>
        <w:spacing w:line="520" w:lineRule="exact"/>
        <w:rPr>
          <w:rFonts w:ascii="Times New Roman" w:hAnsi="Times New Roman" w:cs="Times New Roman"/>
          <w:color w:val="auto"/>
        </w:rPr>
      </w:pPr>
      <w:r>
        <w:rPr>
          <w:rFonts w:ascii="Times New Roman" w:hAnsi="Times New Roman" w:cs="Times New Roman"/>
          <w:color w:val="auto"/>
        </w:rPr>
        <w:t>①有组织排放</w:t>
      </w:r>
    </w:p>
    <w:p>
      <w:pPr>
        <w:spacing w:line="520" w:lineRule="exact"/>
        <w:rPr>
          <w:rFonts w:ascii="Times New Roman" w:hAnsi="Times New Roman" w:cs="Times New Roman"/>
          <w:color w:val="auto"/>
        </w:rPr>
      </w:pPr>
      <w:r>
        <w:rPr>
          <w:rFonts w:ascii="Times New Roman" w:hAnsi="Times New Roman" w:cs="Times New Roman"/>
          <w:color w:val="auto"/>
        </w:rPr>
        <w:t>污水处理站恶臭主要来源于污水、污泥中有机物的分解、发酵过程中散发的化学物质，主要污染物为H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臭气浓度等。根据《医院污水处理技术指南》（环发〔2003〕197号）废气处理规定，为防止病毒从医院水处理构筑物表面挥发到大气中而造成病毒二次传播污染，需“将水处理池加盖板密闭起来，盖板上预留进、出气口，把处于自由扩散状态的气体组织起来”。本项目需将水处理池加盖板密闭起来，盖板上预留进、出气口，把处于自由扩散状态的气体组织起来。产生的恶臭气体采用引风机</w:t>
      </w:r>
      <w:r>
        <w:rPr>
          <w:rFonts w:ascii="Times New Roman" w:hAnsi="Times New Roman" w:cs="Times New Roman"/>
          <w:color w:val="auto"/>
          <w:highlight w:val="none"/>
        </w:rPr>
        <w:t>（风计量为</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0</w:t>
      </w:r>
      <w:r>
        <w:rPr>
          <w:rFonts w:hint="eastAsia" w:ascii="Times New Roman" w:hAnsi="Times New Roman" w:cs="Times New Roman"/>
          <w:color w:val="auto"/>
          <w:highlight w:val="none"/>
          <w:lang w:val="en-US" w:eastAsia="zh-CN"/>
        </w:rPr>
        <w:t>0</w:t>
      </w:r>
      <w:r>
        <w:rPr>
          <w:rFonts w:ascii="Times New Roman" w:hAnsi="Times New Roman" w:cs="Times New Roman"/>
          <w:color w:val="auto"/>
          <w:highlight w:val="none"/>
        </w:rPr>
        <w:t>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/h）</w:t>
      </w:r>
      <w:r>
        <w:rPr>
          <w:rFonts w:ascii="Times New Roman" w:hAnsi="Times New Roman" w:cs="Times New Roman"/>
          <w:color w:val="auto"/>
        </w:rPr>
        <w:t>进行收集，收集效率可达90%，恶臭废气收集后采用等离子除臭装置处理，处理效率为</w:t>
      </w:r>
      <w:r>
        <w:rPr>
          <w:rFonts w:hint="eastAsia" w:ascii="Times New Roman" w:hAnsi="Times New Roman" w:cs="Times New Roman"/>
          <w:color w:val="auto"/>
          <w:lang w:val="en-US" w:eastAsia="zh-CN"/>
        </w:rPr>
        <w:t>6</w:t>
      </w:r>
      <w:r>
        <w:rPr>
          <w:rFonts w:ascii="Times New Roman" w:hAnsi="Times New Roman" w:cs="Times New Roman"/>
          <w:color w:val="auto"/>
        </w:rPr>
        <w:t>0%，经处理后尾气可达到</w:t>
      </w:r>
      <w:r>
        <w:rPr>
          <w:rFonts w:hint="eastAsia" w:ascii="Times New Roman" w:hAnsi="Times New Roman" w:cs="Times New Roman"/>
          <w:color w:val="auto"/>
        </w:rPr>
        <w:t>《恶臭污染物排放标准》（GB14554-93）表2污染物排放标准</w:t>
      </w:r>
      <w:r>
        <w:rPr>
          <w:rFonts w:ascii="Times New Roman" w:hAnsi="Times New Roman" w:cs="Times New Roman"/>
          <w:color w:val="auto"/>
        </w:rPr>
        <w:t>。</w:t>
      </w:r>
    </w:p>
    <w:p>
      <w:pPr>
        <w:spacing w:line="520" w:lineRule="exact"/>
        <w:rPr>
          <w:rFonts w:ascii="Times New Roman" w:hAnsi="Times New Roman" w:cs="Times New Roman"/>
          <w:color w:val="auto"/>
          <w:highlight w:val="yellow"/>
        </w:rPr>
      </w:pPr>
      <w:r>
        <w:rPr>
          <w:rFonts w:ascii="Times New Roman" w:hAnsi="Times New Roman" w:cs="Times New Roman"/>
          <w:color w:val="auto"/>
        </w:rPr>
        <w:t>根据美国EPA对城市污水处理厂恶臭污染物产生情况的研究，每处理1g的BOD</w:t>
      </w:r>
      <w:r>
        <w:rPr>
          <w:rFonts w:ascii="Times New Roman" w:hAnsi="Times New Roman" w:cs="Times New Roman"/>
          <w:color w:val="auto"/>
          <w:vertAlign w:val="subscript"/>
        </w:rPr>
        <w:t>5</w:t>
      </w:r>
      <w:r>
        <w:rPr>
          <w:rFonts w:ascii="Times New Roman" w:hAnsi="Times New Roman" w:cs="Times New Roman"/>
          <w:color w:val="auto"/>
        </w:rPr>
        <w:t>，可产生0.0031gNH</w:t>
      </w:r>
      <w:r>
        <w:rPr>
          <w:rFonts w:ascii="Times New Roman" w:hAnsi="Times New Roman" w:cs="Times New Roman"/>
          <w:color w:val="auto"/>
          <w:vertAlign w:val="subscript"/>
        </w:rPr>
        <w:t>3</w:t>
      </w:r>
      <w:r>
        <w:rPr>
          <w:rFonts w:ascii="Times New Roman" w:hAnsi="Times New Roman" w:cs="Times New Roman"/>
          <w:color w:val="auto"/>
        </w:rPr>
        <w:t>和0.00012g的H</w:t>
      </w:r>
      <w:r>
        <w:rPr>
          <w:rFonts w:ascii="Times New Roman" w:hAnsi="Times New Roman" w:cs="Times New Roman"/>
          <w:color w:val="auto"/>
          <w:vertAlign w:val="subscript"/>
        </w:rPr>
        <w:t>2</w:t>
      </w:r>
      <w:r>
        <w:rPr>
          <w:rFonts w:ascii="Times New Roman" w:hAnsi="Times New Roman" w:cs="Times New Roman"/>
          <w:color w:val="auto"/>
        </w:rPr>
        <w:t>S。根据前述分析：项目污水中BOD</w:t>
      </w:r>
      <w:r>
        <w:rPr>
          <w:rFonts w:ascii="Times New Roman" w:hAnsi="Times New Roman" w:cs="Times New Roman"/>
          <w:color w:val="auto"/>
          <w:vertAlign w:val="subscript"/>
        </w:rPr>
        <w:t>5</w:t>
      </w:r>
      <w:r>
        <w:rPr>
          <w:rFonts w:ascii="Times New Roman" w:hAnsi="Times New Roman" w:cs="Times New Roman"/>
          <w:color w:val="auto"/>
        </w:rPr>
        <w:t>处理量约</w:t>
      </w:r>
      <w:r>
        <w:rPr>
          <w:rFonts w:hint="eastAsia" w:ascii="Times New Roman" w:hAnsi="Times New Roman" w:cs="Times New Roman"/>
          <w:color w:val="auto"/>
          <w:lang w:val="en-US" w:eastAsia="zh-CN"/>
        </w:rPr>
        <w:t>11.51</w:t>
      </w:r>
      <w:r>
        <w:rPr>
          <w:rFonts w:ascii="Times New Roman" w:hAnsi="Times New Roman" w:cs="Times New Roman"/>
          <w:color w:val="auto"/>
        </w:rPr>
        <w:t>t/a，经计算得NH</w:t>
      </w:r>
      <w:r>
        <w:rPr>
          <w:rFonts w:ascii="Times New Roman" w:hAnsi="Times New Roman" w:cs="Times New Roman"/>
          <w:color w:val="auto"/>
          <w:vertAlign w:val="subscript"/>
        </w:rPr>
        <w:t>3</w:t>
      </w:r>
      <w:r>
        <w:rPr>
          <w:rFonts w:ascii="Times New Roman" w:hAnsi="Times New Roman" w:cs="Times New Roman"/>
          <w:color w:val="auto"/>
        </w:rPr>
        <w:t>产生量为0.0</w:t>
      </w:r>
      <w:r>
        <w:rPr>
          <w:rFonts w:hint="eastAsia" w:ascii="Times New Roman" w:hAnsi="Times New Roman" w:cs="Times New Roman"/>
          <w:color w:val="auto"/>
          <w:lang w:val="en-US" w:eastAsia="zh-CN"/>
        </w:rPr>
        <w:t>36</w:t>
      </w:r>
      <w:r>
        <w:rPr>
          <w:rFonts w:ascii="Times New Roman" w:hAnsi="Times New Roman" w:cs="Times New Roman"/>
          <w:color w:val="auto"/>
        </w:rPr>
        <w:t>t/a，H</w:t>
      </w:r>
      <w:r>
        <w:rPr>
          <w:rFonts w:ascii="Times New Roman" w:hAnsi="Times New Roman" w:cs="Times New Roman"/>
          <w:color w:val="auto"/>
          <w:vertAlign w:val="subscript"/>
        </w:rPr>
        <w:t>2</w:t>
      </w:r>
      <w:r>
        <w:rPr>
          <w:rFonts w:ascii="Times New Roman" w:hAnsi="Times New Roman" w:cs="Times New Roman"/>
          <w:color w:val="auto"/>
        </w:rPr>
        <w:t>S产生量为0.00</w:t>
      </w:r>
      <w:r>
        <w:rPr>
          <w:rFonts w:hint="eastAsia" w:ascii="Times New Roman" w:hAnsi="Times New Roman" w:cs="Times New Roman"/>
          <w:color w:val="auto"/>
          <w:lang w:val="en-US" w:eastAsia="zh-CN"/>
        </w:rPr>
        <w:t>14</w:t>
      </w:r>
      <w:r>
        <w:rPr>
          <w:rFonts w:ascii="Times New Roman" w:hAnsi="Times New Roman" w:cs="Times New Roman"/>
          <w:color w:val="auto"/>
        </w:rPr>
        <w:t>t/a，污染物产生量较小。本项目恶臭污染物H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排放情况见表3.</w:t>
      </w:r>
      <w:r>
        <w:rPr>
          <w:rFonts w:hint="eastAsia" w:ascii="Times New Roman" w:hAnsi="Times New Roman" w:cs="Times New Roman"/>
          <w:color w:val="auto"/>
        </w:rPr>
        <w:t>4-5</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3.</w:t>
      </w:r>
      <w:r>
        <w:rPr>
          <w:rFonts w:cs="Times New Roman"/>
          <w:color w:val="auto"/>
        </w:rPr>
        <w:t>4-</w:t>
      </w:r>
      <w:r>
        <w:rPr>
          <w:rFonts w:hint="eastAsia" w:cs="Times New Roman"/>
          <w:color w:val="auto"/>
        </w:rPr>
        <w:t>5</w:t>
      </w:r>
      <w:r>
        <w:rPr>
          <w:rFonts w:cs="Times New Roman"/>
          <w:color w:val="auto"/>
        </w:rPr>
        <w:t xml:space="preserve">   项目运行后污水处理站恶臭污染物排放源强一览表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1"/>
        <w:gridCol w:w="770"/>
        <w:gridCol w:w="973"/>
        <w:gridCol w:w="1214"/>
        <w:gridCol w:w="1098"/>
        <w:gridCol w:w="1040"/>
        <w:gridCol w:w="1046"/>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80"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463"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1315" w:type="pct"/>
            <w:gridSpan w:val="2"/>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产生情况</w:t>
            </w:r>
          </w:p>
        </w:tc>
        <w:tc>
          <w:tcPr>
            <w:tcW w:w="660"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处理措施</w:t>
            </w:r>
          </w:p>
        </w:tc>
        <w:tc>
          <w:tcPr>
            <w:tcW w:w="1254" w:type="pct"/>
            <w:gridSpan w:val="2"/>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排放情况</w:t>
            </w:r>
          </w:p>
        </w:tc>
        <w:tc>
          <w:tcPr>
            <w:tcW w:w="625"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标准值mg/m</w:t>
            </w:r>
            <w:r>
              <w:rPr>
                <w:rFonts w:ascii="Times New Roman" w:hAnsi="Times New Roman" w:cs="Times New Roman"/>
                <w:b/>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80"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463"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58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产生量t/a</w:t>
            </w:r>
          </w:p>
        </w:tc>
        <w:tc>
          <w:tcPr>
            <w:tcW w:w="729"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浓度mg/m</w:t>
            </w:r>
            <w:r>
              <w:rPr>
                <w:rFonts w:ascii="Times New Roman" w:hAnsi="Times New Roman" w:cs="Times New Roman"/>
                <w:b/>
                <w:bCs/>
                <w:color w:val="auto"/>
                <w:sz w:val="21"/>
                <w:szCs w:val="21"/>
                <w:vertAlign w:val="superscript"/>
              </w:rPr>
              <w:t>3</w:t>
            </w:r>
          </w:p>
        </w:tc>
        <w:tc>
          <w:tcPr>
            <w:tcW w:w="660"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62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排放量t/a</w:t>
            </w:r>
          </w:p>
        </w:tc>
        <w:tc>
          <w:tcPr>
            <w:tcW w:w="629"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浓度mg/m</w:t>
            </w:r>
            <w:r>
              <w:rPr>
                <w:rFonts w:ascii="Times New Roman" w:hAnsi="Times New Roman" w:cs="Times New Roman"/>
                <w:b/>
                <w:bCs/>
                <w:color w:val="auto"/>
                <w:sz w:val="21"/>
                <w:szCs w:val="21"/>
                <w:vertAlign w:val="superscript"/>
              </w:rPr>
              <w:t>3</w:t>
            </w:r>
          </w:p>
        </w:tc>
        <w:tc>
          <w:tcPr>
            <w:tcW w:w="625"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80"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污水处理站</w:t>
            </w:r>
          </w:p>
        </w:tc>
        <w:tc>
          <w:tcPr>
            <w:tcW w:w="4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NH</w:t>
            </w:r>
            <w:r>
              <w:rPr>
                <w:rFonts w:ascii="Times New Roman" w:hAnsi="Times New Roman" w:cs="Times New Roman"/>
                <w:color w:val="auto"/>
                <w:sz w:val="21"/>
                <w:szCs w:val="21"/>
                <w:vertAlign w:val="subscript"/>
              </w:rPr>
              <w:t>3</w:t>
            </w:r>
          </w:p>
        </w:tc>
        <w:tc>
          <w:tcPr>
            <w:tcW w:w="585"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0.036</w:t>
            </w:r>
          </w:p>
        </w:tc>
        <w:tc>
          <w:tcPr>
            <w:tcW w:w="729"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1.37</w:t>
            </w:r>
          </w:p>
        </w:tc>
        <w:tc>
          <w:tcPr>
            <w:tcW w:w="660"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等离子除臭</w:t>
            </w:r>
          </w:p>
        </w:tc>
        <w:tc>
          <w:tcPr>
            <w:tcW w:w="625"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0.013</w:t>
            </w:r>
          </w:p>
        </w:tc>
        <w:tc>
          <w:tcPr>
            <w:tcW w:w="629"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62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80"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463" w:type="pct"/>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H</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S</w:t>
            </w:r>
          </w:p>
        </w:tc>
        <w:tc>
          <w:tcPr>
            <w:tcW w:w="585" w:type="pct"/>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0.0014</w:t>
            </w:r>
          </w:p>
        </w:tc>
        <w:tc>
          <w:tcPr>
            <w:tcW w:w="729" w:type="pct"/>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0.16</w:t>
            </w:r>
          </w:p>
        </w:tc>
        <w:tc>
          <w:tcPr>
            <w:tcW w:w="660"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625" w:type="pct"/>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0.0005</w:t>
            </w:r>
          </w:p>
        </w:tc>
        <w:tc>
          <w:tcPr>
            <w:tcW w:w="629" w:type="pct"/>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0.011</w:t>
            </w:r>
          </w:p>
        </w:tc>
        <w:tc>
          <w:tcPr>
            <w:tcW w:w="625" w:type="pct"/>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w:t>
            </w:r>
          </w:p>
        </w:tc>
      </w:tr>
    </w:tbl>
    <w:p>
      <w:pPr>
        <w:spacing w:line="520" w:lineRule="exact"/>
        <w:rPr>
          <w:rFonts w:ascii="Times New Roman" w:hAnsi="Times New Roman" w:cs="Times New Roman"/>
          <w:color w:val="auto"/>
        </w:rPr>
      </w:pPr>
      <w:r>
        <w:rPr>
          <w:rFonts w:ascii="Times New Roman" w:hAnsi="Times New Roman" w:cs="Times New Roman"/>
          <w:color w:val="auto"/>
        </w:rPr>
        <w:t>②无组织排放</w:t>
      </w:r>
    </w:p>
    <w:p>
      <w:pPr>
        <w:spacing w:line="520" w:lineRule="exact"/>
        <w:rPr>
          <w:rFonts w:ascii="Times New Roman" w:hAnsi="Times New Roman" w:cs="Times New Roman"/>
          <w:color w:val="auto"/>
        </w:rPr>
      </w:pPr>
      <w:r>
        <w:rPr>
          <w:rFonts w:ascii="Times New Roman" w:hAnsi="Times New Roman" w:cs="Times New Roman"/>
          <w:color w:val="auto"/>
        </w:rPr>
        <w:t>本项目污水处理站产生的恶臭气体，本此环评要求在将水处理池加盖板密闭起来，经引风机收集后处置，集气罩收集效率为90%，其中剩余10%以无组织形式排放，根据计算，无组织NH</w:t>
      </w:r>
      <w:r>
        <w:rPr>
          <w:rFonts w:ascii="Times New Roman" w:hAnsi="Times New Roman" w:cs="Times New Roman"/>
          <w:color w:val="auto"/>
          <w:vertAlign w:val="subscript"/>
        </w:rPr>
        <w:t>3</w:t>
      </w:r>
      <w:r>
        <w:rPr>
          <w:rFonts w:ascii="Times New Roman" w:hAnsi="Times New Roman" w:cs="Times New Roman"/>
          <w:color w:val="auto"/>
        </w:rPr>
        <w:t>排放量为0.00</w:t>
      </w:r>
      <w:r>
        <w:rPr>
          <w:rFonts w:hint="eastAsia" w:ascii="Times New Roman" w:hAnsi="Times New Roman" w:cs="Times New Roman"/>
          <w:color w:val="auto"/>
          <w:lang w:val="en-US" w:eastAsia="zh-CN"/>
        </w:rPr>
        <w:t>36</w:t>
      </w:r>
      <w:r>
        <w:rPr>
          <w:rFonts w:ascii="Times New Roman" w:hAnsi="Times New Roman" w:cs="Times New Roman"/>
          <w:color w:val="auto"/>
        </w:rPr>
        <w:t>t/a，排放量为H</w:t>
      </w:r>
      <w:r>
        <w:rPr>
          <w:rFonts w:ascii="Times New Roman" w:hAnsi="Times New Roman" w:cs="Times New Roman"/>
          <w:color w:val="auto"/>
          <w:vertAlign w:val="subscript"/>
        </w:rPr>
        <w:t>2</w:t>
      </w:r>
      <w:r>
        <w:rPr>
          <w:rFonts w:ascii="Times New Roman" w:hAnsi="Times New Roman" w:cs="Times New Roman"/>
          <w:color w:val="auto"/>
        </w:rPr>
        <w:t>S0.0001t/a</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满足《医疗机构水污染物排放标准》（GB18466-2005）表3污水处理站周边大气污染物最高允许浓度排放限值后达标排放</w:t>
      </w:r>
      <w:r>
        <w:rPr>
          <w:rFonts w:ascii="Times New Roman" w:hAnsi="Times New Roman" w:cs="Times New Roman"/>
          <w:color w:val="auto"/>
        </w:rPr>
        <w:t>。</w:t>
      </w:r>
    </w:p>
    <w:p>
      <w:pPr>
        <w:numPr>
          <w:ilvl w:val="0"/>
          <w:numId w:val="2"/>
        </w:numPr>
        <w:spacing w:line="520" w:lineRule="exac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带菌空气</w:t>
      </w:r>
    </w:p>
    <w:p>
      <w:pPr>
        <w:spacing w:line="520" w:lineRule="exact"/>
        <w:rPr>
          <w:rFonts w:ascii="Times New Roman" w:hAnsi="Times New Roman" w:cs="Times New Roman"/>
          <w:color w:val="auto"/>
        </w:rPr>
      </w:pPr>
      <w:r>
        <w:rPr>
          <w:rFonts w:hint="eastAsia" w:ascii="Times New Roman" w:hAnsi="Times New Roman" w:cs="Times New Roman"/>
          <w:color w:val="auto"/>
        </w:rPr>
        <w:t>医院内空气中含有病人携带的致病菌，所以要求医院按照《医院空气净化管理规范》（WS/T368-2012）和《医疗机构消毒技术规范》</w:t>
      </w:r>
      <w:r>
        <w:rPr>
          <w:rFonts w:hint="eastAsia" w:ascii="Times New Roman" w:hAnsi="Times New Roman" w:cs="Times New Roman"/>
          <w:color w:val="auto"/>
          <w:lang w:eastAsia="zh-CN"/>
        </w:rPr>
        <w:t>（</w:t>
      </w:r>
      <w:r>
        <w:rPr>
          <w:rFonts w:hint="eastAsia" w:ascii="Times New Roman" w:hAnsi="Times New Roman" w:cs="Times New Roman"/>
          <w:color w:val="auto"/>
        </w:rPr>
        <w:t>WS/T367-2012</w:t>
      </w:r>
      <w:r>
        <w:rPr>
          <w:rFonts w:hint="eastAsia" w:ascii="Times New Roman" w:hAnsi="Times New Roman" w:cs="Times New Roman"/>
          <w:color w:val="auto"/>
          <w:lang w:eastAsia="zh-CN"/>
        </w:rPr>
        <w:t>）</w:t>
      </w:r>
      <w:r>
        <w:rPr>
          <w:rFonts w:hint="eastAsia" w:ascii="Times New Roman" w:hAnsi="Times New Roman" w:cs="Times New Roman"/>
          <w:color w:val="auto"/>
        </w:rPr>
        <w:t>的要求，严格管理，对室内定期进行消毒灭菌（每日至少一次），即采用醋酸、优氨净、复方来苏水等以降低空气中含菌量，可采用喷雾消毒或熏蒸消毒等化学消毒方法；同时加强室内通风，使医院非洁净手术部（室）的室内空气经消毒净化后执行《医院空气净化管理规范》（WST368-2012）中细菌菌落总数≤4CFU/</w:t>
      </w:r>
      <w:r>
        <w:rPr>
          <w:rFonts w:hint="eastAsia" w:ascii="Times New Roman" w:hAnsi="Times New Roman" w:cs="Times New Roman"/>
          <w:color w:val="auto"/>
          <w:lang w:eastAsia="zh-CN"/>
        </w:rPr>
        <w:t>（</w:t>
      </w:r>
      <w:r>
        <w:rPr>
          <w:rFonts w:hint="eastAsia" w:ascii="Times New Roman" w:hAnsi="Times New Roman" w:cs="Times New Roman"/>
          <w:color w:val="auto"/>
        </w:rPr>
        <w:t>15min·直径9cm平皿</w:t>
      </w:r>
      <w:r>
        <w:rPr>
          <w:rFonts w:hint="eastAsia" w:ascii="Times New Roman" w:hAnsi="Times New Roman" w:cs="Times New Roman"/>
          <w:color w:val="auto"/>
          <w:lang w:eastAsia="zh-CN"/>
        </w:rPr>
        <w:t>）</w:t>
      </w:r>
      <w:r>
        <w:rPr>
          <w:rFonts w:hint="eastAsia" w:ascii="Times New Roman" w:hAnsi="Times New Roman" w:cs="Times New Roman"/>
          <w:color w:val="auto"/>
        </w:rPr>
        <w:t>”的空气净化卫生要求；其余区域的室内空气经消毒净化后达到《医院空气净化管理规范》（WST368-2012）中细菌菌落总数≤4CFU/</w:t>
      </w:r>
      <w:r>
        <w:rPr>
          <w:rFonts w:hint="eastAsia" w:ascii="Times New Roman" w:hAnsi="Times New Roman" w:cs="Times New Roman"/>
          <w:color w:val="auto"/>
          <w:lang w:eastAsia="zh-CN"/>
        </w:rPr>
        <w:t>（</w:t>
      </w:r>
      <w:r>
        <w:rPr>
          <w:rFonts w:hint="eastAsia" w:ascii="Times New Roman" w:hAnsi="Times New Roman" w:cs="Times New Roman"/>
          <w:color w:val="auto"/>
        </w:rPr>
        <w:t>5min·直径9cm平皿</w:t>
      </w:r>
      <w:r>
        <w:rPr>
          <w:rFonts w:hint="eastAsia" w:ascii="Times New Roman" w:hAnsi="Times New Roman" w:cs="Times New Roman"/>
          <w:color w:val="auto"/>
          <w:lang w:eastAsia="zh-CN"/>
        </w:rPr>
        <w:t>）</w:t>
      </w:r>
      <w:r>
        <w:rPr>
          <w:rFonts w:hint="eastAsia" w:ascii="Times New Roman" w:hAnsi="Times New Roman" w:cs="Times New Roman"/>
          <w:color w:val="auto"/>
        </w:rPr>
        <w:t>”的空气净化卫生要求，并加强通风换气，给医院一个洁净的室内空气环境。</w:t>
      </w:r>
    </w:p>
    <w:p>
      <w:pPr>
        <w:spacing w:line="520" w:lineRule="exact"/>
        <w:rPr>
          <w:rFonts w:ascii="Times New Roman" w:hAnsi="Times New Roman" w:cs="Times New Roman"/>
          <w:color w:val="auto"/>
        </w:rPr>
      </w:pPr>
      <w:r>
        <w:rPr>
          <w:rFonts w:ascii="Times New Roman" w:hAnsi="Times New Roman" w:cs="Times New Roman"/>
          <w:color w:val="auto"/>
        </w:rPr>
        <w:t>（3）食堂油烟</w:t>
      </w:r>
    </w:p>
    <w:p>
      <w:pPr>
        <w:spacing w:line="520" w:lineRule="exact"/>
        <w:rPr>
          <w:rFonts w:ascii="Times New Roman" w:hAnsi="Times New Roman" w:cs="Times New Roman"/>
          <w:color w:val="auto"/>
        </w:rPr>
      </w:pPr>
      <w:r>
        <w:rPr>
          <w:rFonts w:ascii="Times New Roman" w:hAnsi="Times New Roman" w:cs="Times New Roman"/>
          <w:color w:val="auto"/>
        </w:rPr>
        <w:t>食堂使用天然气作为燃料，属于清洁能源，燃烧后生成二氧化碳和水，对环境影响较小，故营运期食堂产生的废气主要为油烟废气。根据相关资料和调查统计，本项目日就餐人数按2000人，按照食堂食用油使用量约30g/人•d计，项目工作制度为365d/a，则食用油使用量为21.9t/a，一般油烟挥发量占耗油量的2～4%，但医院食堂低于纯餐饮经营单位，食用油耗量和炒、炸、煎等烹调工序较少，因此</w:t>
      </w:r>
      <w:r>
        <w:rPr>
          <w:rFonts w:hint="eastAsia" w:ascii="Times New Roman" w:hAnsi="Times New Roman" w:cs="Times New Roman"/>
          <w:color w:val="auto"/>
        </w:rPr>
        <w:t>本项目</w:t>
      </w:r>
      <w:r>
        <w:rPr>
          <w:rFonts w:ascii="Times New Roman" w:hAnsi="Times New Roman" w:cs="Times New Roman"/>
          <w:color w:val="auto"/>
        </w:rPr>
        <w:t>油烟挥发量按2.5%计，则食堂油烟产生量为0.55t/a。项目油烟采用油烟净化器进行处理，处理效率应达到85%以上，油烟机风量为20000m</w:t>
      </w:r>
      <w:r>
        <w:rPr>
          <w:rFonts w:ascii="Times New Roman" w:hAnsi="Times New Roman" w:cs="Times New Roman"/>
          <w:color w:val="auto"/>
          <w:vertAlign w:val="superscript"/>
        </w:rPr>
        <w:t>3</w:t>
      </w:r>
      <w:r>
        <w:rPr>
          <w:rFonts w:ascii="Times New Roman" w:hAnsi="Times New Roman" w:cs="Times New Roman"/>
          <w:color w:val="auto"/>
        </w:rPr>
        <w:t>/h，食堂炉灶按6小时/天计算，油烟净化器年工作时间2190h，产生有组织排放油烟量为82.5kg/a，油烟排放浓度为1.88mg/m</w:t>
      </w:r>
      <w:r>
        <w:rPr>
          <w:rFonts w:ascii="Times New Roman" w:hAnsi="Times New Roman" w:cs="Times New Roman"/>
          <w:color w:val="auto"/>
          <w:vertAlign w:val="superscript"/>
        </w:rPr>
        <w:t>3</w:t>
      </w:r>
      <w:r>
        <w:rPr>
          <w:rFonts w:ascii="Times New Roman" w:hAnsi="Times New Roman" w:cs="Times New Roman"/>
          <w:color w:val="auto"/>
        </w:rPr>
        <w:t>，处理后的油烟经专用排烟管道引至楼顶排放，达到《饮食业油烟排放标准（试行）》（GB18483-2001）中的规定（2.0mg/m</w:t>
      </w:r>
      <w:r>
        <w:rPr>
          <w:rFonts w:ascii="Times New Roman" w:hAnsi="Times New Roman" w:cs="Times New Roman"/>
          <w:color w:val="auto"/>
          <w:vertAlign w:val="superscript"/>
        </w:rPr>
        <w:t>3</w:t>
      </w:r>
      <w:r>
        <w:rPr>
          <w:rFonts w:ascii="Times New Roman" w:hAnsi="Times New Roman" w:cs="Times New Roman"/>
          <w:color w:val="auto"/>
        </w:rPr>
        <w:t>）。</w:t>
      </w:r>
    </w:p>
    <w:p>
      <w:pPr>
        <w:pStyle w:val="35"/>
        <w:spacing w:before="0" w:after="0" w:line="520" w:lineRule="exact"/>
        <w:rPr>
          <w:rFonts w:cs="Times New Roman"/>
          <w:color w:val="auto"/>
        </w:rPr>
      </w:pPr>
    </w:p>
    <w:p>
      <w:pPr>
        <w:pStyle w:val="35"/>
        <w:spacing w:before="0" w:after="0" w:line="520" w:lineRule="exact"/>
        <w:rPr>
          <w:rFonts w:cs="Times New Roman"/>
          <w:color w:val="auto"/>
        </w:rPr>
      </w:pPr>
    </w:p>
    <w:p>
      <w:pPr>
        <w:pStyle w:val="35"/>
        <w:spacing w:before="0" w:after="0" w:line="520" w:lineRule="exact"/>
        <w:rPr>
          <w:rFonts w:cs="Times New Roman"/>
          <w:color w:val="auto"/>
        </w:rPr>
      </w:pPr>
      <w:r>
        <w:rPr>
          <w:rFonts w:cs="Times New Roman"/>
          <w:color w:val="auto"/>
        </w:rPr>
        <w:t>表</w:t>
      </w:r>
      <w:r>
        <w:rPr>
          <w:rFonts w:hint="eastAsia" w:cs="Times New Roman"/>
          <w:color w:val="auto"/>
        </w:rPr>
        <w:t>3.</w:t>
      </w:r>
      <w:r>
        <w:rPr>
          <w:rFonts w:cs="Times New Roman"/>
          <w:color w:val="auto"/>
        </w:rPr>
        <w:t>4-</w:t>
      </w:r>
      <w:r>
        <w:rPr>
          <w:rFonts w:hint="eastAsia" w:cs="Times New Roman"/>
          <w:color w:val="auto"/>
        </w:rPr>
        <w:t>6</w:t>
      </w:r>
      <w:r>
        <w:rPr>
          <w:rFonts w:cs="Times New Roman"/>
          <w:color w:val="auto"/>
        </w:rPr>
        <w:t xml:space="preserve">   食堂油烟产排情况</w:t>
      </w:r>
    </w:p>
    <w:tbl>
      <w:tblPr>
        <w:tblStyle w:val="24"/>
        <w:tblW w:w="8515"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2"/>
        <w:gridCol w:w="976"/>
        <w:gridCol w:w="1060"/>
        <w:gridCol w:w="1036"/>
        <w:gridCol w:w="1195"/>
        <w:gridCol w:w="998"/>
        <w:gridCol w:w="1042"/>
        <w:gridCol w:w="11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12"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976"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就餐人数</w:t>
            </w:r>
          </w:p>
        </w:tc>
        <w:tc>
          <w:tcPr>
            <w:tcW w:w="1060"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风机量（m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/h）</w:t>
            </w:r>
          </w:p>
        </w:tc>
        <w:tc>
          <w:tcPr>
            <w:tcW w:w="1036"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w:t>
            </w:r>
          </w:p>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（t/a）</w:t>
            </w:r>
          </w:p>
        </w:tc>
        <w:tc>
          <w:tcPr>
            <w:tcW w:w="1195"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产生浓度（mg/m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w:t>
            </w:r>
          </w:p>
        </w:tc>
        <w:tc>
          <w:tcPr>
            <w:tcW w:w="998"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处理效率%</w:t>
            </w:r>
          </w:p>
        </w:tc>
        <w:tc>
          <w:tcPr>
            <w:tcW w:w="1042"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排放量</w:t>
            </w:r>
          </w:p>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（t/a）</w:t>
            </w:r>
          </w:p>
        </w:tc>
        <w:tc>
          <w:tcPr>
            <w:tcW w:w="1196"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排放浓度</w:t>
            </w:r>
          </w:p>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（mg/m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101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食堂油烟</w:t>
            </w:r>
          </w:p>
        </w:tc>
        <w:tc>
          <w:tcPr>
            <w:tcW w:w="97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106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20000</w:t>
            </w:r>
          </w:p>
        </w:tc>
        <w:tc>
          <w:tcPr>
            <w:tcW w:w="103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0.55</w:t>
            </w:r>
          </w:p>
        </w:tc>
        <w:tc>
          <w:tcPr>
            <w:tcW w:w="119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12.56</w:t>
            </w:r>
          </w:p>
        </w:tc>
        <w:tc>
          <w:tcPr>
            <w:tcW w:w="998"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85</w:t>
            </w:r>
          </w:p>
        </w:tc>
        <w:tc>
          <w:tcPr>
            <w:tcW w:w="1042"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0.0825</w:t>
            </w:r>
          </w:p>
        </w:tc>
        <w:tc>
          <w:tcPr>
            <w:tcW w:w="119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1.88</w:t>
            </w:r>
          </w:p>
        </w:tc>
      </w:tr>
    </w:tbl>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（4）备用发电机废气</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本项目建成后将设置1台功率为500kW的柴油发电机作为备用电源，燃料采用0#轻质柴油，</w:t>
      </w:r>
      <w:r>
        <w:rPr>
          <w:rFonts w:hint="eastAsia" w:ascii="Times New Roman" w:hAnsi="Times New Roman" w:cs="Times New Roman"/>
          <w:color w:val="auto"/>
          <w:highlight w:val="none"/>
        </w:rPr>
        <w:t>属清洁能源</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燃油尾气中的污染物成分包括SO</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、NOx和烟尘。本项目备用发电机保守估计全年工作时间共48h，则年耗油量为5.04t。备用发电机</w:t>
      </w:r>
      <w:r>
        <w:rPr>
          <w:rFonts w:hint="eastAsia" w:ascii="Times New Roman" w:hAnsi="Times New Roman" w:cs="Times New Roman"/>
          <w:color w:val="auto"/>
          <w:highlight w:val="none"/>
        </w:rPr>
        <w:t>废</w:t>
      </w:r>
      <w:r>
        <w:rPr>
          <w:rFonts w:ascii="Times New Roman" w:hAnsi="Times New Roman" w:cs="Times New Roman"/>
          <w:color w:val="auto"/>
          <w:highlight w:val="none"/>
        </w:rPr>
        <w:t>气满足《大气污染物综合排放标准》（GB16297-1996）表2中</w:t>
      </w:r>
      <w:r>
        <w:rPr>
          <w:rFonts w:hint="eastAsia" w:ascii="Times New Roman" w:hAnsi="Times New Roman" w:cs="Times New Roman"/>
          <w:color w:val="auto"/>
          <w:highlight w:val="none"/>
        </w:rPr>
        <w:t>无组织</w:t>
      </w:r>
      <w:r>
        <w:rPr>
          <w:rFonts w:ascii="Times New Roman" w:hAnsi="Times New Roman" w:cs="Times New Roman"/>
          <w:color w:val="auto"/>
          <w:highlight w:val="none"/>
        </w:rPr>
        <w:t>排放限值要求后</w:t>
      </w:r>
      <w:r>
        <w:rPr>
          <w:rFonts w:hint="eastAsia" w:ascii="Times New Roman" w:hAnsi="Times New Roman" w:cs="Times New Roman"/>
          <w:color w:val="auto"/>
          <w:highlight w:val="none"/>
        </w:rPr>
        <w:t>以无组织形式</w:t>
      </w:r>
      <w:r>
        <w:rPr>
          <w:rFonts w:ascii="Times New Roman" w:hAnsi="Times New Roman" w:cs="Times New Roman"/>
          <w:color w:val="auto"/>
          <w:highlight w:val="none"/>
        </w:rPr>
        <w:t>排放。</w:t>
      </w:r>
    </w:p>
    <w:p>
      <w:pPr>
        <w:spacing w:line="520" w:lineRule="exact"/>
        <w:rPr>
          <w:rFonts w:ascii="Times New Roman" w:hAnsi="Times New Roman" w:cs="Times New Roman"/>
          <w:color w:val="auto"/>
        </w:rPr>
      </w:pPr>
      <w:r>
        <w:rPr>
          <w:rFonts w:ascii="Times New Roman" w:hAnsi="Times New Roman" w:cs="Times New Roman"/>
          <w:color w:val="auto"/>
        </w:rPr>
        <w:t>根据《普通柴油》（GB252-2015）的相关要求，2018年1月1日开始普通柴油含硫量不大于10mg/kg（0.001%），灰分（质量分数）不大于0.01%。本项目营运期备用发电机使用的柴油硫率不大于0.001%、灰分不大于0.01%。根据《大气</w:t>
      </w:r>
      <w:r>
        <w:rPr>
          <w:rFonts w:hint="eastAsia" w:ascii="Times New Roman" w:hAnsi="Times New Roman" w:cs="Times New Roman"/>
          <w:color w:val="auto"/>
          <w:lang w:val="en-US" w:eastAsia="zh-CN"/>
        </w:rPr>
        <w:t>环境</w:t>
      </w:r>
      <w:r>
        <w:rPr>
          <w:rFonts w:ascii="Times New Roman" w:hAnsi="Times New Roman" w:cs="Times New Roman"/>
          <w:color w:val="auto"/>
        </w:rPr>
        <w:t>污染工程师</w:t>
      </w:r>
      <w:r>
        <w:rPr>
          <w:rFonts w:hint="eastAsia" w:ascii="Times New Roman" w:hAnsi="Times New Roman" w:cs="Times New Roman"/>
          <w:color w:val="auto"/>
          <w:lang w:val="en-US" w:eastAsia="zh-CN"/>
        </w:rPr>
        <w:t>实用</w:t>
      </w:r>
      <w:r>
        <w:rPr>
          <w:rFonts w:ascii="Times New Roman" w:hAnsi="Times New Roman" w:cs="Times New Roman"/>
          <w:color w:val="auto"/>
        </w:rPr>
        <w:t>手册》，当空气过剩系数为1时，1kg柴油产生的烟气量约为11Nm</w:t>
      </w:r>
      <w:r>
        <w:rPr>
          <w:rFonts w:ascii="Times New Roman" w:hAnsi="Times New Roman" w:cs="Times New Roman"/>
          <w:color w:val="auto"/>
          <w:vertAlign w:val="superscript"/>
        </w:rPr>
        <w:t>3</w:t>
      </w:r>
      <w:r>
        <w:rPr>
          <w:rFonts w:ascii="Times New Roman" w:hAnsi="Times New Roman" w:cs="Times New Roman"/>
          <w:color w:val="auto"/>
        </w:rPr>
        <w:t>。一般柴油发电机空气过剩系数为1.8，则发电机每燃烧1kg柴油产生的烟气量为11×1.8≈20Nm</w:t>
      </w:r>
      <w:r>
        <w:rPr>
          <w:rFonts w:ascii="Times New Roman" w:hAnsi="Times New Roman" w:cs="Times New Roman"/>
          <w:color w:val="auto"/>
          <w:vertAlign w:val="superscript"/>
        </w:rPr>
        <w:t>3</w:t>
      </w:r>
      <w:r>
        <w:rPr>
          <w:rFonts w:ascii="Times New Roman" w:hAnsi="Times New Roman" w:cs="Times New Roman"/>
          <w:color w:val="auto"/>
        </w:rPr>
        <w:t>，每年产生的烟气量为1.008×10</w:t>
      </w:r>
      <w:r>
        <w:rPr>
          <w:rFonts w:ascii="Times New Roman" w:hAnsi="Times New Roman" w:cs="Times New Roman"/>
          <w:color w:val="auto"/>
          <w:vertAlign w:val="superscript"/>
        </w:rPr>
        <w:t>5</w:t>
      </w:r>
      <w:r>
        <w:rPr>
          <w:rFonts w:ascii="Times New Roman" w:hAnsi="Times New Roman" w:cs="Times New Roman"/>
          <w:color w:val="auto"/>
        </w:rPr>
        <w:t>Nm</w:t>
      </w:r>
      <w:r>
        <w:rPr>
          <w:rFonts w:ascii="Times New Roman" w:hAnsi="Times New Roman" w:cs="Times New Roman"/>
          <w:color w:val="auto"/>
          <w:vertAlign w:val="superscript"/>
        </w:rPr>
        <w:t>3</w:t>
      </w:r>
      <w:r>
        <w:rPr>
          <w:rFonts w:ascii="Times New Roman" w:hAnsi="Times New Roman" w:cs="Times New Roman"/>
          <w:color w:val="auto"/>
        </w:rPr>
        <w:t>。根据《环境统计手册》相关参数，燃料燃烧污染物烟尘、SO</w:t>
      </w:r>
      <w:r>
        <w:rPr>
          <w:rFonts w:ascii="Times New Roman" w:hAnsi="Times New Roman" w:cs="Times New Roman"/>
          <w:color w:val="auto"/>
          <w:vertAlign w:val="subscript"/>
        </w:rPr>
        <w:t>2</w:t>
      </w:r>
      <w:r>
        <w:rPr>
          <w:rFonts w:ascii="Times New Roman" w:hAnsi="Times New Roman" w:cs="Times New Roman"/>
          <w:color w:val="auto"/>
        </w:rPr>
        <w:t>、NOx产生量算法如下：</w:t>
      </w:r>
    </w:p>
    <w:p>
      <w:pPr>
        <w:pStyle w:val="5"/>
        <w:spacing w:after="0" w:line="240" w:lineRule="auto"/>
        <w:ind w:firstLine="0" w:firstLineChars="0"/>
        <w:jc w:val="center"/>
        <w:rPr>
          <w:rFonts w:ascii="Times New Roman" w:hAnsi="Times New Roman" w:cs="Times New Roman"/>
          <w:color w:val="auto"/>
        </w:rPr>
      </w:pPr>
      <w:r>
        <w:rPr>
          <w:rFonts w:ascii="Times New Roman" w:hAnsi="Times New Roman" w:cs="Times New Roman"/>
          <w:color w:val="auto"/>
          <w:position w:val="-16"/>
        </w:rPr>
        <w:object>
          <v:shape id="_x0000_i1026" o:spt="75" type="#_x0000_t75" style="height:19.8pt;width:106.2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式中：Gso</w:t>
      </w:r>
      <w:r>
        <w:rPr>
          <w:rFonts w:ascii="Times New Roman" w:hAnsi="Times New Roman" w:cs="Times New Roman"/>
          <w:color w:val="auto"/>
          <w:vertAlign w:val="subscript"/>
        </w:rPr>
        <w:t>2</w:t>
      </w:r>
      <w:r>
        <w:rPr>
          <w:rFonts w:ascii="Times New Roman" w:hAnsi="Times New Roman" w:cs="Times New Roman"/>
          <w:color w:val="auto"/>
        </w:rPr>
        <w:t>—二氧化硫排放量，kg；</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B—消耗的燃料量，kg；</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S—燃料中的全硫分含量，0.001%；</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η—二氧化硫去除率，%；本项目选0。</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position w:val="-14"/>
        </w:rPr>
        <w:object>
          <v:shape id="_x0000_i1027" o:spt="75" type="#_x0000_t75" style="height:19.2pt;width:175.2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式中：G</w:t>
      </w:r>
      <w:r>
        <w:rPr>
          <w:rFonts w:ascii="Times New Roman" w:hAnsi="Times New Roman" w:cs="Times New Roman"/>
          <w:color w:val="auto"/>
          <w:vertAlign w:val="subscript"/>
        </w:rPr>
        <w:t>NOx</w:t>
      </w:r>
      <w:r>
        <w:rPr>
          <w:rFonts w:ascii="Times New Roman" w:hAnsi="Times New Roman" w:cs="Times New Roman"/>
          <w:color w:val="auto"/>
        </w:rPr>
        <w:t>—氮氧化物排放量，kg；</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B—消耗的燃料量，kg；</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N—燃料中的含氮量，%；本项目取值0.02%；</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β—燃料中氮的转化率，%；本项目选40%。</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position w:val="-12"/>
        </w:rPr>
        <w:object>
          <v:shape id="_x0000_i1028" o:spt="75" type="#_x0000_t75" style="height:18pt;width:58.8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式中：Gsd—烟尘排放量，kg；</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B—消耗的燃料量，kg；</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A—灰分含量；%；本项目取0.01%。</w:t>
      </w:r>
    </w:p>
    <w:p>
      <w:pPr>
        <w:spacing w:line="520" w:lineRule="exact"/>
        <w:rPr>
          <w:rFonts w:ascii="Times New Roman" w:hAnsi="Times New Roman" w:cs="Times New Roman"/>
          <w:color w:val="auto"/>
        </w:rPr>
      </w:pPr>
      <w:r>
        <w:rPr>
          <w:rFonts w:ascii="Times New Roman" w:hAnsi="Times New Roman" w:cs="Times New Roman"/>
          <w:color w:val="auto"/>
        </w:rPr>
        <w:t>根据以上计算参数，计算得本项目备用发电机尾气中各污染物的产生及排放情况如表</w:t>
      </w:r>
      <w:r>
        <w:rPr>
          <w:rFonts w:hint="eastAsia" w:ascii="Times New Roman" w:hAnsi="Times New Roman" w:cs="Times New Roman"/>
          <w:color w:val="auto"/>
        </w:rPr>
        <w:t>3.4-7</w:t>
      </w:r>
      <w:r>
        <w:rPr>
          <w:rFonts w:ascii="Times New Roman" w:hAnsi="Times New Roman" w:cs="Times New Roman"/>
          <w:color w:val="auto"/>
        </w:rPr>
        <w:t>所示。</w:t>
      </w:r>
    </w:p>
    <w:p>
      <w:pPr>
        <w:pStyle w:val="35"/>
        <w:snapToGrid w:val="0"/>
        <w:spacing w:before="0" w:after="0" w:line="520" w:lineRule="exact"/>
        <w:rPr>
          <w:rFonts w:cs="Times New Roman"/>
          <w:color w:val="auto"/>
        </w:rPr>
      </w:pPr>
      <w:r>
        <w:rPr>
          <w:rFonts w:cs="Times New Roman"/>
          <w:color w:val="auto"/>
        </w:rPr>
        <w:t>表</w:t>
      </w:r>
      <w:r>
        <w:rPr>
          <w:rFonts w:hint="eastAsia" w:cs="Times New Roman"/>
          <w:color w:val="auto"/>
        </w:rPr>
        <w:t xml:space="preserve">3.4-7 </w:t>
      </w:r>
      <w:r>
        <w:rPr>
          <w:rFonts w:cs="Times New Roman"/>
          <w:color w:val="auto"/>
        </w:rPr>
        <w:t xml:space="preserve">  项目备用发电机污染物产排情况表</w:t>
      </w:r>
    </w:p>
    <w:tbl>
      <w:tblPr>
        <w:tblStyle w:val="24"/>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13"/>
        <w:gridCol w:w="1420"/>
        <w:gridCol w:w="1420"/>
        <w:gridCol w:w="1420"/>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1739"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w:t>
            </w:r>
          </w:p>
        </w:tc>
        <w:tc>
          <w:tcPr>
            <w:tcW w:w="848"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SO</w:t>
            </w:r>
            <w:r>
              <w:rPr>
                <w:rFonts w:ascii="Times New Roman" w:hAnsi="Times New Roman" w:cs="Times New Roman"/>
                <w:b/>
                <w:bCs/>
                <w:color w:val="auto"/>
                <w:sz w:val="21"/>
                <w:szCs w:val="21"/>
                <w:vertAlign w:val="subscript"/>
              </w:rPr>
              <w:t>2</w:t>
            </w:r>
          </w:p>
        </w:tc>
        <w:tc>
          <w:tcPr>
            <w:tcW w:w="848"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NO</w:t>
            </w:r>
            <w:r>
              <w:rPr>
                <w:rFonts w:ascii="Times New Roman" w:hAnsi="Times New Roman" w:cs="Times New Roman"/>
                <w:b/>
                <w:bCs/>
                <w:color w:val="auto"/>
                <w:sz w:val="21"/>
                <w:szCs w:val="21"/>
                <w:vertAlign w:val="subscript"/>
              </w:rPr>
              <w:t>X</w:t>
            </w:r>
          </w:p>
        </w:tc>
        <w:tc>
          <w:tcPr>
            <w:tcW w:w="848"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烟尘</w:t>
            </w:r>
          </w:p>
        </w:tc>
        <w:tc>
          <w:tcPr>
            <w:tcW w:w="71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林格曼黑度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废气量（Nm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3260" w:type="pct"/>
            <w:gridSpan w:val="4"/>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1.008×10</w:t>
            </w:r>
            <w:r>
              <w:rPr>
                <w:rFonts w:ascii="Times New Roman" w:hAnsi="Times New Roman" w:cs="Times New Roman"/>
                <w:color w:val="auto"/>
                <w:sz w:val="21"/>
                <w:szCs w:val="21"/>
                <w:vertAlign w:val="superscript"/>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产生量（kg/a）</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0.101</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7.772</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0.504</w:t>
            </w:r>
          </w:p>
        </w:tc>
        <w:tc>
          <w:tcPr>
            <w:tcW w:w="713"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产生速率（kg/h）</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0.162</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0.011</w:t>
            </w:r>
          </w:p>
        </w:tc>
        <w:tc>
          <w:tcPr>
            <w:tcW w:w="713"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产生浓度（mg/m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0.95</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77.14</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5.24</w:t>
            </w:r>
          </w:p>
        </w:tc>
        <w:tc>
          <w:tcPr>
            <w:tcW w:w="713"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排放量（kg/a）</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0.101</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7.772</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0.504</w:t>
            </w:r>
          </w:p>
        </w:tc>
        <w:tc>
          <w:tcPr>
            <w:tcW w:w="713"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排放速率（kg/h）</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0.162</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0.011</w:t>
            </w:r>
          </w:p>
        </w:tc>
        <w:tc>
          <w:tcPr>
            <w:tcW w:w="713"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3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0.95</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77.14</w:t>
            </w:r>
          </w:p>
        </w:tc>
        <w:tc>
          <w:tcPr>
            <w:tcW w:w="84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5.24</w:t>
            </w:r>
          </w:p>
        </w:tc>
        <w:tc>
          <w:tcPr>
            <w:tcW w:w="713"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bl>
    <w:p>
      <w:pPr>
        <w:spacing w:line="520" w:lineRule="exact"/>
        <w:rPr>
          <w:rFonts w:ascii="Times New Roman" w:hAnsi="Times New Roman" w:cs="Times New Roman"/>
          <w:color w:val="auto"/>
        </w:rPr>
      </w:pPr>
      <w:r>
        <w:rPr>
          <w:rFonts w:ascii="Times New Roman" w:hAnsi="Times New Roman" w:cs="Times New Roman"/>
          <w:color w:val="auto"/>
        </w:rPr>
        <w:t>（5）汽车尾气</w:t>
      </w:r>
    </w:p>
    <w:p>
      <w:pPr>
        <w:spacing w:line="520" w:lineRule="exact"/>
        <w:rPr>
          <w:rFonts w:ascii="Times New Roman" w:hAnsi="Times New Roman" w:cs="Times New Roman"/>
          <w:color w:val="auto"/>
        </w:rPr>
      </w:pPr>
      <w:r>
        <w:rPr>
          <w:rFonts w:ascii="Times New Roman" w:hAnsi="Times New Roman" w:cs="Times New Roman"/>
          <w:color w:val="auto"/>
        </w:rPr>
        <w:t>本项目设置停车位815个（其中地上624辆，地下191辆）。汽车在院内行驶以及出入车位怠速和慢速行驶时会产生汽车尾气污染，该尾气包括排气管尾气、曲轴箱漏气及油箱和化油器等燃料系统的泄漏气等，主要污染因子为CO、THC、NOx等，其汽车尾气的排放量与车型、车况和车辆数等有关，一般住户家庭用车基本为小型车（轿车和小面包车等），参照《环境保护实用数据手册》，有代表性的汽车排出物的测定结果和大气污染物排放系数见表</w:t>
      </w:r>
      <w:r>
        <w:rPr>
          <w:rFonts w:hint="eastAsia" w:ascii="Times New Roman" w:hAnsi="Times New Roman" w:cs="Times New Roman"/>
          <w:color w:val="auto"/>
        </w:rPr>
        <w:t>3.4-8</w:t>
      </w:r>
      <w:r>
        <w:rPr>
          <w:rFonts w:ascii="Times New Roman" w:hAnsi="Times New Roman" w:cs="Times New Roman"/>
          <w:color w:val="auto"/>
        </w:rPr>
        <w:t>。</w:t>
      </w:r>
    </w:p>
    <w:p>
      <w:pPr>
        <w:pStyle w:val="35"/>
        <w:snapToGrid w:val="0"/>
        <w:spacing w:before="0" w:after="0" w:line="520" w:lineRule="exact"/>
        <w:rPr>
          <w:rFonts w:cs="Times New Roman"/>
          <w:color w:val="auto"/>
        </w:rPr>
      </w:pPr>
      <w:r>
        <w:rPr>
          <w:rFonts w:cs="Times New Roman"/>
          <w:color w:val="auto"/>
        </w:rPr>
        <w:t>表</w:t>
      </w:r>
      <w:r>
        <w:rPr>
          <w:rFonts w:hint="eastAsia" w:cs="Times New Roman"/>
          <w:color w:val="auto"/>
        </w:rPr>
        <w:t>3.</w:t>
      </w:r>
      <w:r>
        <w:rPr>
          <w:rFonts w:cs="Times New Roman"/>
          <w:color w:val="auto"/>
        </w:rPr>
        <w:t>4-</w:t>
      </w:r>
      <w:r>
        <w:rPr>
          <w:rFonts w:hint="eastAsia" w:cs="Times New Roman"/>
          <w:color w:val="auto"/>
        </w:rPr>
        <w:t>8</w:t>
      </w:r>
      <w:r>
        <w:rPr>
          <w:rFonts w:cs="Times New Roman"/>
          <w:color w:val="auto"/>
        </w:rPr>
        <w:t xml:space="preserve">   机动车消耗单位燃料大气污染物排放系数  单位：g/L</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2042"/>
        <w:gridCol w:w="2040"/>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pct"/>
            <w:vAlign w:val="center"/>
          </w:tcPr>
          <w:p>
            <w:pPr>
              <w:pStyle w:val="47"/>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污染物车种类</w:t>
            </w:r>
          </w:p>
        </w:tc>
        <w:tc>
          <w:tcPr>
            <w:tcW w:w="1198" w:type="pct"/>
            <w:vAlign w:val="center"/>
          </w:tcPr>
          <w:p>
            <w:pPr>
              <w:pStyle w:val="47"/>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CO</w:t>
            </w:r>
          </w:p>
        </w:tc>
        <w:tc>
          <w:tcPr>
            <w:tcW w:w="1197" w:type="pct"/>
            <w:vAlign w:val="center"/>
          </w:tcPr>
          <w:p>
            <w:pPr>
              <w:pStyle w:val="47"/>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THC</w:t>
            </w:r>
          </w:p>
        </w:tc>
        <w:tc>
          <w:tcPr>
            <w:tcW w:w="1197" w:type="pct"/>
            <w:vAlign w:val="center"/>
          </w:tcPr>
          <w:p>
            <w:pPr>
              <w:pStyle w:val="47"/>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6" w:type="pct"/>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轿车（汽油）</w:t>
            </w:r>
          </w:p>
        </w:tc>
        <w:tc>
          <w:tcPr>
            <w:tcW w:w="1198" w:type="pct"/>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191</w:t>
            </w:r>
          </w:p>
        </w:tc>
        <w:tc>
          <w:tcPr>
            <w:tcW w:w="1197" w:type="pct"/>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24.1</w:t>
            </w:r>
          </w:p>
        </w:tc>
        <w:tc>
          <w:tcPr>
            <w:tcW w:w="1197" w:type="pct"/>
            <w:vAlign w:val="center"/>
          </w:tcPr>
          <w:p>
            <w:pPr>
              <w:pStyle w:val="47"/>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22.3</w:t>
            </w:r>
          </w:p>
        </w:tc>
      </w:tr>
    </w:tbl>
    <w:p>
      <w:pPr>
        <w:spacing w:line="520" w:lineRule="exact"/>
        <w:rPr>
          <w:rFonts w:ascii="Times New Roman" w:hAnsi="Times New Roman" w:cs="Times New Roman"/>
          <w:color w:val="auto"/>
        </w:rPr>
      </w:pPr>
      <w:r>
        <w:rPr>
          <w:rFonts w:ascii="Times New Roman" w:hAnsi="Times New Roman" w:cs="Times New Roman"/>
          <w:color w:val="auto"/>
        </w:rPr>
        <w:t>停车场的汽车尾气排放量与汽车在停车场内的运行时间和车流量关。一般汽车出入停车场的行驶速度要求不大于5km/h，出入口到泊位的平均距离如按照50m计算，汽车从出入口到泊位的运行时间约为36s；从汽车停在泊位至关闭发动机一般在1s-3s；而汽车从泊位启动至出车一般在3s-3min，平均约1min，故汽车出入停车场与在停车场内的运行时间约为100s。根据调查，车辆进出停车场的平均耗油速率为0.20L/km，则每辆汽车进出停车场产生的废气污染物的量可由下式计算：</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position w:val="-10"/>
        </w:rPr>
        <w:object>
          <v:shape id="_x0000_i1029" o:spt="75" type="#_x0000_t75" style="height:16.2pt;width:49.2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其中：M=m·t式中：</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f—大气污染物排放系数（g/L汽油）；</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M—每辆汽车进出停车场耗油量（L）；</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t—汽车出入停车场与在停车场内的运行时间总和，由上述分析可知，约为100s；</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m—车辆进出停车场的平均耗油速率，</w:t>
      </w:r>
      <w:r>
        <w:rPr>
          <w:rFonts w:ascii="Times New Roman" w:hAnsi="Times New Roman" w:cs="Times New Roman"/>
          <w:color w:val="auto"/>
          <w:highlight w:val="none"/>
        </w:rPr>
        <w:t>约为0.20L/km，</w:t>
      </w:r>
      <w:r>
        <w:rPr>
          <w:rFonts w:ascii="Times New Roman" w:hAnsi="Times New Roman" w:cs="Times New Roman"/>
          <w:color w:val="auto"/>
        </w:rPr>
        <w:t>按照车速5km/h计算，可得2.78×10</w:t>
      </w:r>
      <w:r>
        <w:rPr>
          <w:rFonts w:ascii="Times New Roman" w:hAnsi="Times New Roman" w:cs="Times New Roman"/>
          <w:color w:val="auto"/>
          <w:vertAlign w:val="superscript"/>
        </w:rPr>
        <w:t>-4</w:t>
      </w:r>
      <w:r>
        <w:rPr>
          <w:rFonts w:ascii="Times New Roman" w:hAnsi="Times New Roman" w:cs="Times New Roman"/>
          <w:color w:val="auto"/>
        </w:rPr>
        <w:t>L/s；</w:t>
      </w:r>
    </w:p>
    <w:p>
      <w:pPr>
        <w:spacing w:line="520" w:lineRule="exact"/>
        <w:rPr>
          <w:rFonts w:ascii="Times New Roman" w:hAnsi="Times New Roman" w:cs="Times New Roman"/>
          <w:color w:val="auto"/>
        </w:rPr>
      </w:pPr>
      <w:r>
        <w:rPr>
          <w:rFonts w:ascii="Times New Roman" w:hAnsi="Times New Roman" w:cs="Times New Roman"/>
          <w:color w:val="auto"/>
        </w:rPr>
        <w:t>由上式计算可知每辆汽车进出停车场一次耗油量为0.000278L（出入口到泊位的平均距离以50m计），每辆汽车进出停车场产生的废气污染物CO、NO</w:t>
      </w:r>
      <w:r>
        <w:rPr>
          <w:rFonts w:ascii="Times New Roman" w:hAnsi="Times New Roman" w:cs="Times New Roman"/>
          <w:color w:val="auto"/>
          <w:vertAlign w:val="subscript"/>
        </w:rPr>
        <w:t>x</w:t>
      </w:r>
      <w:r>
        <w:rPr>
          <w:rFonts w:ascii="Times New Roman" w:hAnsi="Times New Roman" w:cs="Times New Roman"/>
          <w:color w:val="auto"/>
        </w:rPr>
        <w:t>与THC的量分别为5.31g、0.62g与0.67g。</w:t>
      </w:r>
    </w:p>
    <w:p>
      <w:pPr>
        <w:spacing w:line="520" w:lineRule="exact"/>
        <w:rPr>
          <w:rFonts w:ascii="Times New Roman" w:hAnsi="Times New Roman" w:cs="Times New Roman"/>
          <w:color w:val="auto"/>
        </w:rPr>
      </w:pPr>
      <w:r>
        <w:rPr>
          <w:rFonts w:ascii="Times New Roman" w:hAnsi="Times New Roman" w:cs="Times New Roman"/>
          <w:color w:val="auto"/>
        </w:rPr>
        <w:t>停车场对环境的影响与其运行工况（车流量）直接相关。本次评价取最不利条件，即泊车满负荷状况时，对周围环境的影响。此时停车场内进出车流量相当大，此类状况出现概率极小，而且时间极短。一般情况下，区域进出停车场的车辆在早、晚两次较频繁，其它时间段较少，同时车辆进出具有随机性，亦即单位时间内进出车辆数是不定的。根据类比调查，每天进、出车库的车辆数，可按平均一日出入各两次计算。根据停车场的泊位，计算出单位时间的废气排放情况。车库的大气污染物排放情况见表</w:t>
      </w:r>
      <w:r>
        <w:rPr>
          <w:rFonts w:hint="eastAsia" w:ascii="Times New Roman" w:hAnsi="Times New Roman" w:cs="Times New Roman"/>
          <w:color w:val="auto"/>
        </w:rPr>
        <w:t>3.4-9</w:t>
      </w:r>
      <w:r>
        <w:rPr>
          <w:rFonts w:ascii="Times New Roman" w:hAnsi="Times New Roman" w:cs="Times New Roman"/>
          <w:color w:val="auto"/>
        </w:rPr>
        <w:t>。</w:t>
      </w:r>
    </w:p>
    <w:p>
      <w:pPr>
        <w:pStyle w:val="35"/>
        <w:snapToGrid w:val="0"/>
        <w:spacing w:before="0" w:after="0" w:line="520" w:lineRule="exact"/>
        <w:rPr>
          <w:rFonts w:cs="Times New Roman"/>
          <w:color w:val="auto"/>
        </w:rPr>
      </w:pPr>
      <w:r>
        <w:rPr>
          <w:rFonts w:cs="Times New Roman"/>
          <w:color w:val="auto"/>
        </w:rPr>
        <w:t>表</w:t>
      </w:r>
      <w:r>
        <w:rPr>
          <w:rFonts w:hint="eastAsia" w:cs="Times New Roman"/>
          <w:color w:val="auto"/>
        </w:rPr>
        <w:t>3.4-9</w:t>
      </w:r>
      <w:r>
        <w:rPr>
          <w:rFonts w:cs="Times New Roman"/>
          <w:color w:val="auto"/>
        </w:rPr>
        <w:t xml:space="preserve">   汽车废气污染物产生情况</w:t>
      </w:r>
    </w:p>
    <w:tbl>
      <w:tblPr>
        <w:tblStyle w:val="24"/>
        <w:tblW w:w="50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3"/>
        <w:gridCol w:w="1693"/>
        <w:gridCol w:w="1740"/>
        <w:gridCol w:w="1740"/>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3"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类别</w:t>
            </w:r>
          </w:p>
        </w:tc>
        <w:tc>
          <w:tcPr>
            <w:tcW w:w="1012"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停车场泊位（个）</w:t>
            </w:r>
          </w:p>
        </w:tc>
        <w:tc>
          <w:tcPr>
            <w:tcW w:w="3124" w:type="pct"/>
            <w:gridSpan w:val="3"/>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污染物产生情况（t/a）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3"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1012"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104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CO</w:t>
            </w:r>
          </w:p>
        </w:tc>
        <w:tc>
          <w:tcPr>
            <w:tcW w:w="104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NOx</w:t>
            </w:r>
          </w:p>
        </w:tc>
        <w:tc>
          <w:tcPr>
            <w:tcW w:w="1042"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地上停车位</w:t>
            </w:r>
          </w:p>
        </w:tc>
        <w:tc>
          <w:tcPr>
            <w:tcW w:w="101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624</w:t>
            </w:r>
          </w:p>
        </w:tc>
        <w:tc>
          <w:tcPr>
            <w:tcW w:w="10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0.0066</w:t>
            </w:r>
          </w:p>
        </w:tc>
        <w:tc>
          <w:tcPr>
            <w:tcW w:w="10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0.0008</w:t>
            </w:r>
          </w:p>
        </w:tc>
        <w:tc>
          <w:tcPr>
            <w:tcW w:w="104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地下停车位</w:t>
            </w:r>
          </w:p>
        </w:tc>
        <w:tc>
          <w:tcPr>
            <w:tcW w:w="101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191</w:t>
            </w:r>
          </w:p>
        </w:tc>
        <w:tc>
          <w:tcPr>
            <w:tcW w:w="10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0.0020</w:t>
            </w:r>
          </w:p>
        </w:tc>
        <w:tc>
          <w:tcPr>
            <w:tcW w:w="10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0.0002</w:t>
            </w:r>
          </w:p>
        </w:tc>
        <w:tc>
          <w:tcPr>
            <w:tcW w:w="104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8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101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815</w:t>
            </w:r>
          </w:p>
        </w:tc>
        <w:tc>
          <w:tcPr>
            <w:tcW w:w="10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sum(C3:C4)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0.0086</w:t>
            </w:r>
            <w:r>
              <w:rPr>
                <w:rFonts w:ascii="Times New Roman" w:hAnsi="Times New Roman" w:cs="Times New Roman"/>
                <w:color w:val="auto"/>
                <w:sz w:val="21"/>
                <w:szCs w:val="21"/>
              </w:rPr>
              <w:fldChar w:fldCharType="end"/>
            </w:r>
          </w:p>
        </w:tc>
        <w:tc>
          <w:tcPr>
            <w:tcW w:w="10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sum(D3:D4)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0.001</w:t>
            </w:r>
            <w:r>
              <w:rPr>
                <w:rFonts w:ascii="Times New Roman" w:hAnsi="Times New Roman" w:cs="Times New Roman"/>
                <w:color w:val="auto"/>
                <w:sz w:val="21"/>
                <w:szCs w:val="21"/>
              </w:rPr>
              <w:fldChar w:fldCharType="end"/>
            </w:r>
            <w:r>
              <w:rPr>
                <w:rFonts w:ascii="Times New Roman" w:hAnsi="Times New Roman" w:cs="Times New Roman"/>
                <w:color w:val="auto"/>
                <w:sz w:val="21"/>
                <w:szCs w:val="21"/>
              </w:rPr>
              <w:t>0</w:t>
            </w:r>
          </w:p>
        </w:tc>
        <w:tc>
          <w:tcPr>
            <w:tcW w:w="104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sum(E3:E4)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0.0011</w:t>
            </w:r>
            <w:r>
              <w:rPr>
                <w:rFonts w:ascii="Times New Roman" w:hAnsi="Times New Roman" w:cs="Times New Roman"/>
                <w:color w:val="auto"/>
                <w:sz w:val="21"/>
                <w:szCs w:val="21"/>
              </w:rPr>
              <w:fldChar w:fldCharType="end"/>
            </w:r>
          </w:p>
        </w:tc>
      </w:tr>
    </w:tbl>
    <w:p>
      <w:pPr>
        <w:spacing w:line="520" w:lineRule="exact"/>
        <w:rPr>
          <w:rFonts w:ascii="Times New Roman" w:hAnsi="Times New Roman" w:cs="Times New Roman"/>
          <w:color w:val="auto"/>
        </w:rPr>
      </w:pPr>
      <w:r>
        <w:rPr>
          <w:rFonts w:ascii="Times New Roman" w:hAnsi="Times New Roman" w:cs="Times New Roman"/>
          <w:color w:val="auto"/>
        </w:rPr>
        <w:t>根据表</w:t>
      </w:r>
      <w:r>
        <w:rPr>
          <w:rFonts w:hint="eastAsia" w:ascii="Times New Roman" w:hAnsi="Times New Roman" w:cs="Times New Roman"/>
          <w:color w:val="auto"/>
        </w:rPr>
        <w:t>3.4-9</w:t>
      </w:r>
      <w:r>
        <w:rPr>
          <w:rFonts w:ascii="Times New Roman" w:hAnsi="Times New Roman" w:cs="Times New Roman"/>
          <w:color w:val="auto"/>
        </w:rPr>
        <w:t>数据可知，汽车尾气产生量极小，地面停车位停靠的汽车因露天停放，尾气易于扩散；地下车库设置机械送风、自然补风系统，地下车库换气次数每小时不小于6次。车库废气经竖井引至室外绿化带排放。汽车尾气排风口设置在远离住院楼等敏感目标的绿化带附近排放。</w:t>
      </w:r>
    </w:p>
    <w:p>
      <w:pPr>
        <w:pStyle w:val="10"/>
        <w:rPr>
          <w:rFonts w:cs="Times New Roman"/>
          <w:color w:val="auto"/>
          <w:kern w:val="0"/>
        </w:rPr>
      </w:pPr>
      <w:r>
        <w:rPr>
          <w:rFonts w:cs="Times New Roman"/>
          <w:color w:val="auto"/>
          <w:kern w:val="0"/>
        </w:rPr>
        <w:t>3.4.2.3 运营期噪声污染源分析</w:t>
      </w:r>
    </w:p>
    <w:p>
      <w:pPr>
        <w:snapToGrid w:val="0"/>
        <w:spacing w:line="520" w:lineRule="exact"/>
        <w:rPr>
          <w:rFonts w:ascii="Times New Roman" w:hAnsi="Times New Roman" w:cs="Times New Roman"/>
          <w:color w:val="auto"/>
        </w:rPr>
      </w:pPr>
      <w:r>
        <w:rPr>
          <w:rFonts w:ascii="Times New Roman" w:hAnsi="Times New Roman" w:cs="Times New Roman"/>
          <w:color w:val="auto"/>
        </w:rPr>
        <w:t>本项目营运期主要噪声源来自门诊噪声、废水处理设施污水泵运行噪声</w:t>
      </w:r>
      <w:r>
        <w:rPr>
          <w:rFonts w:hint="eastAsia" w:ascii="Times New Roman" w:hAnsi="Times New Roman" w:cs="Times New Roman"/>
          <w:color w:val="auto"/>
        </w:rPr>
        <w:t>，</w:t>
      </w:r>
      <w:r>
        <w:rPr>
          <w:rFonts w:ascii="Times New Roman" w:hAnsi="Times New Roman" w:cs="Times New Roman"/>
          <w:color w:val="auto"/>
        </w:rPr>
        <w:t>位于设备间的水泵。医院作为公共场所，每日的人流量较大，人员来往可能产生影响周围环境的嘈杂声，根据类比调查，这类噪声声级一般在65-75dB。污水泵及供水泵噪声声级约为70-80dB。各噪声源的排放特征及位置见表3.</w:t>
      </w:r>
      <w:r>
        <w:rPr>
          <w:rFonts w:hint="eastAsia" w:ascii="Times New Roman" w:hAnsi="Times New Roman" w:cs="Times New Roman"/>
          <w:color w:val="auto"/>
        </w:rPr>
        <w:t>4-10</w:t>
      </w:r>
      <w:r>
        <w:rPr>
          <w:rFonts w:ascii="Times New Roman" w:hAnsi="Times New Roman" w:cs="Times New Roman"/>
          <w:color w:val="auto"/>
        </w:rPr>
        <w:t>。</w:t>
      </w:r>
    </w:p>
    <w:p>
      <w:pPr>
        <w:pStyle w:val="35"/>
        <w:snapToGrid w:val="0"/>
        <w:spacing w:before="0" w:after="0" w:line="520" w:lineRule="exact"/>
        <w:rPr>
          <w:rFonts w:cs="Times New Roman"/>
          <w:color w:val="auto"/>
        </w:rPr>
      </w:pPr>
      <w:r>
        <w:rPr>
          <w:rFonts w:cs="Times New Roman"/>
          <w:color w:val="auto"/>
        </w:rPr>
        <w:t>表3.</w:t>
      </w:r>
      <w:r>
        <w:rPr>
          <w:rFonts w:hint="eastAsia" w:cs="Times New Roman"/>
          <w:color w:val="auto"/>
        </w:rPr>
        <w:t>4-10</w:t>
      </w:r>
      <w:r>
        <w:rPr>
          <w:rFonts w:cs="Times New Roman"/>
          <w:color w:val="auto"/>
        </w:rPr>
        <w:t xml:space="preserve">   项目主要设备噪声源强  单位：</w:t>
      </w:r>
      <w:r>
        <w:rPr>
          <w:rFonts w:cs="Times New Roman"/>
          <w:bCs/>
          <w:color w:val="auto"/>
          <w:szCs w:val="21"/>
        </w:rPr>
        <w:t>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681"/>
        <w:gridCol w:w="1945"/>
        <w:gridCol w:w="1947"/>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6" w:type="pct"/>
            <w:vAlign w:val="center"/>
          </w:tcPr>
          <w:p>
            <w:pPr>
              <w:pStyle w:val="36"/>
              <w:rPr>
                <w:rFonts w:ascii="Times New Roman" w:hAnsi="Times New Roman" w:cs="Times New Roman"/>
                <w:b/>
                <w:bCs/>
                <w:color w:val="auto"/>
                <w:szCs w:val="21"/>
              </w:rPr>
            </w:pPr>
            <w:bookmarkStart w:id="178" w:name="OLE_LINK24"/>
            <w:r>
              <w:rPr>
                <w:rFonts w:ascii="Times New Roman" w:hAnsi="Times New Roman" w:cs="Times New Roman"/>
                <w:b/>
                <w:bCs/>
                <w:color w:val="auto"/>
                <w:szCs w:val="21"/>
              </w:rPr>
              <w:t>序号</w:t>
            </w:r>
          </w:p>
        </w:tc>
        <w:tc>
          <w:tcPr>
            <w:tcW w:w="986"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主要产噪设备</w:t>
            </w:r>
          </w:p>
        </w:tc>
        <w:tc>
          <w:tcPr>
            <w:tcW w:w="1141"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噪声值</w:t>
            </w:r>
          </w:p>
        </w:tc>
        <w:tc>
          <w:tcPr>
            <w:tcW w:w="1142"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位置</w:t>
            </w:r>
          </w:p>
        </w:tc>
        <w:tc>
          <w:tcPr>
            <w:tcW w:w="1142"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8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1</w:t>
            </w:r>
          </w:p>
        </w:tc>
        <w:tc>
          <w:tcPr>
            <w:tcW w:w="98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门诊噪声</w:t>
            </w:r>
          </w:p>
        </w:tc>
        <w:tc>
          <w:tcPr>
            <w:tcW w:w="114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65-75</w:t>
            </w:r>
          </w:p>
        </w:tc>
        <w:tc>
          <w:tcPr>
            <w:tcW w:w="114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各门诊室</w:t>
            </w:r>
          </w:p>
        </w:tc>
        <w:tc>
          <w:tcPr>
            <w:tcW w:w="114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房间墙体隔声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2</w:t>
            </w:r>
          </w:p>
        </w:tc>
        <w:tc>
          <w:tcPr>
            <w:tcW w:w="98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污水泵</w:t>
            </w:r>
          </w:p>
        </w:tc>
        <w:tc>
          <w:tcPr>
            <w:tcW w:w="114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70-80</w:t>
            </w:r>
          </w:p>
        </w:tc>
        <w:tc>
          <w:tcPr>
            <w:tcW w:w="114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污水池</w:t>
            </w:r>
          </w:p>
        </w:tc>
        <w:tc>
          <w:tcPr>
            <w:tcW w:w="114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位于污水处理站，建筑隔声、减振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3</w:t>
            </w:r>
          </w:p>
        </w:tc>
        <w:tc>
          <w:tcPr>
            <w:tcW w:w="986"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供水泵</w:t>
            </w:r>
          </w:p>
        </w:tc>
        <w:tc>
          <w:tcPr>
            <w:tcW w:w="1141"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70-80</w:t>
            </w:r>
          </w:p>
        </w:tc>
        <w:tc>
          <w:tcPr>
            <w:tcW w:w="114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设备间</w:t>
            </w:r>
          </w:p>
        </w:tc>
        <w:tc>
          <w:tcPr>
            <w:tcW w:w="1142"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位于设备间，建筑隔声、减振</w:t>
            </w:r>
          </w:p>
        </w:tc>
      </w:tr>
      <w:bookmarkEnd w:id="178"/>
    </w:tbl>
    <w:p>
      <w:pPr>
        <w:pStyle w:val="10"/>
        <w:rPr>
          <w:rFonts w:cs="Times New Roman"/>
          <w:color w:val="auto"/>
          <w:kern w:val="0"/>
        </w:rPr>
      </w:pPr>
      <w:r>
        <w:rPr>
          <w:rFonts w:cs="Times New Roman"/>
          <w:color w:val="auto"/>
          <w:kern w:val="0"/>
        </w:rPr>
        <w:t>3.4.2.4 运营期固体废物污染源分析</w:t>
      </w:r>
    </w:p>
    <w:p>
      <w:pPr>
        <w:snapToGrid w:val="0"/>
        <w:spacing w:line="520" w:lineRule="exact"/>
        <w:rPr>
          <w:rFonts w:ascii="Times New Roman" w:hAnsi="Times New Roman" w:cs="Times New Roman"/>
          <w:color w:val="auto"/>
        </w:rPr>
      </w:pPr>
      <w:r>
        <w:rPr>
          <w:rFonts w:ascii="Times New Roman" w:hAnsi="Times New Roman" w:cs="Times New Roman"/>
          <w:color w:val="auto"/>
        </w:rPr>
        <w:t>项目营运期产生的固体废物主要是医疗废物、污水处理站污泥、生活垃圾。</w:t>
      </w:r>
    </w:p>
    <w:p>
      <w:pPr>
        <w:snapToGrid w:val="0"/>
        <w:spacing w:line="520" w:lineRule="exact"/>
        <w:rPr>
          <w:rFonts w:ascii="Times New Roman" w:hAnsi="Times New Roman" w:cs="Times New Roman"/>
          <w:color w:val="auto"/>
        </w:rPr>
      </w:pPr>
      <w:r>
        <w:rPr>
          <w:rFonts w:ascii="Times New Roman" w:hAnsi="Times New Roman" w:cs="Times New Roman"/>
          <w:color w:val="auto"/>
        </w:rPr>
        <w:t>（1）生活垃圾</w:t>
      </w:r>
    </w:p>
    <w:p>
      <w:pPr>
        <w:snapToGrid w:val="0"/>
        <w:spacing w:line="520" w:lineRule="exact"/>
        <w:rPr>
          <w:rFonts w:ascii="Times New Roman" w:hAnsi="Times New Roman" w:cs="Times New Roman"/>
          <w:color w:val="auto"/>
        </w:rPr>
      </w:pPr>
      <w:r>
        <w:rPr>
          <w:rFonts w:ascii="Times New Roman" w:hAnsi="Times New Roman" w:cs="Times New Roman"/>
          <w:color w:val="auto"/>
        </w:rPr>
        <w:t>本项目新增劳动定员为540人。生活垃圾主要来源医护人员、门诊部及陪护人员产生的一般生活垃圾，该生活垃圾有环卫部门统一收集，最终运至吉木萨尔县生活垃圾填埋场填埋处理。项目非医疗区生活垃圾产生情况见表3.</w:t>
      </w:r>
      <w:r>
        <w:rPr>
          <w:rFonts w:hint="eastAsia" w:ascii="Times New Roman" w:hAnsi="Times New Roman" w:cs="Times New Roman"/>
          <w:color w:val="auto"/>
        </w:rPr>
        <w:t>4-11</w:t>
      </w:r>
      <w:r>
        <w:rPr>
          <w:rFonts w:ascii="Times New Roman" w:hAnsi="Times New Roman" w:cs="Times New Roman"/>
          <w:color w:val="auto"/>
        </w:rPr>
        <w:t>。</w:t>
      </w:r>
    </w:p>
    <w:p>
      <w:pPr>
        <w:pStyle w:val="35"/>
        <w:snapToGrid w:val="0"/>
        <w:spacing w:before="0" w:after="0" w:line="520" w:lineRule="exact"/>
        <w:rPr>
          <w:rFonts w:cs="Times New Roman"/>
          <w:color w:val="auto"/>
        </w:rPr>
      </w:pPr>
      <w:r>
        <w:rPr>
          <w:rFonts w:cs="Times New Roman"/>
          <w:color w:val="auto"/>
        </w:rPr>
        <w:t>表3.</w:t>
      </w:r>
      <w:r>
        <w:rPr>
          <w:rFonts w:hint="eastAsia" w:cs="Times New Roman"/>
          <w:color w:val="auto"/>
        </w:rPr>
        <w:t>4-11</w:t>
      </w:r>
      <w:r>
        <w:rPr>
          <w:rFonts w:cs="Times New Roman"/>
          <w:color w:val="auto"/>
        </w:rPr>
        <w:t xml:space="preserve">   项目生活垃圾产生情况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restar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名称</w:t>
            </w:r>
          </w:p>
        </w:tc>
        <w:tc>
          <w:tcPr>
            <w:tcW w:w="1420" w:type="dxa"/>
            <w:vMerge w:val="restar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核算指标</w:t>
            </w:r>
          </w:p>
        </w:tc>
        <w:tc>
          <w:tcPr>
            <w:tcW w:w="1420" w:type="dxa"/>
            <w:vMerge w:val="restar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数量</w:t>
            </w:r>
          </w:p>
        </w:tc>
        <w:tc>
          <w:tcPr>
            <w:tcW w:w="2841" w:type="dxa"/>
            <w:gridSpan w:val="2"/>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w:t>
            </w:r>
          </w:p>
        </w:tc>
        <w:tc>
          <w:tcPr>
            <w:tcW w:w="1421" w:type="dxa"/>
            <w:vMerge w:val="restar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snapToGrid w:val="0"/>
              <w:spacing w:line="240" w:lineRule="auto"/>
              <w:ind w:firstLine="0" w:firstLineChars="0"/>
              <w:jc w:val="center"/>
              <w:rPr>
                <w:rFonts w:ascii="Times New Roman" w:hAnsi="Times New Roman" w:cs="Times New Roman"/>
                <w:b/>
                <w:bCs/>
                <w:color w:val="auto"/>
                <w:sz w:val="21"/>
                <w:szCs w:val="21"/>
              </w:rPr>
            </w:pPr>
          </w:p>
        </w:tc>
        <w:tc>
          <w:tcPr>
            <w:tcW w:w="1420" w:type="dxa"/>
            <w:vMerge w:val="continue"/>
            <w:vAlign w:val="center"/>
          </w:tcPr>
          <w:p>
            <w:pPr>
              <w:snapToGrid w:val="0"/>
              <w:spacing w:line="240" w:lineRule="auto"/>
              <w:ind w:firstLine="0" w:firstLineChars="0"/>
              <w:jc w:val="center"/>
              <w:rPr>
                <w:rFonts w:ascii="Times New Roman" w:hAnsi="Times New Roman" w:cs="Times New Roman"/>
                <w:b/>
                <w:bCs/>
                <w:color w:val="auto"/>
                <w:sz w:val="21"/>
                <w:szCs w:val="21"/>
              </w:rPr>
            </w:pPr>
          </w:p>
        </w:tc>
        <w:tc>
          <w:tcPr>
            <w:tcW w:w="1420" w:type="dxa"/>
            <w:vMerge w:val="continue"/>
            <w:vAlign w:val="center"/>
          </w:tcPr>
          <w:p>
            <w:pPr>
              <w:snapToGrid w:val="0"/>
              <w:spacing w:line="240" w:lineRule="auto"/>
              <w:ind w:firstLine="0" w:firstLineChars="0"/>
              <w:jc w:val="center"/>
              <w:rPr>
                <w:rFonts w:ascii="Times New Roman" w:hAnsi="Times New Roman" w:cs="Times New Roman"/>
                <w:b/>
                <w:bCs/>
                <w:color w:val="auto"/>
                <w:sz w:val="21"/>
                <w:szCs w:val="21"/>
              </w:rPr>
            </w:pPr>
          </w:p>
        </w:tc>
        <w:tc>
          <w:tcPr>
            <w:tcW w:w="1420"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kg/d</w:t>
            </w:r>
          </w:p>
        </w:tc>
        <w:tc>
          <w:tcPr>
            <w:tcW w:w="1421"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t/a</w:t>
            </w:r>
          </w:p>
        </w:tc>
        <w:tc>
          <w:tcPr>
            <w:tcW w:w="1421" w:type="dxa"/>
            <w:vMerge w:val="continue"/>
            <w:vAlign w:val="center"/>
          </w:tcPr>
          <w:p>
            <w:pPr>
              <w:snapToGrid w:val="0"/>
              <w:spacing w:line="240" w:lineRule="auto"/>
              <w:ind w:firstLine="0" w:firstLineChars="0"/>
              <w:jc w:val="center"/>
              <w:rPr>
                <w:rFonts w:ascii="Times New Roman" w:hAnsi="Times New Roman"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医护人员</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0.5kg/人·d</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540人</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270</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98.55</w:t>
            </w:r>
          </w:p>
        </w:tc>
        <w:tc>
          <w:tcPr>
            <w:tcW w:w="1421" w:type="dxa"/>
            <w:vMerge w:val="restar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环卫部门统一收集，最终运至生活垃圾填埋场填埋处理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住院部</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0.5kg/床</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600床</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109.5</w:t>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门诊部</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0.1kg/人次</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1000次</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36.5</w:t>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3"/>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sum(D3:D5)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670</w:t>
            </w:r>
            <w:r>
              <w:rPr>
                <w:rFonts w:ascii="Times New Roman" w:hAnsi="Times New Roman" w:cs="Times New Roman"/>
                <w:color w:val="auto"/>
                <w:sz w:val="21"/>
                <w:szCs w:val="21"/>
              </w:rPr>
              <w:fldChar w:fldCharType="end"/>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sum(E3:E5)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244.55</w:t>
            </w:r>
            <w:r>
              <w:rPr>
                <w:rFonts w:ascii="Times New Roman" w:hAnsi="Times New Roman" w:cs="Times New Roman"/>
                <w:color w:val="auto"/>
                <w:sz w:val="21"/>
                <w:szCs w:val="21"/>
              </w:rPr>
              <w:fldChar w:fldCharType="end"/>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bl>
    <w:p>
      <w:pPr>
        <w:snapToGrid w:val="0"/>
        <w:spacing w:line="520" w:lineRule="exact"/>
        <w:rPr>
          <w:rFonts w:ascii="Times New Roman" w:hAnsi="Times New Roman" w:cs="Times New Roman"/>
          <w:color w:val="auto"/>
        </w:rPr>
      </w:pPr>
      <w:r>
        <w:rPr>
          <w:rFonts w:ascii="Times New Roman" w:hAnsi="Times New Roman" w:cs="Times New Roman"/>
          <w:color w:val="auto"/>
        </w:rPr>
        <w:t>（2）医疗垃圾</w:t>
      </w:r>
    </w:p>
    <w:p>
      <w:pPr>
        <w:snapToGrid w:val="0"/>
        <w:spacing w:line="520" w:lineRule="exact"/>
        <w:rPr>
          <w:rFonts w:ascii="Times New Roman" w:hAnsi="Times New Roman" w:cs="Times New Roman"/>
          <w:color w:val="auto"/>
        </w:rPr>
      </w:pPr>
      <w:r>
        <w:rPr>
          <w:rFonts w:ascii="Times New Roman" w:hAnsi="Times New Roman" w:cs="Times New Roman"/>
          <w:color w:val="auto"/>
        </w:rPr>
        <w:t>①医疗废物分类</w:t>
      </w:r>
    </w:p>
    <w:p>
      <w:pPr>
        <w:snapToGrid w:val="0"/>
        <w:spacing w:line="520" w:lineRule="exact"/>
        <w:rPr>
          <w:rFonts w:ascii="Times New Roman" w:hAnsi="Times New Roman" w:cs="Times New Roman"/>
          <w:color w:val="auto"/>
        </w:rPr>
      </w:pPr>
      <w:r>
        <w:rPr>
          <w:rFonts w:ascii="Times New Roman" w:hAnsi="Times New Roman" w:cs="Times New Roman"/>
          <w:color w:val="auto"/>
        </w:rPr>
        <w:t>医疗废物主要来自病人的生活废弃物、医疗诊断及治疗过程中产生的各类固体废物，含有大量的病原微生物、寄生虫，还含有其他有害物质。医疗垃圾属于危险废物，根据《国家危险废物名录》分为医疗废物（HW01）和废药物、药品（HW03，废物代码900-002-03）。</w:t>
      </w:r>
    </w:p>
    <w:p>
      <w:pPr>
        <w:snapToGrid w:val="0"/>
        <w:spacing w:line="520" w:lineRule="exact"/>
        <w:rPr>
          <w:rFonts w:ascii="Times New Roman" w:hAnsi="Times New Roman" w:cs="Times New Roman"/>
          <w:color w:val="auto"/>
        </w:rPr>
      </w:pPr>
      <w:r>
        <w:rPr>
          <w:rFonts w:ascii="Times New Roman" w:hAnsi="Times New Roman" w:cs="Times New Roman"/>
          <w:color w:val="auto"/>
        </w:rPr>
        <w:t>根据《医疗废物分类目录》（卫生部、国家环保总局文件卫医发〔2013〕287号），医疗废物分为感染性废物、损伤性废物、病理性废物、药物性废物、化学性废物。</w:t>
      </w:r>
    </w:p>
    <w:p>
      <w:pPr>
        <w:snapToGrid w:val="0"/>
        <w:spacing w:line="520" w:lineRule="exact"/>
        <w:rPr>
          <w:rFonts w:ascii="Times New Roman" w:hAnsi="Times New Roman" w:cs="Times New Roman"/>
          <w:color w:val="auto"/>
        </w:rPr>
      </w:pPr>
      <w:r>
        <w:rPr>
          <w:rFonts w:ascii="Times New Roman" w:hAnsi="Times New Roman" w:cs="Times New Roman"/>
          <w:color w:val="auto"/>
        </w:rPr>
        <w:t>A、感染性废物</w:t>
      </w:r>
    </w:p>
    <w:p>
      <w:pPr>
        <w:snapToGrid w:val="0"/>
        <w:spacing w:line="520" w:lineRule="exact"/>
        <w:rPr>
          <w:rFonts w:ascii="Times New Roman" w:hAnsi="Times New Roman" w:cs="Times New Roman"/>
          <w:color w:val="auto"/>
        </w:rPr>
      </w:pPr>
      <w:r>
        <w:rPr>
          <w:rFonts w:ascii="Times New Roman" w:hAnsi="Times New Roman" w:cs="Times New Roman"/>
          <w:color w:val="auto"/>
        </w:rPr>
        <w:t>主要指携带病原微生物具有引发感染性疾病传播危险的医疗废物。包括被病人血液、体液、排泄物污染的物品（棉球、棉签、引流棉条、纱布及其他各类敷料、一次性使用卫生用品、一次性使用医疗用品及一次性医疗器械、废弃的被服、其他被病人血液、体液、排泄物污染的物品）、废弃的血清、血液、使用后的一次性使用医疗用品及一次性医疗器械等，视为感染性废物。</w:t>
      </w:r>
    </w:p>
    <w:p>
      <w:pPr>
        <w:snapToGrid w:val="0"/>
        <w:spacing w:line="520" w:lineRule="exact"/>
        <w:rPr>
          <w:rFonts w:ascii="Times New Roman" w:hAnsi="Times New Roman" w:cs="Times New Roman"/>
          <w:color w:val="auto"/>
        </w:rPr>
      </w:pPr>
      <w:r>
        <w:rPr>
          <w:rFonts w:ascii="Times New Roman" w:hAnsi="Times New Roman" w:cs="Times New Roman"/>
          <w:color w:val="auto"/>
        </w:rPr>
        <w:t>B、病理性废物</w:t>
      </w:r>
    </w:p>
    <w:p>
      <w:pPr>
        <w:snapToGrid w:val="0"/>
        <w:spacing w:line="520" w:lineRule="exact"/>
        <w:rPr>
          <w:rFonts w:ascii="Times New Roman" w:hAnsi="Times New Roman" w:cs="Times New Roman"/>
          <w:color w:val="auto"/>
        </w:rPr>
      </w:pPr>
      <w:r>
        <w:rPr>
          <w:rFonts w:ascii="Times New Roman" w:hAnsi="Times New Roman" w:cs="Times New Roman"/>
          <w:color w:val="auto"/>
        </w:rPr>
        <w:t>主要指诊疗过程中产生的人体废弃物。</w:t>
      </w:r>
    </w:p>
    <w:p>
      <w:pPr>
        <w:snapToGrid w:val="0"/>
        <w:spacing w:line="520" w:lineRule="exact"/>
        <w:rPr>
          <w:rFonts w:ascii="Times New Roman" w:hAnsi="Times New Roman" w:cs="Times New Roman"/>
          <w:color w:val="auto"/>
        </w:rPr>
      </w:pPr>
      <w:r>
        <w:rPr>
          <w:rFonts w:ascii="Times New Roman" w:hAnsi="Times New Roman" w:cs="Times New Roman"/>
          <w:color w:val="auto"/>
        </w:rPr>
        <w:t>C、损伤性废物</w:t>
      </w:r>
    </w:p>
    <w:p>
      <w:pPr>
        <w:snapToGrid w:val="0"/>
        <w:spacing w:line="520" w:lineRule="exact"/>
        <w:rPr>
          <w:rFonts w:ascii="Times New Roman" w:hAnsi="Times New Roman" w:cs="Times New Roman"/>
          <w:color w:val="auto"/>
        </w:rPr>
      </w:pPr>
      <w:r>
        <w:rPr>
          <w:rFonts w:ascii="Times New Roman" w:hAnsi="Times New Roman" w:cs="Times New Roman"/>
          <w:color w:val="auto"/>
        </w:rPr>
        <w:t>主要指能够刺伤或割伤人体的废弃的医用锐器。包括医用针头、缝合针、各类医用锐器（解剖刀、手术刀、备皮刀、手术锯等）、载玻片、玻璃试管、玻璃安瓿等。</w:t>
      </w:r>
    </w:p>
    <w:p>
      <w:pPr>
        <w:snapToGrid w:val="0"/>
        <w:spacing w:line="520" w:lineRule="exact"/>
        <w:rPr>
          <w:rFonts w:ascii="Times New Roman" w:hAnsi="Times New Roman" w:cs="Times New Roman"/>
          <w:color w:val="auto"/>
        </w:rPr>
      </w:pPr>
      <w:r>
        <w:rPr>
          <w:rFonts w:ascii="Times New Roman" w:hAnsi="Times New Roman" w:cs="Times New Roman"/>
          <w:color w:val="auto"/>
        </w:rPr>
        <w:t>D、药物性废物</w:t>
      </w:r>
    </w:p>
    <w:p>
      <w:pPr>
        <w:snapToGrid w:val="0"/>
        <w:spacing w:line="520" w:lineRule="exact"/>
        <w:rPr>
          <w:rFonts w:ascii="Times New Roman" w:hAnsi="Times New Roman" w:cs="Times New Roman"/>
          <w:color w:val="auto"/>
        </w:rPr>
      </w:pPr>
      <w:r>
        <w:rPr>
          <w:rFonts w:ascii="Times New Roman" w:hAnsi="Times New Roman" w:cs="Times New Roman"/>
          <w:color w:val="auto"/>
        </w:rPr>
        <w:t>主要指过期、淘汰、变质或被污染的废弃的药品。包括废弃的一般性药品（如：抗生素、非处方类药品等）、废弃血液制品等。</w:t>
      </w:r>
    </w:p>
    <w:p>
      <w:pPr>
        <w:snapToGrid w:val="0"/>
        <w:spacing w:line="520" w:lineRule="exact"/>
        <w:rPr>
          <w:rFonts w:ascii="Times New Roman" w:hAnsi="Times New Roman" w:cs="Times New Roman"/>
          <w:color w:val="auto"/>
        </w:rPr>
      </w:pPr>
      <w:r>
        <w:rPr>
          <w:rFonts w:ascii="Times New Roman" w:hAnsi="Times New Roman" w:cs="Times New Roman"/>
          <w:color w:val="auto"/>
        </w:rPr>
        <w:t>E、化学性废物</w:t>
      </w:r>
    </w:p>
    <w:p>
      <w:pPr>
        <w:snapToGrid w:val="0"/>
        <w:spacing w:line="520" w:lineRule="exact"/>
        <w:rPr>
          <w:rFonts w:ascii="Times New Roman" w:hAnsi="Times New Roman" w:cs="Times New Roman"/>
          <w:color w:val="auto"/>
        </w:rPr>
      </w:pPr>
      <w:r>
        <w:rPr>
          <w:rFonts w:ascii="Times New Roman" w:hAnsi="Times New Roman" w:cs="Times New Roman"/>
          <w:color w:val="auto"/>
        </w:rPr>
        <w:t>主要指具有毒性、腐蚀性、易燃易爆的废弃的化学品。实验室废弃的化学试剂、废弃的过氧乙酸、戊二醛等化学消毒剂和废弃的汞血压计、汞温度计。</w:t>
      </w:r>
    </w:p>
    <w:p>
      <w:pPr>
        <w:snapToGrid w:val="0"/>
        <w:spacing w:line="520" w:lineRule="exact"/>
        <w:rPr>
          <w:rFonts w:ascii="Times New Roman" w:hAnsi="Times New Roman" w:cs="Times New Roman"/>
          <w:color w:val="auto"/>
        </w:rPr>
      </w:pPr>
      <w:r>
        <w:rPr>
          <w:rFonts w:ascii="Times New Roman" w:hAnsi="Times New Roman" w:cs="Times New Roman"/>
          <w:color w:val="auto"/>
        </w:rPr>
        <w:t>医疗垃圾的危害表现在可能因为处理方法不当而成为潜在的健康隐患。具体产生类别、名称等情况详见表3.</w:t>
      </w:r>
      <w:r>
        <w:rPr>
          <w:rFonts w:hint="eastAsia" w:ascii="Times New Roman" w:hAnsi="Times New Roman" w:cs="Times New Roman"/>
          <w:color w:val="auto"/>
        </w:rPr>
        <w:t>4-12</w:t>
      </w:r>
      <w:r>
        <w:rPr>
          <w:rFonts w:ascii="Times New Roman" w:hAnsi="Times New Roman" w:cs="Times New Roman"/>
          <w:color w:val="auto"/>
        </w:rPr>
        <w:t>。</w:t>
      </w:r>
    </w:p>
    <w:p>
      <w:pPr>
        <w:pStyle w:val="35"/>
        <w:snapToGrid w:val="0"/>
        <w:spacing w:before="0" w:after="0" w:line="520" w:lineRule="exact"/>
        <w:rPr>
          <w:rFonts w:cs="Times New Roman"/>
          <w:color w:val="auto"/>
        </w:rPr>
      </w:pPr>
    </w:p>
    <w:p>
      <w:pPr>
        <w:pStyle w:val="35"/>
        <w:snapToGrid w:val="0"/>
        <w:spacing w:before="0" w:after="0" w:line="520" w:lineRule="exact"/>
        <w:rPr>
          <w:rFonts w:cs="Times New Roman"/>
          <w:color w:val="auto"/>
        </w:rPr>
      </w:pPr>
      <w:r>
        <w:rPr>
          <w:rFonts w:cs="Times New Roman"/>
          <w:color w:val="auto"/>
        </w:rPr>
        <w:t>表3.</w:t>
      </w:r>
      <w:r>
        <w:rPr>
          <w:rFonts w:hint="eastAsia" w:cs="Times New Roman"/>
          <w:color w:val="auto"/>
        </w:rPr>
        <w:t>4-12</w:t>
      </w:r>
      <w:r>
        <w:rPr>
          <w:rFonts w:cs="Times New Roman"/>
          <w:color w:val="auto"/>
        </w:rPr>
        <w:t xml:space="preserve">     拟建医院产生医疗废物分类目录</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2190"/>
        <w:gridCol w:w="4245"/>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9"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类别</w:t>
            </w:r>
          </w:p>
        </w:tc>
        <w:tc>
          <w:tcPr>
            <w:tcW w:w="2190"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特征</w:t>
            </w:r>
          </w:p>
        </w:tc>
        <w:tc>
          <w:tcPr>
            <w:tcW w:w="4245"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名称</w:t>
            </w:r>
          </w:p>
        </w:tc>
        <w:tc>
          <w:tcPr>
            <w:tcW w:w="1178"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感染性废物</w:t>
            </w:r>
          </w:p>
        </w:tc>
        <w:tc>
          <w:tcPr>
            <w:tcW w:w="219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携带病原微生物具有引发感染性疾病传播危险的医疗废物。</w:t>
            </w:r>
          </w:p>
        </w:tc>
        <w:tc>
          <w:tcPr>
            <w:tcW w:w="4245"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病人血液、体液、排泄物污染的物品，包括：（1）棉球、棉签、纱布及其他各类敷料；（2）一次性使用卫生用品、一次性使用医疗用品及一次性医疗器械；（3）废弃的被服；（4）其他被病人血液、体液、排泄物污染的物品。2、废弃的血液、血清。3、使用后的一次性使用医疗用品及一次性医疗器械视为感染性废物。</w:t>
            </w:r>
          </w:p>
        </w:tc>
        <w:tc>
          <w:tcPr>
            <w:tcW w:w="1178"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病房、诊疗室、检验室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病理性废物</w:t>
            </w:r>
          </w:p>
        </w:tc>
        <w:tc>
          <w:tcPr>
            <w:tcW w:w="219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主要指诊疗过程中产生的人体废弃物。</w:t>
            </w:r>
          </w:p>
        </w:tc>
        <w:tc>
          <w:tcPr>
            <w:tcW w:w="4245"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诊疗过程中产生的废弃的人体组织、器官等。</w:t>
            </w:r>
          </w:p>
        </w:tc>
        <w:tc>
          <w:tcPr>
            <w:tcW w:w="1178"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手术室、病理科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损伤性废物</w:t>
            </w:r>
          </w:p>
        </w:tc>
        <w:tc>
          <w:tcPr>
            <w:tcW w:w="219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能够刺伤或割伤人体的废弃的医用锐器。</w:t>
            </w:r>
          </w:p>
        </w:tc>
        <w:tc>
          <w:tcPr>
            <w:tcW w:w="4245"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1、医用针头、缝合针；2、各类医用锐器，包括解剖刀、手术刀、备皮刀、手术锯等；3、载玻片、玻璃试管、玻璃安瓿等。</w:t>
            </w:r>
          </w:p>
        </w:tc>
        <w:tc>
          <w:tcPr>
            <w:tcW w:w="1178"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病房、诊疗室、检验科等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药物性废物</w:t>
            </w:r>
          </w:p>
        </w:tc>
        <w:tc>
          <w:tcPr>
            <w:tcW w:w="219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过期、淘汰、变质或被污染的废弃的药品。</w:t>
            </w:r>
          </w:p>
        </w:tc>
        <w:tc>
          <w:tcPr>
            <w:tcW w:w="4245"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1、一般性药品，包括抗生素、非处方类药品等；2、废弃血液制品等。</w:t>
            </w:r>
          </w:p>
        </w:tc>
        <w:tc>
          <w:tcPr>
            <w:tcW w:w="1178"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药房、库房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化学性废物</w:t>
            </w:r>
          </w:p>
        </w:tc>
        <w:tc>
          <w:tcPr>
            <w:tcW w:w="219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具有毒性、腐蚀性、易燃易爆的废弃的化学品。</w:t>
            </w:r>
          </w:p>
        </w:tc>
        <w:tc>
          <w:tcPr>
            <w:tcW w:w="4245"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1、实验室废弃的化学试剂；2、废弃的过氧乙酸、戊二醛等化学消毒剂；3、废弃的汞血压计、汞温度计。</w:t>
            </w:r>
          </w:p>
        </w:tc>
        <w:tc>
          <w:tcPr>
            <w:tcW w:w="1178"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检验室、实验室</w:t>
            </w:r>
          </w:p>
        </w:tc>
      </w:tr>
    </w:tbl>
    <w:p>
      <w:pPr>
        <w:snapToGrid w:val="0"/>
        <w:spacing w:line="520" w:lineRule="exact"/>
        <w:rPr>
          <w:rFonts w:ascii="Times New Roman" w:hAnsi="Times New Roman" w:cs="Times New Roman"/>
          <w:color w:val="auto"/>
        </w:rPr>
      </w:pPr>
      <w:r>
        <w:rPr>
          <w:rFonts w:ascii="Times New Roman" w:hAnsi="Times New Roman" w:cs="Times New Roman"/>
          <w:color w:val="auto"/>
        </w:rPr>
        <w:t>②医疗废物产生量</w:t>
      </w:r>
    </w:p>
    <w:p>
      <w:pPr>
        <w:snapToGrid w:val="0"/>
        <w:spacing w:line="520" w:lineRule="exact"/>
        <w:rPr>
          <w:rFonts w:ascii="Times New Roman" w:hAnsi="Times New Roman" w:cs="Times New Roman"/>
          <w:color w:val="auto"/>
        </w:rPr>
      </w:pPr>
      <w:r>
        <w:rPr>
          <w:rFonts w:ascii="Times New Roman" w:hAnsi="Times New Roman" w:cs="Times New Roman"/>
          <w:color w:val="auto"/>
        </w:rPr>
        <w:t>按照国家环保局的统计方法：省会城市、计划单列市按照每个床位每天0.6kg计算，地级市、地区所在城市，按照每个床位每天0.48kg计算，一般城市、县级市按照每个床位每天0.4kg计算，全国平均按照每个床位每天0.51kg计算。鉴于本医院的建设级别，本评价取0.4kg/d，计算得医疗废物产生量约240kg/d（87.6t/a）。根据《国家危险废物名录》（2021版）规定，医疗废物属危险废物，危废编号：HW01，应按规定分类收集至相应容器暂存于医疗废物暂存室（暂存时间不得超过2天），由有资质的单位用专用车辆运输、处置并执行危险废物联单管理制度，最终送往资质单位处理。</w:t>
      </w:r>
    </w:p>
    <w:p>
      <w:pPr>
        <w:snapToGrid w:val="0"/>
        <w:spacing w:line="520" w:lineRule="exact"/>
        <w:rPr>
          <w:rFonts w:ascii="Times New Roman" w:hAnsi="Times New Roman" w:cs="Times New Roman"/>
          <w:color w:val="auto"/>
        </w:rPr>
      </w:pPr>
      <w:r>
        <w:rPr>
          <w:rFonts w:ascii="Times New Roman" w:hAnsi="Times New Roman" w:cs="Times New Roman"/>
          <w:color w:val="auto"/>
        </w:rPr>
        <w:t>（3）污泥</w:t>
      </w:r>
    </w:p>
    <w:p>
      <w:pPr>
        <w:snapToGrid w:val="0"/>
        <w:spacing w:line="520" w:lineRule="exact"/>
        <w:rPr>
          <w:rFonts w:ascii="Times New Roman" w:hAnsi="Times New Roman" w:cs="Times New Roman"/>
          <w:color w:val="auto"/>
        </w:rPr>
      </w:pPr>
      <w:r>
        <w:rPr>
          <w:rFonts w:ascii="Times New Roman" w:hAnsi="Times New Roman" w:cs="Times New Roman"/>
          <w:color w:val="auto"/>
        </w:rPr>
        <w:t>医院污水处理过程中，大量悬浮在水中的有机、无机污染物和致病菌、病毒、寄生虫卵等沉淀分离出来形成污泥。根据《医院污水处理技术指南》（环发〔2003〕197号）中，调查统计出的医疗污水处理装置污泥产生情况见表</w:t>
      </w:r>
      <w:r>
        <w:rPr>
          <w:rFonts w:hint="eastAsia" w:ascii="Times New Roman" w:hAnsi="Times New Roman" w:cs="Times New Roman"/>
          <w:color w:val="auto"/>
        </w:rPr>
        <w:t>3.4-13</w:t>
      </w:r>
      <w:r>
        <w:rPr>
          <w:rFonts w:ascii="Times New Roman" w:hAnsi="Times New Roman" w:cs="Times New Roman"/>
          <w:color w:val="auto"/>
        </w:rPr>
        <w:t>。</w:t>
      </w:r>
    </w:p>
    <w:p>
      <w:pPr>
        <w:pStyle w:val="35"/>
        <w:snapToGrid w:val="0"/>
        <w:spacing w:before="0" w:after="0" w:line="520" w:lineRule="exact"/>
        <w:rPr>
          <w:rFonts w:cs="Times New Roman"/>
          <w:color w:val="auto"/>
        </w:rPr>
      </w:pPr>
      <w:r>
        <w:rPr>
          <w:rFonts w:cs="Times New Roman"/>
          <w:color w:val="auto"/>
        </w:rPr>
        <w:t>表</w:t>
      </w:r>
      <w:r>
        <w:rPr>
          <w:rFonts w:hint="eastAsia" w:cs="Times New Roman"/>
          <w:color w:val="auto"/>
        </w:rPr>
        <w:t>3.4-13</w:t>
      </w:r>
      <w:r>
        <w:rPr>
          <w:rFonts w:cs="Times New Roman"/>
          <w:color w:val="auto"/>
        </w:rPr>
        <w:t xml:space="preserve">   污泥产生一览表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污泥来源</w:t>
            </w:r>
          </w:p>
        </w:tc>
        <w:tc>
          <w:tcPr>
            <w:tcW w:w="2841"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污泥量（g/人·d）</w:t>
            </w:r>
          </w:p>
        </w:tc>
        <w:tc>
          <w:tcPr>
            <w:tcW w:w="2841"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含水率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格栅、沉淀池</w:t>
            </w:r>
          </w:p>
        </w:tc>
        <w:tc>
          <w:tcPr>
            <w:tcW w:w="284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66-75</w:t>
            </w:r>
          </w:p>
        </w:tc>
        <w:tc>
          <w:tcPr>
            <w:tcW w:w="284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93-97</w:t>
            </w:r>
          </w:p>
        </w:tc>
      </w:tr>
    </w:tbl>
    <w:p>
      <w:pPr>
        <w:snapToGrid w:val="0"/>
        <w:spacing w:line="520" w:lineRule="exact"/>
        <w:rPr>
          <w:rFonts w:ascii="Times New Roman" w:hAnsi="Times New Roman" w:cs="Times New Roman"/>
          <w:color w:val="auto"/>
        </w:rPr>
      </w:pPr>
      <w:r>
        <w:rPr>
          <w:rFonts w:ascii="Times New Roman" w:hAnsi="Times New Roman" w:cs="Times New Roman"/>
          <w:color w:val="auto"/>
        </w:rPr>
        <w:t>本项目混凝沉淀池污泥量以70g/人·d，医护人员为540人，住院病人600人，则本项目水处理过程中产生的污泥量约29.13t/a。根据《医疗机构水污染物排放标准》（GB18466-2005）中有关污泥控制与处置的规定：栅渣、污水处理站污泥属危险废物（HW</w:t>
      </w:r>
      <w:r>
        <w:rPr>
          <w:rFonts w:hint="eastAsia" w:ascii="Times New Roman" w:hAnsi="Times New Roman" w:cs="Times New Roman"/>
          <w:color w:val="auto"/>
          <w:lang w:val="en-US" w:eastAsia="zh-CN"/>
        </w:rPr>
        <w:t>49 772-006-49</w:t>
      </w:r>
      <w:r>
        <w:rPr>
          <w:rFonts w:ascii="Times New Roman" w:hAnsi="Times New Roman" w:cs="Times New Roman"/>
          <w:color w:val="auto"/>
        </w:rPr>
        <w:t>），应按危险废物进行处理和处置，本项目医疗废物委托有资质单位统一处理。只要本项目加强管理，对产生的固体废物进行分类、收集、消毒、无害化处理处置，并对代处理单位进行必要的监督，固废不会对周围环境带来不利影响。</w:t>
      </w:r>
    </w:p>
    <w:p>
      <w:pPr>
        <w:snapToGrid w:val="0"/>
        <w:spacing w:line="520" w:lineRule="exact"/>
        <w:rPr>
          <w:rFonts w:ascii="Times New Roman" w:hAnsi="Times New Roman" w:cs="Times New Roman"/>
          <w:color w:val="auto"/>
        </w:rPr>
      </w:pPr>
      <w:r>
        <w:rPr>
          <w:rFonts w:ascii="Times New Roman" w:hAnsi="Times New Roman" w:cs="Times New Roman"/>
          <w:color w:val="auto"/>
        </w:rPr>
        <w:t>项目各类固体废物产生及其处置情况详见表</w:t>
      </w:r>
      <w:r>
        <w:rPr>
          <w:rFonts w:hint="eastAsia" w:ascii="Times New Roman" w:hAnsi="Times New Roman" w:cs="Times New Roman"/>
          <w:color w:val="auto"/>
        </w:rPr>
        <w:t>3.4-14</w:t>
      </w:r>
      <w:r>
        <w:rPr>
          <w:rFonts w:ascii="Times New Roman" w:hAnsi="Times New Roman" w:cs="Times New Roman"/>
          <w:color w:val="auto"/>
        </w:rPr>
        <w:t>。</w:t>
      </w:r>
    </w:p>
    <w:p>
      <w:pPr>
        <w:pStyle w:val="35"/>
        <w:snapToGrid w:val="0"/>
        <w:spacing w:before="0" w:after="0" w:line="520" w:lineRule="exact"/>
        <w:rPr>
          <w:rFonts w:cs="Times New Roman"/>
          <w:color w:val="auto"/>
        </w:rPr>
      </w:pPr>
      <w:r>
        <w:rPr>
          <w:rFonts w:cs="Times New Roman"/>
          <w:color w:val="auto"/>
        </w:rPr>
        <w:t>表</w:t>
      </w:r>
      <w:r>
        <w:rPr>
          <w:rFonts w:hint="eastAsia" w:cs="Times New Roman"/>
          <w:color w:val="auto"/>
        </w:rPr>
        <w:t>3.4-14</w:t>
      </w:r>
      <w:r>
        <w:rPr>
          <w:rFonts w:cs="Times New Roman"/>
          <w:color w:val="auto"/>
        </w:rPr>
        <w:t xml:space="preserve">     全院固体废物产生与处置情况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736"/>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04" w:type="dxa"/>
            <w:vAlign w:val="center"/>
          </w:tcPr>
          <w:p>
            <w:pPr>
              <w:snapToGrid w:val="0"/>
              <w:spacing w:line="240" w:lineRule="auto"/>
              <w:ind w:firstLine="0" w:firstLineChars="0"/>
              <w:jc w:val="center"/>
              <w:rPr>
                <w:rFonts w:ascii="Times New Roman" w:hAnsi="Times New Roman" w:cs="Times New Roman"/>
                <w:b/>
                <w:bCs/>
                <w:color w:val="auto"/>
                <w:sz w:val="21"/>
                <w:szCs w:val="21"/>
              </w:rPr>
            </w:pPr>
            <w:bookmarkStart w:id="179" w:name="_Toc8213"/>
            <w:r>
              <w:rPr>
                <w:rFonts w:ascii="Times New Roman" w:hAnsi="Times New Roman" w:cs="Times New Roman"/>
                <w:b/>
                <w:bCs/>
                <w:color w:val="auto"/>
                <w:sz w:val="21"/>
                <w:szCs w:val="21"/>
              </w:rPr>
              <w:t>序号</w:t>
            </w:r>
          </w:p>
        </w:tc>
        <w:tc>
          <w:tcPr>
            <w:tcW w:w="1736"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固体废物类别</w:t>
            </w:r>
          </w:p>
        </w:tc>
        <w:tc>
          <w:tcPr>
            <w:tcW w:w="1420"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1420"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产生系数</w:t>
            </w:r>
          </w:p>
        </w:tc>
        <w:tc>
          <w:tcPr>
            <w:tcW w:w="1421"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产生量（t/a）</w:t>
            </w:r>
          </w:p>
        </w:tc>
        <w:tc>
          <w:tcPr>
            <w:tcW w:w="1421" w:type="dxa"/>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w:t>
            </w:r>
          </w:p>
        </w:tc>
        <w:tc>
          <w:tcPr>
            <w:tcW w:w="7418" w:type="dxa"/>
            <w:gridSpan w:val="5"/>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736"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医疗废物</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运营过程中</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87.6</w:t>
            </w:r>
          </w:p>
        </w:tc>
        <w:tc>
          <w:tcPr>
            <w:tcW w:w="1421" w:type="dxa"/>
            <w:vMerge w:val="restar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消毒后，委托有资质单位妥善处置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736"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污泥、格栅渣</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厂区污水站</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29.13</w:t>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0" w:type="dxa"/>
            <w:gridSpan w:val="4"/>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sum(E3:E4)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116.73</w:t>
            </w:r>
            <w:r>
              <w:rPr>
                <w:rFonts w:ascii="Times New Roman" w:hAnsi="Times New Roman" w:cs="Times New Roman"/>
                <w:color w:val="auto"/>
                <w:sz w:val="21"/>
                <w:szCs w:val="21"/>
              </w:rPr>
              <w:fldChar w:fldCharType="end"/>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w:t>
            </w:r>
          </w:p>
        </w:tc>
        <w:tc>
          <w:tcPr>
            <w:tcW w:w="7418" w:type="dxa"/>
            <w:gridSpan w:val="5"/>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736"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医护人员</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540人</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0.5kg/人·d</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98.55</w:t>
            </w:r>
          </w:p>
        </w:tc>
        <w:tc>
          <w:tcPr>
            <w:tcW w:w="1421" w:type="dxa"/>
            <w:vMerge w:val="restar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736"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住院部</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600床</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0.5kg/床</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109.5</w:t>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736"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门诊部</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1000次</w:t>
            </w:r>
          </w:p>
        </w:tc>
        <w:tc>
          <w:tcPr>
            <w:tcW w:w="1420"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0.1kg/人次</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36.5</w:t>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0" w:type="dxa"/>
            <w:gridSpan w:val="4"/>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sum(E7:E9)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244.55</w:t>
            </w:r>
            <w:r>
              <w:rPr>
                <w:rFonts w:ascii="Times New Roman" w:hAnsi="Times New Roman" w:cs="Times New Roman"/>
                <w:color w:val="auto"/>
                <w:sz w:val="21"/>
                <w:szCs w:val="21"/>
              </w:rPr>
              <w:fldChar w:fldCharType="end"/>
            </w:r>
          </w:p>
        </w:tc>
        <w:tc>
          <w:tcPr>
            <w:tcW w:w="1421" w:type="dxa"/>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0" w:type="dxa"/>
            <w:gridSpan w:val="4"/>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361.28</w:t>
            </w:r>
          </w:p>
        </w:tc>
        <w:tc>
          <w:tcPr>
            <w:tcW w:w="1421" w:type="dxa"/>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妥善处理</w:t>
            </w:r>
          </w:p>
        </w:tc>
      </w:tr>
    </w:tbl>
    <w:p>
      <w:pPr>
        <w:pStyle w:val="9"/>
        <w:rPr>
          <w:rFonts w:ascii="Times New Roman" w:hAnsi="Times New Roman" w:cs="Times New Roman"/>
          <w:color w:val="auto"/>
        </w:rPr>
      </w:pPr>
      <w:r>
        <w:rPr>
          <w:rFonts w:ascii="Times New Roman" w:hAnsi="Times New Roman" w:cs="Times New Roman"/>
          <w:color w:val="auto"/>
        </w:rPr>
        <w:t>3.4.3 运营期项目“三废”排放情况统计</w:t>
      </w:r>
      <w:bookmarkEnd w:id="179"/>
    </w:p>
    <w:p>
      <w:pPr>
        <w:pStyle w:val="10"/>
        <w:rPr>
          <w:rFonts w:cs="Times New Roman"/>
          <w:color w:val="auto"/>
          <w:kern w:val="0"/>
        </w:rPr>
      </w:pPr>
      <w:r>
        <w:rPr>
          <w:rFonts w:cs="Times New Roman"/>
          <w:color w:val="auto"/>
          <w:kern w:val="0"/>
        </w:rPr>
        <w:t>3.4.3.1 施工期污染物排放一览表</w:t>
      </w:r>
    </w:p>
    <w:p>
      <w:pPr>
        <w:pStyle w:val="35"/>
        <w:spacing w:before="0" w:after="0" w:line="520" w:lineRule="exact"/>
        <w:rPr>
          <w:rFonts w:cs="Times New Roman"/>
          <w:bCs/>
          <w:color w:val="auto"/>
          <w:szCs w:val="21"/>
        </w:rPr>
      </w:pPr>
      <w:r>
        <w:rPr>
          <w:rFonts w:cs="Times New Roman"/>
          <w:color w:val="auto"/>
        </w:rPr>
        <w:t>表</w:t>
      </w:r>
      <w:r>
        <w:rPr>
          <w:rFonts w:hint="eastAsia" w:cs="Times New Roman"/>
          <w:color w:val="auto"/>
        </w:rPr>
        <w:t>3.4-15</w:t>
      </w:r>
      <w:r>
        <w:rPr>
          <w:rFonts w:cs="Times New Roman"/>
          <w:color w:val="auto"/>
        </w:rPr>
        <w:t xml:space="preserve">    建设项目施工期污染物排放一览表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1"/>
        <w:gridCol w:w="3626"/>
        <w:gridCol w:w="2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tblHeader/>
          <w:jc w:val="center"/>
        </w:trPr>
        <w:tc>
          <w:tcPr>
            <w:tcW w:w="1143"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影响分类</w:t>
            </w:r>
          </w:p>
        </w:tc>
        <w:tc>
          <w:tcPr>
            <w:tcW w:w="2180"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影响来源与环节</w:t>
            </w:r>
          </w:p>
        </w:tc>
        <w:tc>
          <w:tcPr>
            <w:tcW w:w="1675" w:type="pct"/>
            <w:vAlign w:val="center"/>
          </w:tcPr>
          <w:p>
            <w:pPr>
              <w:pStyle w:val="36"/>
              <w:rPr>
                <w:rFonts w:ascii="Times New Roman" w:hAnsi="Times New Roman" w:cs="Times New Roman"/>
                <w:b/>
                <w:bCs/>
                <w:color w:val="auto"/>
                <w:szCs w:val="21"/>
              </w:rPr>
            </w:pPr>
            <w:r>
              <w:rPr>
                <w:rFonts w:ascii="Times New Roman" w:hAnsi="Times New Roman" w:cs="Times New Roman"/>
                <w:b/>
                <w:bCs/>
                <w:color w:val="auto"/>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143"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生态环境</w:t>
            </w:r>
          </w:p>
        </w:tc>
        <w:tc>
          <w:tcPr>
            <w:tcW w:w="21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w:t>
            </w:r>
          </w:p>
        </w:tc>
        <w:tc>
          <w:tcPr>
            <w:tcW w:w="1675"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土石方、工程废物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143"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声环境</w:t>
            </w:r>
          </w:p>
        </w:tc>
        <w:tc>
          <w:tcPr>
            <w:tcW w:w="21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运输、施工机械</w:t>
            </w:r>
          </w:p>
        </w:tc>
        <w:tc>
          <w:tcPr>
            <w:tcW w:w="1675"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施工噪声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143"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大气环境</w:t>
            </w:r>
          </w:p>
        </w:tc>
        <w:tc>
          <w:tcPr>
            <w:tcW w:w="21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运输、堆放原材料、施工机械</w:t>
            </w:r>
          </w:p>
        </w:tc>
        <w:tc>
          <w:tcPr>
            <w:tcW w:w="1675"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CO、NOx、TSP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1143"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水环境</w:t>
            </w:r>
          </w:p>
        </w:tc>
        <w:tc>
          <w:tcPr>
            <w:tcW w:w="2180"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生活污水、垃圾和工程废物</w:t>
            </w:r>
          </w:p>
        </w:tc>
        <w:tc>
          <w:tcPr>
            <w:tcW w:w="1675" w:type="pct"/>
            <w:vAlign w:val="center"/>
          </w:tcPr>
          <w:p>
            <w:pPr>
              <w:pStyle w:val="36"/>
              <w:rPr>
                <w:rFonts w:ascii="Times New Roman" w:hAnsi="Times New Roman" w:cs="Times New Roman"/>
                <w:color w:val="auto"/>
                <w:szCs w:val="21"/>
              </w:rPr>
            </w:pPr>
            <w:r>
              <w:rPr>
                <w:rFonts w:ascii="Times New Roman" w:hAnsi="Times New Roman" w:cs="Times New Roman"/>
                <w:color w:val="auto"/>
                <w:szCs w:val="21"/>
              </w:rPr>
              <w:t>SS、COD、油类</w:t>
            </w:r>
          </w:p>
        </w:tc>
      </w:tr>
    </w:tbl>
    <w:p>
      <w:pPr>
        <w:pStyle w:val="10"/>
        <w:rPr>
          <w:rFonts w:cs="Times New Roman"/>
          <w:color w:val="auto"/>
          <w:kern w:val="0"/>
        </w:rPr>
      </w:pPr>
      <w:r>
        <w:rPr>
          <w:rFonts w:cs="Times New Roman"/>
          <w:color w:val="auto"/>
          <w:kern w:val="0"/>
        </w:rPr>
        <w:t>3.4.3.2 运营期污染物排放一览表</w:t>
      </w:r>
    </w:p>
    <w:p>
      <w:pPr>
        <w:snapToGrid w:val="0"/>
        <w:spacing w:line="520" w:lineRule="exact"/>
        <w:rPr>
          <w:rFonts w:ascii="Times New Roman" w:hAnsi="Times New Roman" w:cs="Times New Roman"/>
          <w:color w:val="auto"/>
        </w:rPr>
      </w:pPr>
      <w:r>
        <w:rPr>
          <w:rFonts w:ascii="Times New Roman" w:hAnsi="Times New Roman" w:cs="Times New Roman"/>
          <w:color w:val="auto"/>
        </w:rPr>
        <w:t>本项目实施后污染物产生、排放情况详见表</w:t>
      </w:r>
      <w:r>
        <w:rPr>
          <w:rFonts w:hint="eastAsia" w:ascii="Times New Roman" w:hAnsi="Times New Roman" w:cs="Times New Roman"/>
          <w:color w:val="auto"/>
        </w:rPr>
        <w:t>3.4-16</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3.4-16</w:t>
      </w:r>
      <w:r>
        <w:rPr>
          <w:rFonts w:cs="Times New Roman"/>
          <w:color w:val="auto"/>
        </w:rPr>
        <w:t xml:space="preserve">   本项目营运期污染物汇总表  单位：t/a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170"/>
        <w:gridCol w:w="1376"/>
        <w:gridCol w:w="1703"/>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jc w:val="center"/>
        </w:trPr>
        <w:tc>
          <w:tcPr>
            <w:tcW w:w="506" w:type="pct"/>
            <w:vAlign w:val="center"/>
          </w:tcPr>
          <w:p>
            <w:pPr>
              <w:pStyle w:val="10"/>
              <w:spacing w:before="0" w:after="0" w:line="240" w:lineRule="auto"/>
              <w:jc w:val="center"/>
              <w:outlineLvl w:val="3"/>
              <w:rPr>
                <w:rFonts w:cs="Times New Roman"/>
                <w:color w:val="auto"/>
                <w:kern w:val="0"/>
                <w:sz w:val="21"/>
                <w:szCs w:val="21"/>
              </w:rPr>
            </w:pPr>
            <w:r>
              <w:rPr>
                <w:rFonts w:cs="Times New Roman"/>
                <w:color w:val="auto"/>
                <w:kern w:val="0"/>
                <w:sz w:val="21"/>
                <w:szCs w:val="21"/>
              </w:rPr>
              <w:t>类别</w:t>
            </w:r>
          </w:p>
        </w:tc>
        <w:tc>
          <w:tcPr>
            <w:tcW w:w="1493" w:type="pct"/>
            <w:gridSpan w:val="2"/>
            <w:vAlign w:val="center"/>
          </w:tcPr>
          <w:p>
            <w:pPr>
              <w:pStyle w:val="10"/>
              <w:spacing w:before="0" w:after="0" w:line="240" w:lineRule="auto"/>
              <w:jc w:val="center"/>
              <w:outlineLvl w:val="3"/>
              <w:rPr>
                <w:rFonts w:cs="Times New Roman"/>
                <w:color w:val="auto"/>
                <w:kern w:val="0"/>
                <w:sz w:val="21"/>
                <w:szCs w:val="21"/>
              </w:rPr>
            </w:pPr>
            <w:r>
              <w:rPr>
                <w:rFonts w:cs="Times New Roman"/>
                <w:color w:val="auto"/>
                <w:kern w:val="0"/>
                <w:sz w:val="21"/>
                <w:szCs w:val="21"/>
              </w:rPr>
              <w:t>污染名称</w:t>
            </w:r>
          </w:p>
        </w:tc>
        <w:tc>
          <w:tcPr>
            <w:tcW w:w="999" w:type="pct"/>
            <w:vAlign w:val="center"/>
          </w:tcPr>
          <w:p>
            <w:pPr>
              <w:pStyle w:val="10"/>
              <w:spacing w:before="0" w:after="0" w:line="240" w:lineRule="auto"/>
              <w:jc w:val="center"/>
              <w:outlineLvl w:val="3"/>
              <w:rPr>
                <w:rFonts w:cs="Times New Roman"/>
                <w:color w:val="auto"/>
                <w:kern w:val="0"/>
                <w:sz w:val="21"/>
                <w:szCs w:val="21"/>
              </w:rPr>
            </w:pPr>
            <w:r>
              <w:rPr>
                <w:rFonts w:cs="Times New Roman"/>
                <w:color w:val="auto"/>
                <w:kern w:val="0"/>
                <w:sz w:val="21"/>
                <w:szCs w:val="21"/>
              </w:rPr>
              <w:t>产生量</w:t>
            </w:r>
          </w:p>
        </w:tc>
        <w:tc>
          <w:tcPr>
            <w:tcW w:w="1000" w:type="pct"/>
            <w:vAlign w:val="center"/>
          </w:tcPr>
          <w:p>
            <w:pPr>
              <w:pStyle w:val="10"/>
              <w:spacing w:before="0" w:after="0" w:line="240" w:lineRule="auto"/>
              <w:jc w:val="center"/>
              <w:outlineLvl w:val="3"/>
              <w:rPr>
                <w:rFonts w:cs="Times New Roman"/>
                <w:color w:val="auto"/>
                <w:kern w:val="0"/>
                <w:sz w:val="21"/>
                <w:szCs w:val="21"/>
              </w:rPr>
            </w:pPr>
            <w:r>
              <w:rPr>
                <w:rFonts w:cs="Times New Roman"/>
                <w:color w:val="auto"/>
                <w:kern w:val="0"/>
                <w:sz w:val="21"/>
                <w:szCs w:val="21"/>
              </w:rPr>
              <w:t>消减量</w:t>
            </w:r>
          </w:p>
        </w:tc>
        <w:tc>
          <w:tcPr>
            <w:tcW w:w="1000" w:type="pct"/>
            <w:vAlign w:val="center"/>
          </w:tcPr>
          <w:p>
            <w:pPr>
              <w:pStyle w:val="10"/>
              <w:spacing w:before="0" w:after="0" w:line="240" w:lineRule="auto"/>
              <w:jc w:val="center"/>
              <w:outlineLvl w:val="3"/>
              <w:rPr>
                <w:rFonts w:cs="Times New Roman"/>
                <w:color w:val="auto"/>
                <w:kern w:val="0"/>
                <w:sz w:val="21"/>
                <w:szCs w:val="21"/>
              </w:rPr>
            </w:pPr>
            <w:r>
              <w:rPr>
                <w:rFonts w:cs="Times New Roman"/>
                <w:color w:val="auto"/>
                <w:kern w:val="0"/>
                <w:sz w:val="2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废水</w:t>
            </w:r>
          </w:p>
        </w:tc>
        <w:tc>
          <w:tcPr>
            <w:tcW w:w="1493" w:type="pct"/>
            <w:gridSpan w:val="2"/>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废水量</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112858</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112858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1493" w:type="pct"/>
            <w:gridSpan w:val="2"/>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COD</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33.86</w:t>
            </w:r>
          </w:p>
        </w:tc>
        <w:tc>
          <w:tcPr>
            <w:tcW w:w="1000"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19.3</w:t>
            </w:r>
          </w:p>
        </w:tc>
        <w:tc>
          <w:tcPr>
            <w:tcW w:w="1000" w:type="pct"/>
            <w:vAlign w:val="center"/>
          </w:tcPr>
          <w:p>
            <w:pPr>
              <w:pStyle w:val="10"/>
              <w:spacing w:before="0" w:after="0" w:line="240" w:lineRule="auto"/>
              <w:jc w:val="center"/>
              <w:outlineLvl w:val="3"/>
              <w:rPr>
                <w:rFonts w:hint="default"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14.56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1493" w:type="pct"/>
            <w:gridSpan w:val="2"/>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BOD</w:t>
            </w:r>
            <w:r>
              <w:rPr>
                <w:rFonts w:cs="Times New Roman"/>
                <w:b w:val="0"/>
                <w:bCs/>
                <w:color w:val="auto"/>
                <w:kern w:val="0"/>
                <w:sz w:val="21"/>
                <w:szCs w:val="21"/>
                <w:vertAlign w:val="subscript"/>
              </w:rPr>
              <w:t>5</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16.93</w:t>
            </w:r>
          </w:p>
        </w:tc>
        <w:tc>
          <w:tcPr>
            <w:tcW w:w="1000"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11.51</w:t>
            </w:r>
          </w:p>
        </w:tc>
        <w:tc>
          <w:tcPr>
            <w:tcW w:w="1000" w:type="pct"/>
            <w:vAlign w:val="center"/>
          </w:tcPr>
          <w:p>
            <w:pPr>
              <w:pStyle w:val="10"/>
              <w:spacing w:before="0" w:after="0" w:line="240" w:lineRule="auto"/>
              <w:jc w:val="center"/>
              <w:outlineLvl w:val="3"/>
              <w:rPr>
                <w:rFonts w:hint="default"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1493" w:type="pct"/>
            <w:gridSpan w:val="2"/>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SS</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13.54</w:t>
            </w:r>
          </w:p>
        </w:tc>
        <w:tc>
          <w:tcPr>
            <w:tcW w:w="1000"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11.51</w:t>
            </w:r>
          </w:p>
        </w:tc>
        <w:tc>
          <w:tcPr>
            <w:tcW w:w="1000" w:type="pct"/>
            <w:vAlign w:val="center"/>
          </w:tcPr>
          <w:p>
            <w:pPr>
              <w:pStyle w:val="10"/>
              <w:spacing w:before="0" w:after="0" w:line="240" w:lineRule="auto"/>
              <w:jc w:val="center"/>
              <w:outlineLvl w:val="3"/>
              <w:rPr>
                <w:rFonts w:hint="default"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1493" w:type="pct"/>
            <w:gridSpan w:val="2"/>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氨氮</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5.64</w:t>
            </w:r>
          </w:p>
        </w:tc>
        <w:tc>
          <w:tcPr>
            <w:tcW w:w="1000"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2.82</w:t>
            </w:r>
          </w:p>
        </w:tc>
        <w:tc>
          <w:tcPr>
            <w:tcW w:w="1000" w:type="pct"/>
            <w:vAlign w:val="center"/>
          </w:tcPr>
          <w:p>
            <w:pPr>
              <w:pStyle w:val="10"/>
              <w:spacing w:before="0" w:after="0" w:line="240" w:lineRule="auto"/>
              <w:jc w:val="center"/>
              <w:outlineLvl w:val="3"/>
              <w:rPr>
                <w:rFonts w:hint="default" w:eastAsia="宋体" w:cs="Times New Roman"/>
                <w:b w:val="0"/>
                <w:bCs/>
                <w:color w:val="auto"/>
                <w:kern w:val="0"/>
                <w:sz w:val="21"/>
                <w:szCs w:val="21"/>
                <w:lang w:val="en-US" w:eastAsia="zh-CN"/>
              </w:rPr>
            </w:pPr>
            <w:r>
              <w:rPr>
                <w:rFonts w:hint="eastAsia" w:cs="Times New Roman"/>
                <w:b w:val="0"/>
                <w:bCs/>
                <w:color w:val="auto"/>
                <w:kern w:val="0"/>
                <w:sz w:val="21"/>
                <w:szCs w:val="21"/>
                <w:lang w:val="en-US" w:eastAsia="zh-CN"/>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6" w:type="pct"/>
            <w:vMerge w:val="restar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废气</w:t>
            </w:r>
          </w:p>
        </w:tc>
        <w:tc>
          <w:tcPr>
            <w:tcW w:w="686" w:type="pct"/>
            <w:vMerge w:val="restar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污水处理站臭气</w:t>
            </w: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NH</w:t>
            </w:r>
            <w:r>
              <w:rPr>
                <w:rFonts w:cs="Times New Roman"/>
                <w:b w:val="0"/>
                <w:bCs/>
                <w:color w:val="auto"/>
                <w:kern w:val="0"/>
                <w:sz w:val="21"/>
                <w:szCs w:val="21"/>
                <w:vertAlign w:val="subscript"/>
              </w:rPr>
              <w:t>3</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hint="eastAsia" w:cs="Times New Roman"/>
                <w:b w:val="0"/>
                <w:bCs/>
                <w:color w:val="auto"/>
                <w:kern w:val="0"/>
                <w:sz w:val="21"/>
                <w:szCs w:val="21"/>
                <w:lang w:val="en-US" w:eastAsia="zh-CN"/>
              </w:rPr>
              <w:t>3.6</w:t>
            </w:r>
            <w:r>
              <w:rPr>
                <w:rFonts w:cs="Times New Roman"/>
                <w:b w:val="0"/>
                <w:bCs/>
                <w:color w:val="auto"/>
                <w:sz w:val="21"/>
                <w:szCs w:val="21"/>
              </w:rPr>
              <w:t>×10</w:t>
            </w:r>
            <w:r>
              <w:rPr>
                <w:rFonts w:cs="Times New Roman"/>
                <w:b w:val="0"/>
                <w:bCs/>
                <w:color w:val="auto"/>
                <w:sz w:val="21"/>
                <w:szCs w:val="21"/>
                <w:vertAlign w:val="superscript"/>
              </w:rPr>
              <w:t>-2</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2.3</w:t>
            </w:r>
            <w:r>
              <w:rPr>
                <w:rFonts w:ascii="Times New Roman" w:hAnsi="Times New Roman" w:cs="Times New Roman"/>
                <w:bCs/>
                <w:color w:val="auto"/>
                <w:sz w:val="21"/>
                <w:szCs w:val="21"/>
              </w:rPr>
              <w:t>×10</w:t>
            </w:r>
            <w:r>
              <w:rPr>
                <w:rFonts w:ascii="Times New Roman" w:hAnsi="Times New Roman" w:cs="Times New Roman"/>
                <w:bCs/>
                <w:color w:val="auto"/>
                <w:sz w:val="21"/>
                <w:szCs w:val="21"/>
                <w:vertAlign w:val="superscript"/>
              </w:rPr>
              <w:t>-2</w:t>
            </w:r>
          </w:p>
        </w:tc>
        <w:tc>
          <w:tcPr>
            <w:tcW w:w="1000" w:type="pct"/>
            <w:vAlign w:val="center"/>
          </w:tcPr>
          <w:p>
            <w:pPr>
              <w:pStyle w:val="10"/>
              <w:spacing w:before="0" w:after="0" w:line="240" w:lineRule="auto"/>
              <w:jc w:val="center"/>
              <w:outlineLvl w:val="3"/>
              <w:rPr>
                <w:rFonts w:hint="eastAsia" w:eastAsia="宋体" w:cs="Times New Roman"/>
                <w:b w:val="0"/>
                <w:bCs/>
                <w:color w:val="auto"/>
                <w:kern w:val="0"/>
                <w:sz w:val="21"/>
                <w:szCs w:val="21"/>
                <w:lang w:eastAsia="zh-CN"/>
              </w:rPr>
            </w:pPr>
            <w:r>
              <w:rPr>
                <w:rFonts w:hint="eastAsia" w:cs="Times New Roman"/>
                <w:b w:val="0"/>
                <w:bCs/>
                <w:color w:val="auto"/>
                <w:kern w:val="0"/>
                <w:sz w:val="21"/>
                <w:szCs w:val="21"/>
                <w:lang w:val="en-US" w:eastAsia="zh-CN"/>
              </w:rPr>
              <w:t>1.3</w:t>
            </w:r>
            <w:r>
              <w:rPr>
                <w:rFonts w:cs="Times New Roman"/>
                <w:b w:val="0"/>
                <w:bCs/>
                <w:color w:val="auto"/>
                <w:sz w:val="21"/>
                <w:szCs w:val="21"/>
              </w:rPr>
              <w:t>×10</w:t>
            </w:r>
            <w:r>
              <w:rPr>
                <w:rFonts w:cs="Times New Roman"/>
                <w:b w:val="0"/>
                <w:bCs/>
                <w:color w:val="auto"/>
                <w:sz w:val="21"/>
                <w:szCs w:val="21"/>
                <w:vertAlign w:val="superscript"/>
              </w:rPr>
              <w:t>-</w:t>
            </w:r>
            <w:r>
              <w:rPr>
                <w:rFonts w:hint="eastAsia" w:cs="Times New Roman"/>
                <w:b w:val="0"/>
                <w:bCs/>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H</w:t>
            </w:r>
            <w:r>
              <w:rPr>
                <w:rFonts w:cs="Times New Roman"/>
                <w:b w:val="0"/>
                <w:bCs/>
                <w:color w:val="auto"/>
                <w:kern w:val="0"/>
                <w:sz w:val="21"/>
                <w:szCs w:val="21"/>
                <w:vertAlign w:val="subscript"/>
              </w:rPr>
              <w:t>2</w:t>
            </w:r>
            <w:r>
              <w:rPr>
                <w:rFonts w:cs="Times New Roman"/>
                <w:b w:val="0"/>
                <w:bCs/>
                <w:color w:val="auto"/>
                <w:kern w:val="0"/>
                <w:sz w:val="21"/>
                <w:szCs w:val="21"/>
              </w:rPr>
              <w:t>S</w:t>
            </w:r>
          </w:p>
        </w:tc>
        <w:tc>
          <w:tcPr>
            <w:tcW w:w="999" w:type="pct"/>
            <w:vAlign w:val="center"/>
          </w:tcPr>
          <w:p>
            <w:pPr>
              <w:pStyle w:val="10"/>
              <w:spacing w:before="0" w:after="0" w:line="240" w:lineRule="auto"/>
              <w:jc w:val="center"/>
              <w:outlineLvl w:val="3"/>
              <w:rPr>
                <w:rFonts w:hint="eastAsia" w:eastAsia="宋体" w:cs="Times New Roman"/>
                <w:b w:val="0"/>
                <w:bCs/>
                <w:color w:val="auto"/>
                <w:kern w:val="0"/>
                <w:sz w:val="21"/>
                <w:szCs w:val="21"/>
                <w:lang w:eastAsia="zh-CN"/>
              </w:rPr>
            </w:pPr>
            <w:r>
              <w:rPr>
                <w:rFonts w:hint="eastAsia" w:cs="Times New Roman"/>
                <w:b w:val="0"/>
                <w:bCs/>
                <w:color w:val="auto"/>
                <w:kern w:val="0"/>
                <w:sz w:val="21"/>
                <w:szCs w:val="21"/>
                <w:lang w:val="en-US" w:eastAsia="zh-CN"/>
              </w:rPr>
              <w:t>1.4</w:t>
            </w:r>
            <w:r>
              <w:rPr>
                <w:rFonts w:cs="Times New Roman"/>
                <w:b w:val="0"/>
                <w:bCs/>
                <w:color w:val="auto"/>
                <w:sz w:val="21"/>
                <w:szCs w:val="21"/>
              </w:rPr>
              <w:t>×10</w:t>
            </w:r>
            <w:r>
              <w:rPr>
                <w:rFonts w:cs="Times New Roman"/>
                <w:b w:val="0"/>
                <w:bCs/>
                <w:color w:val="auto"/>
                <w:sz w:val="21"/>
                <w:szCs w:val="21"/>
                <w:vertAlign w:val="superscript"/>
              </w:rPr>
              <w:t>-</w:t>
            </w:r>
            <w:r>
              <w:rPr>
                <w:rFonts w:hint="eastAsia" w:cs="Times New Roman"/>
                <w:b w:val="0"/>
                <w:bCs/>
                <w:color w:val="auto"/>
                <w:sz w:val="21"/>
                <w:szCs w:val="21"/>
                <w:vertAlign w:val="superscript"/>
                <w:lang w:val="en-US" w:eastAsia="zh-CN"/>
              </w:rPr>
              <w:t>3</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hint="eastAsia" w:cs="Times New Roman"/>
                <w:b w:val="0"/>
                <w:bCs/>
                <w:color w:val="auto"/>
                <w:kern w:val="0"/>
                <w:sz w:val="21"/>
                <w:szCs w:val="21"/>
                <w:lang w:val="en-US" w:eastAsia="zh-CN"/>
              </w:rPr>
              <w:t>5</w:t>
            </w:r>
            <w:r>
              <w:rPr>
                <w:rFonts w:cs="Times New Roman"/>
                <w:b w:val="0"/>
                <w:bCs/>
                <w:color w:val="auto"/>
                <w:sz w:val="21"/>
                <w:szCs w:val="21"/>
              </w:rPr>
              <w:t>×10</w:t>
            </w:r>
            <w:r>
              <w:rPr>
                <w:rFonts w:cs="Times New Roman"/>
                <w:b w:val="0"/>
                <w:bCs/>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1493" w:type="pct"/>
            <w:gridSpan w:val="2"/>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食堂油烟</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0.55</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0.4675</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0.0825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restar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spacing w:val="-11"/>
                <w:kern w:val="0"/>
                <w:sz w:val="21"/>
                <w:szCs w:val="21"/>
              </w:rPr>
              <w:t>备用柴油发电机尾气</w:t>
            </w: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SO</w:t>
            </w:r>
            <w:r>
              <w:rPr>
                <w:rFonts w:cs="Times New Roman"/>
                <w:b w:val="0"/>
                <w:bCs/>
                <w:color w:val="auto"/>
                <w:kern w:val="0"/>
                <w:sz w:val="21"/>
                <w:szCs w:val="21"/>
                <w:vertAlign w:val="subscript"/>
              </w:rPr>
              <w:t>2</w:t>
            </w:r>
          </w:p>
        </w:tc>
        <w:tc>
          <w:tcPr>
            <w:tcW w:w="99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1.01×10</w:t>
            </w:r>
            <w:r>
              <w:rPr>
                <w:rFonts w:ascii="Times New Roman" w:hAnsi="Times New Roman" w:cs="Times New Roman"/>
                <w:color w:val="auto"/>
                <w:sz w:val="21"/>
                <w:szCs w:val="21"/>
                <w:vertAlign w:val="superscript"/>
              </w:rPr>
              <w:t>-4</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1.01×10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NOx</w:t>
            </w:r>
          </w:p>
        </w:tc>
        <w:tc>
          <w:tcPr>
            <w:tcW w:w="99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7.772×10</w:t>
            </w:r>
            <w:r>
              <w:rPr>
                <w:rFonts w:ascii="Times New Roman" w:hAnsi="Times New Roman" w:cs="Times New Roman"/>
                <w:color w:val="auto"/>
                <w:sz w:val="21"/>
                <w:szCs w:val="21"/>
                <w:vertAlign w:val="superscript"/>
              </w:rPr>
              <w:t>-3</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7.772×10</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烟尘</w:t>
            </w:r>
          </w:p>
        </w:tc>
        <w:tc>
          <w:tcPr>
            <w:tcW w:w="99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5.04×10</w:t>
            </w:r>
            <w:r>
              <w:rPr>
                <w:rFonts w:ascii="Times New Roman" w:hAnsi="Times New Roman" w:cs="Times New Roman"/>
                <w:color w:val="auto"/>
                <w:sz w:val="21"/>
                <w:szCs w:val="21"/>
                <w:vertAlign w:val="superscript"/>
              </w:rPr>
              <w:t>-4</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5.04×10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restar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汽车尾气</w:t>
            </w: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CO</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8.6</w:t>
            </w:r>
            <w:r>
              <w:rPr>
                <w:rFonts w:cs="Times New Roman"/>
                <w:b w:val="0"/>
                <w:bCs/>
                <w:color w:val="auto"/>
                <w:sz w:val="21"/>
                <w:szCs w:val="21"/>
              </w:rPr>
              <w:t>×10</w:t>
            </w:r>
            <w:r>
              <w:rPr>
                <w:rFonts w:cs="Times New Roman"/>
                <w:b w:val="0"/>
                <w:bCs/>
                <w:color w:val="auto"/>
                <w:sz w:val="21"/>
                <w:szCs w:val="21"/>
                <w:vertAlign w:val="superscript"/>
              </w:rPr>
              <w:t>-3</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8.6</w:t>
            </w:r>
            <w:r>
              <w:rPr>
                <w:rFonts w:cs="Times New Roman"/>
                <w:b w:val="0"/>
                <w:bCs/>
                <w:color w:val="auto"/>
                <w:sz w:val="21"/>
                <w:szCs w:val="21"/>
              </w:rPr>
              <w:t>×10</w:t>
            </w:r>
            <w:r>
              <w:rPr>
                <w:rFonts w:cs="Times New Roman"/>
                <w:b w:val="0"/>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NOx</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1.0</w:t>
            </w:r>
            <w:r>
              <w:rPr>
                <w:rFonts w:cs="Times New Roman"/>
                <w:b w:val="0"/>
                <w:bCs/>
                <w:color w:val="auto"/>
                <w:sz w:val="21"/>
                <w:szCs w:val="21"/>
              </w:rPr>
              <w:t>×10</w:t>
            </w:r>
            <w:r>
              <w:rPr>
                <w:rFonts w:cs="Times New Roman"/>
                <w:b w:val="0"/>
                <w:bCs/>
                <w:color w:val="auto"/>
                <w:sz w:val="21"/>
                <w:szCs w:val="21"/>
                <w:vertAlign w:val="superscript"/>
              </w:rPr>
              <w:t>-3</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1.0</w:t>
            </w:r>
            <w:r>
              <w:rPr>
                <w:rFonts w:cs="Times New Roman"/>
                <w:b w:val="0"/>
                <w:bCs/>
                <w:color w:val="auto"/>
                <w:sz w:val="21"/>
                <w:szCs w:val="21"/>
              </w:rPr>
              <w:t>×10</w:t>
            </w:r>
            <w:r>
              <w:rPr>
                <w:rFonts w:cs="Times New Roman"/>
                <w:b w:val="0"/>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THC</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1.1</w:t>
            </w:r>
            <w:r>
              <w:rPr>
                <w:rFonts w:cs="Times New Roman"/>
                <w:b w:val="0"/>
                <w:bCs/>
                <w:color w:val="auto"/>
                <w:sz w:val="21"/>
                <w:szCs w:val="21"/>
              </w:rPr>
              <w:t>×10</w:t>
            </w:r>
            <w:r>
              <w:rPr>
                <w:rFonts w:cs="Times New Roman"/>
                <w:b w:val="0"/>
                <w:bCs/>
                <w:color w:val="auto"/>
                <w:sz w:val="21"/>
                <w:szCs w:val="21"/>
                <w:vertAlign w:val="superscript"/>
              </w:rPr>
              <w:t>-3</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1.1</w:t>
            </w:r>
            <w:r>
              <w:rPr>
                <w:rFonts w:cs="Times New Roman"/>
                <w:b w:val="0"/>
                <w:bCs/>
                <w:color w:val="auto"/>
                <w:sz w:val="21"/>
                <w:szCs w:val="21"/>
              </w:rPr>
              <w:t>×10</w:t>
            </w:r>
            <w:r>
              <w:rPr>
                <w:rFonts w:cs="Times New Roman"/>
                <w:b w:val="0"/>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restar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固体</w:t>
            </w:r>
          </w:p>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废物</w:t>
            </w:r>
          </w:p>
        </w:tc>
        <w:tc>
          <w:tcPr>
            <w:tcW w:w="686" w:type="pct"/>
            <w:vMerge w:val="restar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危险废物</w:t>
            </w: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医疗废物</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87.6</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87.6</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68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806"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污泥、格栅渣</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29.13</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29.13</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Merge w:val="continue"/>
            <w:vAlign w:val="center"/>
          </w:tcPr>
          <w:p>
            <w:pPr>
              <w:pStyle w:val="10"/>
              <w:spacing w:before="0" w:after="0" w:line="240" w:lineRule="auto"/>
              <w:jc w:val="center"/>
              <w:outlineLvl w:val="3"/>
              <w:rPr>
                <w:rFonts w:cs="Times New Roman"/>
                <w:b w:val="0"/>
                <w:bCs/>
                <w:color w:val="auto"/>
                <w:kern w:val="0"/>
                <w:sz w:val="21"/>
                <w:szCs w:val="21"/>
              </w:rPr>
            </w:pPr>
          </w:p>
        </w:tc>
        <w:tc>
          <w:tcPr>
            <w:tcW w:w="1493" w:type="pct"/>
            <w:gridSpan w:val="2"/>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生活垃圾</w:t>
            </w:r>
          </w:p>
        </w:tc>
        <w:tc>
          <w:tcPr>
            <w:tcW w:w="999"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244.55</w:t>
            </w:r>
          </w:p>
        </w:tc>
        <w:tc>
          <w:tcPr>
            <w:tcW w:w="100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244.55</w:t>
            </w:r>
          </w:p>
        </w:tc>
        <w:tc>
          <w:tcPr>
            <w:tcW w:w="1000" w:type="pct"/>
            <w:vAlign w:val="center"/>
          </w:tcPr>
          <w:p>
            <w:pPr>
              <w:pStyle w:val="10"/>
              <w:spacing w:before="0" w:after="0" w:line="240" w:lineRule="auto"/>
              <w:jc w:val="center"/>
              <w:outlineLvl w:val="3"/>
              <w:rPr>
                <w:rFonts w:cs="Times New Roman"/>
                <w:b w:val="0"/>
                <w:bCs/>
                <w:color w:val="auto"/>
                <w:kern w:val="0"/>
                <w:sz w:val="21"/>
                <w:szCs w:val="21"/>
              </w:rPr>
            </w:pPr>
            <w:r>
              <w:rPr>
                <w:rFonts w:cs="Times New Roman"/>
                <w:b w:val="0"/>
                <w:bCs/>
                <w:color w:val="auto"/>
                <w:kern w:val="0"/>
                <w:sz w:val="21"/>
                <w:szCs w:val="21"/>
              </w:rPr>
              <w:t>0</w:t>
            </w:r>
          </w:p>
        </w:tc>
      </w:tr>
    </w:tbl>
    <w:p>
      <w:pPr>
        <w:pStyle w:val="8"/>
        <w:keepLines w:val="0"/>
        <w:jc w:val="left"/>
        <w:rPr>
          <w:rFonts w:ascii="Times New Roman" w:hAnsi="Times New Roman" w:cs="Times New Roman"/>
          <w:color w:val="auto"/>
          <w:kern w:val="0"/>
          <w:szCs w:val="30"/>
        </w:rPr>
      </w:pPr>
      <w:bookmarkStart w:id="180" w:name="_Toc21702"/>
      <w:bookmarkStart w:id="181" w:name="_Toc22396"/>
      <w:r>
        <w:rPr>
          <w:rFonts w:ascii="Times New Roman" w:hAnsi="Times New Roman" w:cs="Times New Roman"/>
          <w:color w:val="auto"/>
          <w:kern w:val="0"/>
          <w:szCs w:val="30"/>
        </w:rPr>
        <w:t>3.5 清洁生产分析</w:t>
      </w:r>
      <w:bookmarkEnd w:id="180"/>
      <w:bookmarkEnd w:id="181"/>
    </w:p>
    <w:p>
      <w:pPr>
        <w:spacing w:line="520" w:lineRule="exact"/>
        <w:rPr>
          <w:rFonts w:ascii="Times New Roman" w:hAnsi="Times New Roman" w:cs="Times New Roman"/>
          <w:color w:val="auto"/>
        </w:rPr>
      </w:pPr>
      <w:r>
        <w:rPr>
          <w:rFonts w:ascii="Times New Roman" w:hAnsi="Times New Roman" w:cs="Times New Roman"/>
          <w:color w:val="auto"/>
        </w:rPr>
        <w:t>医院在总体规划中，把环境保护、清洁生产的环境概念引入到设计理念中，强调人与自然的和谐统一。设计中通过采用环保型的建筑及装饰材料，为医生和患者营造良好的治疗环境；通过采取一系列的节能措施，减少了能源的消耗，降低了污染物的产生和排放量，从而更好的保护了环境。</w:t>
      </w:r>
    </w:p>
    <w:p>
      <w:pPr>
        <w:pStyle w:val="9"/>
        <w:rPr>
          <w:rFonts w:ascii="Times New Roman" w:hAnsi="Times New Roman" w:cs="Times New Roman"/>
          <w:color w:val="auto"/>
        </w:rPr>
      </w:pPr>
      <w:r>
        <w:rPr>
          <w:rFonts w:ascii="Times New Roman" w:hAnsi="Times New Roman" w:cs="Times New Roman"/>
          <w:color w:val="auto"/>
        </w:rPr>
        <w:t>3.5.1 节能措施</w:t>
      </w:r>
    </w:p>
    <w:p>
      <w:pPr>
        <w:spacing w:line="520" w:lineRule="exact"/>
        <w:rPr>
          <w:rFonts w:ascii="Times New Roman" w:hAnsi="Times New Roman" w:cs="Times New Roman"/>
          <w:color w:val="auto"/>
        </w:rPr>
      </w:pPr>
      <w:r>
        <w:rPr>
          <w:rFonts w:ascii="Times New Roman" w:hAnsi="Times New Roman" w:cs="Times New Roman"/>
          <w:color w:val="auto"/>
        </w:rPr>
        <w:t>项目在实施过程中执行国家有关节能的各项法规和政策。积极利用先进的节能新工艺、新材料、新技术、新设备，做到合理利用和节约使用能源。在墙体、外墙饰面用料、屋面、门、窗等部分积极利用先进的新材料、新技术。节能渗透到设计、施工等各个环节当中，严禁采用国家已公布淘汰的建材建设。</w:t>
      </w:r>
    </w:p>
    <w:p>
      <w:pPr>
        <w:spacing w:line="520" w:lineRule="exact"/>
        <w:rPr>
          <w:rFonts w:ascii="Times New Roman" w:hAnsi="Times New Roman" w:cs="Times New Roman"/>
          <w:color w:val="auto"/>
        </w:rPr>
      </w:pPr>
      <w:r>
        <w:rPr>
          <w:rFonts w:ascii="Times New Roman" w:hAnsi="Times New Roman" w:cs="Times New Roman"/>
          <w:color w:val="auto"/>
        </w:rPr>
        <w:t>（1）建筑材料节能</w:t>
      </w:r>
    </w:p>
    <w:p>
      <w:pPr>
        <w:spacing w:line="520" w:lineRule="exact"/>
        <w:rPr>
          <w:rFonts w:ascii="Times New Roman" w:hAnsi="Times New Roman" w:cs="Times New Roman"/>
          <w:color w:val="auto"/>
        </w:rPr>
      </w:pPr>
      <w:r>
        <w:rPr>
          <w:rFonts w:ascii="Times New Roman" w:hAnsi="Times New Roman" w:cs="Times New Roman"/>
          <w:color w:val="auto"/>
        </w:rPr>
        <w:t>装修施工过程中从采用喷、涂类净化手段入手，注意加强通风来加速污染物质的挥发，减轻有害物质的聚集；涂料拟采用浅色环保型高级涂料和浅灰色仿石涂料，并遵循以下原则：</w:t>
      </w:r>
    </w:p>
    <w:p>
      <w:pPr>
        <w:spacing w:line="520" w:lineRule="exact"/>
        <w:rPr>
          <w:rFonts w:ascii="Times New Roman" w:hAnsi="Times New Roman" w:cs="Times New Roman"/>
          <w:color w:val="auto"/>
        </w:rPr>
      </w:pPr>
      <w:r>
        <w:rPr>
          <w:rFonts w:ascii="Times New Roman" w:hAnsi="Times New Roman" w:cs="Times New Roman"/>
          <w:color w:val="auto"/>
        </w:rPr>
        <w:t>①涂料中不含铅、汞、六价铬和镉等重金属污染物；</w:t>
      </w:r>
    </w:p>
    <w:p>
      <w:pPr>
        <w:spacing w:line="520" w:lineRule="exact"/>
        <w:rPr>
          <w:rFonts w:ascii="Times New Roman" w:hAnsi="Times New Roman" w:cs="Times New Roman"/>
          <w:color w:val="auto"/>
        </w:rPr>
      </w:pPr>
      <w:r>
        <w:rPr>
          <w:rFonts w:ascii="Times New Roman" w:hAnsi="Times New Roman" w:cs="Times New Roman"/>
          <w:color w:val="auto"/>
        </w:rPr>
        <w:t>②选用最低挥发释放量的涂料，优先选用水性丙烯酸涂料；</w:t>
      </w:r>
    </w:p>
    <w:p>
      <w:pPr>
        <w:spacing w:line="520" w:lineRule="exact"/>
        <w:rPr>
          <w:rFonts w:ascii="Times New Roman" w:hAnsi="Times New Roman" w:cs="Times New Roman"/>
          <w:color w:val="auto"/>
        </w:rPr>
      </w:pPr>
      <w:r>
        <w:rPr>
          <w:rFonts w:ascii="Times New Roman" w:hAnsi="Times New Roman" w:cs="Times New Roman"/>
          <w:color w:val="auto"/>
        </w:rPr>
        <w:t>③通过中国环境标志产品认证的环保型涂料；</w:t>
      </w:r>
    </w:p>
    <w:p>
      <w:pPr>
        <w:spacing w:line="520" w:lineRule="exact"/>
        <w:rPr>
          <w:rFonts w:ascii="Times New Roman" w:hAnsi="Times New Roman" w:cs="Times New Roman"/>
          <w:color w:val="auto"/>
        </w:rPr>
      </w:pPr>
      <w:r>
        <w:rPr>
          <w:rFonts w:ascii="Times New Roman" w:hAnsi="Times New Roman" w:cs="Times New Roman"/>
          <w:color w:val="auto"/>
        </w:rPr>
        <w:t>④不使用国家有关条例已经明令禁止使用的107胶。</w:t>
      </w:r>
    </w:p>
    <w:p>
      <w:pPr>
        <w:spacing w:line="520" w:lineRule="exact"/>
        <w:rPr>
          <w:rFonts w:ascii="Times New Roman" w:hAnsi="Times New Roman" w:cs="Times New Roman"/>
          <w:color w:val="auto"/>
        </w:rPr>
      </w:pPr>
      <w:r>
        <w:rPr>
          <w:rFonts w:ascii="Times New Roman" w:hAnsi="Times New Roman" w:cs="Times New Roman"/>
          <w:color w:val="auto"/>
        </w:rPr>
        <w:t>（2）机电设备选型</w:t>
      </w:r>
    </w:p>
    <w:p>
      <w:pPr>
        <w:spacing w:line="520" w:lineRule="exact"/>
        <w:rPr>
          <w:rFonts w:ascii="Times New Roman" w:hAnsi="Times New Roman" w:cs="Times New Roman"/>
          <w:color w:val="auto"/>
        </w:rPr>
      </w:pPr>
      <w:r>
        <w:rPr>
          <w:rFonts w:ascii="Times New Roman" w:hAnsi="Times New Roman" w:cs="Times New Roman"/>
          <w:color w:val="auto"/>
        </w:rPr>
        <w:t>设计中设备选型对落实节能工作十分重要，本项目中所有机电设备，全部选择节能指标先进的设备。</w:t>
      </w:r>
    </w:p>
    <w:p>
      <w:pPr>
        <w:spacing w:line="520" w:lineRule="exact"/>
        <w:rPr>
          <w:rFonts w:ascii="Times New Roman" w:hAnsi="Times New Roman" w:cs="Times New Roman"/>
          <w:color w:val="auto"/>
        </w:rPr>
      </w:pPr>
      <w:r>
        <w:rPr>
          <w:rFonts w:ascii="Times New Roman" w:hAnsi="Times New Roman" w:cs="Times New Roman"/>
          <w:color w:val="auto"/>
        </w:rPr>
        <w:t>（3）电气节能系统</w:t>
      </w:r>
    </w:p>
    <w:p>
      <w:pPr>
        <w:spacing w:line="520" w:lineRule="exact"/>
        <w:rPr>
          <w:rFonts w:ascii="Times New Roman" w:hAnsi="Times New Roman" w:cs="Times New Roman"/>
          <w:color w:val="auto"/>
          <w:highlight w:val="yellow"/>
        </w:rPr>
      </w:pPr>
      <w:r>
        <w:rPr>
          <w:rFonts w:ascii="Times New Roman" w:hAnsi="Times New Roman" w:cs="Times New Roman"/>
          <w:color w:val="auto"/>
        </w:rPr>
        <w:t>电力变压器宜选用节能、环保、无毒型产品。医院内所选灯具为节能型灯，走道为声光控开关，室外照明系统也为光控开关控制。</w:t>
      </w:r>
    </w:p>
    <w:p>
      <w:pPr>
        <w:spacing w:line="520" w:lineRule="exact"/>
        <w:rPr>
          <w:rFonts w:ascii="Times New Roman" w:hAnsi="Times New Roman" w:cs="Times New Roman"/>
          <w:color w:val="auto"/>
        </w:rPr>
      </w:pPr>
      <w:r>
        <w:rPr>
          <w:rFonts w:ascii="Times New Roman" w:hAnsi="Times New Roman" w:cs="Times New Roman"/>
          <w:color w:val="auto"/>
        </w:rPr>
        <w:t>（4）给排水系统</w:t>
      </w:r>
    </w:p>
    <w:p>
      <w:pPr>
        <w:spacing w:line="520" w:lineRule="exact"/>
        <w:rPr>
          <w:rFonts w:ascii="Times New Roman" w:hAnsi="Times New Roman" w:cs="Times New Roman"/>
          <w:color w:val="auto"/>
        </w:rPr>
      </w:pPr>
      <w:r>
        <w:rPr>
          <w:rFonts w:ascii="Times New Roman" w:hAnsi="Times New Roman" w:cs="Times New Roman"/>
          <w:color w:val="auto"/>
        </w:rPr>
        <w:t>项目应采用节水型工艺和设备，提高水资源利用率，降低水资源无效消耗。供水系统采用防渗、防漏措施。</w:t>
      </w:r>
    </w:p>
    <w:p>
      <w:pPr>
        <w:spacing w:line="520" w:lineRule="exact"/>
        <w:rPr>
          <w:rFonts w:ascii="Times New Roman" w:hAnsi="Times New Roman" w:cs="Times New Roman"/>
          <w:color w:val="auto"/>
        </w:rPr>
      </w:pPr>
      <w:r>
        <w:rPr>
          <w:rFonts w:ascii="Times New Roman" w:hAnsi="Times New Roman" w:cs="Times New Roman"/>
          <w:color w:val="auto"/>
        </w:rPr>
        <w:t>①医院公共卫生间采用定时水冲式水箱。</w:t>
      </w:r>
    </w:p>
    <w:p>
      <w:pPr>
        <w:spacing w:line="520" w:lineRule="exact"/>
        <w:rPr>
          <w:rFonts w:ascii="Times New Roman" w:hAnsi="Times New Roman" w:cs="Times New Roman"/>
          <w:color w:val="auto"/>
        </w:rPr>
      </w:pPr>
      <w:r>
        <w:rPr>
          <w:rFonts w:ascii="Times New Roman" w:hAnsi="Times New Roman" w:cs="Times New Roman"/>
          <w:color w:val="auto"/>
        </w:rPr>
        <w:t>②单独卫生间采用节水型卫生洁具。</w:t>
      </w:r>
    </w:p>
    <w:p>
      <w:pPr>
        <w:spacing w:line="520" w:lineRule="exact"/>
        <w:rPr>
          <w:rFonts w:ascii="Times New Roman" w:hAnsi="Times New Roman" w:cs="Times New Roman"/>
          <w:color w:val="auto"/>
        </w:rPr>
      </w:pPr>
      <w:r>
        <w:rPr>
          <w:rFonts w:ascii="Times New Roman" w:hAnsi="Times New Roman" w:cs="Times New Roman"/>
          <w:color w:val="auto"/>
        </w:rPr>
        <w:t>③医院设置污水处理设备，医院污水经消毒处理达标后，经城市管网排入污水处理厂。</w:t>
      </w:r>
    </w:p>
    <w:p>
      <w:pPr>
        <w:pStyle w:val="9"/>
        <w:rPr>
          <w:rFonts w:ascii="Times New Roman" w:hAnsi="Times New Roman" w:cs="Times New Roman"/>
          <w:color w:val="auto"/>
        </w:rPr>
      </w:pPr>
      <w:r>
        <w:rPr>
          <w:rFonts w:ascii="Times New Roman" w:hAnsi="Times New Roman" w:cs="Times New Roman"/>
          <w:color w:val="auto"/>
        </w:rPr>
        <w:t>3.5.2 清洁生产分析</w:t>
      </w:r>
    </w:p>
    <w:p>
      <w:pPr>
        <w:spacing w:line="520" w:lineRule="exact"/>
        <w:rPr>
          <w:rFonts w:ascii="Times New Roman" w:hAnsi="Times New Roman" w:cs="Times New Roman"/>
          <w:color w:val="auto"/>
        </w:rPr>
      </w:pPr>
      <w:r>
        <w:rPr>
          <w:rFonts w:ascii="Times New Roman" w:hAnsi="Times New Roman" w:cs="Times New Roman"/>
          <w:color w:val="auto"/>
        </w:rPr>
        <w:t>院方应将环保、健康、安全放在首位，重点从以下几个方面开展工作：</w:t>
      </w:r>
    </w:p>
    <w:p>
      <w:pPr>
        <w:spacing w:line="520" w:lineRule="exact"/>
        <w:rPr>
          <w:rFonts w:ascii="Times New Roman" w:hAnsi="Times New Roman" w:cs="Times New Roman"/>
          <w:color w:val="auto"/>
        </w:rPr>
      </w:pPr>
      <w:r>
        <w:rPr>
          <w:rFonts w:ascii="Times New Roman" w:hAnsi="Times New Roman" w:cs="Times New Roman"/>
          <w:color w:val="auto"/>
        </w:rPr>
        <w:t>（1）建立和健全环保方面相应的规章制度及奖惩原则，提高员工的环境保护意识。</w:t>
      </w:r>
    </w:p>
    <w:p>
      <w:pPr>
        <w:spacing w:line="520" w:lineRule="exact"/>
        <w:rPr>
          <w:rFonts w:ascii="Times New Roman" w:hAnsi="Times New Roman" w:cs="Times New Roman"/>
          <w:color w:val="auto"/>
        </w:rPr>
      </w:pPr>
      <w:r>
        <w:rPr>
          <w:rFonts w:ascii="Times New Roman" w:hAnsi="Times New Roman" w:cs="Times New Roman"/>
          <w:color w:val="auto"/>
        </w:rPr>
        <w:t>（2）强化清洁生产的管理，包括从源头如用水指标控制、清洁能源利用、综合利用等措施，尽可能减少“三废”产生量。</w:t>
      </w:r>
    </w:p>
    <w:p>
      <w:pPr>
        <w:spacing w:line="520" w:lineRule="exact"/>
        <w:rPr>
          <w:rFonts w:ascii="Times New Roman" w:hAnsi="Times New Roman" w:cs="Times New Roman"/>
          <w:color w:val="auto"/>
        </w:rPr>
      </w:pPr>
      <w:r>
        <w:rPr>
          <w:rFonts w:ascii="Times New Roman" w:hAnsi="Times New Roman" w:cs="Times New Roman"/>
          <w:color w:val="auto"/>
        </w:rPr>
        <w:t>（3）不断研发、引进先进的诊疗设备和优秀技术人才，将清洁生产的概念融于临床诊断治疗过程。将对环境的影响降至最低限度。</w:t>
      </w:r>
    </w:p>
    <w:p>
      <w:pPr>
        <w:spacing w:line="520" w:lineRule="exact"/>
        <w:rPr>
          <w:rFonts w:ascii="Times New Roman" w:hAnsi="Times New Roman" w:cs="Times New Roman"/>
          <w:color w:val="auto"/>
        </w:rPr>
      </w:pPr>
      <w:r>
        <w:rPr>
          <w:rFonts w:ascii="Times New Roman" w:hAnsi="Times New Roman" w:cs="Times New Roman"/>
          <w:color w:val="auto"/>
        </w:rPr>
        <w:t>该项目建设内容以及相关清洁生产的具体内容详见表</w:t>
      </w:r>
      <w:r>
        <w:rPr>
          <w:rFonts w:hint="eastAsia" w:ascii="Times New Roman" w:hAnsi="Times New Roman" w:cs="Times New Roman"/>
          <w:color w:val="auto"/>
        </w:rPr>
        <w:t>3.5</w:t>
      </w:r>
      <w:r>
        <w:rPr>
          <w:rFonts w:ascii="Times New Roman" w:hAnsi="Times New Roman" w:cs="Times New Roman"/>
          <w:color w:val="auto"/>
        </w:rPr>
        <w:t>-1。</w:t>
      </w:r>
    </w:p>
    <w:p>
      <w:pPr>
        <w:pStyle w:val="35"/>
        <w:spacing w:before="0" w:after="0" w:line="520" w:lineRule="exact"/>
        <w:rPr>
          <w:rFonts w:cs="Times New Roman"/>
          <w:color w:val="auto"/>
        </w:rPr>
      </w:pPr>
    </w:p>
    <w:p>
      <w:pPr>
        <w:pStyle w:val="35"/>
        <w:spacing w:before="0" w:after="0" w:line="520" w:lineRule="exact"/>
        <w:rPr>
          <w:rFonts w:cs="Times New Roman"/>
          <w:color w:val="auto"/>
        </w:rPr>
      </w:pPr>
      <w:r>
        <w:rPr>
          <w:rFonts w:cs="Times New Roman"/>
          <w:color w:val="auto"/>
        </w:rPr>
        <w:t>表</w:t>
      </w:r>
      <w:r>
        <w:rPr>
          <w:rFonts w:hint="eastAsia" w:cs="Times New Roman"/>
          <w:color w:val="auto"/>
        </w:rPr>
        <w:t>3.5</w:t>
      </w:r>
      <w:r>
        <w:rPr>
          <w:rFonts w:cs="Times New Roman"/>
          <w:color w:val="auto"/>
        </w:rPr>
        <w:t>-1     项目清洁生产内容</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9"/>
        <w:gridCol w:w="4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9" w:type="dxa"/>
            <w:vAlign w:val="center"/>
          </w:tcPr>
          <w:p>
            <w:pPr>
              <w:pStyle w:val="35"/>
              <w:spacing w:before="0" w:after="0"/>
              <w:rPr>
                <w:rFonts w:cs="Times New Roman"/>
                <w:color w:val="auto"/>
                <w:szCs w:val="21"/>
              </w:rPr>
            </w:pPr>
            <w:r>
              <w:rPr>
                <w:rFonts w:cs="Times New Roman"/>
                <w:color w:val="auto"/>
                <w:szCs w:val="21"/>
              </w:rPr>
              <w:t>项目建设内容</w:t>
            </w:r>
          </w:p>
        </w:tc>
        <w:tc>
          <w:tcPr>
            <w:tcW w:w="4733" w:type="dxa"/>
            <w:vAlign w:val="center"/>
          </w:tcPr>
          <w:p>
            <w:pPr>
              <w:pStyle w:val="35"/>
              <w:spacing w:before="0" w:after="0"/>
              <w:rPr>
                <w:rFonts w:cs="Times New Roman"/>
                <w:color w:val="auto"/>
                <w:szCs w:val="21"/>
              </w:rPr>
            </w:pPr>
            <w:r>
              <w:rPr>
                <w:rFonts w:cs="Times New Roman"/>
                <w:color w:val="auto"/>
                <w:szCs w:val="21"/>
              </w:rPr>
              <w:t>相关清洁生产内容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9" w:type="dxa"/>
            <w:vAlign w:val="center"/>
          </w:tcPr>
          <w:p>
            <w:pPr>
              <w:pStyle w:val="35"/>
              <w:spacing w:before="0" w:after="0"/>
              <w:rPr>
                <w:rFonts w:cs="Times New Roman"/>
                <w:b w:val="0"/>
                <w:bCs/>
                <w:color w:val="auto"/>
                <w:szCs w:val="21"/>
              </w:rPr>
            </w:pPr>
            <w:r>
              <w:rPr>
                <w:rFonts w:cs="Times New Roman"/>
                <w:b w:val="0"/>
                <w:bCs/>
                <w:color w:val="auto"/>
                <w:szCs w:val="21"/>
              </w:rPr>
              <w:t>选用先进的检测、医疗设备</w:t>
            </w:r>
          </w:p>
        </w:tc>
        <w:tc>
          <w:tcPr>
            <w:tcW w:w="4733" w:type="dxa"/>
            <w:vAlign w:val="center"/>
          </w:tcPr>
          <w:p>
            <w:pPr>
              <w:pStyle w:val="35"/>
              <w:spacing w:before="0" w:after="0"/>
              <w:rPr>
                <w:rFonts w:cs="Times New Roman"/>
                <w:b w:val="0"/>
                <w:bCs/>
                <w:color w:val="auto"/>
                <w:szCs w:val="21"/>
              </w:rPr>
            </w:pPr>
            <w:r>
              <w:rPr>
                <w:rFonts w:cs="Times New Roman"/>
                <w:b w:val="0"/>
                <w:bCs/>
                <w:color w:val="auto"/>
                <w:szCs w:val="21"/>
              </w:rPr>
              <w:t>保证诊断结果的快速准确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9" w:type="dxa"/>
            <w:vAlign w:val="center"/>
          </w:tcPr>
          <w:p>
            <w:pPr>
              <w:pStyle w:val="35"/>
              <w:spacing w:before="0" w:after="0"/>
              <w:rPr>
                <w:rFonts w:cs="Times New Roman"/>
                <w:b w:val="0"/>
                <w:bCs/>
                <w:color w:val="auto"/>
                <w:szCs w:val="21"/>
              </w:rPr>
            </w:pPr>
            <w:r>
              <w:rPr>
                <w:rFonts w:cs="Times New Roman"/>
                <w:b w:val="0"/>
                <w:bCs/>
                <w:color w:val="auto"/>
                <w:szCs w:val="21"/>
              </w:rPr>
              <w:t>废水处理工艺</w:t>
            </w:r>
          </w:p>
        </w:tc>
        <w:tc>
          <w:tcPr>
            <w:tcW w:w="4733" w:type="dxa"/>
            <w:vAlign w:val="center"/>
          </w:tcPr>
          <w:p>
            <w:pPr>
              <w:pStyle w:val="35"/>
              <w:spacing w:before="0" w:after="0"/>
              <w:rPr>
                <w:rFonts w:cs="Times New Roman"/>
                <w:b w:val="0"/>
                <w:bCs/>
                <w:color w:val="auto"/>
                <w:szCs w:val="21"/>
              </w:rPr>
            </w:pPr>
            <w:r>
              <w:rPr>
                <w:rFonts w:cs="Times New Roman"/>
                <w:b w:val="0"/>
                <w:bCs/>
                <w:color w:val="auto"/>
                <w:szCs w:val="21"/>
              </w:rPr>
              <w:t>确保废水达标排放，降低污染物排放总量处理设备运行稳定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9" w:type="dxa"/>
            <w:vAlign w:val="center"/>
          </w:tcPr>
          <w:p>
            <w:pPr>
              <w:pStyle w:val="35"/>
              <w:spacing w:before="0" w:after="0"/>
              <w:rPr>
                <w:rFonts w:cs="Times New Roman"/>
                <w:b w:val="0"/>
                <w:bCs/>
                <w:color w:val="auto"/>
                <w:szCs w:val="21"/>
              </w:rPr>
            </w:pPr>
            <w:r>
              <w:rPr>
                <w:rFonts w:cs="Times New Roman"/>
                <w:b w:val="0"/>
                <w:bCs/>
                <w:color w:val="auto"/>
                <w:szCs w:val="21"/>
              </w:rPr>
              <w:t>使用清洁能源</w:t>
            </w:r>
          </w:p>
        </w:tc>
        <w:tc>
          <w:tcPr>
            <w:tcW w:w="4733" w:type="dxa"/>
            <w:vAlign w:val="center"/>
          </w:tcPr>
          <w:p>
            <w:pPr>
              <w:pStyle w:val="35"/>
              <w:spacing w:before="0" w:after="0"/>
              <w:rPr>
                <w:rFonts w:cs="Times New Roman"/>
                <w:b w:val="0"/>
                <w:bCs/>
                <w:color w:val="auto"/>
                <w:szCs w:val="21"/>
              </w:rPr>
            </w:pPr>
            <w:r>
              <w:rPr>
                <w:rFonts w:cs="Times New Roman"/>
                <w:b w:val="0"/>
                <w:bCs/>
                <w:color w:val="auto"/>
                <w:szCs w:val="21"/>
              </w:rPr>
              <w:t>确保污染物达标排放，大大降低其排放总量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9" w:type="dxa"/>
            <w:vAlign w:val="center"/>
          </w:tcPr>
          <w:p>
            <w:pPr>
              <w:pStyle w:val="35"/>
              <w:spacing w:before="0" w:after="0"/>
              <w:rPr>
                <w:rFonts w:cs="Times New Roman"/>
                <w:b w:val="0"/>
                <w:bCs/>
                <w:color w:val="auto"/>
                <w:szCs w:val="21"/>
              </w:rPr>
            </w:pPr>
            <w:r>
              <w:rPr>
                <w:rFonts w:cs="Times New Roman"/>
                <w:b w:val="0"/>
                <w:bCs/>
                <w:color w:val="auto"/>
                <w:szCs w:val="21"/>
              </w:rPr>
              <w:t>选用低噪声设备，采取减振等降噪措施</w:t>
            </w:r>
          </w:p>
        </w:tc>
        <w:tc>
          <w:tcPr>
            <w:tcW w:w="4733" w:type="dxa"/>
            <w:vAlign w:val="center"/>
          </w:tcPr>
          <w:p>
            <w:pPr>
              <w:pStyle w:val="35"/>
              <w:spacing w:before="0" w:after="0"/>
              <w:rPr>
                <w:rFonts w:cs="Times New Roman"/>
                <w:b w:val="0"/>
                <w:bCs/>
                <w:color w:val="auto"/>
                <w:szCs w:val="21"/>
              </w:rPr>
            </w:pPr>
            <w:r>
              <w:rPr>
                <w:rFonts w:cs="Times New Roman"/>
                <w:b w:val="0"/>
                <w:bCs/>
                <w:color w:val="auto"/>
                <w:szCs w:val="21"/>
              </w:rPr>
              <w:t>降低设备噪声对周围环境的影响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9" w:type="dxa"/>
            <w:vAlign w:val="center"/>
          </w:tcPr>
          <w:p>
            <w:pPr>
              <w:pStyle w:val="35"/>
              <w:spacing w:before="0" w:after="0"/>
              <w:rPr>
                <w:rFonts w:cs="Times New Roman"/>
                <w:b w:val="0"/>
                <w:bCs/>
                <w:color w:val="auto"/>
                <w:szCs w:val="21"/>
              </w:rPr>
            </w:pPr>
            <w:r>
              <w:rPr>
                <w:rFonts w:cs="Times New Roman"/>
                <w:b w:val="0"/>
                <w:bCs/>
                <w:color w:val="auto"/>
                <w:szCs w:val="21"/>
              </w:rPr>
              <w:t>固体废物分类收集、分类处理</w:t>
            </w:r>
          </w:p>
        </w:tc>
        <w:tc>
          <w:tcPr>
            <w:tcW w:w="4733" w:type="dxa"/>
            <w:vAlign w:val="center"/>
          </w:tcPr>
          <w:p>
            <w:pPr>
              <w:pStyle w:val="35"/>
              <w:spacing w:before="0" w:after="0"/>
              <w:rPr>
                <w:rFonts w:cs="Times New Roman"/>
                <w:b w:val="0"/>
                <w:bCs/>
                <w:color w:val="auto"/>
                <w:szCs w:val="21"/>
              </w:rPr>
            </w:pPr>
            <w:r>
              <w:rPr>
                <w:rFonts w:cs="Times New Roman"/>
                <w:b w:val="0"/>
                <w:bCs/>
                <w:color w:val="auto"/>
                <w:szCs w:val="21"/>
              </w:rPr>
              <w:t>避免二次污染、交叉感染，保护了环境</w:t>
            </w:r>
          </w:p>
        </w:tc>
      </w:tr>
    </w:tbl>
    <w:p>
      <w:pPr>
        <w:spacing w:line="520" w:lineRule="exact"/>
        <w:rPr>
          <w:rFonts w:ascii="Times New Roman" w:hAnsi="Times New Roman" w:cs="Times New Roman"/>
          <w:color w:val="auto"/>
        </w:rPr>
      </w:pPr>
      <w:r>
        <w:rPr>
          <w:rFonts w:ascii="Times New Roman" w:hAnsi="Times New Roman" w:cs="Times New Roman"/>
          <w:color w:val="auto"/>
        </w:rPr>
        <w:t>综上所述，通过采取上述节能措施，能有效的减少能源的浪费，从而产生间接的经济、社会和环境效益；通过采取有效的环保措施，降低了污染物的产生和排放量，更好的保护了环境。</w:t>
      </w:r>
    </w:p>
    <w:p>
      <w:pPr>
        <w:pStyle w:val="8"/>
        <w:keepLines w:val="0"/>
        <w:jc w:val="left"/>
        <w:rPr>
          <w:rFonts w:ascii="Times New Roman" w:hAnsi="Times New Roman" w:cs="Times New Roman"/>
          <w:color w:val="auto"/>
          <w:kern w:val="0"/>
          <w:szCs w:val="30"/>
        </w:rPr>
      </w:pPr>
      <w:bookmarkStart w:id="182" w:name="_Toc18439"/>
      <w:bookmarkStart w:id="183" w:name="_Toc3728"/>
      <w:r>
        <w:rPr>
          <w:rFonts w:ascii="Times New Roman" w:hAnsi="Times New Roman" w:cs="Times New Roman"/>
          <w:color w:val="auto"/>
          <w:kern w:val="0"/>
          <w:szCs w:val="30"/>
        </w:rPr>
        <w:t>3.6 项目建设可行性分析</w:t>
      </w:r>
      <w:bookmarkEnd w:id="182"/>
      <w:bookmarkEnd w:id="183"/>
    </w:p>
    <w:p>
      <w:pPr>
        <w:pStyle w:val="9"/>
        <w:rPr>
          <w:rFonts w:ascii="Times New Roman" w:hAnsi="Times New Roman" w:cs="Times New Roman"/>
          <w:color w:val="auto"/>
        </w:rPr>
      </w:pPr>
      <w:bookmarkStart w:id="184" w:name="_Toc20538"/>
      <w:r>
        <w:rPr>
          <w:rFonts w:ascii="Times New Roman" w:hAnsi="Times New Roman" w:cs="Times New Roman"/>
          <w:color w:val="auto"/>
        </w:rPr>
        <w:t>3.6.1 产业政策符合性</w:t>
      </w:r>
      <w:bookmarkEnd w:id="184"/>
      <w:r>
        <w:rPr>
          <w:rFonts w:ascii="Times New Roman" w:hAnsi="Times New Roman" w:cs="Times New Roman"/>
          <w:color w:val="auto"/>
        </w:rPr>
        <w:t>分析</w:t>
      </w:r>
    </w:p>
    <w:p>
      <w:pPr>
        <w:spacing w:line="520" w:lineRule="exact"/>
        <w:rPr>
          <w:rFonts w:ascii="Times New Roman" w:hAnsi="Times New Roman" w:cs="Times New Roman"/>
          <w:color w:val="auto"/>
        </w:rPr>
      </w:pPr>
      <w:r>
        <w:rPr>
          <w:rFonts w:ascii="Times New Roman" w:hAnsi="Times New Roman" w:cs="Times New Roman"/>
          <w:color w:val="auto"/>
        </w:rPr>
        <w:t>本项目为二级甲等综合医院，属于国家发展和改革委员会令第29号令《产业结构调整指导目录（2019年本）》中鼓励类“三十七 卫生健康”中的“医疗服务设施建设”；且项目已经吉木萨尔县发展和改革委员会立项（吉县发改综合〔2020〕133号）因此，该项目的建设符合国家的产业政策要求。</w:t>
      </w:r>
    </w:p>
    <w:p>
      <w:pPr>
        <w:pStyle w:val="9"/>
        <w:keepNext/>
        <w:keepLines/>
        <w:pageBreakBefore w:val="0"/>
        <w:widowControl w:val="0"/>
        <w:kinsoku/>
        <w:wordWrap/>
        <w:overflowPunct/>
        <w:topLinePunct w:val="0"/>
        <w:autoSpaceDE/>
        <w:autoSpaceDN/>
        <w:bidi w:val="0"/>
        <w:adjustRightInd/>
        <w:snapToGrid/>
        <w:spacing w:line="520" w:lineRule="exact"/>
        <w:textAlignment w:val="auto"/>
        <w:rPr>
          <w:rFonts w:ascii="Times New Roman" w:hAnsi="Times New Roman" w:cs="Times New Roman"/>
          <w:color w:val="auto"/>
        </w:rPr>
      </w:pPr>
      <w:r>
        <w:rPr>
          <w:rFonts w:ascii="Times New Roman" w:hAnsi="Times New Roman" w:cs="Times New Roman"/>
          <w:color w:val="auto"/>
        </w:rPr>
        <w:t>3.6.2 规划相符性分析</w:t>
      </w:r>
    </w:p>
    <w:p>
      <w:pPr>
        <w:spacing w:line="520" w:lineRule="exact"/>
        <w:rPr>
          <w:rFonts w:ascii="Times New Roman" w:hAnsi="Times New Roman" w:cs="Times New Roman"/>
          <w:color w:val="auto"/>
        </w:rPr>
      </w:pPr>
      <w:r>
        <w:rPr>
          <w:rFonts w:ascii="Times New Roman" w:hAnsi="Times New Roman" w:cs="Times New Roman"/>
          <w:color w:val="auto"/>
        </w:rPr>
        <w:t>（1）与吉木萨尔县总体规划相符性</w:t>
      </w:r>
    </w:p>
    <w:p>
      <w:pPr>
        <w:spacing w:line="520" w:lineRule="exact"/>
        <w:rPr>
          <w:rFonts w:ascii="Times New Roman" w:hAnsi="Times New Roman" w:cs="Times New Roman"/>
          <w:color w:val="auto"/>
        </w:rPr>
      </w:pPr>
      <w:r>
        <w:rPr>
          <w:rFonts w:ascii="Times New Roman" w:hAnsi="Times New Roman" w:cs="Times New Roman"/>
          <w:color w:val="auto"/>
        </w:rPr>
        <w:t>根据《吉木萨尔县城市总体规划-中心城区用地布局图（2012-2030）》，项目所在区域规划为</w:t>
      </w:r>
      <w:r>
        <w:rPr>
          <w:rFonts w:hint="eastAsia" w:ascii="Times New Roman" w:hAnsi="Times New Roman" w:cs="Times New Roman"/>
          <w:color w:val="auto"/>
          <w:highlight w:val="none"/>
          <w:lang w:val="en-US" w:eastAsia="zh-CN"/>
        </w:rPr>
        <w:t>医疗卫生</w:t>
      </w:r>
      <w:r>
        <w:rPr>
          <w:rFonts w:ascii="Times New Roman" w:hAnsi="Times New Roman" w:cs="Times New Roman"/>
          <w:color w:val="auto"/>
          <w:highlight w:val="none"/>
        </w:rPr>
        <w:t>用地</w:t>
      </w:r>
      <w:r>
        <w:rPr>
          <w:rFonts w:ascii="Times New Roman" w:hAnsi="Times New Roman" w:cs="Times New Roman"/>
          <w:color w:val="auto"/>
        </w:rPr>
        <w:t>，本项目为医院建设，因此与《吉木萨尔县城市总体规划-中心城区用地布局图（2012-2030）》相符，详见图</w:t>
      </w:r>
      <w:r>
        <w:rPr>
          <w:rFonts w:hint="eastAsia" w:ascii="Times New Roman" w:hAnsi="Times New Roman" w:cs="Times New Roman"/>
          <w:color w:val="auto"/>
        </w:rPr>
        <w:t>3.6</w:t>
      </w:r>
      <w:r>
        <w:rPr>
          <w:rFonts w:ascii="Times New Roman" w:hAnsi="Times New Roman" w:cs="Times New Roman"/>
          <w:color w:val="auto"/>
        </w:rPr>
        <w:t>-1。根据吉木萨尔县发展和改革委员会立项（吉县发改综合〔2020〕133号），同意项目立项，因此项目建设与规划相符。</w:t>
      </w:r>
    </w:p>
    <w:p>
      <w:pPr>
        <w:spacing w:line="520" w:lineRule="exact"/>
        <w:rPr>
          <w:rFonts w:ascii="Times New Roman" w:hAnsi="Times New Roman" w:cs="Times New Roman"/>
          <w:color w:val="auto"/>
        </w:rPr>
      </w:pPr>
      <w:r>
        <w:rPr>
          <w:rFonts w:ascii="Times New Roman" w:hAnsi="Times New Roman" w:cs="Times New Roman"/>
          <w:color w:val="auto"/>
        </w:rPr>
        <w:t>（2）与《国务院关于印发打赢蓝天保卫战三年行动计划的通知》相符性</w:t>
      </w:r>
    </w:p>
    <w:p>
      <w:pPr>
        <w:spacing w:line="520" w:lineRule="exact"/>
        <w:rPr>
          <w:rFonts w:ascii="Times New Roman" w:hAnsi="Times New Roman" w:cs="Times New Roman"/>
          <w:color w:val="auto"/>
        </w:rPr>
      </w:pPr>
      <w:r>
        <w:rPr>
          <w:rFonts w:ascii="Times New Roman" w:hAnsi="Times New Roman" w:cs="Times New Roman"/>
          <w:color w:val="auto"/>
        </w:rPr>
        <w:t>行动计划严控“两高”行业产能：重点区域严禁新增钢铁、焦化、电解铝、铸造、水泥和平板玻璃等产能；严格执行钢铁、水泥、平板玻璃等行业产能置换</w:t>
      </w:r>
      <w:r>
        <w:rPr>
          <w:rFonts w:ascii="Times New Roman" w:hAnsi="Times New Roman" w:cs="Times New Roman"/>
          <w:color w:val="auto"/>
          <w:spacing w:val="-6"/>
        </w:rPr>
        <w:t>实施办法；新、改、扩建涉及大宗物料运输的建设项目，原则上不得采用公路运输。</w:t>
      </w:r>
    </w:p>
    <w:p>
      <w:pPr>
        <w:spacing w:line="520" w:lineRule="exact"/>
        <w:rPr>
          <w:rFonts w:ascii="Times New Roman" w:hAnsi="Times New Roman" w:cs="Times New Roman"/>
          <w:color w:val="auto"/>
        </w:rPr>
      </w:pPr>
      <w:r>
        <w:rPr>
          <w:rFonts w:ascii="Times New Roman" w:hAnsi="Times New Roman" w:cs="Times New Roman"/>
          <w:color w:val="auto"/>
        </w:rPr>
        <w:t>本项目属于</w:t>
      </w:r>
      <w:r>
        <w:rPr>
          <w:rFonts w:hint="eastAsia" w:ascii="Times New Roman" w:hAnsi="Times New Roman" w:cs="Times New Roman"/>
          <w:color w:val="auto"/>
          <w:lang w:val="en-US" w:eastAsia="zh-CN"/>
        </w:rPr>
        <w:t>医疗卫生</w:t>
      </w:r>
      <w:r>
        <w:rPr>
          <w:rFonts w:ascii="Times New Roman" w:hAnsi="Times New Roman" w:cs="Times New Roman"/>
          <w:color w:val="auto"/>
        </w:rPr>
        <w:t>建设</w:t>
      </w:r>
      <w:r>
        <w:rPr>
          <w:rFonts w:hint="eastAsia" w:ascii="Times New Roman" w:hAnsi="Times New Roman" w:cs="Times New Roman"/>
          <w:color w:val="auto"/>
          <w:lang w:val="en-US" w:eastAsia="zh-CN"/>
        </w:rPr>
        <w:t>项目</w:t>
      </w:r>
      <w:r>
        <w:rPr>
          <w:rFonts w:ascii="Times New Roman" w:hAnsi="Times New Roman" w:cs="Times New Roman"/>
          <w:color w:val="auto"/>
        </w:rPr>
        <w:t>，不属于“两高行业”，因此该项目符合《国务院关于印发打赢蓝天保卫战三年行动计划的通知》的相关要求。</w:t>
      </w:r>
    </w:p>
    <w:p>
      <w:pPr>
        <w:pStyle w:val="9"/>
        <w:rPr>
          <w:rFonts w:ascii="Times New Roman" w:hAnsi="Times New Roman" w:cs="Times New Roman"/>
          <w:color w:val="auto"/>
        </w:rPr>
      </w:pPr>
      <w:r>
        <w:rPr>
          <w:rFonts w:ascii="Times New Roman" w:hAnsi="Times New Roman" w:cs="Times New Roman"/>
          <w:color w:val="auto"/>
        </w:rPr>
        <w:t>3.6.3 “三线一单”分析</w:t>
      </w:r>
    </w:p>
    <w:p>
      <w:pPr>
        <w:pStyle w:val="10"/>
        <w:rPr>
          <w:rFonts w:hint="eastAsia" w:cs="Times New Roman"/>
          <w:color w:val="auto"/>
          <w:lang w:val="en-US" w:eastAsia="zh-CN"/>
        </w:rPr>
      </w:pPr>
      <w:r>
        <w:rPr>
          <w:rFonts w:hint="eastAsia" w:cs="Times New Roman"/>
          <w:color w:val="auto"/>
          <w:lang w:val="en-US" w:eastAsia="zh-CN"/>
        </w:rPr>
        <w:t>3.6.3</w:t>
      </w:r>
      <w:r>
        <w:rPr>
          <w:rFonts w:cs="Times New Roman"/>
          <w:color w:val="auto"/>
        </w:rPr>
        <w:t xml:space="preserve">.1 </w:t>
      </w:r>
      <w:r>
        <w:rPr>
          <w:rFonts w:hint="eastAsia" w:cs="Times New Roman"/>
          <w:color w:val="auto"/>
          <w:lang w:val="en-US" w:eastAsia="zh-CN"/>
        </w:rPr>
        <w:t>与《新疆维吾尔自治区“三线一单”生态环境分区管控方案》的符合性分析</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根据《关于印发新疆维吾尔自治区“三线一单”生态环境分区管控方案的通知》（新政发〔2021〕18号文）中提出的主要目标“到2025年，全区生态环境质量总体改善，环境风险得到有效管控。建立较为完善的生态环境分区管控体系与数据信息应用机制和共享系统，生态环境治理体系和治理能力现代化取得显著进展…到2035年，全区生态环境质量实现根本好转，节约资源和保护生态环境的空间格局、产业结构、生产方式、生活方式总体形成，美丽新疆目标基本实现。”</w:t>
      </w:r>
    </w:p>
    <w:p>
      <w:pPr>
        <w:spacing w:line="52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（1）与生态保护红线相符性分析</w:t>
      </w:r>
    </w:p>
    <w:p>
      <w:pPr>
        <w:spacing w:line="520" w:lineRule="exact"/>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按照“生态功能不降低、面积不减少、性质不改变”的基本要求，对划定的生态保护红线实施严格管控，保障和维护国家生态安全的底线和生命线。</w:t>
      </w:r>
    </w:p>
    <w:p>
      <w:pPr>
        <w:spacing w:line="520" w:lineRule="exact"/>
        <w:rPr>
          <w:rFonts w:ascii="Times New Roman" w:hAnsi="Times New Roman" w:cs="Times New Roman"/>
          <w:color w:val="auto"/>
        </w:rPr>
      </w:pPr>
      <w:r>
        <w:rPr>
          <w:rFonts w:ascii="Times New Roman" w:hAnsi="Times New Roman" w:cs="Times New Roman"/>
          <w:color w:val="auto"/>
        </w:rPr>
        <w:t>根据《吉木萨尔县城总体规划》及其规划环评，项目所在</w:t>
      </w:r>
      <w:r>
        <w:rPr>
          <w:rFonts w:hint="eastAsia" w:ascii="Times New Roman" w:hAnsi="Times New Roman" w:cs="Times New Roman"/>
          <w:color w:val="auto"/>
          <w:lang w:val="en-US" w:eastAsia="zh-CN"/>
        </w:rPr>
        <w:t>地</w:t>
      </w:r>
      <w:r>
        <w:rPr>
          <w:rFonts w:ascii="Times New Roman" w:hAnsi="Times New Roman" w:cs="Times New Roman"/>
          <w:color w:val="auto"/>
        </w:rPr>
        <w:t>“生态功能区为准噶尔盆地温带干荒漠与绿洲生态功能区——准噶尔盆地南部灌木与半灌木荒漠绿洲农业生态亚区——阜康—木垒绿洲农业荒漠草地保护生态功能区。”</w:t>
      </w:r>
      <w:r>
        <w:rPr>
          <w:rFonts w:hint="eastAsia" w:ascii="Times New Roman" w:hAnsi="Times New Roman" w:cs="Times New Roman"/>
          <w:color w:val="auto"/>
          <w:lang w:val="en-US" w:eastAsia="zh-CN"/>
        </w:rPr>
        <w:t>本</w:t>
      </w:r>
      <w:r>
        <w:rPr>
          <w:rFonts w:hint="eastAsia" w:ascii="Times New Roman" w:hAnsi="Times New Roman" w:cs="Times New Roman"/>
          <w:color w:val="auto"/>
        </w:rPr>
        <w:t>位于吉木萨尔县城老城区南侧，北邻文襄路，西邻闽江路，南邻建国路，东邻准东路，所在地块不位于生态保护红线范围内</w:t>
      </w:r>
      <w:r>
        <w:rPr>
          <w:rFonts w:ascii="Times New Roman" w:hAnsi="Times New Roman" w:cs="Times New Roman"/>
          <w:color w:val="auto"/>
        </w:rPr>
        <w:t>，满足生态保护红线要求。</w:t>
      </w:r>
    </w:p>
    <w:p>
      <w:pPr>
        <w:spacing w:line="520" w:lineRule="exact"/>
        <w:rPr>
          <w:rFonts w:hint="eastAsia"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rPr>
        <w:t>与环境质量底线相符性分析</w:t>
      </w:r>
    </w:p>
    <w:p>
      <w:pPr>
        <w:spacing w:line="520" w:lineRule="exact"/>
        <w:rPr>
          <w:rFonts w:ascii="Times New Roman" w:hAnsi="Times New Roman" w:cs="Times New Roman"/>
          <w:color w:val="auto"/>
        </w:rPr>
      </w:pPr>
      <w:r>
        <w:rPr>
          <w:rFonts w:hint="eastAsia" w:ascii="Times New Roman" w:hAnsi="Times New Roman" w:cs="Times New Roman"/>
          <w:color w:val="auto"/>
        </w:rPr>
        <w:t>环境质量底线就是只能改善不能恶化，大气环境质量底线是在符合大气环境区域功能区划和大气环境管理的基础上，确保项目大气污染物排放不对区域功能区划造成影响，污染物排放总量低于大气环境容量。</w:t>
      </w:r>
    </w:p>
    <w:p>
      <w:pPr>
        <w:spacing w:line="520" w:lineRule="exact"/>
        <w:rPr>
          <w:rFonts w:ascii="Times New Roman" w:hAnsi="Times New Roman" w:cs="Times New Roman"/>
          <w:color w:val="auto"/>
        </w:rPr>
      </w:pPr>
      <w:r>
        <w:rPr>
          <w:rFonts w:hint="eastAsia" w:ascii="Times New Roman" w:hAnsi="Times New Roman" w:cs="Times New Roman"/>
          <w:color w:val="auto"/>
        </w:rPr>
        <w:t>根据环境质量现状评价结果，本项目区域大气、地下水、噪声环境质量现状满足所在区域环境质量标准的要求，经预测，项目建成投产后，采取本环评提出的相关污染防治措施后，正常情况下不会降低环境质量等级，可以满足规划环评中关于环境质量保护目标的要求。符合环境质量底线要求。</w:t>
      </w:r>
    </w:p>
    <w:p>
      <w:pPr>
        <w:spacing w:line="520" w:lineRule="exact"/>
        <w:rPr>
          <w:rFonts w:hint="eastAsia"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eastAsia" w:ascii="Times New Roman" w:hAnsi="Times New Roman" w:cs="Times New Roman"/>
          <w:color w:val="auto"/>
        </w:rPr>
        <w:t>与资源利用上线符合性分析</w:t>
      </w:r>
    </w:p>
    <w:p>
      <w:pPr>
        <w:spacing w:line="520" w:lineRule="exact"/>
        <w:rPr>
          <w:rFonts w:ascii="Times New Roman" w:hAnsi="Times New Roman" w:cs="Times New Roman"/>
          <w:color w:val="auto"/>
        </w:rPr>
      </w:pPr>
      <w:r>
        <w:rPr>
          <w:rFonts w:hint="eastAsia" w:ascii="Times New Roman" w:hAnsi="Times New Roman" w:cs="Times New Roman"/>
          <w:color w:val="auto"/>
        </w:rPr>
        <w:t>资源是环境的载体，资源利用上线是各区能源、水、土地等资源消耗不得突破的“天花板”。</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本项目用水量较少，且来源于市政给水，对区域水资源总量影响不大，</w:t>
      </w:r>
      <w:r>
        <w:rPr>
          <w:rFonts w:ascii="Times New Roman" w:hAnsi="Times New Roman" w:cs="Times New Roman"/>
          <w:color w:val="auto"/>
        </w:rPr>
        <w:t>项目用电由市政管网提供，吉木萨尔县供电管网供电能力完全可以满足项目实施的需要，资源利用均在吉木萨尔县资源供给可承受范围内。</w:t>
      </w:r>
      <w:r>
        <w:rPr>
          <w:rFonts w:hint="eastAsia" w:ascii="Times New Roman" w:hAnsi="Times New Roman" w:cs="Times New Roman"/>
          <w:color w:val="auto"/>
        </w:rPr>
        <w:t>项目建成后通过内部管理、污染治理等多方面采取合理可行的防治措施，以“节能、降耗、减污”为目的，有效控制污染。项目的资源利用不会突破区域的资源利用上线。</w:t>
      </w:r>
    </w:p>
    <w:p>
      <w:pPr>
        <w:spacing w:line="520" w:lineRule="exact"/>
        <w:rPr>
          <w:rFonts w:hint="eastAsia"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rPr>
        <w:t>与生态环境准入清单符合性分析</w:t>
      </w:r>
    </w:p>
    <w:p>
      <w:pPr>
        <w:spacing w:line="520" w:lineRule="exact"/>
        <w:rPr>
          <w:rFonts w:ascii="Times New Roman" w:hAnsi="Times New Roman" w:cs="Times New Roman"/>
          <w:color w:val="auto"/>
        </w:rPr>
      </w:pPr>
      <w:r>
        <w:rPr>
          <w:rFonts w:hint="eastAsia" w:ascii="Times New Roman" w:hAnsi="Times New Roman" w:cs="Times New Roman"/>
          <w:color w:val="auto"/>
        </w:rPr>
        <w:t>生态环境准入清单是基于生态保护红线、环境质量底线和资源利用上线，以清单方式列出的禁止、限制等差别化环境准入条件和要求，要在规划环评清单式管理试点的基础上，从布局选址、资源配置方式等方面入手，制定环境准入负面清单，充分发挥负面清单对产业发展和项目准入的指导和约束作用。</w:t>
      </w:r>
    </w:p>
    <w:p>
      <w:pPr>
        <w:spacing w:line="520" w:lineRule="exact"/>
        <w:rPr>
          <w:rFonts w:ascii="Times New Roman" w:hAnsi="Times New Roman" w:cs="Times New Roman"/>
          <w:color w:val="auto"/>
        </w:rPr>
      </w:pPr>
      <w:r>
        <w:rPr>
          <w:rFonts w:hint="eastAsia" w:ascii="Times New Roman" w:hAnsi="Times New Roman" w:cs="Times New Roman"/>
          <w:color w:val="auto"/>
        </w:rPr>
        <w:t>根据《产业结构调整指导目录》（2019年本）</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吉木萨尔县总体规划》及</w:t>
      </w:r>
      <w:r>
        <w:rPr>
          <w:rFonts w:hint="eastAsia" w:ascii="Times New Roman" w:hAnsi="Times New Roman" w:cs="Times New Roman"/>
          <w:color w:val="auto"/>
        </w:rPr>
        <w:t>土地利用等规划要求，</w:t>
      </w:r>
      <w:r>
        <w:rPr>
          <w:rFonts w:ascii="Times New Roman" w:hAnsi="Times New Roman" w:cs="Times New Roman"/>
          <w:color w:val="auto"/>
        </w:rPr>
        <w:t>本项目位于吉木萨尔县城老城区南侧，北邻文襄路，西邻闽江路，南邻建国路，东邻准东路，</w:t>
      </w:r>
      <w:r>
        <w:rPr>
          <w:rFonts w:hint="eastAsia" w:ascii="Times New Roman" w:hAnsi="Times New Roman" w:cs="Times New Roman"/>
          <w:color w:val="auto"/>
          <w:lang w:val="en-US" w:eastAsia="zh-CN"/>
        </w:rPr>
        <w:t>符合《吉木萨尔县总体规划》要求；项目</w:t>
      </w:r>
      <w:r>
        <w:rPr>
          <w:rFonts w:ascii="Times New Roman" w:hAnsi="Times New Roman" w:cs="Times New Roman"/>
          <w:color w:val="auto"/>
        </w:rPr>
        <w:t>用地为</w:t>
      </w:r>
      <w:r>
        <w:rPr>
          <w:rFonts w:hint="eastAsia" w:ascii="Times New Roman" w:hAnsi="Times New Roman" w:cs="Times New Roman"/>
          <w:color w:val="auto"/>
          <w:lang w:val="en-US" w:eastAsia="zh-CN"/>
        </w:rPr>
        <w:t>医疗卫生</w:t>
      </w:r>
      <w:r>
        <w:rPr>
          <w:rFonts w:ascii="Times New Roman" w:hAnsi="Times New Roman" w:cs="Times New Roman"/>
          <w:color w:val="auto"/>
        </w:rPr>
        <w:t>用地，符合当地土地规划要求</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项目为医疗卫生建设项目，</w:t>
      </w:r>
      <w:r>
        <w:rPr>
          <w:rFonts w:hint="eastAsia" w:ascii="Times New Roman" w:hAnsi="Times New Roman" w:cs="Times New Roman"/>
          <w:color w:val="auto"/>
        </w:rPr>
        <w:t>符合产业政策。且本项目符合《新疆维吾尔自治区“三线一单”生态环境分区管控方案》的相关要求，切实加强污染物排放管控和环境风险防控。</w:t>
      </w:r>
    </w:p>
    <w:p>
      <w:pPr>
        <w:pStyle w:val="10"/>
        <w:rPr>
          <w:rFonts w:hint="eastAsia" w:cs="Times New Roman"/>
          <w:color w:val="auto"/>
          <w:lang w:val="en-US" w:eastAsia="zh-CN"/>
        </w:rPr>
      </w:pPr>
      <w:r>
        <w:rPr>
          <w:rFonts w:hint="eastAsia" w:cs="Times New Roman"/>
          <w:color w:val="auto"/>
          <w:lang w:val="en-US" w:eastAsia="zh-CN"/>
        </w:rPr>
        <w:t>3.6.3</w:t>
      </w:r>
      <w:r>
        <w:rPr>
          <w:rFonts w:cs="Times New Roman"/>
          <w:color w:val="auto"/>
        </w:rPr>
        <w:t>.</w:t>
      </w:r>
      <w:r>
        <w:rPr>
          <w:rFonts w:hint="eastAsia" w:cs="Times New Roman"/>
          <w:color w:val="auto"/>
          <w:lang w:val="en-US" w:eastAsia="zh-CN"/>
        </w:rPr>
        <w:t>2</w:t>
      </w:r>
      <w:r>
        <w:rPr>
          <w:rFonts w:cs="Times New Roman"/>
          <w:color w:val="auto"/>
        </w:rPr>
        <w:t xml:space="preserve"> </w:t>
      </w:r>
      <w:r>
        <w:rPr>
          <w:rFonts w:hint="eastAsia" w:cs="Times New Roman"/>
          <w:color w:val="auto"/>
          <w:lang w:val="en-US" w:eastAsia="zh-CN"/>
        </w:rPr>
        <w:t>与《昌吉州“三线一单”生态环境分区管控方案》的符合性分析</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根据《</w:t>
      </w:r>
      <w:r>
        <w:rPr>
          <w:rFonts w:hint="eastAsia" w:ascii="Times New Roman" w:hAnsi="Times New Roman" w:cs="Times New Roman"/>
          <w:color w:val="auto"/>
          <w:lang w:val="en-US" w:eastAsia="zh-CN"/>
        </w:rPr>
        <w:t>昌吉州</w:t>
      </w:r>
      <w:r>
        <w:rPr>
          <w:rFonts w:hint="eastAsia" w:ascii="Times New Roman" w:hAnsi="Times New Roman" w:cs="Times New Roman"/>
          <w:color w:val="auto"/>
        </w:rPr>
        <w:t>“三线一单”生态环境分区管控方案》和《昌吉回族自治州区域空间生态环境评价暨“三线一单”生态环境准入清单》，本项目属于</w:t>
      </w:r>
      <w:r>
        <w:rPr>
          <w:rFonts w:hint="eastAsia" w:ascii="Times New Roman" w:hAnsi="Times New Roman" w:cs="Times New Roman"/>
          <w:color w:val="auto"/>
          <w:lang w:val="en-US" w:eastAsia="zh-CN"/>
        </w:rPr>
        <w:t>吉木萨尔县建成区重点</w:t>
      </w:r>
      <w:r>
        <w:rPr>
          <w:rFonts w:hint="eastAsia" w:ascii="Times New Roman" w:hAnsi="Times New Roman" w:cs="Times New Roman"/>
          <w:color w:val="auto"/>
        </w:rPr>
        <w:t>管控单元，环境管控单元编码为ZH65232720001。</w:t>
      </w:r>
    </w:p>
    <w:p>
      <w:pPr>
        <w:spacing w:line="520" w:lineRule="exact"/>
        <w:rPr>
          <w:rFonts w:ascii="Times New Roman" w:hAnsi="Times New Roman" w:cs="Times New Roman"/>
          <w:color w:val="auto"/>
        </w:rPr>
      </w:pPr>
      <w:r>
        <w:rPr>
          <w:rFonts w:hint="eastAsia" w:ascii="Times New Roman" w:hAnsi="Times New Roman" w:cs="Times New Roman"/>
          <w:color w:val="auto"/>
          <w:lang w:val="en-US" w:eastAsia="zh-CN"/>
        </w:rPr>
        <w:t>本项目</w:t>
      </w:r>
      <w:r>
        <w:rPr>
          <w:rFonts w:hint="eastAsia" w:ascii="Times New Roman" w:hAnsi="Times New Roman" w:cs="Times New Roman"/>
          <w:color w:val="auto"/>
        </w:rPr>
        <w:t>与</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昌吉州“</w:t>
      </w:r>
      <w:r>
        <w:rPr>
          <w:rFonts w:hint="eastAsia" w:ascii="Times New Roman" w:hAnsi="Times New Roman" w:cs="Times New Roman"/>
          <w:color w:val="auto"/>
        </w:rPr>
        <w:t>三线一单”</w:t>
      </w:r>
      <w:r>
        <w:rPr>
          <w:rFonts w:hint="eastAsia" w:ascii="Times New Roman" w:hAnsi="Times New Roman" w:cs="Times New Roman"/>
          <w:color w:val="auto"/>
          <w:lang w:val="en-US" w:eastAsia="zh-CN"/>
        </w:rPr>
        <w:t>生态环境分区管控方案》的</w:t>
      </w:r>
      <w:r>
        <w:rPr>
          <w:rFonts w:hint="eastAsia" w:ascii="Times New Roman" w:hAnsi="Times New Roman" w:cs="Times New Roman"/>
          <w:color w:val="auto"/>
        </w:rPr>
        <w:t>符合性分析见表</w:t>
      </w:r>
      <w:r>
        <w:rPr>
          <w:rFonts w:hint="eastAsia" w:ascii="Times New Roman" w:hAnsi="Times New Roman" w:cs="Times New Roman"/>
          <w:color w:val="auto"/>
          <w:lang w:val="en-US" w:eastAsia="zh-CN"/>
        </w:rPr>
        <w:t>3.6-1</w:t>
      </w:r>
      <w:r>
        <w:rPr>
          <w:rFonts w:hint="eastAsia" w:ascii="Times New Roman" w:hAnsi="Times New Roman" w:cs="Times New Roman"/>
          <w:color w:val="auto"/>
        </w:rPr>
        <w:t>，本项目的建设符合“三线一单”管理机制要求。</w:t>
      </w:r>
    </w:p>
    <w:p>
      <w:pPr>
        <w:pStyle w:val="35"/>
        <w:spacing w:before="0" w:after="0" w:line="520" w:lineRule="exact"/>
        <w:rPr>
          <w:rFonts w:cs="Times New Roman"/>
          <w:color w:val="auto"/>
        </w:rPr>
      </w:pPr>
      <w:bookmarkStart w:id="185" w:name="_Toc17548"/>
      <w:r>
        <w:rPr>
          <w:rFonts w:cs="Times New Roman"/>
          <w:color w:val="auto"/>
        </w:rPr>
        <w:t>表</w:t>
      </w:r>
      <w:r>
        <w:rPr>
          <w:rFonts w:hint="eastAsia" w:cs="Times New Roman"/>
          <w:color w:val="auto"/>
        </w:rPr>
        <w:t>3.</w:t>
      </w:r>
      <w:r>
        <w:rPr>
          <w:rFonts w:hint="eastAsia" w:cs="Times New Roman"/>
          <w:color w:val="auto"/>
          <w:lang w:val="en-US" w:eastAsia="zh-CN"/>
        </w:rPr>
        <w:t>6</w:t>
      </w:r>
      <w:r>
        <w:rPr>
          <w:rFonts w:cs="Times New Roman"/>
          <w:color w:val="auto"/>
        </w:rPr>
        <w:t>-1     项目清洁生产内容</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307"/>
        <w:gridCol w:w="304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类别</w:t>
            </w:r>
          </w:p>
        </w:tc>
        <w:tc>
          <w:tcPr>
            <w:tcW w:w="252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文件要求</w:t>
            </w:r>
          </w:p>
        </w:tc>
        <w:tc>
          <w:tcPr>
            <w:tcW w:w="17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21"/>
                <w:szCs w:val="21"/>
                <w:vertAlign w:val="baseline"/>
              </w:rPr>
            </w:pPr>
            <w:r>
              <w:rPr>
                <w:rFonts w:hint="eastAsia" w:ascii="Times New Roman" w:hAnsi="Times New Roman" w:cs="Times New Roman"/>
                <w:b/>
                <w:bCs/>
                <w:color w:val="auto"/>
                <w:sz w:val="21"/>
                <w:szCs w:val="21"/>
                <w:vertAlign w:val="baseline"/>
              </w:rPr>
              <w:t>项目与“三线一单”文件符合性分析</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rPr>
              <w:t>空间布局约束</w:t>
            </w:r>
          </w:p>
        </w:tc>
        <w:tc>
          <w:tcPr>
            <w:tcW w:w="252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rPr>
              <w:t>1、执行自治区总体准入要求中关于重点管控单元空间布局约束的准入要求（表2-3 A6.1）。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rPr>
              <w:t>2、城市建成区原则上不再新建每小时35蒸吨以下燃煤锅炉。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rPr>
              <w:t>3、禁止在居民住宅区等人口密集区域和机关、医院、学校、幼儿园、养老院等其他需要特殊保护的区域及其周边，新建、改建和扩建易产生恶臭气体的生产项目，或者从事其他产生恶臭气体的生产经营活动。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rPr>
              <w:t>4、禁止在集中供热管网覆盖地区新建、扩建分散燃煤供热锅炉。</w:t>
            </w:r>
          </w:p>
        </w:tc>
        <w:tc>
          <w:tcPr>
            <w:tcW w:w="17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本项目属于医疗卫生建设项目，采用集中供热方式，项目区污水处理站产生的恶臭气体集中</w:t>
            </w:r>
            <w:r>
              <w:rPr>
                <w:rFonts w:ascii="Times New Roman" w:hAnsi="Times New Roman" w:cs="Times New Roman"/>
                <w:color w:val="auto"/>
              </w:rPr>
              <w:t>收集后采用等离子除臭装置处理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对周边环境影响较小，</w:t>
            </w:r>
            <w:r>
              <w:rPr>
                <w:rFonts w:hint="eastAsia" w:ascii="Times New Roman" w:hAnsi="Times New Roman" w:cs="Times New Roman"/>
                <w:color w:val="auto"/>
                <w:sz w:val="21"/>
                <w:szCs w:val="21"/>
                <w:vertAlign w:val="baseline"/>
                <w:lang w:val="en-US" w:eastAsia="zh-CN"/>
              </w:rPr>
              <w:t>满足空间布局约束的准入要求。</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rPr>
              <w:t>污染物排放管控</w:t>
            </w:r>
          </w:p>
        </w:tc>
        <w:tc>
          <w:tcPr>
            <w:tcW w:w="252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rPr>
              <w:t>1、执行自治区总体准入要求中关于重点管控单元污染物排放管控的准入要求（表2-3 A6.2）。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rPr>
              <w:t>2、PM</w:t>
            </w:r>
            <w:r>
              <w:rPr>
                <w:rFonts w:hint="eastAsia" w:ascii="Times New Roman" w:hAnsi="Times New Roman" w:cs="Times New Roman"/>
                <w:color w:val="auto"/>
                <w:sz w:val="21"/>
                <w:szCs w:val="21"/>
                <w:highlight w:val="none"/>
                <w:vertAlign w:val="subscript"/>
              </w:rPr>
              <w:t>2.5</w:t>
            </w:r>
            <w:r>
              <w:rPr>
                <w:rFonts w:hint="eastAsia" w:ascii="Times New Roman" w:hAnsi="Times New Roman" w:cs="Times New Roman"/>
                <w:color w:val="auto"/>
                <w:sz w:val="21"/>
                <w:szCs w:val="21"/>
                <w:highlight w:val="none"/>
                <w:vertAlign w:val="baseline"/>
              </w:rPr>
              <w:t>年平均浓度不达标县市（园区），禁止新（改、扩）建未落实SO</w:t>
            </w:r>
            <w:r>
              <w:rPr>
                <w:rFonts w:hint="eastAsia" w:ascii="Times New Roman" w:hAnsi="Times New Roman" w:cs="Times New Roman"/>
                <w:color w:val="auto"/>
                <w:sz w:val="21"/>
                <w:szCs w:val="21"/>
                <w:highlight w:val="none"/>
                <w:vertAlign w:val="subscript"/>
              </w:rPr>
              <w:t>2</w:t>
            </w:r>
            <w:r>
              <w:rPr>
                <w:rFonts w:hint="eastAsia" w:ascii="Times New Roman" w:hAnsi="Times New Roman" w:cs="Times New Roman"/>
                <w:color w:val="auto"/>
                <w:sz w:val="21"/>
                <w:szCs w:val="21"/>
                <w:highlight w:val="none"/>
                <w:vertAlign w:val="baseline"/>
              </w:rPr>
              <w:t>、NOx、烟粉尘、挥发性有机物（VOCs）等四项大气污染物总量指标昌吉州区域内倍量替代的项目。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rPr>
              <w:t>3、施工工地全面落实“六个百分之百”（施工工地周边围挡、物料堆放覆盖、出入车辆冲洗、施工现场地面硬化、拆迁工地湿法作业、渣土车辆密闭运输）。</w:t>
            </w:r>
          </w:p>
        </w:tc>
        <w:tc>
          <w:tcPr>
            <w:tcW w:w="17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本项目位于吉木萨尔县城老城区南侧，属于</w:t>
            </w:r>
            <w:r>
              <w:rPr>
                <w:rFonts w:hint="eastAsia" w:ascii="Times New Roman" w:hAnsi="Times New Roman" w:cs="Times New Roman"/>
                <w:color w:val="auto"/>
                <w:sz w:val="21"/>
                <w:szCs w:val="21"/>
                <w:highlight w:val="none"/>
                <w:vertAlign w:val="baseline"/>
              </w:rPr>
              <w:t>PM</w:t>
            </w:r>
            <w:r>
              <w:rPr>
                <w:rFonts w:hint="eastAsia" w:ascii="Times New Roman" w:hAnsi="Times New Roman" w:cs="Times New Roman"/>
                <w:color w:val="auto"/>
                <w:sz w:val="21"/>
                <w:szCs w:val="21"/>
                <w:highlight w:val="none"/>
                <w:vertAlign w:val="subscript"/>
              </w:rPr>
              <w:t>2.5</w:t>
            </w:r>
            <w:r>
              <w:rPr>
                <w:rFonts w:hint="eastAsia" w:ascii="Times New Roman" w:hAnsi="Times New Roman" w:cs="Times New Roman"/>
                <w:color w:val="auto"/>
                <w:sz w:val="21"/>
                <w:szCs w:val="21"/>
                <w:highlight w:val="none"/>
                <w:vertAlign w:val="baseline"/>
              </w:rPr>
              <w:t>年平均浓度不达标县市</w:t>
            </w:r>
            <w:r>
              <w:rPr>
                <w:rFonts w:hint="eastAsia" w:ascii="Times New Roman" w:hAnsi="Times New Roman" w:cs="Times New Roman"/>
                <w:color w:val="auto"/>
                <w:sz w:val="21"/>
                <w:szCs w:val="21"/>
                <w:highlight w:val="none"/>
                <w:vertAlign w:val="baseline"/>
                <w:lang w:eastAsia="zh-CN"/>
              </w:rPr>
              <w:t>，</w:t>
            </w:r>
            <w:r>
              <w:rPr>
                <w:rFonts w:hint="eastAsia" w:ascii="Times New Roman" w:hAnsi="Times New Roman" w:cs="Times New Roman"/>
                <w:color w:val="auto"/>
                <w:sz w:val="21"/>
                <w:szCs w:val="21"/>
                <w:highlight w:val="none"/>
                <w:vertAlign w:val="baseline"/>
                <w:lang w:val="en-US" w:eastAsia="zh-CN"/>
              </w:rPr>
              <w:t>项目已落实了</w:t>
            </w:r>
            <w:r>
              <w:rPr>
                <w:rFonts w:hint="eastAsia" w:ascii="Times New Roman" w:hAnsi="Times New Roman" w:cs="Times New Roman"/>
                <w:color w:val="auto"/>
                <w:sz w:val="21"/>
                <w:szCs w:val="21"/>
                <w:highlight w:val="none"/>
                <w:vertAlign w:val="baseline"/>
              </w:rPr>
              <w:t>SO</w:t>
            </w:r>
            <w:r>
              <w:rPr>
                <w:rFonts w:hint="eastAsia" w:ascii="Times New Roman" w:hAnsi="Times New Roman" w:cs="Times New Roman"/>
                <w:color w:val="auto"/>
                <w:sz w:val="21"/>
                <w:szCs w:val="21"/>
                <w:highlight w:val="none"/>
                <w:vertAlign w:val="subscript"/>
              </w:rPr>
              <w:t>2</w:t>
            </w:r>
            <w:r>
              <w:rPr>
                <w:rFonts w:hint="eastAsia" w:ascii="Times New Roman" w:hAnsi="Times New Roman" w:cs="Times New Roman"/>
                <w:color w:val="auto"/>
                <w:sz w:val="21"/>
                <w:szCs w:val="21"/>
                <w:highlight w:val="none"/>
                <w:vertAlign w:val="baseline"/>
              </w:rPr>
              <w:t>、NOx、烟粉尘</w:t>
            </w:r>
            <w:r>
              <w:rPr>
                <w:rFonts w:hint="eastAsia" w:ascii="Times New Roman" w:hAnsi="Times New Roman" w:cs="Times New Roman"/>
                <w:color w:val="auto"/>
                <w:sz w:val="21"/>
                <w:szCs w:val="21"/>
                <w:highlight w:val="none"/>
                <w:vertAlign w:val="baseline"/>
                <w:lang w:val="en-US" w:eastAsia="zh-CN"/>
              </w:rPr>
              <w:t>的总量，且本次评价已在施工期已明确提出了施工工地周边围挡、物料堆放覆盖、出入车辆冲洗、施工现场地面硬化、拆迁工地湿法作业、渣土车辆密闭运输等环保措施，满足污染物排放管控要求。</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rPr>
              <w:t>资源利用效率</w:t>
            </w:r>
          </w:p>
        </w:tc>
        <w:tc>
          <w:tcPr>
            <w:tcW w:w="252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rPr>
              <w:t>1、执行自治区总体准入要求中关于重点管控单元资源利用效率的准入要求（表2-3 A6.4）。</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rPr>
              <w:t>2、禁止销售、燃用原煤、粉煤、各种可燃废物等高污染燃料；禁止新建、扩建燃用高污染燃料的设施，已建设成的，应当在规定的期限内改用清洁能源；严格控制引进高载能项目。</w:t>
            </w:r>
          </w:p>
        </w:tc>
        <w:tc>
          <w:tcPr>
            <w:tcW w:w="17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本项目采用集中供热的方式，且属于医疗卫生建设项目，不属于高能耗项目，符合资源利用效率的相关要求。</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符合</w:t>
            </w:r>
          </w:p>
        </w:tc>
      </w:tr>
    </w:tbl>
    <w:p>
      <w:pPr>
        <w:pStyle w:val="9"/>
        <w:rPr>
          <w:rFonts w:ascii="Times New Roman" w:hAnsi="Times New Roman" w:cs="Times New Roman"/>
          <w:color w:val="auto"/>
        </w:rPr>
      </w:pPr>
      <w:r>
        <w:rPr>
          <w:rFonts w:ascii="Times New Roman" w:hAnsi="Times New Roman" w:cs="Times New Roman"/>
          <w:color w:val="auto"/>
        </w:rPr>
        <w:t>3.6.4 项目选址可行性</w:t>
      </w:r>
      <w:bookmarkEnd w:id="185"/>
      <w:r>
        <w:rPr>
          <w:rFonts w:ascii="Times New Roman" w:hAnsi="Times New Roman" w:cs="Times New Roman"/>
          <w:color w:val="auto"/>
        </w:rPr>
        <w:t>分析</w:t>
      </w:r>
    </w:p>
    <w:p>
      <w:pPr>
        <w:spacing w:line="520" w:lineRule="exact"/>
        <w:rPr>
          <w:rFonts w:ascii="Times New Roman" w:hAnsi="Times New Roman" w:cs="Times New Roman"/>
          <w:color w:val="auto"/>
        </w:rPr>
      </w:pPr>
      <w:r>
        <w:rPr>
          <w:rFonts w:ascii="Times New Roman" w:hAnsi="Times New Roman" w:cs="Times New Roman"/>
          <w:color w:val="auto"/>
        </w:rPr>
        <w:t>（1）与土地利用规划符合性分析</w:t>
      </w:r>
    </w:p>
    <w:p>
      <w:pPr>
        <w:spacing w:line="520" w:lineRule="exact"/>
        <w:rPr>
          <w:rFonts w:ascii="Times New Roman" w:hAnsi="Times New Roman" w:cs="Times New Roman"/>
          <w:color w:val="auto"/>
        </w:rPr>
      </w:pPr>
      <w:r>
        <w:rPr>
          <w:rFonts w:ascii="Times New Roman" w:hAnsi="Times New Roman" w:cs="Times New Roman"/>
          <w:color w:val="auto"/>
        </w:rPr>
        <w:t>本项目位于吉木萨尔县城老城区南侧，北邻文襄路，西邻闽江路，南邻建国路，东邻准东路，该地块的土地性质为</w:t>
      </w:r>
      <w:r>
        <w:rPr>
          <w:rFonts w:hint="eastAsia" w:ascii="Times New Roman" w:hAnsi="Times New Roman" w:cs="Times New Roman"/>
          <w:color w:val="auto"/>
          <w:highlight w:val="none"/>
          <w:lang w:val="en-US" w:eastAsia="zh-CN"/>
        </w:rPr>
        <w:t>医疗卫生</w:t>
      </w:r>
      <w:r>
        <w:rPr>
          <w:rFonts w:ascii="Times New Roman" w:hAnsi="Times New Roman" w:cs="Times New Roman"/>
          <w:color w:val="auto"/>
          <w:highlight w:val="none"/>
        </w:rPr>
        <w:t>用地</w:t>
      </w:r>
      <w:r>
        <w:rPr>
          <w:rFonts w:ascii="Times New Roman" w:hAnsi="Times New Roman" w:cs="Times New Roman"/>
          <w:color w:val="auto"/>
        </w:rPr>
        <w:t>。本项目所属地不属于规定的自然保护区、风景名胜区、饮用水源保护区、基本农田保护区和其他需要特别保护的区域，符合</w:t>
      </w:r>
      <w:r>
        <w:rPr>
          <w:rFonts w:hint="eastAsia" w:ascii="Times New Roman" w:hAnsi="Times New Roman" w:cs="Times New Roman"/>
          <w:color w:val="auto"/>
        </w:rPr>
        <w:t>土地利用规划</w:t>
      </w:r>
      <w:r>
        <w:rPr>
          <w:rFonts w:ascii="Times New Roman" w:hAnsi="Times New Roman" w:cs="Times New Roman"/>
          <w:color w:val="auto"/>
        </w:rPr>
        <w:t>要求。</w:t>
      </w:r>
    </w:p>
    <w:p>
      <w:pPr>
        <w:spacing w:line="520" w:lineRule="exact"/>
        <w:rPr>
          <w:rFonts w:ascii="Times New Roman" w:hAnsi="Times New Roman" w:cs="Times New Roman"/>
          <w:color w:val="auto"/>
        </w:rPr>
      </w:pPr>
      <w:r>
        <w:rPr>
          <w:rFonts w:ascii="Times New Roman" w:hAnsi="Times New Roman" w:cs="Times New Roman"/>
          <w:color w:val="auto"/>
        </w:rPr>
        <w:t>（2）与市政配套实施符合性分析</w:t>
      </w:r>
    </w:p>
    <w:p>
      <w:pPr>
        <w:spacing w:line="520" w:lineRule="exact"/>
        <w:rPr>
          <w:rFonts w:ascii="Times New Roman" w:hAnsi="Times New Roman" w:cs="Times New Roman"/>
          <w:color w:val="auto"/>
        </w:rPr>
      </w:pPr>
      <w:r>
        <w:rPr>
          <w:rFonts w:ascii="Times New Roman" w:hAnsi="Times New Roman" w:cs="Times New Roman"/>
          <w:color w:val="auto"/>
        </w:rPr>
        <w:t>本项目位于吉木萨尔县城内，区域内道路宽阔，交通便利，有利于各种原材料运入及产品运出。区域内供电、供水及排水等配套设施完善，项目的建设能够有效的利用区域内的配套资源，减少基础设施建设。</w:t>
      </w:r>
    </w:p>
    <w:p>
      <w:pPr>
        <w:spacing w:line="520" w:lineRule="exact"/>
        <w:rPr>
          <w:rFonts w:ascii="Times New Roman" w:hAnsi="Times New Roman" w:cs="Times New Roman"/>
          <w:color w:val="auto"/>
        </w:rPr>
      </w:pPr>
      <w:r>
        <w:rPr>
          <w:rFonts w:ascii="Times New Roman" w:hAnsi="Times New Roman" w:cs="Times New Roman"/>
          <w:color w:val="auto"/>
        </w:rPr>
        <w:t>（3）周边环境相容性</w:t>
      </w:r>
    </w:p>
    <w:p>
      <w:pPr>
        <w:spacing w:line="520" w:lineRule="exact"/>
        <w:rPr>
          <w:rFonts w:ascii="Times New Roman" w:hAnsi="Times New Roman" w:cs="Times New Roman"/>
          <w:color w:val="auto"/>
        </w:rPr>
      </w:pPr>
      <w:r>
        <w:rPr>
          <w:rFonts w:ascii="Times New Roman" w:hAnsi="Times New Roman" w:cs="Times New Roman"/>
          <w:color w:val="auto"/>
        </w:rPr>
        <w:t>本项目所在区域地势开阔、环境容量大，有利于污染物的扩散和稀释，从选址区域气象条件因素分析，项目区所在地区全年主导风向为西北风，附近的环境敏感点较少，环境敏感度较低，项目选址是适宜的。</w:t>
      </w:r>
    </w:p>
    <w:p>
      <w:pPr>
        <w:spacing w:line="520" w:lineRule="exact"/>
        <w:rPr>
          <w:rFonts w:ascii="Times New Roman" w:hAnsi="Times New Roman" w:cs="Times New Roman"/>
          <w:color w:val="auto"/>
        </w:rPr>
      </w:pPr>
      <w:r>
        <w:rPr>
          <w:rFonts w:ascii="Times New Roman" w:hAnsi="Times New Roman" w:cs="Times New Roman"/>
          <w:color w:val="auto"/>
        </w:rPr>
        <w:t>综上所述，本项目选址符合吉木萨尔县土地功能划分，选址用地条件较好，周边环境相对不敏感，项目用热来源有保证，“三废”处理及处置去向有保障，交通便利，建</w:t>
      </w:r>
      <w:r>
        <w:rPr>
          <w:rFonts w:hint="eastAsia" w:ascii="Times New Roman" w:hAnsi="Times New Roman" w:cs="Times New Roman"/>
          <w:color w:val="auto"/>
        </w:rPr>
        <w:t>设</w:t>
      </w:r>
      <w:r>
        <w:rPr>
          <w:rFonts w:ascii="Times New Roman" w:hAnsi="Times New Roman" w:cs="Times New Roman"/>
          <w:color w:val="auto"/>
        </w:rPr>
        <w:t>条件相对优越。所以本项目厂址选择是合理可行的。</w:t>
      </w:r>
    </w:p>
    <w:p>
      <w:pPr>
        <w:pStyle w:val="9"/>
        <w:rPr>
          <w:rFonts w:ascii="Times New Roman" w:hAnsi="Times New Roman" w:cs="Times New Roman"/>
          <w:color w:val="auto"/>
        </w:rPr>
      </w:pPr>
      <w:bookmarkStart w:id="186" w:name="_Toc24582"/>
      <w:r>
        <w:rPr>
          <w:rFonts w:ascii="Times New Roman" w:hAnsi="Times New Roman" w:cs="Times New Roman"/>
          <w:color w:val="auto"/>
        </w:rPr>
        <w:t>3.6.5 平面布置合理性分析</w:t>
      </w:r>
      <w:bookmarkEnd w:id="186"/>
    </w:p>
    <w:p>
      <w:pPr>
        <w:spacing w:line="520" w:lineRule="exact"/>
        <w:rPr>
          <w:rFonts w:ascii="Times New Roman" w:hAnsi="Times New Roman" w:cs="Times New Roman"/>
          <w:color w:val="auto"/>
        </w:rPr>
      </w:pPr>
      <w:r>
        <w:rPr>
          <w:rFonts w:ascii="Times New Roman" w:hAnsi="Times New Roman" w:cs="Times New Roman"/>
          <w:color w:val="auto"/>
        </w:rPr>
        <w:t>（1）平面布置</w:t>
      </w:r>
    </w:p>
    <w:p>
      <w:pPr>
        <w:spacing w:line="520" w:lineRule="exact"/>
        <w:rPr>
          <w:rFonts w:ascii="Times New Roman" w:hAnsi="Times New Roman" w:cs="Times New Roman"/>
          <w:color w:val="auto"/>
        </w:rPr>
      </w:pPr>
      <w:r>
        <w:rPr>
          <w:rFonts w:ascii="Times New Roman" w:hAnsi="Times New Roman" w:cs="Times New Roman"/>
          <w:color w:val="auto"/>
        </w:rPr>
        <w:t>本项目位于吉木萨尔县城老城区南侧，北邻文襄路，西邻闽江路，南邻建国路，东邻准东路。地块为长方形，从南往北依次为门诊楼、医技楼、病房楼。在院区南侧建国路设置医院主出入口，西侧闽江路设有行政后勤出入口、住院部出入口，东侧准东路设置污物专用出入口。感染楼位于院区东北侧，设有专用感染楼门诊入口，有效降低了感染病的传播途径及接触面积，减少传染危险。</w:t>
      </w:r>
    </w:p>
    <w:p>
      <w:pPr>
        <w:spacing w:line="520" w:lineRule="exact"/>
        <w:rPr>
          <w:rFonts w:ascii="Times New Roman" w:hAnsi="Times New Roman" w:cs="Times New Roman"/>
          <w:color w:val="auto"/>
        </w:rPr>
      </w:pPr>
      <w:r>
        <w:rPr>
          <w:rFonts w:ascii="Times New Roman" w:hAnsi="Times New Roman" w:cs="Times New Roman"/>
          <w:color w:val="auto"/>
        </w:rPr>
        <w:t>门诊楼正对主入口，医技楼位于门诊楼后方，方便患者门诊就医或咨询，内设医技用房、药剂用房、急诊、门诊等，为患者急诊、化验、检查、取药提供方便。病房楼设在医技楼北侧，方便患者就近入住病房及日常检查。食堂及办公楼等位于厂区西侧，与医院门诊、医技楼等油一定距离，形成相对独立生活区，便于医、患生活，减少相互影响；医院的四周均设有景观绿带，突出一种清幽、和谐、亲切的氛围。院区建筑风格多样，环境优美，可以改善医护人员和患者的情绪、心情。院区总体平面布置合理。</w:t>
      </w: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r>
        <w:rPr>
          <w:rFonts w:ascii="Times New Roman" w:hAnsi="Times New Roman" w:cs="Times New Roman"/>
          <w:color w:val="auto"/>
        </w:rPr>
        <w:t>（2）建筑内部设置</w:t>
      </w:r>
    </w:p>
    <w:p>
      <w:pPr>
        <w:spacing w:line="520" w:lineRule="exact"/>
        <w:rPr>
          <w:rFonts w:ascii="Times New Roman" w:hAnsi="Times New Roman" w:cs="Times New Roman"/>
          <w:color w:val="auto"/>
        </w:rPr>
      </w:pPr>
      <w:r>
        <w:rPr>
          <w:rFonts w:ascii="Times New Roman" w:hAnsi="Times New Roman" w:cs="Times New Roman"/>
          <w:color w:val="auto"/>
        </w:rPr>
        <w:t>项目的设计在符合现代科学医疗理念的同时，在医院的总体布局中，充分考虑病属、陪护人员、医务人员及其他工作人员的需求，满足医疗、生活、服务、交流、休息等多方面的建筑空间及景观。</w:t>
      </w:r>
    </w:p>
    <w:p>
      <w:pPr>
        <w:spacing w:line="520" w:lineRule="exact"/>
        <w:rPr>
          <w:rFonts w:ascii="Times New Roman" w:hAnsi="Times New Roman" w:cs="Times New Roman"/>
          <w:color w:val="auto"/>
        </w:rPr>
      </w:pPr>
      <w:r>
        <w:rPr>
          <w:rFonts w:ascii="Times New Roman" w:hAnsi="Times New Roman" w:cs="Times New Roman"/>
          <w:color w:val="auto"/>
        </w:rPr>
        <w:t>“医—患”分流：医护人员与患者人流适当分开，在门诊中，医护人员有单独的更衣室，医技科室中，医护人员有专用的工作走廊，护理单元中，医护人员有独立的工作区域，减少医患交叉，改善医疗环境；</w:t>
      </w:r>
    </w:p>
    <w:p>
      <w:pPr>
        <w:spacing w:line="520" w:lineRule="exact"/>
        <w:rPr>
          <w:rFonts w:ascii="Times New Roman" w:hAnsi="Times New Roman" w:cs="Times New Roman"/>
          <w:color w:val="auto"/>
        </w:rPr>
      </w:pPr>
      <w:r>
        <w:rPr>
          <w:rFonts w:ascii="Times New Roman" w:hAnsi="Times New Roman" w:cs="Times New Roman"/>
          <w:color w:val="auto"/>
        </w:rPr>
        <w:t>“患—患”分流：不同疾病的患者，具有不同的特点，所需的医疗服务也不同，分专科设置医疗中心，使不同病种的患者得到更专业、更有效的治疗，减少患者之间的交叉感染，提高医疗效果；</w:t>
      </w:r>
    </w:p>
    <w:p>
      <w:pPr>
        <w:spacing w:line="520" w:lineRule="exact"/>
        <w:rPr>
          <w:rFonts w:ascii="Times New Roman" w:hAnsi="Times New Roman" w:cs="Times New Roman"/>
          <w:color w:val="auto"/>
        </w:rPr>
      </w:pPr>
      <w:r>
        <w:rPr>
          <w:rFonts w:ascii="Times New Roman" w:hAnsi="Times New Roman" w:cs="Times New Roman"/>
          <w:color w:val="auto"/>
        </w:rPr>
        <w:t>“洁—污”分流：医院内部设专用洁梯与污梯，干净的物品通过洁梯来运输，污物则使用污梯。地下室设污物间，污物通过污物通道直接从地下室运至院外，实行“洁污”分流。</w:t>
      </w:r>
    </w:p>
    <w:p>
      <w:pPr>
        <w:spacing w:line="520" w:lineRule="exact"/>
        <w:rPr>
          <w:rFonts w:ascii="Times New Roman" w:hAnsi="Times New Roman" w:cs="Times New Roman"/>
          <w:color w:val="auto"/>
        </w:rPr>
      </w:pPr>
      <w:r>
        <w:rPr>
          <w:rFonts w:ascii="Times New Roman" w:hAnsi="Times New Roman" w:cs="Times New Roman"/>
          <w:color w:val="auto"/>
        </w:rPr>
        <w:t>（3）环保设施布局的合理性分析</w:t>
      </w:r>
    </w:p>
    <w:p>
      <w:pPr>
        <w:spacing w:line="520" w:lineRule="exact"/>
        <w:rPr>
          <w:rFonts w:ascii="Times New Roman" w:hAnsi="Times New Roman" w:cs="Times New Roman"/>
          <w:color w:val="auto"/>
        </w:rPr>
      </w:pPr>
      <w:r>
        <w:rPr>
          <w:rFonts w:ascii="Times New Roman" w:hAnsi="Times New Roman" w:cs="Times New Roman"/>
          <w:color w:val="auto"/>
        </w:rPr>
        <w:t>医疗废物暂存间位于院区东侧，用于暂存全院未及时运出的医疗废物。医疗废物暂存间严格按照相关卫生、环保、消防的要求建设，满足医院至少2天的医疗废物暂存量。医院各功能单元的医疗垃圾均用专用医疗垃圾桶收集，由医院保洁部门与医疗垃圾处置单位联动，日产日清，无过多接触外界的机会，以减轻医疗废物二次污染问题。</w:t>
      </w:r>
    </w:p>
    <w:p>
      <w:pPr>
        <w:spacing w:line="520" w:lineRule="exact"/>
        <w:rPr>
          <w:rFonts w:ascii="Times New Roman" w:hAnsi="Times New Roman" w:cs="Times New Roman"/>
          <w:color w:val="auto"/>
        </w:rPr>
      </w:pPr>
      <w:r>
        <w:rPr>
          <w:rFonts w:ascii="Times New Roman" w:hAnsi="Times New Roman" w:cs="Times New Roman"/>
          <w:color w:val="auto"/>
        </w:rPr>
        <w:t>污水处理站位于院区东侧，远离人群集中的出入口、道路两侧。污水处理站各构筑物均为全埋式，内部设置抽风系统收集污水处理站恶臭经等离子除臭装置处理后经排气筒排放，排放高度约15m，污水处理站周边H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等满足《医疗机构水污染物排放标准》（GB18466-2005）表3“污水处理站周边大气污染物最高允许浓度”中预处理限值，对环境影响较小。</w:t>
      </w:r>
    </w:p>
    <w:p>
      <w:pPr>
        <w:spacing w:line="520" w:lineRule="exact"/>
        <w:rPr>
          <w:rFonts w:ascii="Times New Roman" w:hAnsi="Times New Roman" w:cs="Times New Roman"/>
          <w:color w:val="auto"/>
        </w:rPr>
      </w:pPr>
      <w:r>
        <w:rPr>
          <w:rFonts w:ascii="Times New Roman" w:hAnsi="Times New Roman" w:cs="Times New Roman"/>
          <w:color w:val="auto"/>
        </w:rPr>
        <w:t>本项目绝大部分产噪设备如发电机、空调风机等都专设设备间，通过机房隔声和建筑隔声后，到达室外时其噪声影响可忽略不计。各分体空调外机均挂于建筑物外侧，噪声值不大，随距离衰减，对周围声环境影响较小。</w:t>
      </w:r>
    </w:p>
    <w:p>
      <w:pPr>
        <w:pStyle w:val="8"/>
        <w:keepLines w:val="0"/>
        <w:jc w:val="left"/>
        <w:rPr>
          <w:rFonts w:hint="default" w:ascii="Times New Roman" w:hAnsi="Times New Roman" w:eastAsia="宋体" w:cs="Times New Roman"/>
          <w:color w:val="auto"/>
          <w:kern w:val="0"/>
          <w:szCs w:val="30"/>
          <w:lang w:val="en-US" w:eastAsia="zh-CN"/>
        </w:rPr>
      </w:pPr>
      <w:r>
        <w:rPr>
          <w:rFonts w:ascii="Times New Roman" w:hAnsi="Times New Roman" w:cs="Times New Roman"/>
          <w:color w:val="auto"/>
          <w:kern w:val="0"/>
          <w:szCs w:val="30"/>
        </w:rPr>
        <w:t>3.</w:t>
      </w:r>
      <w:r>
        <w:rPr>
          <w:rFonts w:hint="eastAsia" w:ascii="Times New Roman" w:hAnsi="Times New Roman" w:cs="Times New Roman"/>
          <w:color w:val="auto"/>
          <w:kern w:val="0"/>
          <w:szCs w:val="30"/>
          <w:lang w:val="en-US" w:eastAsia="zh-CN"/>
        </w:rPr>
        <w:t>7</w:t>
      </w:r>
      <w:r>
        <w:rPr>
          <w:rFonts w:ascii="Times New Roman" w:hAnsi="Times New Roman" w:cs="Times New Roman"/>
          <w:color w:val="auto"/>
          <w:kern w:val="0"/>
          <w:szCs w:val="30"/>
        </w:rPr>
        <w:t xml:space="preserve"> </w:t>
      </w:r>
      <w:r>
        <w:rPr>
          <w:rFonts w:hint="eastAsia" w:ascii="Times New Roman" w:hAnsi="Times New Roman" w:cs="Times New Roman"/>
          <w:color w:val="auto"/>
          <w:kern w:val="0"/>
          <w:szCs w:val="30"/>
          <w:lang w:val="en-US" w:eastAsia="zh-CN"/>
        </w:rPr>
        <w:t>总量控制</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我国已颁布了大气、污水等综合排放标准及相关的行业排放标准，这对控制环境污染发挥了很大的作用；但仅靠控制污染物的浓度来实现环境保护目标是远远不够的，在控制污染物排放浓度的同时，还必须控制其排放总量。</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所谓总量控制，就是在规定时间内，根据环保主管部门核定的污染物排放总量，对区域和企业在生产过程中所产生的污染物最终排入环境的数量进行限制。</w:t>
      </w:r>
    </w:p>
    <w:p>
      <w:pPr>
        <w:spacing w:line="520" w:lineRule="exact"/>
        <w:rPr>
          <w:rFonts w:ascii="Times New Roman" w:hAnsi="Times New Roman" w:cs="Times New Roman"/>
          <w:color w:val="auto"/>
        </w:rPr>
      </w:pPr>
      <w:r>
        <w:rPr>
          <w:rFonts w:hint="eastAsia" w:ascii="Times New Roman" w:hAnsi="Times New Roman" w:cs="Times New Roman"/>
          <w:color w:val="auto"/>
        </w:rPr>
        <w:t>对建设项目污染物排放实施总量控制，不仅有利于建设单位的污染控制，也有利于当地环境主管部门的监督管理。本环评结合总量的原则和要求、建设项目的排污特点以及建设项目所处位置的环境现状，对本项目水、气污染物排放总量控制进行分析。</w:t>
      </w:r>
    </w:p>
    <w:p>
      <w:pPr>
        <w:pStyle w:val="9"/>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lang w:val="en-US" w:eastAsia="zh-CN"/>
        </w:rPr>
        <w:t>7</w:t>
      </w:r>
      <w:r>
        <w:rPr>
          <w:rFonts w:ascii="Times New Roman" w:hAnsi="Times New Roman" w:cs="Times New Roman"/>
          <w:color w:val="auto"/>
        </w:rPr>
        <w:t>.1 总量控制原则</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在确定项目污染物排放总量控制指标时，遵循以下原则：</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（1）各污染物的排放浓度和排放速率，必须符合国家有关污染物达标排放标准。</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（2）各污染源所排污染物，其贡献浓度与环境背景值叠加后，应符合环境质量标准。</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（3）采取有效的管理措施使污染物排放处于较低的水平。</w:t>
      </w:r>
    </w:p>
    <w:p>
      <w:pPr>
        <w:spacing w:line="520" w:lineRule="exact"/>
        <w:rPr>
          <w:rFonts w:ascii="Times New Roman" w:hAnsi="Times New Roman" w:cs="Times New Roman"/>
          <w:color w:val="auto"/>
        </w:rPr>
      </w:pPr>
      <w:r>
        <w:rPr>
          <w:rFonts w:hint="eastAsia" w:ascii="Times New Roman" w:hAnsi="Times New Roman" w:cs="Times New Roman"/>
          <w:color w:val="auto"/>
        </w:rPr>
        <w:t>各污染源所排放污染物以采取治理措施后实际所能达到的排放水平为基准，确定总量控制指标。</w:t>
      </w:r>
    </w:p>
    <w:p>
      <w:pPr>
        <w:pStyle w:val="9"/>
        <w:rPr>
          <w:rFonts w:hint="default" w:ascii="Times New Roman" w:hAnsi="Times New Roman" w:eastAsia="宋体" w:cs="Times New Roman"/>
          <w:color w:val="auto"/>
          <w:lang w:val="en-US" w:eastAsia="zh-CN"/>
        </w:rPr>
      </w:pPr>
      <w:r>
        <w:rPr>
          <w:rFonts w:ascii="Times New Roman" w:hAnsi="Times New Roman" w:cs="Times New Roman"/>
          <w:color w:val="auto"/>
        </w:rPr>
        <w:t>3.</w:t>
      </w:r>
      <w:r>
        <w:rPr>
          <w:rFonts w:hint="eastAsia" w:ascii="Times New Roman" w:hAnsi="Times New Roman" w:cs="Times New Roman"/>
          <w:color w:val="auto"/>
          <w:lang w:val="en-US" w:eastAsia="zh-CN"/>
        </w:rPr>
        <w:t>7</w:t>
      </w:r>
      <w:r>
        <w:rPr>
          <w:rFonts w:ascii="Times New Roman" w:hAnsi="Times New Roman" w:cs="Times New Roman"/>
          <w:color w:val="auto"/>
        </w:rPr>
        <w:t>.</w:t>
      </w:r>
      <w:r>
        <w:rPr>
          <w:rFonts w:hint="eastAsia" w:ascii="Times New Roman" w:hAnsi="Times New Roman" w:cs="Times New Roman"/>
          <w:color w:val="auto"/>
          <w:lang w:val="en-US" w:eastAsia="zh-CN"/>
        </w:rPr>
        <w:t>2 总量控制因子</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根据国家环保部“十三五期间国家实行排放总量控制的污染物”中所列的主要控制污染物的有关要求，结合本项目排污特征，确定总量控制因子为：</w:t>
      </w:r>
    </w:p>
    <w:p>
      <w:pPr>
        <w:numPr>
          <w:ilvl w:val="0"/>
          <w:numId w:val="3"/>
        </w:numPr>
        <w:spacing w:line="520" w:lineRule="exact"/>
        <w:rPr>
          <w:rFonts w:hint="eastAsia" w:ascii="Times New Roman" w:hAnsi="Times New Roman" w:cs="Times New Roman"/>
          <w:color w:val="auto"/>
        </w:rPr>
      </w:pPr>
      <w:r>
        <w:rPr>
          <w:rFonts w:hint="eastAsia" w:ascii="Times New Roman" w:hAnsi="Times New Roman" w:cs="Times New Roman"/>
          <w:color w:val="auto"/>
        </w:rPr>
        <w:t>大气污染物总量控制因子：SO</w:t>
      </w:r>
      <w:r>
        <w:rPr>
          <w:rFonts w:hint="eastAsia" w:ascii="Times New Roman" w:hAnsi="Times New Roman" w:cs="Times New Roman"/>
          <w:color w:val="auto"/>
          <w:vertAlign w:val="subscript"/>
        </w:rPr>
        <w:t>2</w:t>
      </w:r>
      <w:r>
        <w:rPr>
          <w:rFonts w:hint="eastAsia" w:ascii="Times New Roman" w:hAnsi="Times New Roman" w:cs="Times New Roman"/>
          <w:color w:val="auto"/>
        </w:rPr>
        <w:t>、NOx、烟尘；</w:t>
      </w:r>
    </w:p>
    <w:p>
      <w:pPr>
        <w:numPr>
          <w:ilvl w:val="0"/>
          <w:numId w:val="3"/>
        </w:numPr>
        <w:spacing w:line="520" w:lineRule="exact"/>
        <w:rPr>
          <w:rFonts w:ascii="Times New Roman" w:hAnsi="Times New Roman" w:cs="Times New Roman"/>
          <w:color w:val="auto"/>
        </w:rPr>
      </w:pPr>
      <w:r>
        <w:rPr>
          <w:rFonts w:hint="eastAsia" w:ascii="Times New Roman" w:hAnsi="Times New Roman" w:cs="Times New Roman"/>
          <w:color w:val="auto"/>
        </w:rPr>
        <w:t>水污染物总量控制因子：COD、氨氮。</w:t>
      </w:r>
    </w:p>
    <w:p>
      <w:pPr>
        <w:pStyle w:val="9"/>
        <w:rPr>
          <w:rFonts w:hint="default" w:ascii="Times New Roman" w:hAnsi="Times New Roman" w:eastAsia="宋体" w:cs="Times New Roman"/>
          <w:color w:val="auto"/>
          <w:lang w:val="en-US" w:eastAsia="zh-CN"/>
        </w:rPr>
      </w:pPr>
      <w:r>
        <w:rPr>
          <w:rFonts w:ascii="Times New Roman" w:hAnsi="Times New Roman" w:cs="Times New Roman"/>
          <w:color w:val="auto"/>
        </w:rPr>
        <w:t>3.</w:t>
      </w:r>
      <w:r>
        <w:rPr>
          <w:rFonts w:hint="eastAsia" w:ascii="Times New Roman" w:hAnsi="Times New Roman" w:cs="Times New Roman"/>
          <w:color w:val="auto"/>
          <w:lang w:val="en-US" w:eastAsia="zh-CN"/>
        </w:rPr>
        <w:t>7</w:t>
      </w:r>
      <w:r>
        <w:rPr>
          <w:rFonts w:ascii="Times New Roman" w:hAnsi="Times New Roman" w:cs="Times New Roman"/>
          <w:color w:val="auto"/>
        </w:rPr>
        <w:t>.</w:t>
      </w:r>
      <w:r>
        <w:rPr>
          <w:rFonts w:hint="eastAsia" w:ascii="Times New Roman" w:hAnsi="Times New Roman" w:cs="Times New Roman"/>
          <w:color w:val="auto"/>
          <w:lang w:val="en-US" w:eastAsia="zh-CN"/>
        </w:rPr>
        <w:t>3 项目总量控制指标建议</w:t>
      </w:r>
    </w:p>
    <w:p>
      <w:pPr>
        <w:spacing w:line="520" w:lineRule="exact"/>
        <w:rPr>
          <w:rFonts w:hint="eastAsia"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rPr>
        <w:t>废水</w:t>
      </w:r>
    </w:p>
    <w:p>
      <w:pPr>
        <w:spacing w:line="520" w:lineRule="exact"/>
        <w:rPr>
          <w:rFonts w:hint="eastAsia" w:ascii="Times New Roman" w:hAnsi="Times New Roman" w:cs="Times New Roman"/>
          <w:color w:val="auto"/>
        </w:rPr>
      </w:pPr>
      <w:r>
        <w:rPr>
          <w:rFonts w:ascii="Times New Roman" w:hAnsi="Times New Roman" w:cs="Times New Roman"/>
          <w:color w:val="auto"/>
        </w:rPr>
        <w:t>本项目排放的废水包括感染废水、食堂废水、医务人员办公生活污水、病房和门诊产生的废水、保洁废水以及医院检验、分析、治疗产生的特殊废水。其中特殊废水主要为酸性废水，须经中和处理后与其他废水一起进入医院污水处理站进行处理；感染性废水须经消毒预处理后与其他废水一起进入医院污水处理站进行处理；食堂废水经隔油池预处理后与其他污水一起进入医院污水处理站进行处理。医院污水处理站的废水采用“预消毒池+生物化粪池+格栅+集水井+调节池+水解酸化池+生物接触氧化池+二沉池+消毒池”工艺处理，达到《医疗机构水污染物排放标准》（GB18466-2005）表2中预处理标准限值和吉木萨尔县污水处理厂进水水质要求后排入市政污水管网，最终进入吉木萨尔县污水处理厂统一处理</w:t>
      </w:r>
      <w:r>
        <w:rPr>
          <w:rFonts w:hint="eastAsia" w:ascii="Times New Roman" w:hAnsi="Times New Roman" w:cs="Times New Roman"/>
          <w:color w:val="auto"/>
        </w:rPr>
        <w:t>处置</w:t>
      </w:r>
      <w:r>
        <w:rPr>
          <w:rFonts w:ascii="Times New Roman" w:hAnsi="Times New Roman" w:cs="Times New Roman"/>
          <w:color w:val="auto"/>
        </w:rPr>
        <w:t>。</w:t>
      </w:r>
    </w:p>
    <w:p>
      <w:pPr>
        <w:spacing w:line="520" w:lineRule="exact"/>
        <w:rPr>
          <w:rFonts w:hint="eastAsia" w:ascii="Times New Roman" w:hAnsi="Times New Roman" w:cs="Times New Roman"/>
          <w:color w:val="auto"/>
        </w:rPr>
      </w:pPr>
      <w:r>
        <w:rPr>
          <w:rFonts w:hint="eastAsia" w:ascii="Times New Roman" w:hAnsi="Times New Roman" w:cs="Times New Roman"/>
          <w:color w:val="auto"/>
        </w:rPr>
        <w:t>本项目废水、CODcr、氨氮排入市政污水管网的排放量分别为</w:t>
      </w:r>
      <w:r>
        <w:rPr>
          <w:rFonts w:hint="eastAsia" w:ascii="Times New Roman" w:hAnsi="Times New Roman" w:cs="Times New Roman"/>
          <w:color w:val="auto"/>
          <w:lang w:val="en-US" w:eastAsia="zh-CN"/>
        </w:rPr>
        <w:t>112858m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rPr>
        <w:t>/a、</w:t>
      </w:r>
      <w:r>
        <w:rPr>
          <w:rFonts w:hint="eastAsia" w:ascii="Times New Roman" w:hAnsi="Times New Roman" w:cs="Times New Roman"/>
          <w:color w:val="auto"/>
          <w:lang w:val="en-US" w:eastAsia="zh-CN"/>
        </w:rPr>
        <w:t>14.56t</w:t>
      </w:r>
      <w:r>
        <w:rPr>
          <w:rFonts w:hint="eastAsia" w:ascii="Times New Roman" w:hAnsi="Times New Roman" w:cs="Times New Roman"/>
          <w:color w:val="auto"/>
        </w:rPr>
        <w:t>/a和</w:t>
      </w:r>
      <w:r>
        <w:rPr>
          <w:rFonts w:hint="eastAsia" w:ascii="Times New Roman" w:hAnsi="Times New Roman" w:cs="Times New Roman"/>
          <w:color w:val="auto"/>
          <w:lang w:val="en-US" w:eastAsia="zh-CN"/>
        </w:rPr>
        <w:t>2.82</w:t>
      </w:r>
      <w:r>
        <w:rPr>
          <w:rFonts w:hint="eastAsia" w:ascii="Times New Roman" w:hAnsi="Times New Roman" w:cs="Times New Roman"/>
          <w:color w:val="auto"/>
        </w:rPr>
        <w:t>t/a。根据国家环保总局环发</w:t>
      </w:r>
      <w:r>
        <w:rPr>
          <w:rFonts w:hint="eastAsia" w:ascii="宋体" w:hAnsi="宋体" w:eastAsia="宋体" w:cs="宋体"/>
          <w:color w:val="auto"/>
        </w:rPr>
        <w:t>〔</w:t>
      </w:r>
      <w:r>
        <w:rPr>
          <w:rFonts w:hint="eastAsia" w:ascii="Times New Roman" w:hAnsi="Times New Roman" w:cs="Times New Roman"/>
          <w:color w:val="auto"/>
        </w:rPr>
        <w:t>2006</w:t>
      </w:r>
      <w:r>
        <w:rPr>
          <w:rFonts w:hint="eastAsia" w:ascii="宋体" w:hAnsi="宋体" w:eastAsia="宋体" w:cs="宋体"/>
          <w:color w:val="auto"/>
        </w:rPr>
        <w:t>〕</w:t>
      </w:r>
      <w:r>
        <w:rPr>
          <w:rFonts w:hint="eastAsia" w:ascii="Times New Roman" w:hAnsi="Times New Roman" w:cs="Times New Roman"/>
          <w:color w:val="auto"/>
        </w:rPr>
        <w:t>189号文件关于印发《主要水污染物总量分配指导意见》的通知，废水排入城市污水处理设施或其它工业污水集中处理设施的排污单位，对其分配的化学需氧量排放量不计入区域总量控制指标中。因此，本项目水污染物总量控制指标从</w:t>
      </w:r>
      <w:r>
        <w:rPr>
          <w:rFonts w:hint="eastAsia" w:ascii="Times New Roman" w:hAnsi="Times New Roman" w:cs="Times New Roman"/>
          <w:color w:val="auto"/>
          <w:lang w:val="en-US" w:eastAsia="zh-CN"/>
        </w:rPr>
        <w:t>吉木萨尔县</w:t>
      </w:r>
      <w:r>
        <w:rPr>
          <w:rFonts w:hint="eastAsia" w:ascii="Times New Roman" w:hAnsi="Times New Roman" w:cs="Times New Roman"/>
          <w:color w:val="auto"/>
        </w:rPr>
        <w:t>污水处理厂总量中调配，不再另行建议总量控制指标。</w:t>
      </w:r>
    </w:p>
    <w:p>
      <w:pPr>
        <w:spacing w:line="520" w:lineRule="exact"/>
        <w:rPr>
          <w:rFonts w:hint="eastAsia"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rPr>
        <w:t>2</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废</w:t>
      </w:r>
      <w:r>
        <w:rPr>
          <w:rFonts w:hint="eastAsia" w:ascii="Times New Roman" w:hAnsi="Times New Roman" w:cs="Times New Roman"/>
          <w:color w:val="auto"/>
        </w:rPr>
        <w:t>气</w:t>
      </w:r>
    </w:p>
    <w:p>
      <w:pPr>
        <w:spacing w:line="520" w:lineRule="exact"/>
        <w:rPr>
          <w:rFonts w:ascii="Times New Roman" w:hAnsi="Times New Roman" w:cs="Times New Roman"/>
          <w:color w:val="auto"/>
        </w:rPr>
      </w:pPr>
      <w:r>
        <w:rPr>
          <w:rFonts w:hint="eastAsia" w:ascii="Times New Roman" w:hAnsi="Times New Roman" w:cs="Times New Roman"/>
          <w:color w:val="auto"/>
        </w:rPr>
        <w:t>本项目备用发电机产生一定的燃烧废气，根据本项目污染源及其源强的分析，SO</w:t>
      </w:r>
      <w:r>
        <w:rPr>
          <w:rFonts w:hint="eastAsia" w:ascii="Times New Roman" w:hAnsi="Times New Roman" w:cs="Times New Roman"/>
          <w:color w:val="auto"/>
          <w:vertAlign w:val="subscript"/>
        </w:rPr>
        <w:t>2</w:t>
      </w:r>
      <w:r>
        <w:rPr>
          <w:rFonts w:hint="eastAsia" w:ascii="Times New Roman" w:hAnsi="Times New Roman" w:cs="Times New Roman"/>
          <w:color w:val="auto"/>
        </w:rPr>
        <w:t>排放量为</w:t>
      </w:r>
      <w:r>
        <w:rPr>
          <w:rFonts w:hint="eastAsia" w:ascii="Times New Roman" w:hAnsi="Times New Roman" w:cs="Times New Roman"/>
          <w:color w:val="auto"/>
          <w:lang w:val="en-US" w:eastAsia="zh-CN"/>
        </w:rPr>
        <w:t>0.101</w:t>
      </w:r>
      <w:r>
        <w:rPr>
          <w:rFonts w:hint="eastAsia" w:ascii="Times New Roman" w:hAnsi="Times New Roman" w:cs="Times New Roman"/>
          <w:color w:val="auto"/>
        </w:rPr>
        <w:t>kg/a，NO</w:t>
      </w:r>
      <w:r>
        <w:rPr>
          <w:rFonts w:hint="eastAsia" w:ascii="Times New Roman" w:hAnsi="Times New Roman" w:cs="Times New Roman"/>
          <w:color w:val="auto"/>
          <w:lang w:val="en-US" w:eastAsia="zh-CN"/>
        </w:rPr>
        <w:t>x</w:t>
      </w:r>
      <w:r>
        <w:rPr>
          <w:rFonts w:hint="eastAsia" w:ascii="Times New Roman" w:hAnsi="Times New Roman" w:cs="Times New Roman"/>
          <w:color w:val="auto"/>
        </w:rPr>
        <w:t>为</w:t>
      </w:r>
      <w:r>
        <w:rPr>
          <w:rFonts w:hint="eastAsia" w:ascii="Times New Roman" w:hAnsi="Times New Roman" w:cs="Times New Roman"/>
          <w:color w:val="auto"/>
          <w:lang w:val="en-US" w:eastAsia="zh-CN"/>
        </w:rPr>
        <w:t>7.772</w:t>
      </w:r>
      <w:r>
        <w:rPr>
          <w:rFonts w:hint="eastAsia" w:ascii="Times New Roman" w:hAnsi="Times New Roman" w:cs="Times New Roman"/>
          <w:color w:val="auto"/>
        </w:rPr>
        <w:t>kg/a、烟尘为</w:t>
      </w:r>
      <w:r>
        <w:rPr>
          <w:rFonts w:hint="eastAsia" w:ascii="Times New Roman" w:hAnsi="Times New Roman" w:cs="Times New Roman"/>
          <w:color w:val="auto"/>
          <w:lang w:val="en-US" w:eastAsia="zh-CN"/>
        </w:rPr>
        <w:t>0.504</w:t>
      </w:r>
      <w:r>
        <w:rPr>
          <w:rFonts w:hint="eastAsia" w:ascii="Times New Roman" w:hAnsi="Times New Roman" w:cs="Times New Roman"/>
          <w:color w:val="auto"/>
        </w:rPr>
        <w:t>kg/a。因本项目发电机仅作为备用电源，仅在市政停电紧急情况下使用，不属于长期排污的废气源，其排放的污染物非常少，因此不建议总量控制指标。</w:t>
      </w: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sectPr>
          <w:pgSz w:w="11906" w:h="16838"/>
          <w:pgMar w:top="1440" w:right="1800" w:bottom="1440" w:left="1800" w:header="992" w:footer="992" w:gutter="0"/>
          <w:cols w:space="425" w:num="1"/>
          <w:docGrid w:type="lines" w:linePitch="312" w:charSpace="0"/>
        </w:sectPr>
      </w:pPr>
    </w:p>
    <w:p>
      <w:pPr>
        <w:pStyle w:val="7"/>
        <w:jc w:val="center"/>
        <w:rPr>
          <w:rFonts w:ascii="Times New Roman" w:hAnsi="Times New Roman" w:cs="Times New Roman"/>
          <w:color w:val="auto"/>
        </w:rPr>
      </w:pPr>
      <w:bookmarkStart w:id="187" w:name="_Toc25624"/>
      <w:bookmarkStart w:id="188" w:name="_Toc31296_WPSOffice_Level1"/>
      <w:bookmarkStart w:id="189" w:name="_Toc504733732"/>
      <w:bookmarkStart w:id="190" w:name="_Toc501940723"/>
      <w:bookmarkStart w:id="191" w:name="_Toc14699"/>
      <w:r>
        <w:rPr>
          <w:rFonts w:ascii="Times New Roman" w:hAnsi="Times New Roman" w:cs="Times New Roman"/>
          <w:color w:val="auto"/>
        </w:rPr>
        <w:t>4 环境现状调查与评价</w:t>
      </w:r>
      <w:bookmarkEnd w:id="187"/>
      <w:bookmarkEnd w:id="188"/>
      <w:bookmarkEnd w:id="189"/>
      <w:bookmarkEnd w:id="190"/>
      <w:bookmarkEnd w:id="191"/>
    </w:p>
    <w:p>
      <w:pPr>
        <w:pStyle w:val="8"/>
        <w:rPr>
          <w:rFonts w:ascii="Times New Roman" w:hAnsi="Times New Roman" w:cs="Times New Roman"/>
          <w:color w:val="auto"/>
        </w:rPr>
      </w:pPr>
      <w:bookmarkStart w:id="192" w:name="_Toc504733733"/>
      <w:bookmarkStart w:id="193" w:name="_Toc22521"/>
      <w:bookmarkStart w:id="194" w:name="_Toc13907_WPSOffice_Level2"/>
      <w:bookmarkStart w:id="195" w:name="_Toc1554"/>
      <w:bookmarkStart w:id="196" w:name="_Toc483293646"/>
      <w:bookmarkStart w:id="197" w:name="_Toc501940724"/>
      <w:r>
        <w:rPr>
          <w:rFonts w:ascii="Times New Roman" w:hAnsi="Times New Roman" w:cs="Times New Roman"/>
          <w:color w:val="auto"/>
        </w:rPr>
        <w:t>4.1 自然环境现状调查</w:t>
      </w:r>
      <w:bookmarkEnd w:id="192"/>
      <w:bookmarkEnd w:id="193"/>
      <w:bookmarkEnd w:id="194"/>
      <w:bookmarkEnd w:id="195"/>
      <w:bookmarkEnd w:id="196"/>
      <w:bookmarkEnd w:id="197"/>
    </w:p>
    <w:p>
      <w:pPr>
        <w:pStyle w:val="9"/>
        <w:rPr>
          <w:rFonts w:ascii="Times New Roman" w:hAnsi="Times New Roman" w:cs="Times New Roman"/>
          <w:color w:val="auto"/>
        </w:rPr>
      </w:pPr>
      <w:bookmarkStart w:id="198" w:name="_Toc16522"/>
      <w:bookmarkStart w:id="199" w:name="_Toc483293647"/>
      <w:bookmarkStart w:id="200" w:name="_Toc501940725"/>
      <w:bookmarkStart w:id="201" w:name="_Toc504733734"/>
      <w:r>
        <w:rPr>
          <w:rFonts w:ascii="Times New Roman" w:hAnsi="Times New Roman" w:cs="Times New Roman"/>
          <w:color w:val="auto"/>
        </w:rPr>
        <w:t>4.1.1 地理位置</w:t>
      </w:r>
      <w:bookmarkEnd w:id="198"/>
      <w:bookmarkEnd w:id="199"/>
      <w:bookmarkEnd w:id="200"/>
      <w:bookmarkEnd w:id="201"/>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吉木萨尔县隶属于新疆维吾尔自治区乌昌地区，位于天山北麓东端，准噶尔盆地东南缘，扼居南北疆与东疆交汇地带，东经88°30′～89°30′，北纬43°30′～45°，东与奇台县为邻，西与阜康市接壤，北越卡拉麦里山与富蕴县相连，南以博格达山分水岭同吐鲁番和乌鲁木齐为界。县城西距自治区首府乌鲁木齐市165公里，距昌吉回族自治州首府昌吉市200公里，东离哈密市550公里。吐—乌—大高等级公路、国道216线及省道303线贯穿全县，交通便利。</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rPr>
        <w:t>拟建位于吉木萨尔县城老城区南侧，北邻文襄路，西邻闽江路，南邻建国路，东邻准东路。项目区东侧为在建方舱医院，项目区西侧为空地，项目区南侧为</w:t>
      </w:r>
      <w:r>
        <w:rPr>
          <w:rFonts w:hint="eastAsia" w:ascii="Times New Roman" w:hAnsi="Times New Roman" w:cs="Times New Roman"/>
          <w:color w:val="auto"/>
        </w:rPr>
        <w:t>停车场</w:t>
      </w:r>
      <w:r>
        <w:rPr>
          <w:rFonts w:ascii="Times New Roman" w:hAnsi="Times New Roman" w:cs="Times New Roman"/>
          <w:color w:val="auto"/>
        </w:rPr>
        <w:t>，项目区北侧为，中心坐标：东经89°11'32.96"，北纬43°58'53.54"。</w:t>
      </w:r>
    </w:p>
    <w:p>
      <w:pPr>
        <w:pStyle w:val="9"/>
        <w:rPr>
          <w:rFonts w:ascii="Times New Roman" w:hAnsi="Times New Roman" w:cs="Times New Roman"/>
          <w:color w:val="auto"/>
        </w:rPr>
      </w:pPr>
      <w:bookmarkStart w:id="202" w:name="_Toc28447"/>
      <w:bookmarkStart w:id="203" w:name="_Toc504733735"/>
      <w:bookmarkStart w:id="204" w:name="_Toc501940726"/>
      <w:bookmarkStart w:id="205" w:name="_Toc483293648"/>
      <w:r>
        <w:rPr>
          <w:rFonts w:ascii="Times New Roman" w:hAnsi="Times New Roman" w:cs="Times New Roman"/>
          <w:color w:val="auto"/>
        </w:rPr>
        <w:t>4.1.2 地形地貌</w:t>
      </w:r>
      <w:bookmarkEnd w:id="202"/>
      <w:bookmarkEnd w:id="203"/>
      <w:bookmarkEnd w:id="204"/>
      <w:bookmarkEnd w:id="205"/>
    </w:p>
    <w:p>
      <w:pPr>
        <w:spacing w:line="520" w:lineRule="exact"/>
        <w:rPr>
          <w:rFonts w:ascii="Times New Roman" w:hAnsi="Times New Roman" w:cs="Times New Roman"/>
          <w:color w:val="auto"/>
          <w:kern w:val="0"/>
        </w:rPr>
      </w:pPr>
      <w:r>
        <w:rPr>
          <w:rFonts w:ascii="Times New Roman" w:hAnsi="Times New Roman" w:cs="Times New Roman"/>
          <w:color w:val="auto"/>
          <w:kern w:val="0"/>
        </w:rPr>
        <w:t>山前冲洪积堆积平原区：地面高程815-730m，地势较为平坦，地势南高北低，地形坡度为22.8‰，地表土质以亚砂为主。区内浅沟发育，一般切割深度1-3m。由于构造活动的影响，三台五梁山翘起，使二工河冲洪积扇向东移动，而黄山河向西改道。堆积物主要由卵石、砾石和砂组成。</w:t>
      </w:r>
    </w:p>
    <w:p>
      <w:pPr>
        <w:spacing w:line="520" w:lineRule="exact"/>
        <w:rPr>
          <w:rFonts w:ascii="Times New Roman" w:hAnsi="Times New Roman" w:cs="Times New Roman"/>
          <w:color w:val="auto"/>
          <w:kern w:val="0"/>
        </w:rPr>
      </w:pPr>
      <w:r>
        <w:rPr>
          <w:rFonts w:ascii="Times New Roman" w:hAnsi="Times New Roman" w:cs="Times New Roman"/>
          <w:color w:val="auto"/>
          <w:kern w:val="0"/>
        </w:rPr>
        <w:t>吉木萨尔县地处天山山脉北坡博格达山前冲、洪积戈壁平原，多由山前洪积扇组成，偶有丘陵状土丘隆起。地形一般波状起伏，由南向北可分为中高山、低山丘陵和山前冲洪积平原地貌。项目区的属于冲洪积戈壁平原，地势平坦，海拔高度在627m-631m。地势开阔。</w:t>
      </w:r>
    </w:p>
    <w:p>
      <w:pPr>
        <w:pStyle w:val="9"/>
        <w:rPr>
          <w:rFonts w:ascii="Times New Roman" w:hAnsi="Times New Roman" w:cs="Times New Roman"/>
          <w:color w:val="auto"/>
        </w:rPr>
      </w:pPr>
      <w:bookmarkStart w:id="206" w:name="_Toc19414"/>
      <w:bookmarkStart w:id="207" w:name="_Toc504733736"/>
      <w:bookmarkStart w:id="208" w:name="_Toc501940727"/>
      <w:bookmarkStart w:id="209" w:name="_Toc483293649"/>
      <w:r>
        <w:rPr>
          <w:rFonts w:ascii="Times New Roman" w:hAnsi="Times New Roman" w:cs="Times New Roman"/>
          <w:color w:val="auto"/>
        </w:rPr>
        <w:t>4.1.3 地质</w:t>
      </w:r>
      <w:bookmarkEnd w:id="206"/>
      <w:bookmarkEnd w:id="207"/>
      <w:bookmarkEnd w:id="208"/>
      <w:bookmarkEnd w:id="209"/>
    </w:p>
    <w:p>
      <w:pPr>
        <w:spacing w:line="520" w:lineRule="exact"/>
        <w:rPr>
          <w:rFonts w:ascii="Times New Roman" w:hAnsi="Times New Roman" w:cs="Times New Roman"/>
          <w:color w:val="auto"/>
        </w:rPr>
      </w:pPr>
      <w:r>
        <w:rPr>
          <w:rFonts w:ascii="Times New Roman" w:hAnsi="Times New Roman" w:cs="Times New Roman"/>
          <w:color w:val="auto"/>
        </w:rPr>
        <w:t>项目区域地质构造属于准噶尔中新生代拗陷区之破房子凹陷，包括二叠纪及整个中生代沉积区，该凹陷发育于二叠纪早期，受印之、燕山运动的影响使各时代地层都有不同程度的褶皱。该凹陷区主要为鼻状背斜褶皱构造，背斜之核部常由二叠系、三叠系组成，两翼由侏罗系及白垩系组成，轴线西部近南北向，向南倾伏，在东部则向东西向转化，向西倾伏，褶皱之核部开阔，顶部产状平缓，两翼对称，该区域没有大的断裂构造，工业区地质构造条件较好。</w:t>
      </w:r>
    </w:p>
    <w:p>
      <w:pPr>
        <w:spacing w:line="520" w:lineRule="exact"/>
        <w:rPr>
          <w:rFonts w:ascii="Times New Roman" w:hAnsi="Times New Roman" w:cs="Times New Roman"/>
          <w:color w:val="auto"/>
        </w:rPr>
      </w:pPr>
      <w:r>
        <w:rPr>
          <w:rFonts w:ascii="Times New Roman" w:hAnsi="Times New Roman" w:cs="Times New Roman"/>
          <w:color w:val="auto"/>
        </w:rPr>
        <w:t>项目区地层主要由粉砂、细砂、角砾层组成。地层由上至下分述如下：</w:t>
      </w:r>
    </w:p>
    <w:p>
      <w:pPr>
        <w:spacing w:line="520" w:lineRule="exact"/>
        <w:rPr>
          <w:rFonts w:ascii="Times New Roman" w:hAnsi="Times New Roman" w:cs="Times New Roman"/>
          <w:color w:val="auto"/>
        </w:rPr>
      </w:pPr>
      <w:r>
        <w:rPr>
          <w:rFonts w:ascii="Times New Roman" w:hAnsi="Times New Roman" w:cs="Times New Roman"/>
          <w:color w:val="auto"/>
        </w:rPr>
        <w:t>1）砂：分布于地表，场地内广泛分布，表层含少量植物根系。土黄色、青灰色为主，稍密至中密，矿物成分以石英、长石为主，孔壁较稳固，分布连续，局部厚度较大，部分地段含有细砂、中砂的透镜体。层厚1.8～3.0m。</w:t>
      </w:r>
    </w:p>
    <w:p>
      <w:pPr>
        <w:spacing w:line="520" w:lineRule="exact"/>
        <w:rPr>
          <w:rFonts w:ascii="Times New Roman" w:hAnsi="Times New Roman" w:cs="Times New Roman"/>
          <w:color w:val="auto"/>
        </w:rPr>
      </w:pPr>
      <w:r>
        <w:rPr>
          <w:rFonts w:ascii="Times New Roman" w:hAnsi="Times New Roman" w:cs="Times New Roman"/>
          <w:color w:val="auto"/>
        </w:rPr>
        <w:t>2）砂：青灰色，稍密至中密，为中间夹层，矿物成分以石英、长石为主，孔壁较稳固，局部有塌孔现象，埋深2.6～3.6m，层厚在0.4～0.8m。</w:t>
      </w:r>
    </w:p>
    <w:p>
      <w:pPr>
        <w:spacing w:line="520" w:lineRule="exact"/>
        <w:rPr>
          <w:rFonts w:ascii="Times New Roman" w:hAnsi="Times New Roman" w:cs="Times New Roman"/>
          <w:color w:val="auto"/>
        </w:rPr>
      </w:pPr>
      <w:r>
        <w:rPr>
          <w:rFonts w:ascii="Times New Roman" w:hAnsi="Times New Roman" w:cs="Times New Roman"/>
          <w:color w:val="auto"/>
        </w:rPr>
        <w:t>3）砾：为冲洪积堆积层，以土黄色、青灰色为主、中密-密实、稍湿，该层多呈薄片、尖棱角不规则状，母岩成份主要为灰岩、辉长岩等，骨架颗粒质量大于总质量的70%，粒径多在5cm左右，夹有大量块石，最大粒径可达30cm，呈交错排列，连续接触，充填物主要为粉砂、中粗砂，级配良好，属Ⅲ类碎石土。该层层顶埋深在埋深2.6～3.6m，勘察期间，勘探深度（16.2m）内未揭穿该层。钻孔中重型动力触探（N63.5）试验标准平均锤击数22.46击（杆长修正后的锤击数）。</w:t>
      </w:r>
    </w:p>
    <w:p>
      <w:pPr>
        <w:pStyle w:val="9"/>
        <w:rPr>
          <w:rFonts w:ascii="Times New Roman" w:hAnsi="Times New Roman" w:cs="Times New Roman"/>
          <w:color w:val="auto"/>
        </w:rPr>
      </w:pPr>
      <w:bookmarkStart w:id="210" w:name="_Toc504733737"/>
      <w:bookmarkStart w:id="211" w:name="_Toc501940728"/>
      <w:bookmarkStart w:id="212" w:name="_Toc13564"/>
      <w:bookmarkStart w:id="213" w:name="_Toc483293650"/>
      <w:r>
        <w:rPr>
          <w:rFonts w:ascii="Times New Roman" w:hAnsi="Times New Roman" w:cs="Times New Roman"/>
          <w:color w:val="auto"/>
        </w:rPr>
        <w:t>4.1.4 水文及水文地质</w:t>
      </w:r>
      <w:bookmarkEnd w:id="210"/>
      <w:bookmarkEnd w:id="211"/>
      <w:bookmarkEnd w:id="212"/>
      <w:bookmarkEnd w:id="213"/>
    </w:p>
    <w:p>
      <w:pPr>
        <w:pStyle w:val="10"/>
        <w:rPr>
          <w:rFonts w:cs="Times New Roman"/>
          <w:color w:val="auto"/>
        </w:rPr>
      </w:pPr>
      <w:r>
        <w:rPr>
          <w:rFonts w:cs="Times New Roman"/>
          <w:color w:val="auto"/>
        </w:rPr>
        <w:t>4.1.4.1 地表水</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吉木萨尔县境内共有冰川54处，发源于天山的主要河流有10条及一个后堡子泉水系，由西向东依次为二工河、西大龙口河、大东沟河、新地沟河、渭户沟河、东大龙口河、牛圈子沟河、吾塘沟河、小东沟、白杨河。另有四条季节性洪水沟。十条河流主河道总长222.25km，大小支流共162条，10条河流年径流量2.4亿m</w:t>
      </w:r>
      <w:r>
        <w:rPr>
          <w:rFonts w:ascii="Times New Roman" w:hAnsi="Times New Roman" w:cs="Times New Roman"/>
          <w:color w:val="auto"/>
          <w:szCs w:val="26"/>
          <w:vertAlign w:val="superscript"/>
        </w:rPr>
        <w:t>3</w:t>
      </w:r>
      <w:r>
        <w:rPr>
          <w:rFonts w:ascii="Times New Roman" w:hAnsi="Times New Roman" w:cs="Times New Roman"/>
          <w:color w:val="auto"/>
          <w:szCs w:val="26"/>
        </w:rPr>
        <w:t>，境内共有泉水51处，年径流量1.09亿m</w:t>
      </w:r>
      <w:r>
        <w:rPr>
          <w:rFonts w:ascii="Times New Roman" w:hAnsi="Times New Roman" w:cs="Times New Roman"/>
          <w:color w:val="auto"/>
          <w:szCs w:val="26"/>
          <w:vertAlign w:val="superscript"/>
        </w:rPr>
        <w:t>3</w:t>
      </w:r>
      <w:r>
        <w:rPr>
          <w:rFonts w:ascii="Times New Roman" w:hAnsi="Times New Roman" w:cs="Times New Roman"/>
          <w:color w:val="auto"/>
          <w:szCs w:val="26"/>
        </w:rPr>
        <w:t>，通过吉木萨尔县城镇区范围的河流有二条，其中东大龙口河发源于天山山脉，年径流量5730万m</w:t>
      </w:r>
      <w:r>
        <w:rPr>
          <w:rFonts w:ascii="Times New Roman" w:hAnsi="Times New Roman" w:cs="Times New Roman"/>
          <w:color w:val="auto"/>
          <w:szCs w:val="26"/>
          <w:vertAlign w:val="superscript"/>
        </w:rPr>
        <w:t>3</w:t>
      </w:r>
      <w:r>
        <w:rPr>
          <w:rFonts w:ascii="Times New Roman" w:hAnsi="Times New Roman" w:cs="Times New Roman"/>
          <w:color w:val="auto"/>
          <w:szCs w:val="26"/>
        </w:rPr>
        <w:t>，小龙口河（在县城区分为东沙河和西沙河）水源主要靠大有乡山间盆地的河道、渠道、田间渗漏，少数为前山岩石裂隙泉水为主要补给来源，年径流量1094.3万m</w:t>
      </w:r>
      <w:r>
        <w:rPr>
          <w:rFonts w:ascii="Times New Roman" w:hAnsi="Times New Roman" w:cs="Times New Roman"/>
          <w:color w:val="auto"/>
          <w:szCs w:val="26"/>
          <w:vertAlign w:val="superscript"/>
        </w:rPr>
        <w:t>3</w:t>
      </w:r>
      <w:r>
        <w:rPr>
          <w:rFonts w:ascii="Times New Roman" w:hAnsi="Times New Roman" w:cs="Times New Roman"/>
          <w:color w:val="auto"/>
          <w:szCs w:val="26"/>
        </w:rPr>
        <w:t>，以上两条河流7、8两个月份为洪水多发期。</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县城内地下水动态储量为0.98亿m</w:t>
      </w:r>
      <w:r>
        <w:rPr>
          <w:rFonts w:ascii="Times New Roman" w:hAnsi="Times New Roman" w:cs="Times New Roman"/>
          <w:color w:val="auto"/>
          <w:szCs w:val="26"/>
          <w:vertAlign w:val="superscript"/>
        </w:rPr>
        <w:t>3</w:t>
      </w:r>
      <w:r>
        <w:rPr>
          <w:rFonts w:ascii="Times New Roman" w:hAnsi="Times New Roman" w:cs="Times New Roman"/>
          <w:color w:val="auto"/>
          <w:szCs w:val="26"/>
        </w:rPr>
        <w:t>，平原地区在200m深度内有2-4个含水层组，构成典型的承压水斜地，含有丰富的潜水及承压自流水，从东向西渐小，小龙口河系是县城地下水源区。县域可利用水资源量共计4.4亿m</w:t>
      </w:r>
      <w:r>
        <w:rPr>
          <w:rFonts w:ascii="Times New Roman" w:hAnsi="Times New Roman" w:cs="Times New Roman"/>
          <w:color w:val="auto"/>
          <w:szCs w:val="26"/>
          <w:vertAlign w:val="superscript"/>
        </w:rPr>
        <w:t>3</w:t>
      </w:r>
      <w:r>
        <w:rPr>
          <w:rFonts w:ascii="Times New Roman" w:hAnsi="Times New Roman" w:cs="Times New Roman"/>
          <w:color w:val="auto"/>
          <w:szCs w:val="26"/>
        </w:rPr>
        <w:t>。</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项目所在区周围无地表水体，且与上述水体无直接水力联系。</w:t>
      </w:r>
    </w:p>
    <w:p>
      <w:pPr>
        <w:pStyle w:val="10"/>
        <w:rPr>
          <w:rFonts w:cs="Times New Roman"/>
          <w:color w:val="auto"/>
        </w:rPr>
      </w:pPr>
      <w:r>
        <w:rPr>
          <w:rFonts w:cs="Times New Roman"/>
          <w:color w:val="auto"/>
        </w:rPr>
        <w:t>4.1.4.2 地下水</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吉木萨尔县城位于山前冲洪平原，平原的堆积物都是在古生代基底上堆积的很厚的新生代沉积物，以卵石、砾石和砂粒为主，随着离山麓距离的加大，表面砾石、卵石逐渐减少，为砂砾所代替。大、小龙口冲积扇的两侧及乌奇公路南北堆积有黄色沙质土壤，厚度30cm至1m不等。城区北坡度逐渐减缓，堆积物以冲积亚砂土为主，土层堆积较厚，一般在3-5m。县城内地下水动态储量为0.98亿m</w:t>
      </w:r>
      <w:r>
        <w:rPr>
          <w:rFonts w:ascii="Times New Roman" w:hAnsi="Times New Roman" w:cs="Times New Roman"/>
          <w:color w:val="auto"/>
          <w:szCs w:val="26"/>
          <w:vertAlign w:val="superscript"/>
        </w:rPr>
        <w:t>3</w:t>
      </w:r>
      <w:r>
        <w:rPr>
          <w:rFonts w:ascii="Times New Roman" w:hAnsi="Times New Roman" w:cs="Times New Roman"/>
          <w:color w:val="auto"/>
          <w:szCs w:val="26"/>
        </w:rPr>
        <w:t>，平原地区在200m深度内有2-4个含水层组，构成典型的承压水斜地，含有丰富的潜水及承压自流水，从东向西渐小，小龙口河系是县城地下水源区，县城可利用水资源量共计约4.4亿m</w:t>
      </w:r>
      <w:r>
        <w:rPr>
          <w:rFonts w:ascii="Times New Roman" w:hAnsi="Times New Roman" w:cs="Times New Roman"/>
          <w:color w:val="auto"/>
          <w:szCs w:val="26"/>
          <w:vertAlign w:val="superscript"/>
        </w:rPr>
        <w:t>3</w:t>
      </w:r>
      <w:r>
        <w:rPr>
          <w:rFonts w:ascii="Times New Roman" w:hAnsi="Times New Roman" w:cs="Times New Roman"/>
          <w:color w:val="auto"/>
          <w:szCs w:val="26"/>
        </w:rPr>
        <w:t>。</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项目区位于平原区上部前山山麓地带，该区由于出山口河流的运移作用，第四纪沉积很厚，为孔隙水的赋存提供良好场所，园区所在区域为单一结构的潜水含水层，含水层岩性以卵砾石、沙砾石为主，并由南向北颗粒逐渐变细，潜水位埋深逐渐变浅。南部潜水位埋深在100m左右，乌奇公路沿线潜水位埋深在50m左右，渗透系数80m/d左右，饱和水带厚度大于100m，属地下水强富水带。</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项目所在区域地下水亦属于松散岩类孔隙潜水，含水层岩性为中粗砂，富有地下水。地下水由南向北径流，补给来源主要为侧向径流补给，排泄方式以侧向流出和蒸发蒸腾为主，水位变幅在0.5~1.0m。</w:t>
      </w:r>
    </w:p>
    <w:p>
      <w:pPr>
        <w:pStyle w:val="9"/>
        <w:rPr>
          <w:rFonts w:ascii="Times New Roman" w:hAnsi="Times New Roman" w:cs="Times New Roman"/>
          <w:color w:val="auto"/>
        </w:rPr>
      </w:pPr>
      <w:bookmarkStart w:id="214" w:name="_Toc4500"/>
      <w:bookmarkStart w:id="215" w:name="_Toc501940729"/>
      <w:bookmarkStart w:id="216" w:name="_Toc504733738"/>
      <w:bookmarkStart w:id="217" w:name="_Toc483293651"/>
      <w:r>
        <w:rPr>
          <w:rFonts w:ascii="Times New Roman" w:hAnsi="Times New Roman" w:cs="Times New Roman"/>
          <w:color w:val="auto"/>
        </w:rPr>
        <w:t>4.1.5 气象</w:t>
      </w:r>
      <w:bookmarkEnd w:id="214"/>
      <w:bookmarkEnd w:id="215"/>
      <w:bookmarkEnd w:id="216"/>
      <w:bookmarkEnd w:id="217"/>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本项目收集整理了吉木萨尔气象站近30年来常规气象资料的气温、气压、相对湿度、风向、风速、蒸发量、降水量等主要气象要素资料和短期气象观测站地面主要要素资料。</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吉木萨尔地处欧亚大陆的腹地，远离海洋属典型的温带大陆性干旱气候。其特点为：日照充足，热量丰富，气温变化大，降水少，蒸发大，气候干燥；春季增温快，此时多风，多冷空气入侵；夏季干热；秋季凉爽；冬季寒冷漫长。</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春季：通常在3月下旬开春。升温迅速而不稳，天气多变，平均每月有一到两次强冷空气入侵，使气温变化幅度较大，降水增多。</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夏季：炎热干燥，空气湿度小，无闷热感，多阵性风雨天气，降水较多。</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秋季：秋高气爽，晴天日数最多。平均每月有一到两次强冷空气入侵，使得气温下降迅速。</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冬季：严寒而漫长，有稳定积雪，空气湿度明显加大。冬季上空多有逆温形成，平均风速为四季最小。</w:t>
      </w:r>
    </w:p>
    <w:p>
      <w:pPr>
        <w:tabs>
          <w:tab w:val="right" w:leader="dot" w:pos="8280"/>
        </w:tabs>
        <w:spacing w:line="520" w:lineRule="exact"/>
        <w:rPr>
          <w:rFonts w:ascii="Times New Roman" w:hAnsi="Times New Roman" w:cs="Times New Roman"/>
          <w:color w:val="auto"/>
          <w:szCs w:val="26"/>
        </w:rPr>
      </w:pPr>
      <w:r>
        <w:rPr>
          <w:rFonts w:ascii="Times New Roman" w:hAnsi="Times New Roman" w:cs="Times New Roman"/>
          <w:color w:val="auto"/>
          <w:szCs w:val="26"/>
        </w:rPr>
        <w:t>吉木萨尔气象站近30年主要气象参数详见表4.1-1。</w:t>
      </w:r>
    </w:p>
    <w:p>
      <w:pPr>
        <w:pStyle w:val="35"/>
        <w:spacing w:before="0" w:after="0" w:line="520" w:lineRule="exact"/>
        <w:rPr>
          <w:rFonts w:cs="Times New Roman"/>
          <w:color w:val="auto"/>
        </w:rPr>
      </w:pPr>
      <w:bookmarkStart w:id="218" w:name="_Ref9051"/>
      <w:bookmarkStart w:id="219" w:name="_Ref6579"/>
      <w:bookmarkStart w:id="220" w:name="_Ref6805"/>
      <w:r>
        <w:rPr>
          <w:rFonts w:cs="Times New Roman"/>
          <w:color w:val="auto"/>
        </w:rPr>
        <w:t>表</w:t>
      </w:r>
      <w:r>
        <w:rPr>
          <w:rFonts w:hint="eastAsia" w:cs="Times New Roman"/>
          <w:color w:val="auto"/>
        </w:rPr>
        <w:t>4.1</w:t>
      </w:r>
      <w:r>
        <w:rPr>
          <w:rFonts w:cs="Times New Roman"/>
          <w:color w:val="auto"/>
        </w:rPr>
        <w:noBreakHyphen/>
      </w:r>
      <w:r>
        <w:rPr>
          <w:rFonts w:cs="Times New Roman"/>
          <w:color w:val="auto"/>
        </w:rPr>
        <w:fldChar w:fldCharType="begin"/>
      </w:r>
      <w:r>
        <w:rPr>
          <w:rFonts w:cs="Times New Roman"/>
          <w:color w:val="auto"/>
        </w:rPr>
        <w:instrText xml:space="preserve"> SEQ 表 \* ARABIC \s 1 </w:instrText>
      </w:r>
      <w:r>
        <w:rPr>
          <w:rFonts w:cs="Times New Roman"/>
          <w:color w:val="auto"/>
        </w:rPr>
        <w:fldChar w:fldCharType="separate"/>
      </w:r>
      <w:r>
        <w:rPr>
          <w:rFonts w:cs="Times New Roman"/>
          <w:color w:val="auto"/>
        </w:rPr>
        <w:t>1</w:t>
      </w:r>
      <w:r>
        <w:rPr>
          <w:rFonts w:cs="Times New Roman"/>
          <w:color w:val="auto"/>
        </w:rPr>
        <w:fldChar w:fldCharType="end"/>
      </w:r>
      <w:bookmarkEnd w:id="218"/>
      <w:r>
        <w:rPr>
          <w:rFonts w:cs="Times New Roman"/>
          <w:color w:val="auto"/>
        </w:rPr>
        <w:t xml:space="preserve">    主要气象要素平均值及极值</w:t>
      </w:r>
      <w:bookmarkEnd w:id="219"/>
      <w:bookmarkEnd w:id="220"/>
    </w:p>
    <w:tbl>
      <w:tblPr>
        <w:tblStyle w:val="2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29"/>
        <w:gridCol w:w="2777"/>
        <w:gridCol w:w="928"/>
        <w:gridCol w:w="1185"/>
        <w:gridCol w:w="27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545" w:type="pct"/>
            <w:vAlign w:val="center"/>
          </w:tcPr>
          <w:p>
            <w:pPr>
              <w:pStyle w:val="36"/>
              <w:rPr>
                <w:rFonts w:ascii="Times New Roman" w:hAnsi="Times New Roman" w:cs="Times New Roman"/>
                <w:b/>
                <w:bCs/>
                <w:color w:val="auto"/>
              </w:rPr>
            </w:pPr>
            <w:r>
              <w:rPr>
                <w:rFonts w:ascii="Times New Roman" w:hAnsi="Times New Roman" w:cs="Times New Roman"/>
                <w:b/>
                <w:bCs/>
                <w:color w:val="auto"/>
              </w:rPr>
              <w:t>序号</w:t>
            </w:r>
          </w:p>
        </w:tc>
        <w:tc>
          <w:tcPr>
            <w:tcW w:w="1629" w:type="pct"/>
            <w:vAlign w:val="center"/>
          </w:tcPr>
          <w:p>
            <w:pPr>
              <w:pStyle w:val="36"/>
              <w:rPr>
                <w:rFonts w:ascii="Times New Roman" w:hAnsi="Times New Roman" w:cs="Times New Roman"/>
                <w:b/>
                <w:bCs/>
                <w:color w:val="auto"/>
              </w:rPr>
            </w:pPr>
            <w:r>
              <w:rPr>
                <w:rFonts w:ascii="Times New Roman" w:hAnsi="Times New Roman" w:cs="Times New Roman"/>
                <w:b/>
                <w:bCs/>
                <w:color w:val="auto"/>
              </w:rPr>
              <w:t>项目</w:t>
            </w:r>
          </w:p>
        </w:tc>
        <w:tc>
          <w:tcPr>
            <w:tcW w:w="544" w:type="pct"/>
            <w:vAlign w:val="center"/>
          </w:tcPr>
          <w:p>
            <w:pPr>
              <w:pStyle w:val="36"/>
              <w:rPr>
                <w:rFonts w:ascii="Times New Roman" w:hAnsi="Times New Roman" w:cs="Times New Roman"/>
                <w:b/>
                <w:bCs/>
                <w:color w:val="auto"/>
              </w:rPr>
            </w:pPr>
            <w:r>
              <w:rPr>
                <w:rFonts w:ascii="Times New Roman" w:hAnsi="Times New Roman" w:cs="Times New Roman"/>
                <w:b/>
                <w:bCs/>
                <w:color w:val="auto"/>
              </w:rPr>
              <w:t>单位</w:t>
            </w:r>
          </w:p>
        </w:tc>
        <w:tc>
          <w:tcPr>
            <w:tcW w:w="695" w:type="pct"/>
            <w:vAlign w:val="center"/>
          </w:tcPr>
          <w:p>
            <w:pPr>
              <w:pStyle w:val="36"/>
              <w:rPr>
                <w:rFonts w:ascii="Times New Roman" w:hAnsi="Times New Roman" w:cs="Times New Roman"/>
                <w:b/>
                <w:bCs/>
                <w:color w:val="auto"/>
              </w:rPr>
            </w:pPr>
            <w:r>
              <w:rPr>
                <w:rFonts w:ascii="Times New Roman" w:hAnsi="Times New Roman" w:cs="Times New Roman"/>
                <w:b/>
                <w:bCs/>
                <w:color w:val="auto"/>
              </w:rPr>
              <w:t>数值</w:t>
            </w:r>
          </w:p>
        </w:tc>
        <w:tc>
          <w:tcPr>
            <w:tcW w:w="1585" w:type="pct"/>
            <w:vAlign w:val="center"/>
          </w:tcPr>
          <w:p>
            <w:pPr>
              <w:pStyle w:val="36"/>
              <w:rPr>
                <w:rFonts w:ascii="Times New Roman" w:hAnsi="Times New Roman" w:cs="Times New Roman"/>
                <w:b/>
                <w:bCs/>
                <w:color w:val="auto"/>
              </w:rPr>
            </w:pPr>
            <w:r>
              <w:rPr>
                <w:rFonts w:ascii="Times New Roman" w:hAnsi="Times New Roman" w:cs="Times New Roman"/>
                <w:b/>
                <w:bCs/>
                <w:color w:val="auto"/>
              </w:rPr>
              <w:t>出现时间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1</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多年平均气温</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7.4</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2</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全年主导风向</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西北偏西风（WNW）</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3</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年平均雷暴日数</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天</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8.7</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4</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最大冻土层深度</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m</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1.55</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2005年3月出现3天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5</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年极端最高气温</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41.6</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2006年7月31日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6</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年极端最低气温</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-33.8</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1984年12月25日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7</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年均降水量</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mm</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191.0</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8</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全年平均蒸发量</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mm</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2046.7</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9</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年最大降雨量</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mm</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346.7</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2007年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10</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年最大蒸发量</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mm</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2564.9</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1982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11</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平均风速</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m/s</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1.8</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12</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年均相对湿度</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58</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545" w:type="pct"/>
            <w:vAlign w:val="center"/>
          </w:tcPr>
          <w:p>
            <w:pPr>
              <w:pStyle w:val="36"/>
              <w:rPr>
                <w:rFonts w:ascii="Times New Roman" w:hAnsi="Times New Roman" w:cs="Times New Roman"/>
                <w:color w:val="auto"/>
              </w:rPr>
            </w:pPr>
            <w:r>
              <w:rPr>
                <w:rFonts w:ascii="Times New Roman" w:hAnsi="Times New Roman" w:cs="Times New Roman"/>
                <w:color w:val="auto"/>
              </w:rPr>
              <w:t>13</w:t>
            </w:r>
          </w:p>
        </w:tc>
        <w:tc>
          <w:tcPr>
            <w:tcW w:w="1629" w:type="pct"/>
            <w:vAlign w:val="center"/>
          </w:tcPr>
          <w:p>
            <w:pPr>
              <w:pStyle w:val="36"/>
              <w:rPr>
                <w:rFonts w:ascii="Times New Roman" w:hAnsi="Times New Roman" w:cs="Times New Roman"/>
                <w:color w:val="auto"/>
              </w:rPr>
            </w:pPr>
            <w:r>
              <w:rPr>
                <w:rFonts w:ascii="Times New Roman" w:hAnsi="Times New Roman" w:cs="Times New Roman"/>
                <w:color w:val="auto"/>
              </w:rPr>
              <w:t>年平均气压</w:t>
            </w:r>
          </w:p>
        </w:tc>
        <w:tc>
          <w:tcPr>
            <w:tcW w:w="544" w:type="pct"/>
            <w:vAlign w:val="center"/>
          </w:tcPr>
          <w:p>
            <w:pPr>
              <w:pStyle w:val="36"/>
              <w:rPr>
                <w:rFonts w:ascii="Times New Roman" w:hAnsi="Times New Roman" w:cs="Times New Roman"/>
                <w:color w:val="auto"/>
              </w:rPr>
            </w:pPr>
            <w:r>
              <w:rPr>
                <w:rFonts w:ascii="Times New Roman" w:hAnsi="Times New Roman" w:cs="Times New Roman"/>
                <w:color w:val="auto"/>
              </w:rPr>
              <w:t>hPa</w:t>
            </w:r>
          </w:p>
        </w:tc>
        <w:tc>
          <w:tcPr>
            <w:tcW w:w="695" w:type="pct"/>
            <w:vAlign w:val="center"/>
          </w:tcPr>
          <w:p>
            <w:pPr>
              <w:pStyle w:val="36"/>
              <w:rPr>
                <w:rFonts w:ascii="Times New Roman" w:hAnsi="Times New Roman" w:cs="Times New Roman"/>
                <w:color w:val="auto"/>
              </w:rPr>
            </w:pPr>
            <w:r>
              <w:rPr>
                <w:rFonts w:ascii="Times New Roman" w:hAnsi="Times New Roman" w:cs="Times New Roman"/>
                <w:color w:val="auto"/>
              </w:rPr>
              <w:t>934.3</w:t>
            </w:r>
          </w:p>
        </w:tc>
        <w:tc>
          <w:tcPr>
            <w:tcW w:w="1585" w:type="pct"/>
            <w:vAlign w:val="center"/>
          </w:tcPr>
          <w:p>
            <w:pPr>
              <w:pStyle w:val="36"/>
              <w:rPr>
                <w:rFonts w:ascii="Times New Roman" w:hAnsi="Times New Roman" w:cs="Times New Roman"/>
                <w:color w:val="auto"/>
              </w:rPr>
            </w:pPr>
            <w:r>
              <w:rPr>
                <w:rFonts w:ascii="Times New Roman" w:hAnsi="Times New Roman" w:cs="Times New Roman"/>
                <w:color w:val="auto"/>
              </w:rPr>
              <w:t>－</w:t>
            </w:r>
          </w:p>
        </w:tc>
      </w:tr>
    </w:tbl>
    <w:p>
      <w:pPr>
        <w:pStyle w:val="9"/>
        <w:rPr>
          <w:rFonts w:ascii="Times New Roman" w:hAnsi="Times New Roman" w:cs="Times New Roman"/>
          <w:color w:val="auto"/>
        </w:rPr>
      </w:pPr>
      <w:bookmarkStart w:id="221" w:name="_Toc12767"/>
      <w:bookmarkStart w:id="222" w:name="_Toc501940730"/>
      <w:bookmarkStart w:id="223" w:name="_Toc483293652"/>
      <w:bookmarkStart w:id="224" w:name="_Toc504733739"/>
      <w:r>
        <w:rPr>
          <w:rFonts w:ascii="Times New Roman" w:hAnsi="Times New Roman" w:cs="Times New Roman"/>
          <w:color w:val="auto"/>
        </w:rPr>
        <w:t xml:space="preserve">4.1.6 </w:t>
      </w:r>
      <w:bookmarkEnd w:id="221"/>
      <w:bookmarkEnd w:id="222"/>
      <w:bookmarkEnd w:id="223"/>
      <w:bookmarkEnd w:id="224"/>
      <w:r>
        <w:rPr>
          <w:rFonts w:ascii="Times New Roman" w:hAnsi="Times New Roman" w:cs="Times New Roman"/>
          <w:color w:val="auto"/>
        </w:rPr>
        <w:t>矿产资源</w:t>
      </w:r>
    </w:p>
    <w:p>
      <w:pPr>
        <w:spacing w:line="520" w:lineRule="exact"/>
        <w:rPr>
          <w:rFonts w:ascii="Times New Roman" w:hAnsi="Times New Roman" w:cs="Times New Roman"/>
          <w:color w:val="auto"/>
          <w:kern w:val="0"/>
        </w:rPr>
      </w:pPr>
      <w:r>
        <w:rPr>
          <w:rFonts w:ascii="Times New Roman" w:hAnsi="Times New Roman" w:cs="Times New Roman"/>
          <w:color w:val="auto"/>
          <w:kern w:val="0"/>
        </w:rPr>
        <w:t>新疆吉木萨尔县矿产丰富，前景广阔。现已探明矿种有30余种，尤以石油、煤炭、天然气、油页岩、沸石、膨润土等最为可观，其中石油储量1.5亿t，天然气300亿m</w:t>
      </w:r>
      <w:r>
        <w:rPr>
          <w:rFonts w:ascii="Times New Roman" w:hAnsi="Times New Roman" w:cs="Times New Roman"/>
          <w:color w:val="auto"/>
          <w:kern w:val="0"/>
          <w:vertAlign w:val="superscript"/>
        </w:rPr>
        <w:t>3</w:t>
      </w:r>
      <w:r>
        <w:rPr>
          <w:rFonts w:ascii="Times New Roman" w:hAnsi="Times New Roman" w:cs="Times New Roman"/>
          <w:color w:val="auto"/>
          <w:kern w:val="0"/>
        </w:rPr>
        <w:t>，年产200万t的彩南油田是国内第一个沙漠整装油田。县域煤炭资源优势极为突出，具有储量大、煤种全、煤质优的特点。根据新疆地矿局第九地质大队所作的《新疆吉木萨尔县南山一带煤炭资源调查地质报告》，该县南天山一带煤炭储量为11．6亿t，北部五彩湾一带目前已探明储量500亿t，预计煤炭总储量在1600亿t左右，大部分为31号不粘结煤，俗称无烟煤，是理想的民用和化工用煤。其它矿产资源主要为油页岩、石灰石、膨润土、叶蜡石、沸石、石英砂、花岗岩、天然沥青。分布在天山一带和准东五彩湾一带。目前均未详细勘探和规模化开发，矿产资源开发前景十分广阔。</w:t>
      </w:r>
    </w:p>
    <w:p>
      <w:pPr>
        <w:pStyle w:val="9"/>
        <w:rPr>
          <w:rFonts w:ascii="Times New Roman" w:hAnsi="Times New Roman" w:cs="Times New Roman"/>
          <w:color w:val="auto"/>
        </w:rPr>
      </w:pPr>
      <w:r>
        <w:rPr>
          <w:rFonts w:ascii="Times New Roman" w:hAnsi="Times New Roman" w:cs="Times New Roman"/>
          <w:color w:val="auto"/>
        </w:rPr>
        <w:t>4.1.7 土壤环境</w:t>
      </w:r>
    </w:p>
    <w:p>
      <w:pPr>
        <w:spacing w:line="520" w:lineRule="exact"/>
        <w:rPr>
          <w:rFonts w:ascii="Times New Roman" w:hAnsi="Times New Roman" w:cs="Times New Roman"/>
          <w:color w:val="auto"/>
          <w:kern w:val="0"/>
        </w:rPr>
      </w:pPr>
      <w:r>
        <w:rPr>
          <w:rFonts w:ascii="Times New Roman" w:hAnsi="Times New Roman" w:cs="Times New Roman"/>
          <w:color w:val="auto"/>
          <w:kern w:val="0"/>
        </w:rPr>
        <w:t>根据土壤普查资料，吉木萨尔县全县土壤有11个土类，分布较多的有栗钙土、灰漠土、灌耕土、潮土等。</w:t>
      </w:r>
    </w:p>
    <w:p>
      <w:pPr>
        <w:spacing w:line="520" w:lineRule="exact"/>
        <w:rPr>
          <w:rFonts w:ascii="Times New Roman" w:hAnsi="Times New Roman" w:cs="Times New Roman"/>
          <w:color w:val="auto"/>
          <w:kern w:val="0"/>
        </w:rPr>
      </w:pPr>
      <w:r>
        <w:rPr>
          <w:rFonts w:ascii="Times New Roman" w:hAnsi="Times New Roman" w:cs="Times New Roman"/>
          <w:color w:val="auto"/>
          <w:kern w:val="0"/>
        </w:rPr>
        <w:t>吉木萨尔县土壤有机质含量为1.5%，全氮含量为0.096%，碱解氮含量31.55ppm，速磷含量为5.04ppm，速钾含量为393.9ppm。规划区与属山前堆积平原，地势较高，长期干旱，风蚀作用相对较强，土地较为贫瘠。</w:t>
      </w:r>
    </w:p>
    <w:p>
      <w:pPr>
        <w:pStyle w:val="8"/>
        <w:rPr>
          <w:rFonts w:ascii="Times New Roman" w:hAnsi="Times New Roman" w:cs="Times New Roman"/>
          <w:color w:val="auto"/>
        </w:rPr>
      </w:pPr>
      <w:bookmarkStart w:id="225" w:name="_Toc27833"/>
      <w:bookmarkStart w:id="226" w:name="_Toc12455_WPSOffice_Level2"/>
      <w:bookmarkStart w:id="227" w:name="_Toc483293653"/>
      <w:bookmarkStart w:id="228" w:name="_Toc501940732"/>
      <w:bookmarkStart w:id="229" w:name="_Toc504733741"/>
      <w:bookmarkStart w:id="230" w:name="_Toc21768"/>
      <w:r>
        <w:rPr>
          <w:rFonts w:ascii="Times New Roman" w:hAnsi="Times New Roman" w:cs="Times New Roman"/>
          <w:color w:val="auto"/>
        </w:rPr>
        <w:t>4.2 环境质量现状调查与评价</w:t>
      </w:r>
      <w:bookmarkEnd w:id="225"/>
      <w:bookmarkEnd w:id="226"/>
      <w:bookmarkEnd w:id="227"/>
      <w:bookmarkEnd w:id="228"/>
      <w:bookmarkEnd w:id="229"/>
      <w:bookmarkEnd w:id="230"/>
    </w:p>
    <w:p>
      <w:pPr>
        <w:pStyle w:val="9"/>
        <w:rPr>
          <w:rFonts w:ascii="Times New Roman" w:hAnsi="Times New Roman" w:cs="Times New Roman"/>
          <w:color w:val="auto"/>
        </w:rPr>
      </w:pPr>
      <w:bookmarkStart w:id="231" w:name="_Toc504733742"/>
      <w:bookmarkStart w:id="232" w:name="_Toc501940733"/>
      <w:bookmarkStart w:id="233" w:name="_Toc16450"/>
      <w:bookmarkStart w:id="234" w:name="_Toc483293654"/>
      <w:r>
        <w:rPr>
          <w:rFonts w:ascii="Times New Roman" w:hAnsi="Times New Roman" w:cs="Times New Roman"/>
          <w:color w:val="auto"/>
        </w:rPr>
        <w:t>4.2.1 大气环境质量现状调查与评价</w:t>
      </w:r>
      <w:bookmarkEnd w:id="231"/>
      <w:bookmarkEnd w:id="232"/>
      <w:bookmarkEnd w:id="233"/>
      <w:bookmarkEnd w:id="234"/>
    </w:p>
    <w:p>
      <w:pPr>
        <w:pStyle w:val="1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4.2</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.1 </w:t>
      </w:r>
      <w:r>
        <w:rPr>
          <w:rFonts w:hint="eastAsia" w:cs="Times New Roman"/>
          <w:color w:val="auto"/>
          <w:highlight w:val="none"/>
          <w:lang w:val="en-US" w:eastAsia="zh-CN"/>
        </w:rPr>
        <w:t>基本污染物环境质量现状评价</w:t>
      </w:r>
    </w:p>
    <w:p>
      <w:pPr>
        <w:spacing w:line="520" w:lineRule="exact"/>
        <w:rPr>
          <w:rFonts w:ascii="Times New Roman" w:hAnsi="Times New Roman" w:cs="Times New Roman"/>
          <w:color w:val="auto"/>
        </w:rPr>
      </w:pPr>
      <w:r>
        <w:rPr>
          <w:rFonts w:ascii="Times New Roman" w:hAnsi="Times New Roman" w:cs="Times New Roman"/>
          <w:color w:val="auto"/>
        </w:rPr>
        <w:t>（1）数据来源</w:t>
      </w:r>
    </w:p>
    <w:p>
      <w:pPr>
        <w:spacing w:line="520" w:lineRule="exact"/>
        <w:rPr>
          <w:rFonts w:ascii="Times New Roman" w:hAnsi="Times New Roman" w:cs="Times New Roman"/>
          <w:color w:val="auto"/>
        </w:rPr>
      </w:pPr>
      <w:r>
        <w:rPr>
          <w:rFonts w:ascii="Times New Roman" w:hAnsi="Times New Roman" w:cs="Times New Roman"/>
          <w:color w:val="auto"/>
        </w:rPr>
        <w:t>根据《环境影响评价技术导则</w:t>
      </w:r>
      <w:r>
        <w:rPr>
          <w:rFonts w:hint="eastAsia" w:ascii="Times New Roman" w:hAnsi="Times New Roman" w:cs="Times New Roman"/>
          <w:color w:val="auto"/>
          <w:lang w:val="en-US" w:eastAsia="zh-CN"/>
        </w:rPr>
        <w:t xml:space="preserve"> </w:t>
      </w:r>
      <w:r>
        <w:rPr>
          <w:rFonts w:ascii="Times New Roman" w:hAnsi="Times New Roman" w:cs="Times New Roman"/>
          <w:color w:val="auto"/>
        </w:rPr>
        <w:t>大气环境》（H.J2.2-2018）中6.2.1.2：采用评价范围内国家或地方环境空气质量监测网中评价基准年连续1年的监测数据，或采用生态环境主管部门公开发布的环境空气质量现状数据。本次评价选择距离项目最近的吉木萨尔县环境监测站201</w:t>
      </w:r>
      <w:r>
        <w:rPr>
          <w:rFonts w:hint="eastAsia" w:ascii="Times New Roman" w:hAnsi="Times New Roman" w:cs="Times New Roman"/>
          <w:color w:val="auto"/>
          <w:lang w:val="en-US" w:eastAsia="zh-CN"/>
        </w:rPr>
        <w:t>9</w:t>
      </w:r>
      <w:r>
        <w:rPr>
          <w:rFonts w:ascii="Times New Roman" w:hAnsi="Times New Roman" w:cs="Times New Roman"/>
          <w:color w:val="auto"/>
        </w:rPr>
        <w:t>年的监测数据，作为本项目环境空气现状评价基本污染物SO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color w:val="auto"/>
        </w:rPr>
        <w:t>、CO和O</w:t>
      </w:r>
      <w:r>
        <w:rPr>
          <w:rFonts w:ascii="Times New Roman" w:hAnsi="Times New Roman" w:cs="Times New Roman"/>
          <w:color w:val="auto"/>
          <w:vertAlign w:val="subscript"/>
        </w:rPr>
        <w:t>3</w:t>
      </w:r>
      <w:r>
        <w:rPr>
          <w:rFonts w:ascii="Times New Roman" w:hAnsi="Times New Roman" w:cs="Times New Roman"/>
          <w:color w:val="auto"/>
        </w:rPr>
        <w:t>的数据来源可行。</w:t>
      </w:r>
    </w:p>
    <w:p>
      <w:pPr>
        <w:spacing w:line="520" w:lineRule="exact"/>
        <w:rPr>
          <w:rFonts w:ascii="Times New Roman" w:hAnsi="Times New Roman" w:cs="Times New Roman"/>
          <w:color w:val="auto"/>
        </w:rPr>
      </w:pPr>
      <w:r>
        <w:rPr>
          <w:rFonts w:ascii="Times New Roman" w:hAnsi="Times New Roman" w:cs="Times New Roman"/>
          <w:color w:val="auto"/>
        </w:rPr>
        <w:t>（2）评价标准</w:t>
      </w:r>
    </w:p>
    <w:p>
      <w:pPr>
        <w:spacing w:line="520" w:lineRule="exact"/>
        <w:rPr>
          <w:rFonts w:ascii="Times New Roman" w:hAnsi="Times New Roman" w:cs="Times New Roman"/>
          <w:color w:val="auto"/>
        </w:rPr>
      </w:pPr>
      <w:r>
        <w:rPr>
          <w:rFonts w:ascii="Times New Roman" w:hAnsi="Times New Roman" w:cs="Times New Roman"/>
          <w:color w:val="auto"/>
        </w:rPr>
        <w:t>基本污染物SO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color w:val="auto"/>
        </w:rPr>
        <w:t>、CO和O</w:t>
      </w:r>
      <w:r>
        <w:rPr>
          <w:rFonts w:ascii="Times New Roman" w:hAnsi="Times New Roman" w:cs="Times New Roman"/>
          <w:color w:val="auto"/>
          <w:vertAlign w:val="subscript"/>
        </w:rPr>
        <w:t>3</w:t>
      </w:r>
      <w:r>
        <w:rPr>
          <w:rFonts w:ascii="Times New Roman" w:hAnsi="Times New Roman" w:cs="Times New Roman"/>
          <w:color w:val="auto"/>
        </w:rPr>
        <w:t>执行《环境空气质量标准》（GB3095-2012）中的二级标准。</w:t>
      </w:r>
    </w:p>
    <w:p>
      <w:pPr>
        <w:spacing w:line="520" w:lineRule="exact"/>
        <w:rPr>
          <w:rFonts w:ascii="Times New Roman" w:hAnsi="Times New Roman" w:cs="Times New Roman"/>
          <w:color w:val="auto"/>
        </w:rPr>
      </w:pPr>
      <w:r>
        <w:rPr>
          <w:rFonts w:ascii="Times New Roman" w:hAnsi="Times New Roman" w:cs="Times New Roman"/>
          <w:color w:val="auto"/>
        </w:rPr>
        <w:t>（3）评价方法</w:t>
      </w:r>
    </w:p>
    <w:p>
      <w:pPr>
        <w:spacing w:line="520" w:lineRule="exact"/>
        <w:rPr>
          <w:rFonts w:ascii="Times New Roman" w:hAnsi="Times New Roman" w:cs="Times New Roman"/>
          <w:color w:val="auto"/>
        </w:rPr>
      </w:pPr>
      <w:r>
        <w:rPr>
          <w:rFonts w:ascii="Times New Roman" w:hAnsi="Times New Roman" w:cs="Times New Roman"/>
          <w:color w:val="auto"/>
        </w:rPr>
        <w:t>环境空气质量现状采用单因子污染指数法进行评价。</w:t>
      </w:r>
    </w:p>
    <w:p>
      <w:pPr>
        <w:spacing w:line="520" w:lineRule="exact"/>
        <w:rPr>
          <w:rFonts w:ascii="Times New Roman" w:hAnsi="Times New Roman" w:cs="Times New Roman"/>
          <w:color w:val="auto"/>
        </w:rPr>
      </w:pPr>
      <w:r>
        <w:rPr>
          <w:rFonts w:ascii="Times New Roman" w:hAnsi="Times New Roman" w:cs="Times New Roman"/>
          <w:color w:val="auto"/>
        </w:rPr>
        <w:t>计算公式为：</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eastAsiaTheme="minorEastAsia"/>
          <w:color w:val="auto"/>
          <w:position w:val="-30"/>
        </w:rPr>
        <w:object>
          <v:shape id="_x0000_i1030" o:spt="75" type="#_x0000_t75" style="height:34.2pt;width:42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式中：P</w:t>
      </w:r>
      <w:r>
        <w:rPr>
          <w:rFonts w:ascii="Times New Roman" w:hAnsi="Times New Roman" w:cs="Times New Roman"/>
          <w:color w:val="auto"/>
          <w:vertAlign w:val="subscript"/>
        </w:rPr>
        <w:t>i</w:t>
      </w:r>
      <w:r>
        <w:rPr>
          <w:rFonts w:ascii="Times New Roman" w:hAnsi="Times New Roman" w:cs="Times New Roman"/>
          <w:color w:val="auto"/>
        </w:rPr>
        <w:t>——污染物i的单项污染指数；</w:t>
      </w:r>
    </w:p>
    <w:p>
      <w:pPr>
        <w:spacing w:line="520" w:lineRule="exact"/>
        <w:rPr>
          <w:rFonts w:ascii="Times New Roman" w:hAnsi="Times New Roman" w:cs="Times New Roman"/>
          <w:color w:val="auto"/>
        </w:rPr>
      </w:pPr>
      <w:r>
        <w:rPr>
          <w:rFonts w:ascii="Times New Roman" w:hAnsi="Times New Roman" w:cs="Times New Roman"/>
          <w:color w:val="auto"/>
        </w:rPr>
        <w:t xml:space="preserve">      C</w:t>
      </w:r>
      <w:r>
        <w:rPr>
          <w:rFonts w:ascii="Times New Roman" w:hAnsi="Times New Roman" w:cs="Times New Roman"/>
          <w:color w:val="auto"/>
          <w:vertAlign w:val="subscript"/>
        </w:rPr>
        <w:t>i</w:t>
      </w:r>
      <w:r>
        <w:rPr>
          <w:rFonts w:ascii="Times New Roman" w:hAnsi="Times New Roman" w:cs="Times New Roman"/>
          <w:color w:val="auto"/>
        </w:rPr>
        <w:t>——污染物i的实测浓度值（mg/m</w:t>
      </w:r>
      <w:r>
        <w:rPr>
          <w:rFonts w:ascii="Times New Roman" w:hAnsi="Times New Roman" w:cs="Times New Roman"/>
          <w:color w:val="auto"/>
          <w:vertAlign w:val="superscript"/>
        </w:rPr>
        <w:t>3</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 xml:space="preserve">      C</w:t>
      </w:r>
      <w:r>
        <w:rPr>
          <w:rFonts w:ascii="Times New Roman" w:hAnsi="Times New Roman" w:cs="Times New Roman"/>
          <w:color w:val="auto"/>
          <w:vertAlign w:val="subscript"/>
        </w:rPr>
        <w:t>oi</w:t>
      </w:r>
      <w:r>
        <w:rPr>
          <w:rFonts w:ascii="Times New Roman" w:hAnsi="Times New Roman" w:cs="Times New Roman"/>
          <w:color w:val="auto"/>
        </w:rPr>
        <w:t>——污染物i的评价标准（mg/m</w:t>
      </w:r>
      <w:r>
        <w:rPr>
          <w:rFonts w:ascii="Times New Roman" w:hAnsi="Times New Roman" w:cs="Times New Roman"/>
          <w:color w:val="auto"/>
          <w:vertAlign w:val="superscript"/>
        </w:rPr>
        <w:t>3</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（4）区域达标判定</w:t>
      </w:r>
    </w:p>
    <w:p>
      <w:pPr>
        <w:spacing w:line="520" w:lineRule="exact"/>
        <w:rPr>
          <w:rFonts w:ascii="Times New Roman" w:hAnsi="Times New Roman" w:cs="Times New Roman"/>
          <w:color w:val="auto"/>
        </w:rPr>
      </w:pPr>
      <w:r>
        <w:rPr>
          <w:rFonts w:ascii="Times New Roman" w:hAnsi="Times New Roman" w:cs="Times New Roman"/>
          <w:color w:val="auto"/>
        </w:rPr>
        <w:t>根据201</w:t>
      </w:r>
      <w:r>
        <w:rPr>
          <w:rFonts w:hint="eastAsia" w:ascii="Times New Roman" w:hAnsi="Times New Roman" w:cs="Times New Roman"/>
          <w:color w:val="auto"/>
          <w:lang w:val="en-US" w:eastAsia="zh-CN"/>
        </w:rPr>
        <w:t>9</w:t>
      </w:r>
      <w:r>
        <w:rPr>
          <w:rFonts w:ascii="Times New Roman" w:hAnsi="Times New Roman" w:cs="Times New Roman"/>
          <w:color w:val="auto"/>
        </w:rPr>
        <w:t>年吉木萨尔县环境监测站空气质量逐日统计结果，SO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color w:val="auto"/>
        </w:rPr>
        <w:t>、CO、O</w:t>
      </w:r>
      <w:r>
        <w:rPr>
          <w:rFonts w:ascii="Times New Roman" w:hAnsi="Times New Roman" w:cs="Times New Roman"/>
          <w:color w:val="auto"/>
          <w:vertAlign w:val="subscript"/>
        </w:rPr>
        <w:t>3</w:t>
      </w:r>
      <w:r>
        <w:rPr>
          <w:rFonts w:ascii="Times New Roman" w:hAnsi="Times New Roman" w:cs="Times New Roman"/>
          <w:color w:val="auto"/>
        </w:rPr>
        <w:t>各有365个有效数据，空气质量达标区判定结果见表</w:t>
      </w:r>
      <w:r>
        <w:rPr>
          <w:rFonts w:hint="eastAsia" w:ascii="Times New Roman" w:hAnsi="Times New Roman" w:cs="Times New Roman"/>
          <w:color w:val="auto"/>
        </w:rPr>
        <w:t>4.2-1</w:t>
      </w:r>
      <w:r>
        <w:rPr>
          <w:rFonts w:ascii="Times New Roman" w:hAnsi="Times New Roman" w:cs="Times New Roman"/>
          <w:color w:val="auto"/>
        </w:rPr>
        <w:t>。</w:t>
      </w:r>
    </w:p>
    <w:p>
      <w:pPr>
        <w:wordWrap w:val="0"/>
        <w:overflowPunct w:val="0"/>
        <w:spacing w:line="520" w:lineRule="exact"/>
        <w:ind w:firstLine="422"/>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表</w:t>
      </w:r>
      <w:r>
        <w:rPr>
          <w:rFonts w:hint="eastAsia" w:ascii="Times New Roman" w:hAnsi="Times New Roman" w:cs="Times New Roman" w:eastAsiaTheme="minorEastAsia"/>
          <w:b/>
          <w:bCs/>
          <w:color w:val="auto"/>
          <w:sz w:val="21"/>
          <w:szCs w:val="21"/>
        </w:rPr>
        <w:t>4.2-1</w:t>
      </w:r>
      <w:r>
        <w:rPr>
          <w:rFonts w:ascii="Times New Roman" w:hAnsi="Times New Roman" w:cs="Times New Roman" w:eastAsiaTheme="minorEastAsia"/>
          <w:b/>
          <w:bCs/>
          <w:color w:val="auto"/>
          <w:sz w:val="21"/>
          <w:szCs w:val="21"/>
        </w:rPr>
        <w:t xml:space="preserve">   区域空气质量现状评价表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2006"/>
        <w:gridCol w:w="1411"/>
        <w:gridCol w:w="1135"/>
        <w:gridCol w:w="1790"/>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17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平均时段</w:t>
            </w:r>
          </w:p>
        </w:tc>
        <w:tc>
          <w:tcPr>
            <w:tcW w:w="82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w:t>
            </w:r>
          </w:p>
        </w:tc>
        <w:tc>
          <w:tcPr>
            <w:tcW w:w="6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0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占标率（%）</w:t>
            </w:r>
          </w:p>
        </w:tc>
        <w:tc>
          <w:tcPr>
            <w:tcW w:w="6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vertAlign w:val="baseline"/>
                <w:lang w:eastAsia="zh-CN"/>
              </w:rPr>
              <w:t>SO</w:t>
            </w:r>
            <w:r>
              <w:rPr>
                <w:rFonts w:hint="eastAsia" w:ascii="Times New Roman" w:hAnsi="Times New Roman" w:eastAsia="宋体" w:cs="Times New Roman"/>
                <w:color w:val="auto"/>
                <w:sz w:val="21"/>
                <w:szCs w:val="21"/>
                <w:vertAlign w:val="subscript"/>
                <w:lang w:eastAsia="zh-CN"/>
              </w:rPr>
              <w:t>2</w:t>
            </w:r>
          </w:p>
        </w:tc>
        <w:tc>
          <w:tcPr>
            <w:tcW w:w="117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2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6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0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13.33</w:t>
            </w:r>
          </w:p>
        </w:tc>
        <w:tc>
          <w:tcPr>
            <w:tcW w:w="6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vertAlign w:val="baseline"/>
                <w:lang w:eastAsia="zh-CN"/>
              </w:rPr>
              <w:t>NO</w:t>
            </w:r>
            <w:r>
              <w:rPr>
                <w:rFonts w:hint="eastAsia" w:ascii="Times New Roman" w:hAnsi="Times New Roman" w:eastAsia="宋体" w:cs="Times New Roman"/>
                <w:color w:val="auto"/>
                <w:sz w:val="21"/>
                <w:szCs w:val="21"/>
                <w:vertAlign w:val="subscript"/>
                <w:lang w:eastAsia="zh-CN"/>
              </w:rPr>
              <w:t>2</w:t>
            </w:r>
          </w:p>
        </w:tc>
        <w:tc>
          <w:tcPr>
            <w:tcW w:w="117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2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r>
              <w:rPr>
                <w:rFonts w:hint="default" w:ascii="Times New Roman" w:hAnsi="Times New Roman" w:eastAsia="宋体" w:cs="Times New Roman"/>
                <w:color w:val="auto"/>
                <w:sz w:val="21"/>
                <w:szCs w:val="21"/>
                <w:lang w:val="en-US" w:eastAsia="zh-CN"/>
              </w:rPr>
              <w:t>5</w:t>
            </w:r>
          </w:p>
        </w:tc>
        <w:tc>
          <w:tcPr>
            <w:tcW w:w="6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0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w:t>
            </w:r>
          </w:p>
        </w:tc>
        <w:tc>
          <w:tcPr>
            <w:tcW w:w="6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vertAlign w:val="baseline"/>
                <w:lang w:eastAsia="zh-CN"/>
              </w:rPr>
              <w:t>PM</w:t>
            </w:r>
            <w:r>
              <w:rPr>
                <w:rFonts w:hint="eastAsia" w:ascii="Times New Roman" w:hAnsi="Times New Roman" w:eastAsia="宋体" w:cs="Times New Roman"/>
                <w:color w:val="auto"/>
                <w:sz w:val="21"/>
                <w:szCs w:val="21"/>
                <w:vertAlign w:val="subscript"/>
                <w:lang w:eastAsia="zh-CN"/>
              </w:rPr>
              <w:t>10</w:t>
            </w:r>
          </w:p>
        </w:tc>
        <w:tc>
          <w:tcPr>
            <w:tcW w:w="117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2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w:t>
            </w:r>
          </w:p>
        </w:tc>
        <w:tc>
          <w:tcPr>
            <w:tcW w:w="6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0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118.6</w:t>
            </w:r>
          </w:p>
        </w:tc>
        <w:tc>
          <w:tcPr>
            <w:tcW w:w="6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vertAlign w:val="baseline"/>
                <w:lang w:eastAsia="zh-CN"/>
              </w:rPr>
              <w:t>PM</w:t>
            </w:r>
            <w:r>
              <w:rPr>
                <w:rFonts w:hint="eastAsia" w:ascii="Times New Roman" w:hAnsi="Times New Roman" w:eastAsia="宋体" w:cs="Times New Roman"/>
                <w:color w:val="auto"/>
                <w:sz w:val="21"/>
                <w:szCs w:val="21"/>
                <w:vertAlign w:val="subscript"/>
                <w:lang w:eastAsia="zh-CN"/>
              </w:rPr>
              <w:t>2</w:t>
            </w:r>
            <w:r>
              <w:rPr>
                <w:rFonts w:hint="default" w:ascii="Times New Roman" w:hAnsi="Times New Roman" w:eastAsia="宋体" w:cs="Times New Roman"/>
                <w:color w:val="auto"/>
                <w:sz w:val="21"/>
                <w:szCs w:val="21"/>
                <w:vertAlign w:val="subscript"/>
              </w:rPr>
              <w:t>.5</w:t>
            </w:r>
          </w:p>
        </w:tc>
        <w:tc>
          <w:tcPr>
            <w:tcW w:w="117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82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6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0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137.1</w:t>
            </w:r>
          </w:p>
        </w:tc>
        <w:tc>
          <w:tcPr>
            <w:tcW w:w="6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17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24小时平均第95百分位数</w:t>
            </w:r>
          </w:p>
        </w:tc>
        <w:tc>
          <w:tcPr>
            <w:tcW w:w="82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0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6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17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8小时平均第90百分位数</w:t>
            </w:r>
          </w:p>
        </w:tc>
        <w:tc>
          <w:tcPr>
            <w:tcW w:w="82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c>
          <w:tcPr>
            <w:tcW w:w="6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0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51.25</w:t>
            </w:r>
          </w:p>
        </w:tc>
        <w:tc>
          <w:tcPr>
            <w:tcW w:w="6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spacing w:line="520" w:lineRule="exact"/>
        <w:rPr>
          <w:rFonts w:ascii="Times New Roman" w:hAnsi="Times New Roman" w:cs="Times New Roman"/>
          <w:color w:val="auto"/>
        </w:rPr>
      </w:pPr>
      <w:r>
        <w:rPr>
          <w:rFonts w:ascii="Times New Roman" w:hAnsi="Times New Roman" w:cs="Times New Roman"/>
          <w:color w:val="auto"/>
        </w:rPr>
        <w:t>项目所在区域SO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、CO及O</w:t>
      </w:r>
      <w:r>
        <w:rPr>
          <w:rFonts w:ascii="Times New Roman" w:hAnsi="Times New Roman" w:cs="Times New Roman"/>
          <w:color w:val="auto"/>
          <w:vertAlign w:val="subscript"/>
        </w:rPr>
        <w:t>3</w:t>
      </w:r>
      <w:r>
        <w:rPr>
          <w:rFonts w:ascii="Times New Roman" w:hAnsi="Times New Roman" w:cs="Times New Roman"/>
          <w:color w:val="auto"/>
        </w:rPr>
        <w:t>年均浓度均满足《环境空气质量标准》（GB3095-2012）的二级标准要求；PM</w:t>
      </w:r>
      <w:r>
        <w:rPr>
          <w:rFonts w:ascii="Times New Roman" w:hAnsi="Times New Roman" w:cs="Times New Roman"/>
          <w:color w:val="auto"/>
          <w:vertAlign w:val="subscript"/>
        </w:rPr>
        <w:t>10</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color w:val="auto"/>
        </w:rPr>
        <w:t>年均浓度均超过《环境空气质量标准》（GB3095-2012）的二级标准要求，本项目所在区域为非达标区域。</w:t>
      </w:r>
    </w:p>
    <w:p>
      <w:pPr>
        <w:spacing w:line="520" w:lineRule="exact"/>
        <w:rPr>
          <w:rFonts w:ascii="Times New Roman" w:hAnsi="Times New Roman" w:cs="Times New Roman"/>
          <w:color w:val="auto"/>
        </w:rPr>
      </w:pPr>
      <w:r>
        <w:rPr>
          <w:rFonts w:ascii="Times New Roman" w:hAnsi="Times New Roman" w:cs="Times New Roman"/>
          <w:color w:val="auto"/>
        </w:rPr>
        <w:t>（5）基本污染物环境质量现状评价</w:t>
      </w:r>
    </w:p>
    <w:p>
      <w:pPr>
        <w:spacing w:line="520" w:lineRule="exact"/>
        <w:rPr>
          <w:rFonts w:ascii="Times New Roman" w:hAnsi="Times New Roman" w:cs="Times New Roman"/>
          <w:color w:val="auto"/>
        </w:rPr>
      </w:pPr>
      <w:r>
        <w:rPr>
          <w:rFonts w:ascii="Times New Roman" w:hAnsi="Times New Roman" w:cs="Times New Roman"/>
          <w:color w:val="auto"/>
        </w:rPr>
        <w:t>根据201</w:t>
      </w:r>
      <w:r>
        <w:rPr>
          <w:rFonts w:hint="eastAsia" w:ascii="Times New Roman" w:hAnsi="Times New Roman" w:cs="Times New Roman"/>
          <w:color w:val="auto"/>
          <w:lang w:val="en-US" w:eastAsia="zh-CN"/>
        </w:rPr>
        <w:t>9</w:t>
      </w:r>
      <w:r>
        <w:rPr>
          <w:rFonts w:ascii="Times New Roman" w:hAnsi="Times New Roman" w:cs="Times New Roman"/>
          <w:color w:val="auto"/>
        </w:rPr>
        <w:t>年吉木萨尔县监测站空气质量逐日统计结果，SO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、PM</w:t>
      </w:r>
      <w:r>
        <w:rPr>
          <w:rFonts w:ascii="Times New Roman" w:hAnsi="Times New Roman" w:cs="Times New Roman"/>
          <w:color w:val="auto"/>
          <w:vertAlign w:val="subscript"/>
        </w:rPr>
        <w:t>2.5</w:t>
      </w:r>
      <w:r>
        <w:rPr>
          <w:rFonts w:ascii="Times New Roman" w:hAnsi="Times New Roman" w:cs="Times New Roman"/>
          <w:color w:val="auto"/>
        </w:rPr>
        <w:t>、CO、O</w:t>
      </w:r>
      <w:r>
        <w:rPr>
          <w:rFonts w:ascii="Times New Roman" w:hAnsi="Times New Roman" w:cs="Times New Roman"/>
          <w:color w:val="auto"/>
          <w:vertAlign w:val="subscript"/>
        </w:rPr>
        <w:t>3</w:t>
      </w:r>
      <w:r>
        <w:rPr>
          <w:rFonts w:ascii="Times New Roman" w:hAnsi="Times New Roman" w:cs="Times New Roman"/>
          <w:color w:val="auto"/>
        </w:rPr>
        <w:t>各有356个有效数据，见表</w:t>
      </w:r>
      <w:r>
        <w:rPr>
          <w:rFonts w:hint="eastAsia" w:ascii="Times New Roman" w:hAnsi="Times New Roman" w:cs="Times New Roman"/>
          <w:color w:val="auto"/>
        </w:rPr>
        <w:t>4.2-1</w:t>
      </w:r>
      <w:r>
        <w:rPr>
          <w:rFonts w:ascii="Times New Roman" w:hAnsi="Times New Roman" w:cs="Times New Roman"/>
          <w:color w:val="auto"/>
        </w:rPr>
        <w:t>，分析可知，</w:t>
      </w:r>
      <w:r>
        <w:rPr>
          <w:rFonts w:hint="eastAsia" w:ascii="Times New Roman" w:hAnsi="Times New Roman" w:cs="Times New Roman"/>
          <w:color w:val="auto"/>
          <w:lang w:val="en-US" w:eastAsia="zh-CN"/>
        </w:rPr>
        <w:t>项目</w:t>
      </w:r>
      <w:r>
        <w:rPr>
          <w:rFonts w:ascii="Times New Roman" w:hAnsi="Times New Roman" w:cs="Times New Roman"/>
          <w:color w:val="auto"/>
        </w:rPr>
        <w:t>所在区域不达标的污染物PM</w:t>
      </w:r>
      <w:r>
        <w:rPr>
          <w:rFonts w:ascii="Times New Roman" w:hAnsi="Times New Roman" w:cs="Times New Roman"/>
          <w:color w:val="auto"/>
          <w:vertAlign w:val="subscript"/>
        </w:rPr>
        <w:t>2.5</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的百分位数</w:t>
      </w:r>
      <w:r>
        <w:rPr>
          <w:rFonts w:hint="eastAsia" w:ascii="Times New Roman" w:hAnsi="Times New Roman" w:cs="Times New Roman"/>
          <w:color w:val="auto"/>
          <w:lang w:val="en-US" w:eastAsia="zh-CN"/>
        </w:rPr>
        <w:t>年</w:t>
      </w:r>
      <w:r>
        <w:rPr>
          <w:rFonts w:ascii="Times New Roman" w:hAnsi="Times New Roman" w:cs="Times New Roman"/>
          <w:color w:val="auto"/>
        </w:rPr>
        <w:t>平均浓度最大占标率分别为</w:t>
      </w:r>
      <w:r>
        <w:rPr>
          <w:rFonts w:hint="eastAsia" w:ascii="Times New Roman" w:hAnsi="Times New Roman" w:cs="Times New Roman"/>
          <w:color w:val="auto"/>
          <w:lang w:val="en-US" w:eastAsia="zh-CN"/>
        </w:rPr>
        <w:t>137.1</w:t>
      </w:r>
      <w:r>
        <w:rPr>
          <w:rFonts w:ascii="Times New Roman" w:hAnsi="Times New Roman" w:cs="Times New Roman"/>
          <w:color w:val="auto"/>
        </w:rPr>
        <w:t>%、</w:t>
      </w:r>
      <w:r>
        <w:rPr>
          <w:rFonts w:hint="eastAsia" w:ascii="Times New Roman" w:hAnsi="Times New Roman" w:cs="Times New Roman"/>
          <w:color w:val="auto"/>
          <w:lang w:val="en-US" w:eastAsia="zh-CN"/>
        </w:rPr>
        <w:t>118.6</w:t>
      </w:r>
      <w:r>
        <w:rPr>
          <w:rFonts w:ascii="Times New Roman" w:hAnsi="Times New Roman" w:cs="Times New Roman"/>
          <w:color w:val="auto"/>
        </w:rPr>
        <w:t>%，因此，根据对基本污染物的年评价指标的分析结果，</w:t>
      </w:r>
      <w:r>
        <w:rPr>
          <w:rFonts w:hint="eastAsia" w:ascii="Times New Roman" w:hAnsi="Times New Roman" w:cs="Times New Roman"/>
          <w:color w:val="auto"/>
          <w:lang w:val="en-US" w:eastAsia="zh-CN"/>
        </w:rPr>
        <w:t>项目</w:t>
      </w:r>
      <w:r>
        <w:rPr>
          <w:rFonts w:ascii="Times New Roman" w:hAnsi="Times New Roman" w:cs="Times New Roman"/>
          <w:color w:val="auto"/>
        </w:rPr>
        <w:t>所在区域SO</w:t>
      </w:r>
      <w:r>
        <w:rPr>
          <w:rFonts w:ascii="Times New Roman" w:hAnsi="Times New Roman" w:cs="Times New Roman"/>
          <w:color w:val="auto"/>
          <w:vertAlign w:val="subscript"/>
        </w:rPr>
        <w:t>2</w:t>
      </w:r>
      <w:r>
        <w:rPr>
          <w:rFonts w:ascii="Times New Roman" w:hAnsi="Times New Roman" w:cs="Times New Roman"/>
          <w:color w:val="auto"/>
        </w:rPr>
        <w:t>、NO</w:t>
      </w:r>
      <w:r>
        <w:rPr>
          <w:rFonts w:ascii="Times New Roman" w:hAnsi="Times New Roman" w:cs="Times New Roman"/>
          <w:color w:val="auto"/>
          <w:vertAlign w:val="subscript"/>
        </w:rPr>
        <w:t>2</w:t>
      </w:r>
      <w:r>
        <w:rPr>
          <w:rFonts w:ascii="Times New Roman" w:hAnsi="Times New Roman" w:cs="Times New Roman"/>
          <w:color w:val="auto"/>
        </w:rPr>
        <w:t>、CO、O</w:t>
      </w:r>
      <w:r>
        <w:rPr>
          <w:rFonts w:ascii="Times New Roman" w:hAnsi="Times New Roman" w:cs="Times New Roman"/>
          <w:color w:val="auto"/>
          <w:vertAlign w:val="subscript"/>
        </w:rPr>
        <w:t>3</w:t>
      </w:r>
      <w:r>
        <w:rPr>
          <w:rFonts w:ascii="Times New Roman" w:hAnsi="Times New Roman" w:cs="Times New Roman"/>
          <w:color w:val="auto"/>
        </w:rPr>
        <w:t>的年评价指标为达标；PM</w:t>
      </w:r>
      <w:r>
        <w:rPr>
          <w:rFonts w:ascii="Times New Roman" w:hAnsi="Times New Roman" w:cs="Times New Roman"/>
          <w:color w:val="auto"/>
          <w:vertAlign w:val="subscript"/>
        </w:rPr>
        <w:t>2.5</w:t>
      </w:r>
      <w:r>
        <w:rPr>
          <w:rFonts w:ascii="Times New Roman" w:hAnsi="Times New Roman" w:cs="Times New Roman"/>
          <w:color w:val="auto"/>
        </w:rPr>
        <w:t>、PM</w:t>
      </w:r>
      <w:r>
        <w:rPr>
          <w:rFonts w:ascii="Times New Roman" w:hAnsi="Times New Roman" w:cs="Times New Roman"/>
          <w:color w:val="auto"/>
          <w:vertAlign w:val="subscript"/>
        </w:rPr>
        <w:t>10</w:t>
      </w:r>
      <w:r>
        <w:rPr>
          <w:rFonts w:ascii="Times New Roman" w:hAnsi="Times New Roman" w:cs="Times New Roman"/>
          <w:color w:val="auto"/>
        </w:rPr>
        <w:t>的年评价指标均有超标。</w:t>
      </w:r>
    </w:p>
    <w:p>
      <w:pPr>
        <w:pStyle w:val="10"/>
        <w:rPr>
          <w:rFonts w:hint="default" w:ascii="Times New Roman" w:hAnsi="Times New Roman" w:cs="Times New Roman"/>
          <w:color w:val="auto"/>
          <w:highlight w:val="none"/>
          <w:lang w:eastAsia="zh-CN"/>
        </w:rPr>
      </w:pPr>
      <w:bookmarkStart w:id="235" w:name="_Toc445393748"/>
      <w:bookmarkStart w:id="236" w:name="_Toc391896413"/>
      <w:bookmarkStart w:id="237" w:name="_Toc515900225"/>
      <w:bookmarkStart w:id="238" w:name="_Toc391919887"/>
      <w:bookmarkStart w:id="239" w:name="_Toc31153"/>
      <w:bookmarkStart w:id="240" w:name="_Toc422417059"/>
      <w:r>
        <w:rPr>
          <w:rFonts w:hint="eastAsia" w:ascii="Times New Roman" w:hAnsi="Times New Roman" w:cs="Times New Roman"/>
          <w:color w:val="auto"/>
          <w:highlight w:val="none"/>
          <w:lang w:val="en-US" w:eastAsia="zh-CN"/>
        </w:rPr>
        <w:t>4.2</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特征污染物环境质量现状评价</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（1）监测布点</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评价特征污染物监测测数据引用2019年11月7日至13日新疆新环监测检测研究院（有限公司）对《吉木萨尔县北庭工业园区总体规划（2019年-2030年）环境影响报告书》的监测数据。监测点特征污染物结果能够代表本项目所在区域特征污染物现状。各监测点名称及相对位置、距离详见表4.2-2及图4.2-1。</w:t>
      </w:r>
    </w:p>
    <w:p>
      <w:pPr>
        <w:keepNext w:val="0"/>
        <w:keepLines w:val="0"/>
        <w:pageBreakBefore w:val="0"/>
        <w:widowControl w:val="0"/>
        <w:kinsoku/>
        <w:wordWrap w:val="0"/>
        <w:overflowPunct w:val="0"/>
        <w:topLinePunct w:val="0"/>
        <w:autoSpaceDE/>
        <w:autoSpaceDN/>
        <w:bidi w:val="0"/>
        <w:adjustRightInd/>
        <w:snapToGrid/>
        <w:spacing w:line="520" w:lineRule="exact"/>
        <w:ind w:firstLine="422" w:firstLineChars="20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w:t>
      </w:r>
      <w:r>
        <w:rPr>
          <w:rFonts w:hint="eastAsia" w:ascii="Times New Roman" w:hAnsi="Times New Roman" w:cs="Times New Roman" w:eastAsiaTheme="minorEastAsia"/>
          <w:b/>
          <w:bCs/>
          <w:color w:val="auto"/>
          <w:sz w:val="21"/>
          <w:szCs w:val="21"/>
          <w:highlight w:val="none"/>
          <w:lang w:val="en-US" w:eastAsia="zh-CN"/>
        </w:rPr>
        <w:t>4.2-2</w:t>
      </w:r>
      <w:r>
        <w:rPr>
          <w:rFonts w:hint="default" w:ascii="Times New Roman" w:hAnsi="Times New Roman" w:cs="Times New Roman" w:eastAsiaTheme="minorEastAsia"/>
          <w:b/>
          <w:bCs/>
          <w:color w:val="auto"/>
          <w:sz w:val="21"/>
          <w:szCs w:val="21"/>
          <w:highlight w:val="none"/>
          <w:lang w:val="en-US" w:eastAsia="zh-CN"/>
        </w:rPr>
        <w:t xml:space="preserve">   特征污染物监测点位基本信息</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705"/>
        <w:gridCol w:w="1215"/>
        <w:gridCol w:w="1320"/>
        <w:gridCol w:w="1455"/>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3"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1705"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监测点坐标</w:t>
            </w:r>
          </w:p>
        </w:tc>
        <w:tc>
          <w:tcPr>
            <w:tcW w:w="1215"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320"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监测时段</w:t>
            </w:r>
          </w:p>
        </w:tc>
        <w:tc>
          <w:tcPr>
            <w:tcW w:w="1455"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相对方位</w:t>
            </w:r>
          </w:p>
        </w:tc>
        <w:tc>
          <w:tcPr>
            <w:tcW w:w="1514"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相对距离/km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3" w:type="dxa"/>
            <w:vAlign w:val="center"/>
          </w:tcPr>
          <w:p>
            <w:pPr>
              <w:pStyle w:val="36"/>
              <w:keepNext w:val="0"/>
              <w:keepLines w:val="0"/>
              <w:pageBreakBefore w:val="0"/>
              <w:widowControl w:val="0"/>
              <w:kinsoku/>
              <w:wordWrap/>
              <w:overflowPunct/>
              <w:topLinePunct w:val="0"/>
              <w:bidi w:val="0"/>
              <w:spacing w:line="240" w:lineRule="auto"/>
              <w:ind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哈家湾村</w:t>
            </w:r>
          </w:p>
        </w:tc>
        <w:tc>
          <w:tcPr>
            <w:tcW w:w="1705" w:type="dxa"/>
            <w:vAlign w:val="center"/>
          </w:tcPr>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E：89°10′30.86″</w:t>
            </w:r>
          </w:p>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N：43°57′28.01″</w:t>
            </w:r>
          </w:p>
        </w:tc>
        <w:tc>
          <w:tcPr>
            <w:tcW w:w="1215" w:type="dxa"/>
            <w:vMerge w:val="restart"/>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S、NH</w:t>
            </w:r>
            <w:r>
              <w:rPr>
                <w:rFonts w:hint="default" w:ascii="Times New Roman" w:hAnsi="Times New Roman" w:eastAsia="宋体" w:cs="Times New Roman"/>
                <w:color w:val="auto"/>
                <w:sz w:val="21"/>
                <w:szCs w:val="21"/>
                <w:vertAlign w:val="subscript"/>
              </w:rPr>
              <w:t>3</w:t>
            </w:r>
          </w:p>
        </w:tc>
        <w:tc>
          <w:tcPr>
            <w:tcW w:w="132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每天4次</w:t>
            </w:r>
          </w:p>
        </w:tc>
        <w:tc>
          <w:tcPr>
            <w:tcW w:w="1455" w:type="dxa"/>
            <w:vAlign w:val="center"/>
          </w:tcPr>
          <w:p>
            <w:pPr>
              <w:pStyle w:val="21"/>
              <w:keepNext w:val="0"/>
              <w:keepLines w:val="0"/>
              <w:pageBreakBefore w:val="0"/>
              <w:widowControl w:val="0"/>
              <w:kinsoku/>
              <w:wordWrap/>
              <w:overflowPunct/>
              <w:topLinePunct w:val="0"/>
              <w:bidi w:val="0"/>
              <w:spacing w:beforeLines="0" w:afterLines="0" w:line="240" w:lineRule="auto"/>
              <w:ind w:right="0" w:firstLine="0" w:firstLineChars="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w:t>
            </w:r>
            <w:r>
              <w:rPr>
                <w:rFonts w:hint="eastAsia" w:ascii="Times New Roman" w:hAnsi="Times New Roman" w:eastAsia="宋体" w:cs="Times New Roman"/>
                <w:color w:val="auto"/>
                <w:sz w:val="21"/>
                <w:szCs w:val="21"/>
                <w:lang w:val="en-US" w:eastAsia="zh-CN"/>
              </w:rPr>
              <w:t>S</w:t>
            </w:r>
          </w:p>
        </w:tc>
        <w:tc>
          <w:tcPr>
            <w:tcW w:w="1514" w:type="dxa"/>
            <w:vAlign w:val="center"/>
          </w:tcPr>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3" w:type="dxa"/>
            <w:vAlign w:val="center"/>
          </w:tcPr>
          <w:p>
            <w:pPr>
              <w:pStyle w:val="36"/>
              <w:keepNext w:val="0"/>
              <w:keepLines w:val="0"/>
              <w:pageBreakBefore w:val="0"/>
              <w:widowControl w:val="0"/>
              <w:kinsoku/>
              <w:wordWrap/>
              <w:overflowPunct/>
              <w:topLinePunct w:val="0"/>
              <w:bidi w:val="0"/>
              <w:spacing w:line="240" w:lineRule="auto"/>
              <w:ind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西梁村</w:t>
            </w:r>
          </w:p>
        </w:tc>
        <w:tc>
          <w:tcPr>
            <w:tcW w:w="1705" w:type="dxa"/>
            <w:vAlign w:val="center"/>
          </w:tcPr>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E：89°13′16.51″</w:t>
            </w:r>
          </w:p>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N：43°58′38.3″</w:t>
            </w:r>
          </w:p>
        </w:tc>
        <w:tc>
          <w:tcPr>
            <w:tcW w:w="1215" w:type="dxa"/>
            <w:vMerge w:val="continue"/>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132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每天4次</w:t>
            </w:r>
          </w:p>
        </w:tc>
        <w:tc>
          <w:tcPr>
            <w:tcW w:w="1455" w:type="dxa"/>
            <w:vAlign w:val="center"/>
          </w:tcPr>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E</w:t>
            </w:r>
            <w:r>
              <w:rPr>
                <w:rFonts w:hint="eastAsia" w:ascii="Times New Roman" w:hAnsi="Times New Roman" w:cs="Times New Roman"/>
                <w:color w:val="auto"/>
                <w:sz w:val="21"/>
                <w:szCs w:val="21"/>
                <w:lang w:val="en-US" w:eastAsia="zh-CN"/>
              </w:rPr>
              <w:t>S</w:t>
            </w:r>
          </w:p>
        </w:tc>
        <w:tc>
          <w:tcPr>
            <w:tcW w:w="1514" w:type="dxa"/>
            <w:vAlign w:val="center"/>
          </w:tcPr>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r>
    </w:tbl>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（2）监测时间及频率及监测单位</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监测时间：H</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S、NH</w:t>
      </w:r>
      <w:r>
        <w:rPr>
          <w:rFonts w:hint="eastAsia" w:ascii="Times New Roman" w:hAnsi="Times New Roman" w:cs="Times New Roman"/>
          <w:color w:val="auto"/>
          <w:highlight w:val="none"/>
          <w:vertAlign w:val="subscript"/>
          <w:lang w:val="en-US" w:eastAsia="zh-CN"/>
        </w:rPr>
        <w:t>3</w:t>
      </w:r>
      <w:r>
        <w:rPr>
          <w:rFonts w:hint="eastAsia" w:ascii="Times New Roman" w:hAnsi="Times New Roman" w:cs="Times New Roman"/>
          <w:color w:val="auto"/>
          <w:highlight w:val="none"/>
          <w:lang w:val="en-US" w:eastAsia="zh-CN"/>
        </w:rPr>
        <w:t>，2019年11月7日至11月13日，连续7天监测，由新疆新环监测检测研究院（有限公司）完成。</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监测频率：每日监测4次。</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（3）评价标准</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H</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S、NH</w:t>
      </w:r>
      <w:r>
        <w:rPr>
          <w:rFonts w:hint="eastAsia" w:ascii="Times New Roman" w:hAnsi="Times New Roman" w:cs="Times New Roman"/>
          <w:color w:val="auto"/>
          <w:highlight w:val="none"/>
          <w:vertAlign w:val="subscript"/>
          <w:lang w:val="en-US" w:eastAsia="zh-CN"/>
        </w:rPr>
        <w:t>3</w:t>
      </w:r>
      <w:r>
        <w:rPr>
          <w:rFonts w:hint="eastAsia" w:ascii="Times New Roman" w:hAnsi="Times New Roman" w:cs="Times New Roman"/>
          <w:color w:val="auto"/>
          <w:highlight w:val="none"/>
          <w:lang w:val="en-US" w:eastAsia="zh-CN"/>
        </w:rPr>
        <w:t>执行</w:t>
      </w:r>
      <w:r>
        <w:rPr>
          <w:rFonts w:hint="default" w:ascii="Times New Roman" w:hAnsi="Times New Roman" w:cs="Times New Roman"/>
          <w:color w:val="auto"/>
          <w:spacing w:val="0"/>
          <w:sz w:val="24"/>
          <w:szCs w:val="24"/>
          <w:highlight w:val="none"/>
          <w:lang w:val="en-US" w:eastAsia="zh-CN"/>
        </w:rPr>
        <w:t>参照《环境影响评价技术导则 大气环境》（HJ2.2-2018）附录D中表D.1相关浓度标准值</w:t>
      </w:r>
      <w:r>
        <w:rPr>
          <w:rFonts w:hint="eastAsia" w:ascii="Times New Roman" w:hAnsi="Times New Roman" w:cs="Times New Roman"/>
          <w:color w:val="auto"/>
          <w:spacing w:val="0"/>
          <w:sz w:val="24"/>
          <w:szCs w:val="24"/>
          <w:highlight w:val="none"/>
          <w:lang w:val="en-US" w:eastAsia="zh-CN"/>
        </w:rPr>
        <w:t>。</w:t>
      </w:r>
    </w:p>
    <w:p>
      <w:pPr>
        <w:keepNext w:val="0"/>
        <w:keepLines w:val="0"/>
        <w:pageBreakBefore w:val="0"/>
        <w:widowControl w:val="0"/>
        <w:kinsoku/>
        <w:wordWrap w:val="0"/>
        <w:overflowPunct w:val="0"/>
        <w:topLinePunct w:val="0"/>
        <w:autoSpaceDE/>
        <w:autoSpaceDN/>
        <w:bidi w:val="0"/>
        <w:adjustRightInd/>
        <w:snapToGrid/>
        <w:spacing w:line="520" w:lineRule="exact"/>
        <w:ind w:firstLine="422" w:firstLineChars="20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w:t>
      </w:r>
      <w:r>
        <w:rPr>
          <w:rFonts w:hint="eastAsia" w:ascii="Times New Roman" w:hAnsi="Times New Roman" w:cs="Times New Roman" w:eastAsiaTheme="minorEastAsia"/>
          <w:b/>
          <w:bCs/>
          <w:color w:val="auto"/>
          <w:sz w:val="21"/>
          <w:szCs w:val="21"/>
          <w:highlight w:val="none"/>
          <w:lang w:val="en-US" w:eastAsia="zh-CN"/>
        </w:rPr>
        <w:t>4.2-3</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ascii="Times New Roman" w:hAnsi="Times New Roman" w:cs="Times New Roman" w:eastAsiaTheme="minorEastAsia"/>
          <w:b/>
          <w:bCs/>
          <w:color w:val="auto"/>
          <w:sz w:val="21"/>
          <w:szCs w:val="21"/>
          <w:highlight w:val="none"/>
          <w:lang w:val="en-US" w:eastAsia="zh-CN"/>
        </w:rPr>
        <w:t>特征污染物浓度限值</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污染物名称</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标准值（</w:t>
            </w:r>
            <w:r>
              <w:rPr>
                <w:rFonts w:hint="default" w:ascii="Times New Roman" w:hAnsi="Times New Roman" w:cs="Times New Roman"/>
                <w:b/>
                <w:bCs/>
                <w:color w:val="auto"/>
                <w:sz w:val="21"/>
                <w:szCs w:val="21"/>
                <w:highlight w:val="none"/>
                <w:vertAlign w:val="baseline"/>
                <w:lang w:val="en-US" w:eastAsia="zh-CN"/>
              </w:rPr>
              <w:t>μ</w:t>
            </w:r>
            <w:r>
              <w:rPr>
                <w:rFonts w:hint="eastAsia" w:ascii="Times New Roman" w:hAnsi="Times New Roman" w:eastAsia="宋体" w:cs="Times New Roman"/>
                <w:b/>
                <w:bCs/>
                <w:color w:val="auto"/>
                <w:sz w:val="21"/>
                <w:szCs w:val="21"/>
                <w:highlight w:val="none"/>
                <w:vertAlign w:val="baseline"/>
                <w:lang w:val="en-US" w:eastAsia="zh-CN"/>
              </w:rPr>
              <w:t>g/m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cs="Times New Roman"/>
                <w:b/>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H</w:t>
            </w:r>
            <w:r>
              <w:rPr>
                <w:rFonts w:hint="eastAsia" w:ascii="Times New Roman" w:hAnsi="Times New Roman" w:cs="Times New Roman"/>
                <w:color w:val="auto"/>
                <w:sz w:val="21"/>
                <w:szCs w:val="21"/>
                <w:highlight w:val="none"/>
                <w:vertAlign w:val="subscript"/>
                <w:lang w:val="en-US" w:eastAsia="zh-CN"/>
              </w:rPr>
              <w:t>2</w:t>
            </w:r>
            <w:r>
              <w:rPr>
                <w:rFonts w:hint="eastAsia" w:ascii="Times New Roman" w:hAnsi="Times New Roman" w:cs="Times New Roman"/>
                <w:color w:val="auto"/>
                <w:sz w:val="21"/>
                <w:szCs w:val="21"/>
                <w:highlight w:val="none"/>
                <w:vertAlign w:val="baseline"/>
                <w:lang w:val="en-US" w:eastAsia="zh-CN"/>
              </w:rPr>
              <w:t>S</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NH</w:t>
            </w:r>
            <w:r>
              <w:rPr>
                <w:rFonts w:hint="eastAsia" w:ascii="Times New Roman" w:hAnsi="Times New Roman" w:cs="Times New Roman"/>
                <w:color w:val="auto"/>
                <w:sz w:val="21"/>
                <w:szCs w:val="21"/>
                <w:highlight w:val="none"/>
                <w:vertAlign w:val="subscript"/>
                <w:lang w:val="en-US" w:eastAsia="zh-CN"/>
              </w:rPr>
              <w:t>3</w:t>
            </w:r>
          </w:p>
        </w:tc>
        <w:tc>
          <w:tcPr>
            <w:tcW w:w="42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w:t>
            </w:r>
          </w:p>
        </w:tc>
      </w:tr>
    </w:tbl>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（4）评价方法</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环境空气质量现状采用单因子污染指数法进行评价。</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计算公式为：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position w:val="-30"/>
          <w:sz w:val="24"/>
          <w:highlight w:val="none"/>
        </w:rPr>
        <w:object>
          <v:shape id="_x0000_i1031" o:spt="75" type="#_x0000_t75" style="height:34pt;width:42pt;" o:ole="t" filled="f" o:preferrelative="t" stroked="f" coordsize="21600,21600">
            <v:path/>
            <v:fill on="f" focussize="0,0"/>
            <v:stroke on="f"/>
            <v:imagedata r:id="rId24" o:title=""/>
            <o:lock v:ext="edit" aspectratio="t"/>
            <w10:wrap type="none"/>
            <w10:anchorlock/>
          </v:shape>
          <o:OLEObject Type="Embed" ProgID="Equation.KSEE3" ShapeID="_x0000_i1031" DrawAspect="Content" ObjectID="_1468075731"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式中：P</w:t>
      </w:r>
      <w:r>
        <w:rPr>
          <w:rFonts w:hint="default" w:ascii="Times New Roman" w:hAnsi="Times New Roman" w:cs="Times New Roman"/>
          <w:color w:val="auto"/>
          <w:highlight w:val="none"/>
          <w:vertAlign w:val="subscript"/>
          <w:lang w:val="en-US" w:eastAsia="zh-CN"/>
        </w:rPr>
        <w:t>i</w:t>
      </w:r>
      <w:r>
        <w:rPr>
          <w:rFonts w:hint="default" w:ascii="Times New Roman" w:hAnsi="Times New Roman" w:cs="Times New Roman"/>
          <w:color w:val="auto"/>
          <w:highlight w:val="none"/>
          <w:lang w:val="en-US" w:eastAsia="zh-CN"/>
        </w:rPr>
        <w:t>——污染物i的单项污染指数；</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C</w:t>
      </w:r>
      <w:r>
        <w:rPr>
          <w:rFonts w:hint="default" w:ascii="Times New Roman" w:hAnsi="Times New Roman" w:cs="Times New Roman"/>
          <w:color w:val="auto"/>
          <w:highlight w:val="none"/>
          <w:vertAlign w:val="subscript"/>
          <w:lang w:val="en-US" w:eastAsia="zh-CN"/>
        </w:rPr>
        <w:t>i</w:t>
      </w:r>
      <w:r>
        <w:rPr>
          <w:rFonts w:hint="default" w:ascii="Times New Roman" w:hAnsi="Times New Roman" w:cs="Times New Roman"/>
          <w:color w:val="auto"/>
          <w:highlight w:val="none"/>
          <w:lang w:val="en-US" w:eastAsia="zh-CN"/>
        </w:rPr>
        <w:t>——污染物i的实测浓度值（mg/m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C</w:t>
      </w:r>
      <w:r>
        <w:rPr>
          <w:rFonts w:hint="default" w:ascii="Times New Roman" w:hAnsi="Times New Roman" w:cs="Times New Roman"/>
          <w:color w:val="auto"/>
          <w:highlight w:val="none"/>
          <w:vertAlign w:val="subscript"/>
          <w:lang w:val="en-US" w:eastAsia="zh-CN"/>
        </w:rPr>
        <w:t>oi</w:t>
      </w:r>
      <w:r>
        <w:rPr>
          <w:rFonts w:hint="default" w:ascii="Times New Roman" w:hAnsi="Times New Roman" w:cs="Times New Roman"/>
          <w:color w:val="auto"/>
          <w:highlight w:val="none"/>
          <w:lang w:val="en-US" w:eastAsia="zh-CN"/>
        </w:rPr>
        <w:t>——污染物i的评价标准（mg/m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（5）特征污染物环境质量现状评价</w:t>
      </w:r>
    </w:p>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特征污染物环境质量现状监测结果详见表4.2-4。</w:t>
      </w:r>
    </w:p>
    <w:p>
      <w:pPr>
        <w:keepNext w:val="0"/>
        <w:keepLines w:val="0"/>
        <w:pageBreakBefore w:val="0"/>
        <w:widowControl w:val="0"/>
        <w:kinsoku/>
        <w:wordWrap w:val="0"/>
        <w:overflowPunct w:val="0"/>
        <w:topLinePunct w:val="0"/>
        <w:autoSpaceDE/>
        <w:autoSpaceDN/>
        <w:bidi w:val="0"/>
        <w:adjustRightInd/>
        <w:snapToGrid/>
        <w:spacing w:line="520" w:lineRule="exact"/>
        <w:ind w:firstLine="422" w:firstLineChars="20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表</w:t>
      </w:r>
      <w:r>
        <w:rPr>
          <w:rFonts w:hint="eastAsia" w:ascii="Times New Roman" w:hAnsi="Times New Roman" w:cs="Times New Roman" w:eastAsiaTheme="minorEastAsia"/>
          <w:b/>
          <w:bCs/>
          <w:color w:val="auto"/>
          <w:sz w:val="21"/>
          <w:szCs w:val="21"/>
          <w:highlight w:val="none"/>
          <w:lang w:val="en-US" w:eastAsia="zh-CN"/>
        </w:rPr>
        <w:t>4.2-4</w:t>
      </w:r>
      <w:r>
        <w:rPr>
          <w:rFonts w:hint="default" w:ascii="Times New Roman" w:hAnsi="Times New Roman" w:cs="Times New Roman" w:eastAsiaTheme="minorEastAsia"/>
          <w:b/>
          <w:bCs/>
          <w:color w:val="auto"/>
          <w:sz w:val="21"/>
          <w:szCs w:val="21"/>
          <w:highlight w:val="none"/>
          <w:lang w:val="en-US" w:eastAsia="zh-CN"/>
        </w:rPr>
        <w:t xml:space="preserve">   特征污染物环境质量现状监测结果表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855"/>
        <w:gridCol w:w="1290"/>
        <w:gridCol w:w="1650"/>
        <w:gridCol w:w="1695"/>
        <w:gridCol w:w="1100"/>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63"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855"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监测日期</w:t>
            </w:r>
          </w:p>
        </w:tc>
        <w:tc>
          <w:tcPr>
            <w:tcW w:w="1290"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评价标准（mg/m³）</w:t>
            </w:r>
          </w:p>
        </w:tc>
        <w:tc>
          <w:tcPr>
            <w:tcW w:w="1650"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监测浓度范围（mg/m³）</w:t>
            </w:r>
          </w:p>
        </w:tc>
        <w:tc>
          <w:tcPr>
            <w:tcW w:w="1695"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最大浓度占标率（%）</w:t>
            </w:r>
          </w:p>
        </w:tc>
        <w:tc>
          <w:tcPr>
            <w:tcW w:w="1100"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超标倍数（%）</w:t>
            </w:r>
          </w:p>
        </w:tc>
        <w:tc>
          <w:tcPr>
            <w:tcW w:w="969"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w:t>
            </w:r>
          </w:p>
          <w:p>
            <w:pPr>
              <w:keepNext w:val="0"/>
              <w:keepLines w:val="0"/>
              <w:pageBreakBefore w:val="0"/>
              <w:widowControl w:val="0"/>
              <w:kinsoku/>
              <w:wordWrap/>
              <w:overflowPunct/>
              <w:topLinePunct w:val="0"/>
              <w:autoSpaceDE w:val="0"/>
              <w:autoSpaceDN w:val="0"/>
              <w:bidi w:val="0"/>
              <w:adjustRightInd w:val="0"/>
              <w:spacing w:line="240" w:lineRule="auto"/>
              <w:ind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dxa"/>
            <w:vMerge w:val="restart"/>
            <w:vAlign w:val="center"/>
          </w:tcPr>
          <w:p>
            <w:pPr>
              <w:pStyle w:val="36"/>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哈家湾村</w:t>
            </w:r>
          </w:p>
        </w:tc>
        <w:tc>
          <w:tcPr>
            <w:tcW w:w="855"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NH</w:t>
            </w:r>
            <w:r>
              <w:rPr>
                <w:rFonts w:hint="eastAsia" w:ascii="Times New Roman" w:hAnsi="Times New Roman" w:cs="Times New Roman"/>
                <w:color w:val="auto"/>
                <w:sz w:val="21"/>
                <w:szCs w:val="21"/>
                <w:vertAlign w:val="subscript"/>
                <w:lang w:val="en-US" w:eastAsia="zh-CN"/>
              </w:rPr>
              <w:t>3</w:t>
            </w:r>
          </w:p>
        </w:tc>
        <w:tc>
          <w:tcPr>
            <w:tcW w:w="129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0</w:t>
            </w:r>
          </w:p>
        </w:tc>
        <w:tc>
          <w:tcPr>
            <w:tcW w:w="165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0.06-0.12</w:t>
            </w:r>
          </w:p>
        </w:tc>
        <w:tc>
          <w:tcPr>
            <w:tcW w:w="1695"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0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969"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dxa"/>
            <w:vMerge w:val="continue"/>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855"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S</w:t>
            </w:r>
          </w:p>
        </w:tc>
        <w:tc>
          <w:tcPr>
            <w:tcW w:w="129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ascii="Times New Roman" w:hAnsi="Times New Roman" w:cs="Times New Roman"/>
                <w:color w:val="auto"/>
                <w:sz w:val="21"/>
                <w:szCs w:val="21"/>
                <w:lang w:val="en-US" w:eastAsia="zh-CN"/>
              </w:rPr>
              <w:t>1</w:t>
            </w:r>
          </w:p>
        </w:tc>
        <w:tc>
          <w:tcPr>
            <w:tcW w:w="165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w:t>
            </w:r>
            <w:r>
              <w:rPr>
                <w:rFonts w:hint="default" w:ascii="Times New Roman" w:hAnsi="Times New Roman" w:eastAsia="宋体" w:cs="Times New Roman"/>
                <w:color w:val="auto"/>
                <w:sz w:val="21"/>
                <w:szCs w:val="21"/>
                <w:vertAlign w:val="superscript"/>
              </w:rPr>
              <w:t>-3</w:t>
            </w:r>
          </w:p>
        </w:tc>
        <w:tc>
          <w:tcPr>
            <w:tcW w:w="1695"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10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969"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dxa"/>
            <w:vMerge w:val="restart"/>
            <w:vAlign w:val="center"/>
          </w:tcPr>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西梁村</w:t>
            </w:r>
          </w:p>
        </w:tc>
        <w:tc>
          <w:tcPr>
            <w:tcW w:w="855" w:type="dxa"/>
            <w:vAlign w:val="center"/>
          </w:tcPr>
          <w:p>
            <w:pPr>
              <w:keepNext w:val="0"/>
              <w:keepLines w:val="0"/>
              <w:pageBreakBefore w:val="0"/>
              <w:widowControl w:val="0"/>
              <w:kinsoku/>
              <w:wordWrap/>
              <w:overflowPunct/>
              <w:topLinePunct w:val="0"/>
              <w:bidi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NH</w:t>
            </w:r>
            <w:r>
              <w:rPr>
                <w:rFonts w:hint="eastAsia" w:ascii="Times New Roman" w:hAnsi="Times New Roman" w:cs="Times New Roman"/>
                <w:color w:val="auto"/>
                <w:sz w:val="21"/>
                <w:szCs w:val="21"/>
                <w:vertAlign w:val="subscript"/>
                <w:lang w:val="en-US" w:eastAsia="zh-CN"/>
              </w:rPr>
              <w:t>3</w:t>
            </w:r>
          </w:p>
        </w:tc>
        <w:tc>
          <w:tcPr>
            <w:tcW w:w="129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65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0.05-0.11</w:t>
            </w:r>
          </w:p>
        </w:tc>
        <w:tc>
          <w:tcPr>
            <w:tcW w:w="1695"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0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969"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3" w:type="dxa"/>
            <w:vMerge w:val="continue"/>
            <w:vAlign w:val="center"/>
          </w:tcPr>
          <w:p>
            <w:pPr>
              <w:keepNext w:val="0"/>
              <w:keepLines w:val="0"/>
              <w:pageBreakBefore w:val="0"/>
              <w:widowControl w:val="0"/>
              <w:kinsoku/>
              <w:wordWrap/>
              <w:overflowPunct/>
              <w:topLinePunct w:val="0"/>
              <w:bidi w:val="0"/>
              <w:spacing w:line="240" w:lineRule="auto"/>
              <w:ind w:right="0" w:firstLine="0" w:firstLineChars="0"/>
              <w:jc w:val="center"/>
              <w:textAlignment w:val="auto"/>
              <w:rPr>
                <w:rFonts w:hint="default" w:ascii="Times New Roman" w:hAnsi="Times New Roman" w:eastAsia="宋体" w:cs="Times New Roman"/>
                <w:color w:val="auto"/>
                <w:sz w:val="21"/>
                <w:szCs w:val="21"/>
              </w:rPr>
            </w:pPr>
          </w:p>
        </w:tc>
        <w:tc>
          <w:tcPr>
            <w:tcW w:w="855" w:type="dxa"/>
            <w:vAlign w:val="center"/>
          </w:tcPr>
          <w:p>
            <w:pPr>
              <w:keepNext w:val="0"/>
              <w:keepLines w:val="0"/>
              <w:pageBreakBefore w:val="0"/>
              <w:widowControl w:val="0"/>
              <w:kinsoku/>
              <w:wordWrap/>
              <w:overflowPunct/>
              <w:topLinePunct w:val="0"/>
              <w:bidi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S</w:t>
            </w:r>
          </w:p>
        </w:tc>
        <w:tc>
          <w:tcPr>
            <w:tcW w:w="129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ascii="Times New Roman" w:hAnsi="Times New Roman" w:cs="Times New Roman"/>
                <w:color w:val="auto"/>
                <w:sz w:val="21"/>
                <w:szCs w:val="21"/>
                <w:lang w:val="en-US" w:eastAsia="zh-CN"/>
              </w:rPr>
              <w:t>1</w:t>
            </w:r>
          </w:p>
        </w:tc>
        <w:tc>
          <w:tcPr>
            <w:tcW w:w="165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＜5×10</w:t>
            </w:r>
            <w:r>
              <w:rPr>
                <w:rFonts w:hint="default" w:ascii="Times New Roman" w:hAnsi="Times New Roman" w:eastAsia="宋体" w:cs="Times New Roman"/>
                <w:color w:val="auto"/>
                <w:sz w:val="21"/>
                <w:szCs w:val="21"/>
                <w:vertAlign w:val="superscript"/>
              </w:rPr>
              <w:t>-3</w:t>
            </w:r>
          </w:p>
        </w:tc>
        <w:tc>
          <w:tcPr>
            <w:tcW w:w="1695"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100"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969" w:type="dxa"/>
            <w:vAlign w:val="center"/>
          </w:tcPr>
          <w:p>
            <w:pPr>
              <w:keepNext w:val="0"/>
              <w:keepLines w:val="0"/>
              <w:pageBreakBefore w:val="0"/>
              <w:widowControl w:val="0"/>
              <w:kinsoku/>
              <w:wordWrap/>
              <w:overflowPunct/>
              <w:topLinePunct w:val="0"/>
              <w:bidi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line="520" w:lineRule="exact"/>
        <w:ind w:firstLine="48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从监测结果可知，</w:t>
      </w:r>
      <w:r>
        <w:rPr>
          <w:rFonts w:ascii="Times New Roman" w:hAnsi="Times New Roman" w:cs="Times New Roman"/>
          <w:color w:val="auto"/>
        </w:rPr>
        <w:t>特征污染物</w:t>
      </w:r>
      <w:r>
        <w:rPr>
          <w:rFonts w:hint="eastAsia" w:ascii="Times New Roman" w:hAnsi="Times New Roman" w:cs="Times New Roman"/>
          <w:color w:val="auto"/>
          <w:lang w:val="en-US" w:eastAsia="zh-CN"/>
        </w:rPr>
        <w:t>H</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S</w:t>
      </w:r>
      <w:r>
        <w:rPr>
          <w:rFonts w:ascii="Times New Roman" w:hAnsi="Times New Roman" w:cs="Times New Roman"/>
          <w:color w:val="auto"/>
        </w:rPr>
        <w:t>、</w:t>
      </w:r>
      <w:r>
        <w:rPr>
          <w:rFonts w:hint="eastAsia" w:ascii="Times New Roman" w:hAnsi="Times New Roman" w:cs="Times New Roman"/>
          <w:color w:val="auto"/>
          <w:lang w:val="en-US" w:eastAsia="zh-CN"/>
        </w:rPr>
        <w:t>NH</w:t>
      </w:r>
      <w:r>
        <w:rPr>
          <w:rFonts w:hint="eastAsia" w:ascii="Times New Roman" w:hAnsi="Times New Roman" w:cs="Times New Roman"/>
          <w:color w:val="auto"/>
          <w:vertAlign w:val="subscript"/>
          <w:lang w:val="en-US" w:eastAsia="zh-CN"/>
        </w:rPr>
        <w:t>3</w:t>
      </w:r>
      <w:r>
        <w:rPr>
          <w:rFonts w:hint="eastAsia" w:ascii="Times New Roman" w:hAnsi="Times New Roman" w:cs="Times New Roman"/>
          <w:color w:val="auto"/>
          <w:lang w:val="en-US" w:eastAsia="zh-CN"/>
        </w:rPr>
        <w:t>满足</w:t>
      </w:r>
      <w:r>
        <w:rPr>
          <w:rFonts w:hint="eastAsia" w:ascii="Times New Roman" w:hAnsi="Times New Roman" w:cs="Times New Roman"/>
          <w:color w:val="auto"/>
          <w:highlight w:val="none"/>
          <w:lang w:val="en-US" w:eastAsia="zh-CN"/>
        </w:rPr>
        <w:t>《环境影响评价技术导则 大气环境》（HJ2.2-2018）附录D中表D.1相关浓度标准值。</w:t>
      </w:r>
    </w:p>
    <w:p>
      <w:pPr>
        <w:pStyle w:val="9"/>
        <w:keepNext/>
        <w:keepLines/>
        <w:pageBreakBefore w:val="0"/>
        <w:widowControl w:val="0"/>
        <w:kinsoku/>
        <w:wordWrap/>
        <w:overflowPunct/>
        <w:topLinePunct w:val="0"/>
        <w:autoSpaceDE/>
        <w:autoSpaceDN/>
        <w:bidi w:val="0"/>
        <w:adjustRightInd/>
        <w:snapToGrid/>
        <w:spacing w:line="520" w:lineRule="exact"/>
        <w:textAlignment w:val="auto"/>
        <w:rPr>
          <w:rFonts w:ascii="Times New Roman" w:hAnsi="Times New Roman" w:cs="Times New Roman"/>
          <w:color w:val="auto"/>
        </w:rPr>
      </w:pPr>
      <w:r>
        <w:rPr>
          <w:rFonts w:ascii="Times New Roman" w:hAnsi="Times New Roman" w:cs="Times New Roman"/>
          <w:color w:val="auto"/>
        </w:rPr>
        <w:t>4.2.2 地</w:t>
      </w:r>
      <w:r>
        <w:rPr>
          <w:rFonts w:hint="eastAsia" w:ascii="Times New Roman" w:hAnsi="Times New Roman" w:cs="Times New Roman"/>
          <w:color w:val="auto"/>
          <w:lang w:val="en-US" w:eastAsia="zh-CN"/>
        </w:rPr>
        <w:t>表</w:t>
      </w:r>
      <w:r>
        <w:rPr>
          <w:rFonts w:ascii="Times New Roman" w:hAnsi="Times New Roman" w:cs="Times New Roman"/>
          <w:color w:val="auto"/>
        </w:rPr>
        <w:t>水环境质量现状调查与评价</w:t>
      </w:r>
    </w:p>
    <w:p>
      <w:pPr>
        <w:spacing w:line="520" w:lineRule="exact"/>
        <w:rPr>
          <w:rFonts w:ascii="Times New Roman" w:hAnsi="Times New Roman" w:cs="Times New Roman"/>
          <w:bCs/>
          <w:color w:val="auto"/>
          <w:szCs w:val="20"/>
        </w:rPr>
      </w:pPr>
      <w:r>
        <w:rPr>
          <w:rFonts w:hint="eastAsia" w:ascii="Times New Roman" w:hAnsi="Times New Roman" w:cs="Times New Roman"/>
          <w:bCs/>
          <w:color w:val="auto"/>
          <w:szCs w:val="20"/>
        </w:rPr>
        <w:t>本项目</w:t>
      </w:r>
      <w:r>
        <w:rPr>
          <w:rFonts w:hint="eastAsia" w:ascii="Times New Roman" w:hAnsi="Times New Roman" w:cs="Times New Roman"/>
          <w:bCs/>
          <w:color w:val="auto"/>
          <w:szCs w:val="20"/>
          <w:lang w:val="en-US" w:eastAsia="zh-CN"/>
        </w:rPr>
        <w:t>周边无地表水体，项目产生的</w:t>
      </w:r>
      <w:r>
        <w:rPr>
          <w:rFonts w:hint="eastAsia" w:ascii="Times New Roman" w:hAnsi="Times New Roman" w:cs="Times New Roman"/>
          <w:bCs/>
          <w:color w:val="auto"/>
          <w:szCs w:val="20"/>
        </w:rPr>
        <w:t>废水</w:t>
      </w:r>
      <w:r>
        <w:rPr>
          <w:rFonts w:hint="eastAsia" w:ascii="Times New Roman" w:hAnsi="Times New Roman" w:cs="Times New Roman"/>
          <w:bCs/>
          <w:color w:val="auto"/>
          <w:szCs w:val="20"/>
          <w:lang w:val="en-US" w:eastAsia="zh-CN"/>
        </w:rPr>
        <w:t>经院区污水处理站处理达标后排入吉木萨尔县市政污水管网，</w:t>
      </w:r>
      <w:r>
        <w:rPr>
          <w:rFonts w:hint="eastAsia" w:ascii="Times New Roman" w:hAnsi="Times New Roman" w:cs="Times New Roman"/>
          <w:bCs/>
          <w:color w:val="auto"/>
          <w:szCs w:val="20"/>
        </w:rPr>
        <w:t>不与地表水系直接接触，按《环境影响评价技术导则·地表水环境》（HJ2.3-2018）对地表水环境影响评价工作进行等级的划分，本项目地表水评价等级为三级B，可不开展区域污染源调查，主要调查污水处理设施的日处理能力、处理工艺、设计进水水质、处理后的废达标稳定排放情况，故本次评价不对地表水环境影响进行定量评价，本次环境质量现状调查未进行地表水环境质量现状监测。</w:t>
      </w:r>
    </w:p>
    <w:p>
      <w:pPr>
        <w:pStyle w:val="9"/>
        <w:keepNext/>
        <w:keepLines/>
        <w:pageBreakBefore w:val="0"/>
        <w:widowControl w:val="0"/>
        <w:kinsoku/>
        <w:wordWrap/>
        <w:overflowPunct/>
        <w:topLinePunct w:val="0"/>
        <w:autoSpaceDE/>
        <w:autoSpaceDN/>
        <w:bidi w:val="0"/>
        <w:adjustRightInd/>
        <w:snapToGrid/>
        <w:spacing w:line="520" w:lineRule="exact"/>
        <w:textAlignment w:val="auto"/>
        <w:rPr>
          <w:rFonts w:ascii="Times New Roman" w:hAnsi="Times New Roman" w:cs="Times New Roman"/>
          <w:color w:val="auto"/>
        </w:rPr>
      </w:pPr>
      <w:r>
        <w:rPr>
          <w:rFonts w:ascii="Times New Roman" w:hAnsi="Times New Roman" w:cs="Times New Roman"/>
          <w:color w:val="auto"/>
        </w:rPr>
        <w:t>4.2.</w:t>
      </w:r>
      <w:r>
        <w:rPr>
          <w:rFonts w:hint="eastAsia" w:ascii="Times New Roman" w:hAnsi="Times New Roman" w:cs="Times New Roman"/>
          <w:color w:val="auto"/>
          <w:lang w:val="en-US" w:eastAsia="zh-CN"/>
        </w:rPr>
        <w:t>3</w:t>
      </w:r>
      <w:r>
        <w:rPr>
          <w:rFonts w:ascii="Times New Roman" w:hAnsi="Times New Roman" w:cs="Times New Roman"/>
          <w:color w:val="auto"/>
        </w:rPr>
        <w:t xml:space="preserve"> 地下水环境质量现状调查与评价</w:t>
      </w:r>
      <w:bookmarkEnd w:id="235"/>
      <w:bookmarkEnd w:id="236"/>
      <w:bookmarkEnd w:id="237"/>
      <w:bookmarkEnd w:id="238"/>
      <w:bookmarkEnd w:id="239"/>
      <w:bookmarkEnd w:id="240"/>
    </w:p>
    <w:p>
      <w:pPr>
        <w:spacing w:line="520" w:lineRule="exact"/>
        <w:rPr>
          <w:rFonts w:ascii="Times New Roman" w:hAnsi="Times New Roman" w:cs="Times New Roman"/>
          <w:bCs/>
          <w:color w:val="auto"/>
          <w:szCs w:val="20"/>
        </w:rPr>
      </w:pPr>
      <w:r>
        <w:rPr>
          <w:rFonts w:hint="eastAsia" w:ascii="Times New Roman" w:hAnsi="Times New Roman" w:cs="Times New Roman"/>
          <w:bCs/>
          <w:color w:val="auto"/>
          <w:szCs w:val="20"/>
          <w:lang w:val="en-US" w:eastAsia="zh-CN"/>
        </w:rPr>
        <w:t>根据</w:t>
      </w:r>
      <w:r>
        <w:rPr>
          <w:rFonts w:hint="eastAsia" w:ascii="Times New Roman" w:hAnsi="Times New Roman" w:cs="Times New Roman"/>
          <w:bCs/>
          <w:color w:val="auto"/>
          <w:szCs w:val="20"/>
        </w:rPr>
        <w:t>《环境影响评价技术导则地下水环境》（HJ 610-2016）附表A（地下水环境影响评价行业分类表），本项目属于“V社会事业与服务业中的158、医院（新建、扩建），编制报告书”，根据导则规定，三甲类医院地下水环境影响评价项目类别为III类，其余为IV类，本项目为二级甲等综合性医院建设项目，因此地下水环境影响评价项目类别为IV类。根据导则要求，本项目无需开展地下水环境影响评价</w:t>
      </w:r>
      <w:r>
        <w:rPr>
          <w:rFonts w:hint="eastAsia" w:ascii="Times New Roman" w:hAnsi="Times New Roman" w:cs="Times New Roman"/>
          <w:bCs/>
          <w:color w:val="auto"/>
          <w:szCs w:val="20"/>
          <w:lang w:eastAsia="zh-CN"/>
        </w:rPr>
        <w:t>，</w:t>
      </w:r>
      <w:r>
        <w:rPr>
          <w:rFonts w:hint="eastAsia" w:ascii="Times New Roman" w:hAnsi="Times New Roman" w:cs="Times New Roman"/>
          <w:bCs/>
          <w:color w:val="auto"/>
          <w:szCs w:val="20"/>
        </w:rPr>
        <w:t>故本次评价不对地</w:t>
      </w:r>
      <w:r>
        <w:rPr>
          <w:rFonts w:hint="eastAsia" w:ascii="Times New Roman" w:hAnsi="Times New Roman" w:cs="Times New Roman"/>
          <w:bCs/>
          <w:color w:val="auto"/>
          <w:szCs w:val="20"/>
          <w:lang w:val="en-US" w:eastAsia="zh-CN"/>
        </w:rPr>
        <w:t>下</w:t>
      </w:r>
      <w:r>
        <w:rPr>
          <w:rFonts w:hint="eastAsia" w:ascii="Times New Roman" w:hAnsi="Times New Roman" w:cs="Times New Roman"/>
          <w:bCs/>
          <w:color w:val="auto"/>
          <w:szCs w:val="20"/>
        </w:rPr>
        <w:t>水环境影响进行定量评价，本次环境质量现状调查未进行地</w:t>
      </w:r>
      <w:r>
        <w:rPr>
          <w:rFonts w:hint="eastAsia" w:ascii="Times New Roman" w:hAnsi="Times New Roman" w:cs="Times New Roman"/>
          <w:bCs/>
          <w:color w:val="auto"/>
          <w:szCs w:val="20"/>
          <w:lang w:val="en-US" w:eastAsia="zh-CN"/>
        </w:rPr>
        <w:t>下</w:t>
      </w:r>
      <w:r>
        <w:rPr>
          <w:rFonts w:hint="eastAsia" w:ascii="Times New Roman" w:hAnsi="Times New Roman" w:cs="Times New Roman"/>
          <w:bCs/>
          <w:color w:val="auto"/>
          <w:szCs w:val="20"/>
        </w:rPr>
        <w:t>水环境质量现状监测。</w:t>
      </w:r>
    </w:p>
    <w:p>
      <w:pPr>
        <w:pStyle w:val="9"/>
        <w:rPr>
          <w:rFonts w:ascii="Times New Roman" w:hAnsi="Times New Roman" w:cs="Times New Roman"/>
          <w:color w:val="auto"/>
        </w:rPr>
      </w:pPr>
      <w:bookmarkStart w:id="241" w:name="_Toc3710"/>
      <w:r>
        <w:rPr>
          <w:rFonts w:hint="eastAsia" w:ascii="Times New Roman" w:hAnsi="Times New Roman" w:cs="Times New Roman"/>
          <w:color w:val="auto"/>
        </w:rPr>
        <w:t>4.2</w:t>
      </w:r>
      <w:r>
        <w:rPr>
          <w:rFonts w:ascii="Times New Roman" w:hAnsi="Times New Roman" w:cs="Times New Roman"/>
          <w:color w:val="auto"/>
        </w:rPr>
        <w:t>.</w:t>
      </w:r>
      <w:r>
        <w:rPr>
          <w:rFonts w:hint="eastAsia" w:ascii="Times New Roman" w:hAnsi="Times New Roman" w:cs="Times New Roman"/>
          <w:color w:val="auto"/>
          <w:lang w:val="en-US" w:eastAsia="zh-CN"/>
        </w:rPr>
        <w:t>4</w:t>
      </w:r>
      <w:r>
        <w:rPr>
          <w:rFonts w:ascii="Times New Roman" w:hAnsi="Times New Roman" w:cs="Times New Roman"/>
          <w:color w:val="auto"/>
        </w:rPr>
        <w:t xml:space="preserve"> 声环境质量现状调查与评价</w:t>
      </w:r>
      <w:bookmarkEnd w:id="241"/>
    </w:p>
    <w:p>
      <w:pPr>
        <w:pStyle w:val="10"/>
        <w:rPr>
          <w:rFonts w:cs="Times New Roman"/>
          <w:color w:val="auto"/>
        </w:rPr>
      </w:pPr>
      <w:r>
        <w:rPr>
          <w:rFonts w:hint="eastAsia" w:cs="Times New Roman"/>
          <w:color w:val="auto"/>
        </w:rPr>
        <w:t>4.2</w:t>
      </w:r>
      <w:r>
        <w:rPr>
          <w:rFonts w:cs="Times New Roman"/>
          <w:color w:val="auto"/>
        </w:rPr>
        <w:t>.</w:t>
      </w:r>
      <w:r>
        <w:rPr>
          <w:rFonts w:hint="eastAsia" w:cs="Times New Roman"/>
          <w:color w:val="auto"/>
          <w:lang w:val="en-US" w:eastAsia="zh-CN"/>
        </w:rPr>
        <w:t>4</w:t>
      </w:r>
      <w:r>
        <w:rPr>
          <w:rFonts w:cs="Times New Roman"/>
          <w:color w:val="auto"/>
        </w:rPr>
        <w:t>.1 声环境质量现状调查</w:t>
      </w:r>
    </w:p>
    <w:p>
      <w:pPr>
        <w:spacing w:line="520" w:lineRule="exact"/>
        <w:ind w:firstLine="504"/>
        <w:jc w:val="both"/>
        <w:rPr>
          <w:rFonts w:ascii="Times New Roman" w:hAnsi="Times New Roman" w:cs="Times New Roman"/>
          <w:color w:val="auto"/>
          <w:spacing w:val="6"/>
          <w:highlight w:val="none"/>
        </w:rPr>
      </w:pPr>
      <w:r>
        <w:rPr>
          <w:rFonts w:ascii="Times New Roman" w:hAnsi="Times New Roman" w:cs="Times New Roman"/>
          <w:color w:val="auto"/>
          <w:spacing w:val="6"/>
          <w:highlight w:val="none"/>
        </w:rPr>
        <w:t>为了调查了解本项目所在区域的声环境现状，新疆绿格洁瑞环境检测技术有限公司于202</w:t>
      </w:r>
      <w:r>
        <w:rPr>
          <w:rFonts w:hint="eastAsia" w:ascii="Times New Roman" w:hAnsi="Times New Roman" w:cs="Times New Roman"/>
          <w:color w:val="auto"/>
          <w:spacing w:val="6"/>
          <w:highlight w:val="none"/>
          <w:lang w:val="en-US" w:eastAsia="zh-CN"/>
        </w:rPr>
        <w:t>1</w:t>
      </w:r>
      <w:r>
        <w:rPr>
          <w:rFonts w:ascii="Times New Roman" w:hAnsi="Times New Roman" w:cs="Times New Roman"/>
          <w:color w:val="auto"/>
          <w:spacing w:val="6"/>
          <w:highlight w:val="none"/>
        </w:rPr>
        <w:t>年</w:t>
      </w:r>
      <w:r>
        <w:rPr>
          <w:rFonts w:hint="eastAsia" w:ascii="Times New Roman" w:hAnsi="Times New Roman" w:cs="Times New Roman"/>
          <w:color w:val="auto"/>
          <w:spacing w:val="6"/>
          <w:highlight w:val="none"/>
          <w:lang w:val="en-US" w:eastAsia="zh-CN"/>
        </w:rPr>
        <w:t>1</w:t>
      </w:r>
      <w:r>
        <w:rPr>
          <w:rFonts w:ascii="Times New Roman" w:hAnsi="Times New Roman" w:cs="Times New Roman"/>
          <w:color w:val="auto"/>
          <w:spacing w:val="6"/>
          <w:highlight w:val="none"/>
        </w:rPr>
        <w:t>月</w:t>
      </w:r>
      <w:r>
        <w:rPr>
          <w:rFonts w:hint="eastAsia" w:ascii="Times New Roman" w:hAnsi="Times New Roman" w:cs="Times New Roman"/>
          <w:color w:val="auto"/>
          <w:spacing w:val="6"/>
          <w:highlight w:val="none"/>
          <w:lang w:val="en-US" w:eastAsia="zh-CN"/>
        </w:rPr>
        <w:t>25</w:t>
      </w:r>
      <w:r>
        <w:rPr>
          <w:rFonts w:ascii="Times New Roman" w:hAnsi="Times New Roman" w:cs="Times New Roman"/>
          <w:color w:val="auto"/>
          <w:spacing w:val="6"/>
          <w:highlight w:val="none"/>
        </w:rPr>
        <w:t>日至</w:t>
      </w:r>
      <w:r>
        <w:rPr>
          <w:rFonts w:hint="eastAsia" w:ascii="Times New Roman" w:hAnsi="Times New Roman" w:cs="Times New Roman"/>
          <w:color w:val="auto"/>
          <w:spacing w:val="6"/>
          <w:highlight w:val="none"/>
          <w:lang w:val="en-US" w:eastAsia="zh-CN"/>
        </w:rPr>
        <w:t>26</w:t>
      </w:r>
      <w:r>
        <w:rPr>
          <w:rFonts w:ascii="Times New Roman" w:hAnsi="Times New Roman" w:cs="Times New Roman"/>
          <w:color w:val="auto"/>
          <w:spacing w:val="6"/>
          <w:highlight w:val="none"/>
        </w:rPr>
        <w:t>日分别在项目区进行了现状监测。监测布点图详见图4.2-1。</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（1）监测点布置</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噪声监测点分别位于厂界外东、西、南、北各1m处。</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（2）监测时间、频率及方法</w:t>
      </w:r>
    </w:p>
    <w:p>
      <w:pPr>
        <w:spacing w:line="520" w:lineRule="exact"/>
        <w:rPr>
          <w:rFonts w:ascii="Times New Roman" w:hAnsi="Times New Roman" w:cs="Times New Roman"/>
          <w:color w:val="auto"/>
          <w:highlight w:val="yellow"/>
        </w:rPr>
      </w:pPr>
      <w:r>
        <w:rPr>
          <w:rFonts w:ascii="Times New Roman" w:hAnsi="Times New Roman" w:cs="Times New Roman"/>
          <w:color w:val="auto"/>
          <w:highlight w:val="none"/>
        </w:rPr>
        <w:t>监测时间及频率：监测时间为202</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25</w:t>
      </w:r>
      <w:r>
        <w:rPr>
          <w:rFonts w:ascii="Times New Roman" w:hAnsi="Times New Roman" w:cs="Times New Roman"/>
          <w:color w:val="auto"/>
          <w:highlight w:val="none"/>
        </w:rPr>
        <w:t>日至</w:t>
      </w:r>
      <w:r>
        <w:rPr>
          <w:rFonts w:hint="eastAsia" w:ascii="Times New Roman" w:hAnsi="Times New Roman" w:cs="Times New Roman"/>
          <w:color w:val="auto"/>
          <w:highlight w:val="none"/>
          <w:lang w:val="en-US" w:eastAsia="zh-CN"/>
        </w:rPr>
        <w:t>26</w:t>
      </w:r>
      <w:r>
        <w:rPr>
          <w:rFonts w:ascii="Times New Roman" w:hAnsi="Times New Roman" w:cs="Times New Roman"/>
          <w:color w:val="auto"/>
          <w:highlight w:val="none"/>
        </w:rPr>
        <w:t>日，昼夜连续监测；声环境质量监测依据《声环境质量标准》（GB3096-2008）进行，使用AWA6228型噪声统计分析仪进行监测。</w:t>
      </w:r>
    </w:p>
    <w:p>
      <w:pPr>
        <w:pStyle w:val="10"/>
        <w:rPr>
          <w:rFonts w:cs="Times New Roman"/>
          <w:color w:val="auto"/>
        </w:rPr>
      </w:pPr>
      <w:r>
        <w:rPr>
          <w:rFonts w:hint="eastAsia" w:cs="Times New Roman"/>
          <w:color w:val="auto"/>
        </w:rPr>
        <w:t>4.2</w:t>
      </w:r>
      <w:r>
        <w:rPr>
          <w:rFonts w:cs="Times New Roman"/>
          <w:color w:val="auto"/>
        </w:rPr>
        <w:t>.</w:t>
      </w:r>
      <w:r>
        <w:rPr>
          <w:rFonts w:hint="eastAsia" w:cs="Times New Roman"/>
          <w:color w:val="auto"/>
          <w:lang w:val="en-US" w:eastAsia="zh-CN"/>
        </w:rPr>
        <w:t>4</w:t>
      </w:r>
      <w:r>
        <w:rPr>
          <w:rFonts w:cs="Times New Roman"/>
          <w:color w:val="auto"/>
        </w:rPr>
        <w:t>.2 监测与评价结果</w:t>
      </w:r>
    </w:p>
    <w:p>
      <w:pPr>
        <w:spacing w:line="520" w:lineRule="exact"/>
        <w:rPr>
          <w:rFonts w:ascii="Times New Roman" w:hAnsi="Times New Roman" w:cs="Times New Roman"/>
          <w:color w:val="auto"/>
          <w:kern w:val="0"/>
        </w:rPr>
      </w:pPr>
      <w:r>
        <w:rPr>
          <w:rFonts w:ascii="Times New Roman" w:hAnsi="Times New Roman" w:cs="Times New Roman"/>
          <w:color w:val="auto"/>
          <w:kern w:val="0"/>
        </w:rPr>
        <w:t>（1）评价标准</w:t>
      </w:r>
    </w:p>
    <w:p>
      <w:pPr>
        <w:adjustRightInd w:val="0"/>
        <w:snapToGrid w:val="0"/>
        <w:spacing w:line="520" w:lineRule="exact"/>
        <w:rPr>
          <w:rFonts w:ascii="Times New Roman" w:hAnsi="Times New Roman" w:cs="Times New Roman"/>
          <w:color w:val="auto"/>
          <w:kern w:val="0"/>
        </w:rPr>
      </w:pPr>
      <w:r>
        <w:rPr>
          <w:rFonts w:ascii="Times New Roman" w:hAnsi="Times New Roman" w:cs="Times New Roman"/>
          <w:color w:val="auto"/>
          <w:kern w:val="0"/>
        </w:rPr>
        <w:t>噪声现状评价执行《声环境质量标准》（GB3096-2008）中的1类标准，具体见表</w:t>
      </w:r>
      <w:r>
        <w:rPr>
          <w:rFonts w:hint="eastAsia" w:ascii="Times New Roman" w:hAnsi="Times New Roman" w:cs="Times New Roman"/>
          <w:color w:val="auto"/>
          <w:kern w:val="0"/>
        </w:rPr>
        <w:t>4.2-3</w:t>
      </w:r>
      <w:r>
        <w:rPr>
          <w:rFonts w:ascii="Times New Roman" w:hAnsi="Times New Roman" w:cs="Times New Roman"/>
          <w:color w:val="auto"/>
          <w:kern w:val="0"/>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4.2-3</w:t>
      </w:r>
      <w:r>
        <w:rPr>
          <w:rFonts w:cs="Times New Roman"/>
          <w:color w:val="auto"/>
        </w:rPr>
        <w:t xml:space="preserve">   环境噪声标准  单位：dB（A）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66"/>
        <w:gridCol w:w="2253"/>
        <w:gridCol w:w="2110"/>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36"/>
              <w:rPr>
                <w:rFonts w:ascii="Times New Roman" w:hAnsi="Times New Roman" w:cs="Times New Roman"/>
                <w:b/>
                <w:bCs/>
                <w:color w:val="auto"/>
              </w:rPr>
            </w:pPr>
            <w:r>
              <w:rPr>
                <w:rFonts w:ascii="Times New Roman" w:hAnsi="Times New Roman" w:cs="Times New Roman"/>
                <w:b/>
                <w:bCs/>
                <w:color w:val="auto"/>
              </w:rPr>
              <w:t>类别</w:t>
            </w:r>
          </w:p>
        </w:tc>
        <w:tc>
          <w:tcPr>
            <w:tcW w:w="1265" w:type="pct"/>
            <w:tcMar>
              <w:top w:w="15" w:type="dxa"/>
              <w:left w:w="15" w:type="dxa"/>
              <w:bottom w:w="0" w:type="dxa"/>
              <w:right w:w="15" w:type="dxa"/>
            </w:tcMar>
            <w:vAlign w:val="center"/>
          </w:tcPr>
          <w:p>
            <w:pPr>
              <w:pStyle w:val="36"/>
              <w:rPr>
                <w:rFonts w:ascii="Times New Roman" w:hAnsi="Times New Roman" w:cs="Times New Roman"/>
                <w:b/>
                <w:bCs/>
                <w:color w:val="auto"/>
              </w:rPr>
            </w:pPr>
            <w:r>
              <w:rPr>
                <w:rFonts w:ascii="Times New Roman" w:hAnsi="Times New Roman" w:cs="Times New Roman"/>
                <w:b/>
                <w:bCs/>
                <w:color w:val="auto"/>
              </w:rPr>
              <w:t>昼间</w:t>
            </w:r>
          </w:p>
        </w:tc>
        <w:tc>
          <w:tcPr>
            <w:tcW w:w="1263" w:type="pct"/>
            <w:tcMar>
              <w:top w:w="15" w:type="dxa"/>
              <w:left w:w="15" w:type="dxa"/>
              <w:bottom w:w="0" w:type="dxa"/>
              <w:right w:w="15" w:type="dxa"/>
            </w:tcMar>
            <w:vAlign w:val="center"/>
          </w:tcPr>
          <w:p>
            <w:pPr>
              <w:pStyle w:val="36"/>
              <w:rPr>
                <w:rFonts w:ascii="Times New Roman" w:hAnsi="Times New Roman" w:cs="Times New Roman"/>
                <w:b/>
                <w:bCs/>
                <w:color w:val="auto"/>
              </w:rPr>
            </w:pPr>
            <w:r>
              <w:rPr>
                <w:rFonts w:ascii="Times New Roman" w:hAnsi="Times New Roman" w:cs="Times New Roman"/>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0类</w:t>
            </w:r>
          </w:p>
        </w:tc>
        <w:tc>
          <w:tcPr>
            <w:tcW w:w="1265"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50</w:t>
            </w:r>
          </w:p>
        </w:tc>
        <w:tc>
          <w:tcPr>
            <w:tcW w:w="1263"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1类</w:t>
            </w:r>
          </w:p>
        </w:tc>
        <w:tc>
          <w:tcPr>
            <w:tcW w:w="1265"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55</w:t>
            </w:r>
          </w:p>
        </w:tc>
        <w:tc>
          <w:tcPr>
            <w:tcW w:w="1263"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2类</w:t>
            </w:r>
          </w:p>
        </w:tc>
        <w:tc>
          <w:tcPr>
            <w:tcW w:w="1265"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60</w:t>
            </w:r>
          </w:p>
        </w:tc>
        <w:tc>
          <w:tcPr>
            <w:tcW w:w="1263"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70" w:type="pct"/>
            <w:gridSpan w:val="2"/>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3类</w:t>
            </w:r>
          </w:p>
        </w:tc>
        <w:tc>
          <w:tcPr>
            <w:tcW w:w="1265"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65</w:t>
            </w:r>
          </w:p>
        </w:tc>
        <w:tc>
          <w:tcPr>
            <w:tcW w:w="1263"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19"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4类</w:t>
            </w:r>
          </w:p>
        </w:tc>
        <w:tc>
          <w:tcPr>
            <w:tcW w:w="1351"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4a类</w:t>
            </w:r>
          </w:p>
        </w:tc>
        <w:tc>
          <w:tcPr>
            <w:tcW w:w="1265"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70</w:t>
            </w:r>
          </w:p>
        </w:tc>
        <w:tc>
          <w:tcPr>
            <w:tcW w:w="1263" w:type="pct"/>
            <w:tcMar>
              <w:top w:w="15" w:type="dxa"/>
              <w:left w:w="15" w:type="dxa"/>
              <w:bottom w:w="0" w:type="dxa"/>
              <w:right w:w="15" w:type="dxa"/>
            </w:tcMar>
            <w:vAlign w:val="center"/>
          </w:tcPr>
          <w:p>
            <w:pPr>
              <w:pStyle w:val="36"/>
              <w:rPr>
                <w:rFonts w:ascii="Times New Roman" w:hAnsi="Times New Roman" w:cs="Times New Roman"/>
                <w:color w:val="auto"/>
              </w:rPr>
            </w:pPr>
            <w:r>
              <w:rPr>
                <w:rFonts w:ascii="Times New Roman" w:hAnsi="Times New Roman" w:cs="Times New Roman"/>
                <w:color w:val="auto"/>
              </w:rPr>
              <w:t>55</w:t>
            </w:r>
          </w:p>
        </w:tc>
      </w:tr>
    </w:tbl>
    <w:p>
      <w:pPr>
        <w:spacing w:line="520" w:lineRule="exact"/>
        <w:rPr>
          <w:rFonts w:ascii="Times New Roman" w:hAnsi="Times New Roman" w:cs="Times New Roman"/>
          <w:snapToGrid w:val="0"/>
          <w:color w:val="auto"/>
        </w:rPr>
      </w:pPr>
      <w:r>
        <w:rPr>
          <w:rFonts w:ascii="Times New Roman" w:hAnsi="Times New Roman" w:cs="Times New Roman"/>
          <w:snapToGrid w:val="0"/>
          <w:color w:val="auto"/>
        </w:rPr>
        <w:t>（2）评价结果</w:t>
      </w:r>
    </w:p>
    <w:p>
      <w:pPr>
        <w:spacing w:line="520" w:lineRule="exact"/>
        <w:rPr>
          <w:rFonts w:ascii="Times New Roman" w:hAnsi="Times New Roman" w:cs="Times New Roman"/>
          <w:snapToGrid w:val="0"/>
          <w:color w:val="auto"/>
        </w:rPr>
      </w:pPr>
      <w:r>
        <w:rPr>
          <w:rFonts w:ascii="Times New Roman" w:hAnsi="Times New Roman" w:cs="Times New Roman"/>
          <w:snapToGrid w:val="0"/>
          <w:color w:val="auto"/>
        </w:rPr>
        <w:t>评价结果见表</w:t>
      </w:r>
      <w:r>
        <w:rPr>
          <w:rFonts w:hint="eastAsia" w:ascii="Times New Roman" w:hAnsi="Times New Roman" w:cs="Times New Roman"/>
          <w:snapToGrid w:val="0"/>
          <w:color w:val="auto"/>
        </w:rPr>
        <w:t>4.2-4</w:t>
      </w:r>
      <w:r>
        <w:rPr>
          <w:rFonts w:ascii="Times New Roman" w:hAnsi="Times New Roman" w:cs="Times New Roman"/>
          <w:snapToGrid w:val="0"/>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4.2-4</w:t>
      </w:r>
      <w:r>
        <w:rPr>
          <w:rFonts w:cs="Times New Roman"/>
          <w:color w:val="auto"/>
        </w:rPr>
        <w:t xml:space="preserve">   噪声现状监测结果及评价标准  单位：dB（A）</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1212"/>
        <w:gridCol w:w="1214"/>
        <w:gridCol w:w="1534"/>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778" w:type="pct"/>
            <w:vMerge w:val="restart"/>
            <w:tcBorders>
              <w:tl2br w:val="single" w:color="auto" w:sz="4" w:space="0"/>
            </w:tcBorders>
            <w:vAlign w:val="center"/>
          </w:tcPr>
          <w:p>
            <w:pPr>
              <w:pStyle w:val="36"/>
              <w:jc w:val="right"/>
              <w:rPr>
                <w:rFonts w:ascii="Times New Roman" w:hAnsi="Times New Roman" w:cs="Times New Roman"/>
                <w:b/>
                <w:bCs/>
                <w:color w:val="auto"/>
                <w:highlight w:val="none"/>
              </w:rPr>
            </w:pPr>
            <w:r>
              <w:rPr>
                <w:rFonts w:ascii="Times New Roman" w:hAnsi="Times New Roman" w:cs="Times New Roman"/>
                <w:b/>
                <w:bCs/>
                <w:color w:val="auto"/>
                <w:highlight w:val="none"/>
              </w:rPr>
              <w:t>监测结果</w:t>
            </w:r>
          </w:p>
          <w:p>
            <w:pPr>
              <w:pStyle w:val="36"/>
              <w:jc w:val="both"/>
              <w:rPr>
                <w:rFonts w:ascii="Times New Roman" w:hAnsi="Times New Roman" w:cs="Times New Roman"/>
                <w:b/>
                <w:bCs/>
                <w:color w:val="auto"/>
                <w:highlight w:val="none"/>
              </w:rPr>
            </w:pPr>
            <w:r>
              <w:rPr>
                <w:rFonts w:ascii="Times New Roman" w:hAnsi="Times New Roman" w:cs="Times New Roman"/>
                <w:b/>
                <w:bCs/>
                <w:color w:val="auto"/>
                <w:highlight w:val="none"/>
              </w:rPr>
              <w:t>监测点位</w:t>
            </w:r>
          </w:p>
        </w:tc>
        <w:tc>
          <w:tcPr>
            <w:tcW w:w="1423" w:type="pct"/>
            <w:gridSpan w:val="2"/>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昼间</w:t>
            </w:r>
          </w:p>
        </w:tc>
        <w:tc>
          <w:tcPr>
            <w:tcW w:w="1797" w:type="pct"/>
            <w:gridSpan w:val="2"/>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778" w:type="pct"/>
            <w:vMerge w:val="continue"/>
            <w:tcBorders>
              <w:tl2br w:val="single" w:color="auto" w:sz="4" w:space="0"/>
            </w:tcBorders>
            <w:vAlign w:val="center"/>
          </w:tcPr>
          <w:p>
            <w:pPr>
              <w:pStyle w:val="36"/>
              <w:rPr>
                <w:rFonts w:ascii="Times New Roman" w:hAnsi="Times New Roman" w:cs="Times New Roman"/>
                <w:b/>
                <w:bCs/>
                <w:color w:val="auto"/>
                <w:highlight w:val="none"/>
              </w:rPr>
            </w:pPr>
          </w:p>
        </w:tc>
        <w:tc>
          <w:tcPr>
            <w:tcW w:w="711" w:type="pct"/>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监测值</w:t>
            </w:r>
          </w:p>
        </w:tc>
        <w:tc>
          <w:tcPr>
            <w:tcW w:w="712" w:type="pct"/>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标准限值</w:t>
            </w:r>
          </w:p>
        </w:tc>
        <w:tc>
          <w:tcPr>
            <w:tcW w:w="900" w:type="pct"/>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监测值</w:t>
            </w:r>
          </w:p>
        </w:tc>
        <w:tc>
          <w:tcPr>
            <w:tcW w:w="897" w:type="pct"/>
            <w:vAlign w:val="center"/>
          </w:tcPr>
          <w:p>
            <w:pPr>
              <w:pStyle w:val="36"/>
              <w:rPr>
                <w:rFonts w:ascii="Times New Roman" w:hAnsi="Times New Roman" w:cs="Times New Roman"/>
                <w:b/>
                <w:bCs/>
                <w:color w:val="auto"/>
                <w:highlight w:val="none"/>
              </w:rPr>
            </w:pPr>
            <w:r>
              <w:rPr>
                <w:rFonts w:ascii="Times New Roman" w:hAnsi="Times New Roman" w:cs="Times New Roman"/>
                <w:b/>
                <w:bCs/>
                <w:color w:val="auto"/>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厂区北侧</w:t>
            </w:r>
          </w:p>
        </w:tc>
        <w:tc>
          <w:tcPr>
            <w:tcW w:w="711"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45</w:t>
            </w:r>
          </w:p>
        </w:tc>
        <w:tc>
          <w:tcPr>
            <w:tcW w:w="712" w:type="pct"/>
            <w:vMerge w:val="restart"/>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55</w:t>
            </w:r>
          </w:p>
        </w:tc>
        <w:tc>
          <w:tcPr>
            <w:tcW w:w="900"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41</w:t>
            </w:r>
          </w:p>
        </w:tc>
        <w:tc>
          <w:tcPr>
            <w:tcW w:w="897" w:type="pct"/>
            <w:vMerge w:val="restart"/>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厂区西侧</w:t>
            </w:r>
          </w:p>
        </w:tc>
        <w:tc>
          <w:tcPr>
            <w:tcW w:w="711"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47</w:t>
            </w:r>
          </w:p>
        </w:tc>
        <w:tc>
          <w:tcPr>
            <w:tcW w:w="712" w:type="pct"/>
            <w:vMerge w:val="continue"/>
            <w:vAlign w:val="center"/>
          </w:tcPr>
          <w:p>
            <w:pPr>
              <w:pStyle w:val="36"/>
              <w:rPr>
                <w:rFonts w:ascii="Times New Roman" w:hAnsi="Times New Roman" w:cs="Times New Roman"/>
                <w:color w:val="auto"/>
                <w:highlight w:val="none"/>
              </w:rPr>
            </w:pPr>
          </w:p>
        </w:tc>
        <w:tc>
          <w:tcPr>
            <w:tcW w:w="900"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39</w:t>
            </w:r>
          </w:p>
        </w:tc>
        <w:tc>
          <w:tcPr>
            <w:tcW w:w="897" w:type="pct"/>
            <w:vMerge w:val="continue"/>
            <w:vAlign w:val="center"/>
          </w:tcPr>
          <w:p>
            <w:pPr>
              <w:pStyle w:val="36"/>
              <w:rPr>
                <w:rFonts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厂区南侧</w:t>
            </w:r>
          </w:p>
        </w:tc>
        <w:tc>
          <w:tcPr>
            <w:tcW w:w="711"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47</w:t>
            </w:r>
          </w:p>
        </w:tc>
        <w:tc>
          <w:tcPr>
            <w:tcW w:w="712" w:type="pct"/>
            <w:vMerge w:val="continue"/>
            <w:vAlign w:val="center"/>
          </w:tcPr>
          <w:p>
            <w:pPr>
              <w:pStyle w:val="36"/>
              <w:rPr>
                <w:rFonts w:ascii="Times New Roman" w:hAnsi="Times New Roman" w:cs="Times New Roman"/>
                <w:color w:val="auto"/>
                <w:highlight w:val="none"/>
              </w:rPr>
            </w:pPr>
          </w:p>
        </w:tc>
        <w:tc>
          <w:tcPr>
            <w:tcW w:w="900"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40</w:t>
            </w:r>
          </w:p>
        </w:tc>
        <w:tc>
          <w:tcPr>
            <w:tcW w:w="897" w:type="pct"/>
            <w:vMerge w:val="continue"/>
            <w:vAlign w:val="center"/>
          </w:tcPr>
          <w:p>
            <w:pPr>
              <w:pStyle w:val="36"/>
              <w:rPr>
                <w:rFonts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78" w:type="pct"/>
            <w:vAlign w:val="center"/>
          </w:tcPr>
          <w:p>
            <w:pPr>
              <w:pStyle w:val="36"/>
              <w:rPr>
                <w:rFonts w:ascii="Times New Roman" w:hAnsi="Times New Roman" w:cs="Times New Roman"/>
                <w:color w:val="auto"/>
                <w:highlight w:val="none"/>
              </w:rPr>
            </w:pPr>
            <w:r>
              <w:rPr>
                <w:rFonts w:ascii="Times New Roman" w:hAnsi="Times New Roman" w:cs="Times New Roman"/>
                <w:color w:val="auto"/>
                <w:highlight w:val="none"/>
              </w:rPr>
              <w:t>厂区东侧</w:t>
            </w:r>
          </w:p>
        </w:tc>
        <w:tc>
          <w:tcPr>
            <w:tcW w:w="711"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45</w:t>
            </w:r>
          </w:p>
        </w:tc>
        <w:tc>
          <w:tcPr>
            <w:tcW w:w="712" w:type="pct"/>
            <w:vMerge w:val="continue"/>
            <w:vAlign w:val="center"/>
          </w:tcPr>
          <w:p>
            <w:pPr>
              <w:pStyle w:val="36"/>
              <w:rPr>
                <w:rFonts w:ascii="Times New Roman" w:hAnsi="Times New Roman" w:cs="Times New Roman"/>
                <w:color w:val="auto"/>
                <w:highlight w:val="none"/>
              </w:rPr>
            </w:pPr>
          </w:p>
        </w:tc>
        <w:tc>
          <w:tcPr>
            <w:tcW w:w="900" w:type="pct"/>
            <w:vAlign w:val="center"/>
          </w:tcPr>
          <w:p>
            <w:pPr>
              <w:pStyle w:val="36"/>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40</w:t>
            </w:r>
          </w:p>
        </w:tc>
        <w:tc>
          <w:tcPr>
            <w:tcW w:w="897" w:type="pct"/>
            <w:vMerge w:val="continue"/>
            <w:vAlign w:val="center"/>
          </w:tcPr>
          <w:p>
            <w:pPr>
              <w:pStyle w:val="36"/>
              <w:rPr>
                <w:rFonts w:ascii="Times New Roman" w:hAnsi="Times New Roman" w:cs="Times New Roman"/>
                <w:color w:val="auto"/>
                <w:highlight w:val="none"/>
              </w:rPr>
            </w:pPr>
          </w:p>
        </w:tc>
      </w:tr>
    </w:tbl>
    <w:p>
      <w:pPr>
        <w:spacing w:line="520" w:lineRule="exact"/>
        <w:rPr>
          <w:rFonts w:ascii="Times New Roman" w:hAnsi="Times New Roman" w:cs="Times New Roman"/>
          <w:color w:val="auto"/>
          <w:highlight w:val="yellow"/>
        </w:rPr>
      </w:pPr>
      <w:r>
        <w:rPr>
          <w:rFonts w:ascii="Times New Roman" w:hAnsi="Times New Roman" w:cs="Times New Roman"/>
          <w:color w:val="auto"/>
        </w:rPr>
        <w:t>从上表的噪声监测结果看出，厂界昼、夜间噪声值符合《声环境质量标准》（GB3096-2008）的1类标准值。</w:t>
      </w:r>
    </w:p>
    <w:p>
      <w:pPr>
        <w:pStyle w:val="9"/>
        <w:rPr>
          <w:rFonts w:ascii="Times New Roman" w:hAnsi="Times New Roman" w:cs="Times New Roman"/>
          <w:color w:val="auto"/>
        </w:rPr>
      </w:pPr>
      <w:bookmarkStart w:id="242" w:name="_Toc353293784"/>
      <w:bookmarkStart w:id="243" w:name="_Toc484105108"/>
      <w:bookmarkStart w:id="244" w:name="_Toc512007474"/>
      <w:bookmarkStart w:id="245" w:name="_Toc391741199"/>
      <w:bookmarkStart w:id="246" w:name="_Toc1160"/>
      <w:bookmarkStart w:id="247" w:name="_Toc370052905"/>
      <w:r>
        <w:rPr>
          <w:rFonts w:hint="eastAsia" w:ascii="Times New Roman" w:hAnsi="Times New Roman" w:cs="Times New Roman"/>
          <w:color w:val="auto"/>
        </w:rPr>
        <w:t>4.2</w:t>
      </w:r>
      <w:r>
        <w:rPr>
          <w:rFonts w:ascii="Times New Roman" w:hAnsi="Times New Roman" w:cs="Times New Roman"/>
          <w:color w:val="auto"/>
        </w:rPr>
        <w:t>.</w:t>
      </w:r>
      <w:r>
        <w:rPr>
          <w:rFonts w:hint="eastAsia" w:ascii="Times New Roman" w:hAnsi="Times New Roman" w:cs="Times New Roman"/>
          <w:color w:val="auto"/>
          <w:lang w:val="en-US" w:eastAsia="zh-CN"/>
        </w:rPr>
        <w:t>5</w:t>
      </w:r>
      <w:r>
        <w:rPr>
          <w:rFonts w:ascii="Times New Roman" w:hAnsi="Times New Roman" w:cs="Times New Roman"/>
          <w:color w:val="auto"/>
        </w:rPr>
        <w:t xml:space="preserve"> 生态现状调查与评价</w:t>
      </w:r>
      <w:bookmarkEnd w:id="242"/>
      <w:bookmarkEnd w:id="243"/>
      <w:bookmarkEnd w:id="244"/>
      <w:bookmarkEnd w:id="245"/>
      <w:bookmarkEnd w:id="246"/>
      <w:bookmarkEnd w:id="247"/>
    </w:p>
    <w:p>
      <w:pPr>
        <w:spacing w:line="520" w:lineRule="exact"/>
        <w:rPr>
          <w:rFonts w:ascii="Times New Roman" w:hAnsi="Times New Roman" w:cs="Times New Roman"/>
          <w:color w:val="auto"/>
        </w:rPr>
      </w:pPr>
      <w:r>
        <w:rPr>
          <w:rFonts w:ascii="Times New Roman" w:hAnsi="Times New Roman" w:cs="Times New Roman"/>
          <w:color w:val="auto"/>
        </w:rPr>
        <w:t>根据《新疆生态功能区划》，吉木萨尔县生态功能区属于阜康-木垒绿洲农业、荒漠草地保护生态功能区。主要生态服务功能为农牧产品生产、人居环境、荒漠化控制；主要生态环境问题为地下水超采、荒漠植被退化、沙漠化威胁、局部土地盐渍化、河床萎缩、滥开荒地。吉木萨尔县政府重视节水灌溉、严格控制地下水开采、污染物达标排放、提高城镇建设规划水平，发展优质高效农牧业，美化城市环境，建设健康、稳定的城乡生态系统与人居环境。</w:t>
      </w:r>
    </w:p>
    <w:p>
      <w:pPr>
        <w:spacing w:line="520" w:lineRule="exact"/>
        <w:rPr>
          <w:rFonts w:ascii="Times New Roman" w:hAnsi="Times New Roman" w:cs="Times New Roman"/>
          <w:color w:val="auto"/>
        </w:rPr>
      </w:pPr>
      <w:r>
        <w:rPr>
          <w:rFonts w:ascii="Times New Roman" w:hAnsi="Times New Roman" w:cs="Times New Roman"/>
          <w:color w:val="auto"/>
        </w:rPr>
        <w:t>从拟建工程所在地区的生态环境现状来看，植物群落较为单一，主植被覆盖度约5%左右。由于项目区域干旱缺水，加上人为活动影响，区域鲜见野生动物踪迹，仅有昆虫、野兔、鼠类或偶尔有一些鸟类活动，厂址区域无需要特别保护的珍稀陆生野生动植物，所以，拟建工程建设对野生动植物基本无影响。同时，根据实地调查，厂址区域未发现国家保护动物。从生物多样性程度来看，工程占地区的生物多样性较低，需重点防治工程建设对项目周边地表自然植被及结皮层的破坏。</w:t>
      </w:r>
    </w:p>
    <w:p>
      <w:pPr>
        <w:pStyle w:val="2"/>
        <w:spacing w:line="520" w:lineRule="exact"/>
        <w:ind w:firstLine="480"/>
        <w:rPr>
          <w:rFonts w:ascii="Times New Roman" w:hAnsi="Times New Roman" w:cs="Times New Roman"/>
          <w:color w:val="auto"/>
          <w:sz w:val="24"/>
          <w:szCs w:val="24"/>
        </w:rPr>
      </w:pPr>
    </w:p>
    <w:p>
      <w:pPr>
        <w:pStyle w:val="2"/>
        <w:spacing w:line="520" w:lineRule="exact"/>
        <w:ind w:firstLine="480"/>
        <w:rPr>
          <w:rFonts w:ascii="Times New Roman" w:hAnsi="Times New Roman" w:cs="Times New Roman"/>
          <w:color w:val="auto"/>
          <w:sz w:val="24"/>
          <w:szCs w:val="24"/>
        </w:rPr>
      </w:pPr>
    </w:p>
    <w:p>
      <w:pPr>
        <w:pStyle w:val="2"/>
        <w:spacing w:line="520" w:lineRule="exact"/>
        <w:ind w:firstLine="480"/>
        <w:rPr>
          <w:rFonts w:ascii="Times New Roman" w:hAnsi="Times New Roman" w:cs="Times New Roman"/>
          <w:color w:val="auto"/>
          <w:sz w:val="24"/>
          <w:szCs w:val="24"/>
        </w:rPr>
        <w:sectPr>
          <w:pgSz w:w="11906" w:h="16838"/>
          <w:pgMar w:top="1440" w:right="1800" w:bottom="1440" w:left="1800" w:header="851" w:footer="992" w:gutter="0"/>
          <w:cols w:space="425" w:num="1"/>
          <w:docGrid w:type="lines" w:linePitch="312" w:charSpace="0"/>
        </w:sectPr>
      </w:pPr>
    </w:p>
    <w:p>
      <w:pPr>
        <w:pStyle w:val="7"/>
        <w:jc w:val="center"/>
        <w:rPr>
          <w:rFonts w:ascii="Times New Roman" w:hAnsi="Times New Roman" w:cs="Times New Roman"/>
          <w:color w:val="auto"/>
        </w:rPr>
      </w:pPr>
      <w:bookmarkStart w:id="248" w:name="_Toc8298"/>
      <w:bookmarkStart w:id="249" w:name="_Toc8330"/>
      <w:r>
        <w:rPr>
          <w:rFonts w:hint="eastAsia" w:ascii="Times New Roman" w:hAnsi="Times New Roman" w:cs="Times New Roman"/>
          <w:color w:val="auto"/>
        </w:rPr>
        <w:t>5</w:t>
      </w:r>
      <w:r>
        <w:rPr>
          <w:rFonts w:ascii="Times New Roman" w:hAnsi="Times New Roman" w:cs="Times New Roman"/>
          <w:color w:val="auto"/>
        </w:rPr>
        <w:t xml:space="preserve"> 环境影响预测与评价</w:t>
      </w:r>
      <w:bookmarkEnd w:id="248"/>
      <w:bookmarkEnd w:id="249"/>
    </w:p>
    <w:p>
      <w:pPr>
        <w:pStyle w:val="8"/>
        <w:rPr>
          <w:rFonts w:ascii="Times New Roman" w:hAnsi="Times New Roman" w:cs="Times New Roman"/>
          <w:color w:val="auto"/>
        </w:rPr>
      </w:pPr>
      <w:bookmarkStart w:id="250" w:name="_Toc16340"/>
      <w:bookmarkStart w:id="251" w:name="_Toc30243_WPSOffice_Level2"/>
      <w:bookmarkStart w:id="252" w:name="_Toc24314"/>
      <w:r>
        <w:rPr>
          <w:rFonts w:hint="eastAsia" w:ascii="Times New Roman" w:hAnsi="Times New Roman" w:cs="Times New Roman"/>
          <w:color w:val="auto"/>
        </w:rPr>
        <w:t>5</w:t>
      </w:r>
      <w:r>
        <w:rPr>
          <w:rFonts w:ascii="Times New Roman" w:hAnsi="Times New Roman" w:cs="Times New Roman"/>
          <w:color w:val="auto"/>
        </w:rPr>
        <w:t>.1 施工期环境影响分析</w:t>
      </w:r>
      <w:bookmarkEnd w:id="250"/>
      <w:bookmarkEnd w:id="251"/>
      <w:bookmarkEnd w:id="252"/>
    </w:p>
    <w:p>
      <w:pPr>
        <w:spacing w:line="520" w:lineRule="exact"/>
        <w:jc w:val="left"/>
        <w:rPr>
          <w:rFonts w:ascii="Times New Roman" w:hAnsi="Times New Roman" w:cs="Times New Roman"/>
          <w:color w:val="auto"/>
        </w:rPr>
      </w:pPr>
      <w:r>
        <w:rPr>
          <w:rFonts w:ascii="Times New Roman" w:hAnsi="Times New Roman" w:cs="Times New Roman"/>
          <w:color w:val="auto"/>
        </w:rPr>
        <w:t>项目建设期约为</w:t>
      </w:r>
      <w:r>
        <w:rPr>
          <w:rFonts w:hint="eastAsia" w:ascii="Times New Roman" w:hAnsi="Times New Roman" w:cs="Times New Roman"/>
          <w:color w:val="auto"/>
        </w:rPr>
        <w:t>2</w:t>
      </w:r>
      <w:r>
        <w:rPr>
          <w:rFonts w:hint="eastAsia" w:ascii="Times New Roman" w:hAnsi="Times New Roman" w:cs="Times New Roman"/>
          <w:color w:val="auto"/>
          <w:lang w:val="en-US" w:eastAsia="zh-CN"/>
        </w:rPr>
        <w:t>4</w:t>
      </w:r>
      <w:r>
        <w:rPr>
          <w:rFonts w:ascii="Times New Roman" w:hAnsi="Times New Roman" w:cs="Times New Roman"/>
          <w:color w:val="auto"/>
        </w:rPr>
        <w:t>个月，在项目建设的过程中，土地平整、土地开挖、铺设管道、基础处理、建设施工等施工过程会产生扬尘、噪声、污水及水土流失等污染因素，如不妥善处理，对周围环境会产生一定影响。故建设单位在本项目的施工建设中，应严格按照《建筑施工现场环境与卫生标准》执行，注意避免或减轻其对周围环境的各种影响。</w:t>
      </w:r>
    </w:p>
    <w:p>
      <w:pPr>
        <w:pStyle w:val="9"/>
        <w:rPr>
          <w:rFonts w:ascii="Times New Roman" w:hAnsi="Times New Roman" w:cs="Times New Roman"/>
          <w:color w:val="auto"/>
        </w:rPr>
      </w:pPr>
      <w:bookmarkStart w:id="253" w:name="_Toc32499"/>
      <w:r>
        <w:rPr>
          <w:rFonts w:hint="eastAsia" w:ascii="Times New Roman" w:hAnsi="Times New Roman" w:cs="Times New Roman"/>
          <w:color w:val="auto"/>
        </w:rPr>
        <w:t>5</w:t>
      </w:r>
      <w:r>
        <w:rPr>
          <w:rFonts w:ascii="Times New Roman" w:hAnsi="Times New Roman" w:cs="Times New Roman"/>
          <w:color w:val="auto"/>
        </w:rPr>
        <w:t>.1.1</w:t>
      </w:r>
      <w:bookmarkStart w:id="254" w:name="_Toc240476139"/>
      <w:bookmarkStart w:id="255" w:name="_Toc237534796"/>
      <w:bookmarkStart w:id="256" w:name="_Toc238089945"/>
      <w:bookmarkStart w:id="257" w:name="_Toc237534979"/>
      <w:bookmarkStart w:id="258" w:name="_Toc239439575"/>
      <w:bookmarkStart w:id="259" w:name="_Toc266117343"/>
      <w:bookmarkStart w:id="260" w:name="_Toc258592077"/>
      <w:bookmarkStart w:id="261" w:name="_Toc22747"/>
      <w:bookmarkStart w:id="262" w:name="_Toc376168579"/>
      <w:bookmarkStart w:id="263" w:name="_Toc256524529"/>
      <w:bookmarkStart w:id="264" w:name="_Toc20463"/>
      <w:bookmarkStart w:id="265" w:name="_Toc264817795"/>
      <w:bookmarkStart w:id="266" w:name="_Toc256667503"/>
      <w:bookmarkStart w:id="267" w:name="_Toc256494906"/>
      <w:bookmarkStart w:id="268" w:name="_Toc248875566"/>
      <w:r>
        <w:rPr>
          <w:rFonts w:ascii="Times New Roman" w:hAnsi="Times New Roman" w:cs="Times New Roman"/>
          <w:color w:val="auto"/>
        </w:rPr>
        <w:t xml:space="preserve"> 施工期大气环境影响</w:t>
      </w:r>
      <w:bookmarkEnd w:id="254"/>
      <w:bookmarkEnd w:id="255"/>
      <w:bookmarkEnd w:id="256"/>
      <w:bookmarkEnd w:id="257"/>
      <w:bookmarkEnd w:id="258"/>
      <w:r>
        <w:rPr>
          <w:rFonts w:ascii="Times New Roman" w:hAnsi="Times New Roman" w:cs="Times New Roman"/>
          <w:color w:val="auto"/>
        </w:rPr>
        <w:t>分析</w:t>
      </w:r>
      <w:bookmarkEnd w:id="253"/>
      <w:bookmarkEnd w:id="259"/>
      <w:bookmarkEnd w:id="260"/>
      <w:bookmarkEnd w:id="261"/>
      <w:bookmarkEnd w:id="262"/>
      <w:bookmarkEnd w:id="263"/>
      <w:bookmarkEnd w:id="264"/>
      <w:bookmarkEnd w:id="265"/>
      <w:bookmarkEnd w:id="266"/>
      <w:bookmarkEnd w:id="267"/>
      <w:bookmarkEnd w:id="268"/>
    </w:p>
    <w:p>
      <w:pPr>
        <w:spacing w:line="520" w:lineRule="exact"/>
        <w:jc w:val="left"/>
        <w:rPr>
          <w:rFonts w:ascii="Times New Roman" w:hAnsi="Times New Roman" w:cs="Times New Roman"/>
          <w:color w:val="auto"/>
        </w:rPr>
      </w:pPr>
      <w:r>
        <w:rPr>
          <w:rFonts w:ascii="Times New Roman" w:hAnsi="Times New Roman" w:cs="Times New Roman"/>
          <w:color w:val="auto"/>
        </w:rPr>
        <w:t>施工期的废气主要为扬尘，还有部分施工机械以及运输车辆排放的尾气。</w:t>
      </w:r>
    </w:p>
    <w:p>
      <w:pPr>
        <w:spacing w:line="520" w:lineRule="exact"/>
        <w:rPr>
          <w:rFonts w:ascii="Times New Roman" w:hAnsi="Times New Roman" w:cs="Times New Roman"/>
          <w:color w:val="auto"/>
        </w:rPr>
      </w:pPr>
      <w:r>
        <w:rPr>
          <w:rFonts w:ascii="Times New Roman" w:hAnsi="Times New Roman" w:cs="Times New Roman"/>
          <w:color w:val="auto"/>
        </w:rPr>
        <w:t>（1）扬尘环境影响分析</w:t>
      </w:r>
    </w:p>
    <w:p>
      <w:pPr>
        <w:spacing w:line="520" w:lineRule="exact"/>
        <w:jc w:val="left"/>
        <w:rPr>
          <w:rFonts w:ascii="Times New Roman" w:hAnsi="Times New Roman" w:cs="Times New Roman"/>
          <w:color w:val="auto"/>
        </w:rPr>
      </w:pPr>
      <w:r>
        <w:rPr>
          <w:rFonts w:ascii="Times New Roman" w:hAnsi="Times New Roman" w:cs="Times New Roman"/>
          <w:color w:val="auto"/>
        </w:rPr>
        <w:t>扬尘的来源包括有：土方挖掘及现场堆放扬尘；建筑材料的堆放、现场搬运、装卸、等产生扬尘；车来往造成的现场道路扬尘。</w:t>
      </w:r>
    </w:p>
    <w:p>
      <w:pPr>
        <w:spacing w:line="520" w:lineRule="exact"/>
        <w:jc w:val="left"/>
        <w:rPr>
          <w:rFonts w:ascii="Times New Roman" w:hAnsi="Times New Roman" w:cs="Times New Roman"/>
          <w:color w:val="auto"/>
        </w:rPr>
      </w:pPr>
      <w:r>
        <w:rPr>
          <w:rFonts w:ascii="Times New Roman" w:hAnsi="Times New Roman" w:cs="Times New Roman"/>
          <w:color w:val="auto"/>
        </w:rPr>
        <w:t>根据国内外的有关研究资料，扬尘起尘量与许多因素有关，如挖土机等施工机械在工作时的起尘量决定于挖坑深度、挖土机抓斗与地面的相对高度、风速、土壤的颗粒度、土壤含水量、渣土分散度等条件；而对于渣土堆扬尘而言，起尘量还与堆放方式、起动风速及堆场有无防护措施、尘粒和沉降速度等密切相关。不同的粒径的尘粒的沉降速度见表</w:t>
      </w:r>
      <w:r>
        <w:rPr>
          <w:rFonts w:hint="eastAsia" w:ascii="Times New Roman" w:hAnsi="Times New Roman" w:cs="Times New Roman"/>
          <w:color w:val="auto"/>
        </w:rPr>
        <w:t>5.1</w:t>
      </w:r>
      <w:r>
        <w:rPr>
          <w:rFonts w:ascii="Times New Roman" w:hAnsi="Times New Roman" w:cs="Times New Roman"/>
          <w:color w:val="auto"/>
        </w:rPr>
        <w:t>-1。</w:t>
      </w:r>
    </w:p>
    <w:p>
      <w:pPr>
        <w:pStyle w:val="35"/>
        <w:spacing w:before="0" w:after="0" w:line="520" w:lineRule="exact"/>
        <w:rPr>
          <w:rFonts w:cs="Times New Roman"/>
          <w:color w:val="auto"/>
        </w:rPr>
      </w:pPr>
      <w:r>
        <w:rPr>
          <w:rFonts w:cs="Times New Roman"/>
          <w:color w:val="auto"/>
        </w:rPr>
        <w:t>表</w:t>
      </w:r>
      <w:r>
        <w:rPr>
          <w:rFonts w:hint="eastAsia" w:cs="Times New Roman"/>
          <w:color w:val="auto"/>
        </w:rPr>
        <w:t>5.1</w:t>
      </w:r>
      <w:r>
        <w:rPr>
          <w:rFonts w:cs="Times New Roman"/>
          <w:color w:val="auto"/>
        </w:rPr>
        <w:t>-1   不同粒径尘粒的沉降速度</w:t>
      </w:r>
    </w:p>
    <w:tbl>
      <w:tblPr>
        <w:tblStyle w:val="24"/>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670"/>
        <w:gridCol w:w="991"/>
        <w:gridCol w:w="989"/>
        <w:gridCol w:w="994"/>
        <w:gridCol w:w="994"/>
        <w:gridCol w:w="989"/>
        <w:gridCol w:w="994"/>
        <w:gridCol w:w="90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36"/>
              <w:rPr>
                <w:rFonts w:ascii="Times New Roman" w:hAnsi="Times New Roman" w:cs="Times New Roman"/>
                <w:b/>
                <w:bCs/>
                <w:color w:val="auto"/>
              </w:rPr>
            </w:pPr>
            <w:r>
              <w:rPr>
                <w:rFonts w:ascii="Times New Roman" w:hAnsi="Times New Roman" w:cs="Times New Roman"/>
                <w:b/>
                <w:bCs/>
                <w:color w:val="auto"/>
              </w:rPr>
              <w:t>粒径（μm）</w:t>
            </w:r>
          </w:p>
        </w:tc>
        <w:tc>
          <w:tcPr>
            <w:tcW w:w="581" w:type="pct"/>
            <w:vAlign w:val="center"/>
          </w:tcPr>
          <w:p>
            <w:pPr>
              <w:pStyle w:val="36"/>
              <w:rPr>
                <w:rFonts w:ascii="Times New Roman" w:hAnsi="Times New Roman" w:cs="Times New Roman"/>
                <w:color w:val="auto"/>
              </w:rPr>
            </w:pPr>
            <w:r>
              <w:rPr>
                <w:rFonts w:ascii="Times New Roman" w:hAnsi="Times New Roman" w:cs="Times New Roman"/>
                <w:color w:val="auto"/>
              </w:rPr>
              <w:t>10</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20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30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40</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50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60</w:t>
            </w:r>
          </w:p>
        </w:tc>
        <w:tc>
          <w:tcPr>
            <w:tcW w:w="528" w:type="pct"/>
            <w:vAlign w:val="center"/>
          </w:tcPr>
          <w:p>
            <w:pPr>
              <w:pStyle w:val="36"/>
              <w:rPr>
                <w:rFonts w:ascii="Times New Roman" w:hAnsi="Times New Roman" w:cs="Times New Roman"/>
                <w:color w:val="auto"/>
              </w:rPr>
            </w:pPr>
            <w:r>
              <w:rPr>
                <w:rFonts w:ascii="Times New Roman" w:hAnsi="Times New Roman" w:cs="Times New Roman"/>
                <w:color w:val="auto"/>
              </w:rPr>
              <w:t>70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36"/>
              <w:rPr>
                <w:rFonts w:ascii="Times New Roman" w:hAnsi="Times New Roman" w:cs="Times New Roman"/>
                <w:b/>
                <w:bCs/>
                <w:color w:val="auto"/>
              </w:rPr>
            </w:pPr>
            <w:r>
              <w:rPr>
                <w:rFonts w:ascii="Times New Roman" w:hAnsi="Times New Roman" w:cs="Times New Roman"/>
                <w:b/>
                <w:bCs/>
                <w:color w:val="auto"/>
              </w:rPr>
              <w:t>沉降速度（m/s）</w:t>
            </w:r>
          </w:p>
        </w:tc>
        <w:tc>
          <w:tcPr>
            <w:tcW w:w="581" w:type="pct"/>
            <w:vAlign w:val="center"/>
          </w:tcPr>
          <w:p>
            <w:pPr>
              <w:pStyle w:val="36"/>
              <w:rPr>
                <w:rFonts w:ascii="Times New Roman" w:hAnsi="Times New Roman" w:cs="Times New Roman"/>
                <w:color w:val="auto"/>
              </w:rPr>
            </w:pPr>
            <w:r>
              <w:rPr>
                <w:rFonts w:ascii="Times New Roman" w:hAnsi="Times New Roman" w:cs="Times New Roman"/>
                <w:color w:val="auto"/>
              </w:rPr>
              <w:t>0.003</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0.012</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0.027</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0.048</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0.075</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0.108</w:t>
            </w:r>
          </w:p>
        </w:tc>
        <w:tc>
          <w:tcPr>
            <w:tcW w:w="528" w:type="pct"/>
            <w:vAlign w:val="center"/>
          </w:tcPr>
          <w:p>
            <w:pPr>
              <w:pStyle w:val="36"/>
              <w:rPr>
                <w:rFonts w:ascii="Times New Roman" w:hAnsi="Times New Roman" w:cs="Times New Roman"/>
                <w:color w:val="auto"/>
              </w:rPr>
            </w:pPr>
            <w:r>
              <w:rPr>
                <w:rFonts w:ascii="Times New Roman" w:hAnsi="Times New Roman" w:cs="Times New Roman"/>
                <w:color w:val="auto"/>
              </w:rPr>
              <w:t>0.147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36"/>
              <w:rPr>
                <w:rFonts w:ascii="Times New Roman" w:hAnsi="Times New Roman" w:cs="Times New Roman"/>
                <w:b/>
                <w:bCs/>
                <w:color w:val="auto"/>
              </w:rPr>
            </w:pPr>
            <w:r>
              <w:rPr>
                <w:rFonts w:ascii="Times New Roman" w:hAnsi="Times New Roman" w:cs="Times New Roman"/>
                <w:b/>
                <w:bCs/>
                <w:color w:val="auto"/>
              </w:rPr>
              <w:t>粒径（μm）</w:t>
            </w:r>
          </w:p>
        </w:tc>
        <w:tc>
          <w:tcPr>
            <w:tcW w:w="581" w:type="pct"/>
            <w:vAlign w:val="center"/>
          </w:tcPr>
          <w:p>
            <w:pPr>
              <w:pStyle w:val="36"/>
              <w:rPr>
                <w:rFonts w:ascii="Times New Roman" w:hAnsi="Times New Roman" w:cs="Times New Roman"/>
                <w:color w:val="auto"/>
              </w:rPr>
            </w:pPr>
            <w:r>
              <w:rPr>
                <w:rFonts w:ascii="Times New Roman" w:hAnsi="Times New Roman" w:cs="Times New Roman"/>
                <w:color w:val="auto"/>
              </w:rPr>
              <w:t>80</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90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100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150</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200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250</w:t>
            </w:r>
          </w:p>
        </w:tc>
        <w:tc>
          <w:tcPr>
            <w:tcW w:w="528" w:type="pct"/>
            <w:vAlign w:val="center"/>
          </w:tcPr>
          <w:p>
            <w:pPr>
              <w:pStyle w:val="36"/>
              <w:rPr>
                <w:rFonts w:ascii="Times New Roman" w:hAnsi="Times New Roman" w:cs="Times New Roman"/>
                <w:color w:val="auto"/>
              </w:rPr>
            </w:pPr>
            <w:r>
              <w:rPr>
                <w:rFonts w:ascii="Times New Roman" w:hAnsi="Times New Roman" w:cs="Times New Roman"/>
                <w:color w:val="auto"/>
              </w:rPr>
              <w:t>350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36"/>
              <w:rPr>
                <w:rFonts w:ascii="Times New Roman" w:hAnsi="Times New Roman" w:cs="Times New Roman"/>
                <w:b/>
                <w:bCs/>
                <w:color w:val="auto"/>
              </w:rPr>
            </w:pPr>
            <w:r>
              <w:rPr>
                <w:rFonts w:ascii="Times New Roman" w:hAnsi="Times New Roman" w:cs="Times New Roman"/>
                <w:b/>
                <w:bCs/>
                <w:color w:val="auto"/>
              </w:rPr>
              <w:t>沉降速度（m/s）</w:t>
            </w:r>
          </w:p>
        </w:tc>
        <w:tc>
          <w:tcPr>
            <w:tcW w:w="581" w:type="pct"/>
            <w:vAlign w:val="center"/>
          </w:tcPr>
          <w:p>
            <w:pPr>
              <w:pStyle w:val="36"/>
              <w:rPr>
                <w:rFonts w:ascii="Times New Roman" w:hAnsi="Times New Roman" w:cs="Times New Roman"/>
                <w:color w:val="auto"/>
              </w:rPr>
            </w:pPr>
            <w:r>
              <w:rPr>
                <w:rFonts w:ascii="Times New Roman" w:hAnsi="Times New Roman" w:cs="Times New Roman"/>
                <w:color w:val="auto"/>
              </w:rPr>
              <w:t>0.158</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0.170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0.182</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0.239</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0.804</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1.005</w:t>
            </w:r>
          </w:p>
        </w:tc>
        <w:tc>
          <w:tcPr>
            <w:tcW w:w="528" w:type="pct"/>
            <w:vAlign w:val="center"/>
          </w:tcPr>
          <w:p>
            <w:pPr>
              <w:pStyle w:val="36"/>
              <w:rPr>
                <w:rFonts w:ascii="Times New Roman" w:hAnsi="Times New Roman" w:cs="Times New Roman"/>
                <w:color w:val="auto"/>
              </w:rPr>
            </w:pPr>
            <w:r>
              <w:rPr>
                <w:rFonts w:ascii="Times New Roman" w:hAnsi="Times New Roman" w:cs="Times New Roman"/>
                <w:color w:val="auto"/>
              </w:rPr>
              <w:t>1.829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36"/>
              <w:rPr>
                <w:rFonts w:ascii="Times New Roman" w:hAnsi="Times New Roman" w:cs="Times New Roman"/>
                <w:b/>
                <w:bCs/>
                <w:color w:val="auto"/>
              </w:rPr>
            </w:pPr>
            <w:r>
              <w:rPr>
                <w:rFonts w:ascii="Times New Roman" w:hAnsi="Times New Roman" w:cs="Times New Roman"/>
                <w:b/>
                <w:bCs/>
                <w:color w:val="auto"/>
              </w:rPr>
              <w:t>粒径（μm）</w:t>
            </w:r>
          </w:p>
        </w:tc>
        <w:tc>
          <w:tcPr>
            <w:tcW w:w="581" w:type="pct"/>
            <w:vAlign w:val="center"/>
          </w:tcPr>
          <w:p>
            <w:pPr>
              <w:pStyle w:val="36"/>
              <w:rPr>
                <w:rFonts w:ascii="Times New Roman" w:hAnsi="Times New Roman" w:cs="Times New Roman"/>
                <w:color w:val="auto"/>
              </w:rPr>
            </w:pPr>
            <w:r>
              <w:rPr>
                <w:rFonts w:ascii="Times New Roman" w:hAnsi="Times New Roman" w:cs="Times New Roman"/>
                <w:color w:val="auto"/>
              </w:rPr>
              <w:t>450</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550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650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750</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850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950</w:t>
            </w:r>
          </w:p>
        </w:tc>
        <w:tc>
          <w:tcPr>
            <w:tcW w:w="528" w:type="pct"/>
            <w:vAlign w:val="center"/>
          </w:tcPr>
          <w:p>
            <w:pPr>
              <w:pStyle w:val="36"/>
              <w:rPr>
                <w:rFonts w:ascii="Times New Roman" w:hAnsi="Times New Roman" w:cs="Times New Roman"/>
                <w:color w:val="auto"/>
              </w:rPr>
            </w:pPr>
            <w:r>
              <w:rPr>
                <w:rFonts w:ascii="Times New Roman" w:hAnsi="Times New Roman" w:cs="Times New Roman"/>
                <w:color w:val="auto"/>
              </w:rPr>
              <w:t>1050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979" w:type="pct"/>
            <w:vAlign w:val="center"/>
          </w:tcPr>
          <w:p>
            <w:pPr>
              <w:pStyle w:val="36"/>
              <w:rPr>
                <w:rFonts w:ascii="Times New Roman" w:hAnsi="Times New Roman" w:cs="Times New Roman"/>
                <w:b/>
                <w:bCs/>
                <w:color w:val="auto"/>
              </w:rPr>
            </w:pPr>
            <w:r>
              <w:rPr>
                <w:rFonts w:ascii="Times New Roman" w:hAnsi="Times New Roman" w:cs="Times New Roman"/>
                <w:b/>
                <w:bCs/>
                <w:color w:val="auto"/>
              </w:rPr>
              <w:t>沉降速度（m/s）</w:t>
            </w:r>
          </w:p>
        </w:tc>
        <w:tc>
          <w:tcPr>
            <w:tcW w:w="581" w:type="pct"/>
            <w:vAlign w:val="center"/>
          </w:tcPr>
          <w:p>
            <w:pPr>
              <w:pStyle w:val="36"/>
              <w:rPr>
                <w:rFonts w:ascii="Times New Roman" w:hAnsi="Times New Roman" w:cs="Times New Roman"/>
                <w:color w:val="auto"/>
              </w:rPr>
            </w:pPr>
            <w:r>
              <w:rPr>
                <w:rFonts w:ascii="Times New Roman" w:hAnsi="Times New Roman" w:cs="Times New Roman"/>
                <w:color w:val="auto"/>
              </w:rPr>
              <w:t>2.211</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2.614</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3.016</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3.418</w:t>
            </w:r>
          </w:p>
        </w:tc>
        <w:tc>
          <w:tcPr>
            <w:tcW w:w="580" w:type="pct"/>
            <w:vAlign w:val="center"/>
          </w:tcPr>
          <w:p>
            <w:pPr>
              <w:pStyle w:val="36"/>
              <w:rPr>
                <w:rFonts w:ascii="Times New Roman" w:hAnsi="Times New Roman" w:cs="Times New Roman"/>
                <w:color w:val="auto"/>
              </w:rPr>
            </w:pPr>
            <w:r>
              <w:rPr>
                <w:rFonts w:ascii="Times New Roman" w:hAnsi="Times New Roman" w:cs="Times New Roman"/>
                <w:color w:val="auto"/>
              </w:rPr>
              <w:t>3.820</w:t>
            </w:r>
          </w:p>
        </w:tc>
        <w:tc>
          <w:tcPr>
            <w:tcW w:w="583" w:type="pct"/>
            <w:vAlign w:val="center"/>
          </w:tcPr>
          <w:p>
            <w:pPr>
              <w:pStyle w:val="36"/>
              <w:rPr>
                <w:rFonts w:ascii="Times New Roman" w:hAnsi="Times New Roman" w:cs="Times New Roman"/>
                <w:color w:val="auto"/>
              </w:rPr>
            </w:pPr>
            <w:r>
              <w:rPr>
                <w:rFonts w:ascii="Times New Roman" w:hAnsi="Times New Roman" w:cs="Times New Roman"/>
                <w:color w:val="auto"/>
              </w:rPr>
              <w:t>4.222</w:t>
            </w:r>
          </w:p>
        </w:tc>
        <w:tc>
          <w:tcPr>
            <w:tcW w:w="528" w:type="pct"/>
            <w:vAlign w:val="center"/>
          </w:tcPr>
          <w:p>
            <w:pPr>
              <w:pStyle w:val="36"/>
              <w:rPr>
                <w:rFonts w:ascii="Times New Roman" w:hAnsi="Times New Roman" w:cs="Times New Roman"/>
                <w:color w:val="auto"/>
              </w:rPr>
            </w:pPr>
            <w:r>
              <w:rPr>
                <w:rFonts w:ascii="Times New Roman" w:hAnsi="Times New Roman" w:cs="Times New Roman"/>
                <w:color w:val="auto"/>
              </w:rPr>
              <w:t>4.624</w:t>
            </w:r>
          </w:p>
        </w:tc>
      </w:tr>
    </w:tbl>
    <w:p>
      <w:pPr>
        <w:spacing w:line="520" w:lineRule="exact"/>
        <w:jc w:val="left"/>
        <w:rPr>
          <w:rFonts w:ascii="Times New Roman" w:hAnsi="Times New Roman" w:cs="Times New Roman"/>
          <w:color w:val="auto"/>
        </w:rPr>
      </w:pPr>
      <w:r>
        <w:rPr>
          <w:rFonts w:ascii="Times New Roman" w:hAnsi="Times New Roman" w:cs="Times New Roman"/>
          <w:color w:val="auto"/>
        </w:rPr>
        <w:t>此外，根据有关市政施工现场实测资料的记录，在一般气象条件下，当风速在2.5m/s的情况下，建筑工地内TSP浓度是上风向对照点的2.0~2.5倍，建筑施工扬尘的影响范围为其下风向150m左右。通过类比调查研究，未采取防护措施和土壤较干燥时，开挖的最大扬尘约为开挖土量的1%。在采取一定防护措施或土壤较湿润时，开挖的扬尘量约为0.1%。在采取适当防护措施后，施工扬尘范围一般在场界外50~200m左右。</w:t>
      </w:r>
    </w:p>
    <w:p>
      <w:pPr>
        <w:spacing w:line="520" w:lineRule="exact"/>
        <w:jc w:val="left"/>
        <w:rPr>
          <w:rFonts w:ascii="Times New Roman" w:hAnsi="Times New Roman" w:cs="Times New Roman"/>
          <w:color w:val="auto"/>
        </w:rPr>
      </w:pPr>
      <w:r>
        <w:rPr>
          <w:rFonts w:ascii="Times New Roman" w:hAnsi="Times New Roman" w:cs="Times New Roman"/>
          <w:color w:val="auto"/>
        </w:rPr>
        <w:t>扬尘的大小跟风力及气候有一定的关系，本项目厂址降雨稀少，沙尘天气较多，相应的扬尘影响范围较大，细颗粒的输送距离可以达到几十公里以上。而在洒水和避免大风日的情况下施工，下风向50mTSP浓度会小于0.3mg/m</w:t>
      </w:r>
      <w:r>
        <w:rPr>
          <w:rFonts w:ascii="Times New Roman" w:hAnsi="Times New Roman" w:cs="Times New Roman"/>
          <w:color w:val="auto"/>
          <w:vertAlign w:val="superscript"/>
        </w:rPr>
        <w:t>3</w:t>
      </w:r>
      <w:r>
        <w:rPr>
          <w:rFonts w:ascii="Times New Roman" w:hAnsi="Times New Roman" w:cs="Times New Roman"/>
          <w:color w:val="auto"/>
        </w:rPr>
        <w:t>。</w:t>
      </w:r>
    </w:p>
    <w:p>
      <w:pPr>
        <w:spacing w:line="520" w:lineRule="exact"/>
        <w:jc w:val="left"/>
        <w:rPr>
          <w:rFonts w:ascii="Times New Roman" w:hAnsi="Times New Roman" w:cs="Times New Roman"/>
          <w:color w:val="auto"/>
        </w:rPr>
      </w:pPr>
      <w:r>
        <w:rPr>
          <w:rFonts w:ascii="Times New Roman" w:hAnsi="Times New Roman" w:cs="Times New Roman"/>
          <w:color w:val="auto"/>
        </w:rPr>
        <w:t>由以上分析可知，在不采用措施的情况下，施工场地的扬尘会对当地环境产生一定的影响，而在通过采取合理布置施工场地，同时在洒水和避免大风日情况下施工等措施下，扬尘的影响将得到一定程度降低，且扬尘的不良影响将伴随着施工期的结束而结束。</w:t>
      </w:r>
    </w:p>
    <w:p>
      <w:pPr>
        <w:spacing w:line="520" w:lineRule="exact"/>
        <w:jc w:val="left"/>
        <w:rPr>
          <w:rFonts w:ascii="Times New Roman" w:hAnsi="Times New Roman" w:cs="Times New Roman"/>
          <w:color w:val="auto"/>
        </w:rPr>
      </w:pPr>
      <w:r>
        <w:rPr>
          <w:rFonts w:ascii="Times New Roman" w:hAnsi="Times New Roman" w:cs="Times New Roman"/>
          <w:color w:val="auto"/>
        </w:rPr>
        <w:t>施工运输车辆通过便道行驶产生的扬尘源强大小与污染源的距离、道路路面、行驶速度有关。一般情况，在自然风作用下车辆产生的扬尘所影响的范围在100m以内。如果在施工期间对车辆行驶的路面洒水抑尘，每天洒水4~5次，扬尘减少70%左右，施工场地洒水试验结果见表</w:t>
      </w:r>
      <w:r>
        <w:rPr>
          <w:rFonts w:hint="eastAsia" w:ascii="Times New Roman" w:hAnsi="Times New Roman" w:cs="Times New Roman"/>
          <w:color w:val="auto"/>
        </w:rPr>
        <w:t>5.1</w:t>
      </w:r>
      <w:r>
        <w:rPr>
          <w:rStyle w:val="39"/>
          <w:rFonts w:cs="Times New Roman"/>
          <w:b w:val="0"/>
          <w:bCs/>
          <w:color w:val="auto"/>
        </w:rPr>
        <w:t>-2</w:t>
      </w:r>
      <w:r>
        <w:rPr>
          <w:rFonts w:ascii="Times New Roman" w:hAnsi="Times New Roman" w:cs="Times New Roman"/>
          <w:color w:val="auto"/>
        </w:rPr>
        <w:t>。</w:t>
      </w:r>
    </w:p>
    <w:p>
      <w:pPr>
        <w:spacing w:line="520" w:lineRule="exact"/>
        <w:ind w:firstLine="422"/>
        <w:jc w:val="center"/>
        <w:rPr>
          <w:rFonts w:ascii="Times New Roman" w:hAnsi="Times New Roman" w:cs="Times New Roman"/>
          <w:color w:val="auto"/>
          <w:vertAlign w:val="superscript"/>
        </w:rPr>
      </w:pPr>
      <w:r>
        <w:rPr>
          <w:rStyle w:val="39"/>
          <w:rFonts w:cs="Times New Roman"/>
          <w:color w:val="auto"/>
        </w:rPr>
        <w:t>表</w:t>
      </w:r>
      <w:r>
        <w:rPr>
          <w:rStyle w:val="39"/>
          <w:rFonts w:hint="eastAsia" w:cs="Times New Roman"/>
          <w:color w:val="auto"/>
        </w:rPr>
        <w:t>5.1</w:t>
      </w:r>
      <w:r>
        <w:rPr>
          <w:rStyle w:val="39"/>
          <w:rFonts w:cs="Times New Roman"/>
          <w:color w:val="auto"/>
        </w:rPr>
        <w:t>-2   施工工地大气TSP浓度变化表  单位：mg/m</w:t>
      </w:r>
      <w:r>
        <w:rPr>
          <w:rStyle w:val="39"/>
          <w:rFonts w:cs="Times New Roman"/>
          <w:color w:val="auto"/>
          <w:vertAlign w:val="superscript"/>
        </w:rPr>
        <w:t>3</w:t>
      </w:r>
    </w:p>
    <w:tbl>
      <w:tblPr>
        <w:tblStyle w:val="24"/>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371"/>
        <w:gridCol w:w="968"/>
        <w:gridCol w:w="968"/>
        <w:gridCol w:w="968"/>
        <w:gridCol w:w="968"/>
        <w:gridCol w:w="968"/>
        <w:gridCol w:w="968"/>
        <w:gridCol w:w="134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4" w:type="pct"/>
            <w:vAlign w:val="center"/>
          </w:tcPr>
          <w:p>
            <w:pPr>
              <w:pStyle w:val="36"/>
              <w:rPr>
                <w:rFonts w:ascii="Times New Roman" w:hAnsi="Times New Roman" w:cs="Times New Roman"/>
                <w:b/>
                <w:bCs/>
                <w:color w:val="auto"/>
              </w:rPr>
            </w:pPr>
            <w:r>
              <w:rPr>
                <w:rFonts w:ascii="Times New Roman" w:hAnsi="Times New Roman" w:cs="Times New Roman"/>
                <w:b/>
                <w:bCs/>
                <w:color w:val="auto"/>
              </w:rPr>
              <w:t>据工地距离</w:t>
            </w:r>
          </w:p>
        </w:tc>
        <w:tc>
          <w:tcPr>
            <w:tcW w:w="567" w:type="pct"/>
            <w:vAlign w:val="center"/>
          </w:tcPr>
          <w:p>
            <w:pPr>
              <w:pStyle w:val="36"/>
              <w:rPr>
                <w:rFonts w:ascii="Times New Roman" w:hAnsi="Times New Roman" w:cs="Times New Roman"/>
                <w:b/>
                <w:bCs/>
                <w:color w:val="auto"/>
              </w:rPr>
            </w:pPr>
            <w:r>
              <w:rPr>
                <w:rFonts w:ascii="Times New Roman" w:hAnsi="Times New Roman" w:cs="Times New Roman"/>
                <w:b/>
                <w:bCs/>
                <w:color w:val="auto"/>
              </w:rPr>
              <w:t>对照点</w:t>
            </w:r>
          </w:p>
        </w:tc>
        <w:tc>
          <w:tcPr>
            <w:tcW w:w="567" w:type="pct"/>
            <w:vAlign w:val="center"/>
          </w:tcPr>
          <w:p>
            <w:pPr>
              <w:pStyle w:val="36"/>
              <w:rPr>
                <w:rFonts w:ascii="Times New Roman" w:hAnsi="Times New Roman" w:cs="Times New Roman"/>
                <w:b/>
                <w:bCs/>
                <w:color w:val="auto"/>
              </w:rPr>
            </w:pPr>
            <w:r>
              <w:rPr>
                <w:rFonts w:ascii="Times New Roman" w:hAnsi="Times New Roman" w:cs="Times New Roman"/>
                <w:b/>
                <w:bCs/>
                <w:color w:val="auto"/>
              </w:rPr>
              <w:t>10m</w:t>
            </w:r>
          </w:p>
        </w:tc>
        <w:tc>
          <w:tcPr>
            <w:tcW w:w="567" w:type="pct"/>
            <w:vAlign w:val="center"/>
          </w:tcPr>
          <w:p>
            <w:pPr>
              <w:pStyle w:val="36"/>
              <w:rPr>
                <w:rFonts w:ascii="Times New Roman" w:hAnsi="Times New Roman" w:cs="Times New Roman"/>
                <w:b/>
                <w:bCs/>
                <w:color w:val="auto"/>
              </w:rPr>
            </w:pPr>
            <w:r>
              <w:rPr>
                <w:rFonts w:ascii="Times New Roman" w:hAnsi="Times New Roman" w:cs="Times New Roman"/>
                <w:b/>
                <w:bCs/>
                <w:color w:val="auto"/>
              </w:rPr>
              <w:t>30m</w:t>
            </w:r>
          </w:p>
        </w:tc>
        <w:tc>
          <w:tcPr>
            <w:tcW w:w="567" w:type="pct"/>
            <w:vAlign w:val="center"/>
          </w:tcPr>
          <w:p>
            <w:pPr>
              <w:pStyle w:val="36"/>
              <w:rPr>
                <w:rFonts w:ascii="Times New Roman" w:hAnsi="Times New Roman" w:cs="Times New Roman"/>
                <w:b/>
                <w:bCs/>
                <w:color w:val="auto"/>
              </w:rPr>
            </w:pPr>
            <w:r>
              <w:rPr>
                <w:rFonts w:ascii="Times New Roman" w:hAnsi="Times New Roman" w:cs="Times New Roman"/>
                <w:b/>
                <w:bCs/>
                <w:color w:val="auto"/>
              </w:rPr>
              <w:t>50m</w:t>
            </w:r>
          </w:p>
        </w:tc>
        <w:tc>
          <w:tcPr>
            <w:tcW w:w="567" w:type="pct"/>
            <w:vAlign w:val="center"/>
          </w:tcPr>
          <w:p>
            <w:pPr>
              <w:pStyle w:val="36"/>
              <w:rPr>
                <w:rFonts w:ascii="Times New Roman" w:hAnsi="Times New Roman" w:cs="Times New Roman"/>
                <w:b/>
                <w:bCs/>
                <w:color w:val="auto"/>
              </w:rPr>
            </w:pPr>
            <w:r>
              <w:rPr>
                <w:rFonts w:ascii="Times New Roman" w:hAnsi="Times New Roman" w:cs="Times New Roman"/>
                <w:b/>
                <w:bCs/>
                <w:color w:val="auto"/>
              </w:rPr>
              <w:t>100m</w:t>
            </w:r>
          </w:p>
        </w:tc>
        <w:tc>
          <w:tcPr>
            <w:tcW w:w="567" w:type="pct"/>
            <w:vAlign w:val="center"/>
          </w:tcPr>
          <w:p>
            <w:pPr>
              <w:pStyle w:val="36"/>
              <w:rPr>
                <w:rFonts w:ascii="Times New Roman" w:hAnsi="Times New Roman" w:cs="Times New Roman"/>
                <w:b/>
                <w:bCs/>
                <w:color w:val="auto"/>
              </w:rPr>
            </w:pPr>
            <w:r>
              <w:rPr>
                <w:rFonts w:ascii="Times New Roman" w:hAnsi="Times New Roman" w:cs="Times New Roman"/>
                <w:b/>
                <w:bCs/>
                <w:color w:val="auto"/>
              </w:rPr>
              <w:t>200m</w:t>
            </w:r>
          </w:p>
        </w:tc>
        <w:tc>
          <w:tcPr>
            <w:tcW w:w="787" w:type="pct"/>
            <w:vAlign w:val="center"/>
          </w:tcPr>
          <w:p>
            <w:pPr>
              <w:pStyle w:val="36"/>
              <w:rPr>
                <w:rFonts w:ascii="Times New Roman" w:hAnsi="Times New Roman" w:cs="Times New Roman"/>
                <w:b/>
                <w:bCs/>
                <w:color w:val="auto"/>
              </w:rPr>
            </w:pPr>
            <w:r>
              <w:rPr>
                <w:rFonts w:ascii="Times New Roman" w:hAnsi="Times New Roman" w:cs="Times New Roman"/>
                <w:b/>
                <w:bCs/>
                <w:color w:val="auto"/>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4" w:type="pct"/>
            <w:vAlign w:val="center"/>
          </w:tcPr>
          <w:p>
            <w:pPr>
              <w:pStyle w:val="36"/>
              <w:rPr>
                <w:rFonts w:ascii="Times New Roman" w:hAnsi="Times New Roman" w:cs="Times New Roman"/>
                <w:color w:val="auto"/>
              </w:rPr>
            </w:pPr>
            <w:r>
              <w:rPr>
                <w:rFonts w:ascii="Times New Roman" w:hAnsi="Times New Roman" w:cs="Times New Roman"/>
                <w:color w:val="auto"/>
              </w:rPr>
              <w:t>场地未洒水TSP浓度</w:t>
            </w:r>
          </w:p>
        </w:tc>
        <w:tc>
          <w:tcPr>
            <w:tcW w:w="567" w:type="pct"/>
            <w:vAlign w:val="center"/>
          </w:tcPr>
          <w:p>
            <w:pPr>
              <w:pStyle w:val="36"/>
              <w:rPr>
                <w:rFonts w:ascii="Times New Roman" w:hAnsi="Times New Roman" w:cs="Times New Roman"/>
                <w:color w:val="auto"/>
              </w:rPr>
            </w:pPr>
            <w:r>
              <w:rPr>
                <w:rFonts w:ascii="Times New Roman" w:hAnsi="Times New Roman" w:cs="Times New Roman"/>
                <w:color w:val="auto"/>
              </w:rPr>
              <w:t>0.541</w:t>
            </w:r>
          </w:p>
        </w:tc>
        <w:tc>
          <w:tcPr>
            <w:tcW w:w="567" w:type="pct"/>
            <w:vAlign w:val="center"/>
          </w:tcPr>
          <w:p>
            <w:pPr>
              <w:pStyle w:val="36"/>
              <w:rPr>
                <w:rFonts w:ascii="Times New Roman" w:hAnsi="Times New Roman" w:cs="Times New Roman"/>
                <w:color w:val="auto"/>
              </w:rPr>
            </w:pPr>
            <w:r>
              <w:rPr>
                <w:rFonts w:ascii="Times New Roman" w:hAnsi="Times New Roman" w:cs="Times New Roman"/>
                <w:color w:val="auto"/>
              </w:rPr>
              <w:t>1.843</w:t>
            </w:r>
          </w:p>
        </w:tc>
        <w:tc>
          <w:tcPr>
            <w:tcW w:w="567" w:type="pct"/>
            <w:vAlign w:val="center"/>
          </w:tcPr>
          <w:p>
            <w:pPr>
              <w:pStyle w:val="36"/>
              <w:rPr>
                <w:rFonts w:ascii="Times New Roman" w:hAnsi="Times New Roman" w:cs="Times New Roman"/>
                <w:color w:val="auto"/>
              </w:rPr>
            </w:pPr>
            <w:r>
              <w:rPr>
                <w:rFonts w:ascii="Times New Roman" w:hAnsi="Times New Roman" w:cs="Times New Roman"/>
                <w:color w:val="auto"/>
              </w:rPr>
              <w:t>0.987</w:t>
            </w:r>
          </w:p>
        </w:tc>
        <w:tc>
          <w:tcPr>
            <w:tcW w:w="567" w:type="pct"/>
            <w:vAlign w:val="center"/>
          </w:tcPr>
          <w:p>
            <w:pPr>
              <w:pStyle w:val="36"/>
              <w:rPr>
                <w:rFonts w:ascii="Times New Roman" w:hAnsi="Times New Roman" w:cs="Times New Roman"/>
                <w:color w:val="auto"/>
              </w:rPr>
            </w:pPr>
            <w:r>
              <w:rPr>
                <w:rFonts w:ascii="Times New Roman" w:hAnsi="Times New Roman" w:cs="Times New Roman"/>
                <w:color w:val="auto"/>
              </w:rPr>
              <w:t>0.542</w:t>
            </w:r>
          </w:p>
        </w:tc>
        <w:tc>
          <w:tcPr>
            <w:tcW w:w="567" w:type="pct"/>
            <w:vAlign w:val="center"/>
          </w:tcPr>
          <w:p>
            <w:pPr>
              <w:pStyle w:val="36"/>
              <w:rPr>
                <w:rFonts w:ascii="Times New Roman" w:hAnsi="Times New Roman" w:cs="Times New Roman"/>
                <w:color w:val="auto"/>
              </w:rPr>
            </w:pPr>
            <w:r>
              <w:rPr>
                <w:rFonts w:ascii="Times New Roman" w:hAnsi="Times New Roman" w:cs="Times New Roman"/>
                <w:color w:val="auto"/>
              </w:rPr>
              <w:t>0.398</w:t>
            </w:r>
          </w:p>
        </w:tc>
        <w:tc>
          <w:tcPr>
            <w:tcW w:w="567" w:type="pct"/>
            <w:vAlign w:val="center"/>
          </w:tcPr>
          <w:p>
            <w:pPr>
              <w:pStyle w:val="36"/>
              <w:rPr>
                <w:rFonts w:ascii="Times New Roman" w:hAnsi="Times New Roman" w:cs="Times New Roman"/>
                <w:color w:val="auto"/>
              </w:rPr>
            </w:pPr>
            <w:r>
              <w:rPr>
                <w:rFonts w:ascii="Times New Roman" w:hAnsi="Times New Roman" w:cs="Times New Roman"/>
                <w:color w:val="auto"/>
              </w:rPr>
              <w:t>0.372</w:t>
            </w:r>
          </w:p>
        </w:tc>
        <w:tc>
          <w:tcPr>
            <w:tcW w:w="787" w:type="pct"/>
            <w:vAlign w:val="center"/>
          </w:tcPr>
          <w:p>
            <w:pPr>
              <w:pStyle w:val="36"/>
              <w:rPr>
                <w:rFonts w:ascii="Times New Roman" w:hAnsi="Times New Roman" w:cs="Times New Roman"/>
                <w:color w:val="auto"/>
              </w:rPr>
            </w:pPr>
            <w:r>
              <w:rPr>
                <w:rFonts w:ascii="Times New Roman" w:hAnsi="Times New Roman" w:cs="Times New Roman"/>
                <w:color w:val="auto"/>
              </w:rPr>
              <w:t>春季监测</w:t>
            </w:r>
          </w:p>
        </w:tc>
      </w:tr>
    </w:tbl>
    <w:p>
      <w:pPr>
        <w:spacing w:line="520" w:lineRule="exact"/>
        <w:jc w:val="left"/>
        <w:rPr>
          <w:rFonts w:ascii="Times New Roman" w:hAnsi="Times New Roman" w:cs="Times New Roman"/>
          <w:color w:val="auto"/>
          <w:spacing w:val="6"/>
        </w:rPr>
      </w:pPr>
      <w:r>
        <w:rPr>
          <w:rFonts w:ascii="Times New Roman" w:hAnsi="Times New Roman" w:cs="Times New Roman"/>
          <w:color w:val="auto"/>
        </w:rPr>
        <w:t>由表</w:t>
      </w:r>
      <w:r>
        <w:rPr>
          <w:rFonts w:hint="eastAsia" w:ascii="Times New Roman" w:hAnsi="Times New Roman" w:cs="Times New Roman"/>
          <w:color w:val="auto"/>
        </w:rPr>
        <w:t>5.1</w:t>
      </w:r>
      <w:r>
        <w:rPr>
          <w:rFonts w:ascii="Times New Roman" w:hAnsi="Times New Roman" w:cs="Times New Roman"/>
          <w:color w:val="auto"/>
        </w:rPr>
        <w:t>-2可见，实施每天洒水4~5次，可有效控制车辆扬尘，将TSP污染缩小到20~50m。混凝土浇筑期间，大量混凝土运输车频繁驶入现场，在物料转接口处，每辆车都有不同程度生产物料散落在地面现象。经车辆碾压，在工地周边形成大面积水泥路面或扬尘，破坏了地面道路，施工现场周边形成大量的固废层，景观影响较大。同时，车辆洒落尘土的一次扬尘污染和车辆运行时产生的二次扬尘污染均会对环境产生明显不利影响。运输车辆扬尘的产生量及扬尘污染程度与车辆的运输方式、路面状况、天气条件等因素关系密切，采取合适的防护措</w:t>
      </w:r>
      <w:r>
        <w:rPr>
          <w:rFonts w:ascii="Times New Roman" w:hAnsi="Times New Roman" w:cs="Times New Roman"/>
          <w:color w:val="auto"/>
          <w:spacing w:val="6"/>
        </w:rPr>
        <w:t>施可以有效的避免或大幅降低其污染，在建设项目的施工过程中必须对其加以重视。</w:t>
      </w:r>
    </w:p>
    <w:p>
      <w:pPr>
        <w:spacing w:line="520" w:lineRule="exact"/>
        <w:rPr>
          <w:rFonts w:ascii="Times New Roman" w:hAnsi="Times New Roman" w:cs="Times New Roman"/>
          <w:color w:val="auto"/>
        </w:rPr>
      </w:pPr>
      <w:bookmarkStart w:id="269" w:name="_Toc248875568"/>
      <w:bookmarkStart w:id="270" w:name="_Toc243431346"/>
      <w:r>
        <w:rPr>
          <w:rFonts w:ascii="Times New Roman" w:hAnsi="Times New Roman" w:cs="Times New Roman"/>
          <w:color w:val="auto"/>
        </w:rPr>
        <w:t>施工机械和运输车辆所排放的尾气环境影响分析：</w:t>
      </w:r>
    </w:p>
    <w:bookmarkEnd w:id="269"/>
    <w:bookmarkEnd w:id="270"/>
    <w:p>
      <w:pPr>
        <w:spacing w:line="520" w:lineRule="exact"/>
        <w:jc w:val="left"/>
        <w:rPr>
          <w:rFonts w:ascii="Times New Roman" w:hAnsi="Times New Roman" w:cs="Times New Roman"/>
          <w:color w:val="auto"/>
        </w:rPr>
      </w:pPr>
      <w:bookmarkStart w:id="271" w:name="_Toc83948111"/>
      <w:bookmarkStart w:id="272" w:name="_Toc256667505"/>
      <w:bookmarkStart w:id="273" w:name="_Toc84894974"/>
      <w:bookmarkStart w:id="274" w:name="_Toc83355714"/>
      <w:bookmarkStart w:id="275" w:name="_Toc83353775"/>
      <w:bookmarkStart w:id="276" w:name="_Toc158533278"/>
      <w:bookmarkStart w:id="277" w:name="_Toc85937653"/>
      <w:bookmarkStart w:id="278" w:name="_Toc83279379"/>
      <w:bookmarkStart w:id="279" w:name="_Toc81067291"/>
      <w:bookmarkStart w:id="280" w:name="_Toc84126585"/>
      <w:bookmarkStart w:id="281" w:name="_Toc74394895"/>
      <w:bookmarkStart w:id="282" w:name="_Toc92014261"/>
      <w:bookmarkStart w:id="283" w:name="_Toc256524531"/>
      <w:bookmarkStart w:id="284" w:name="_Toc85527623"/>
      <w:bookmarkStart w:id="285" w:name="_Toc258592078"/>
      <w:bookmarkStart w:id="286" w:name="_Toc248875574"/>
      <w:bookmarkStart w:id="287" w:name="_Toc179598111"/>
      <w:bookmarkStart w:id="288" w:name="_Toc91906895"/>
      <w:bookmarkStart w:id="289" w:name="_Toc85586499"/>
      <w:bookmarkStart w:id="290" w:name="_Toc376168580"/>
      <w:bookmarkStart w:id="291" w:name="_Toc146436610"/>
      <w:bookmarkStart w:id="292" w:name="_Toc74563283"/>
      <w:bookmarkStart w:id="293" w:name="_Toc264817796"/>
      <w:bookmarkStart w:id="294" w:name="_Toc266117344"/>
      <w:r>
        <w:rPr>
          <w:rFonts w:ascii="Times New Roman" w:hAnsi="Times New Roman" w:cs="Times New Roman"/>
          <w:color w:val="auto"/>
        </w:rPr>
        <w:t>施工机械和运输车辆排放尾气主要的污染物有CO、</w:t>
      </w:r>
      <w:r>
        <w:rPr>
          <w:rFonts w:hint="eastAsia" w:ascii="Times New Roman" w:hAnsi="Times New Roman" w:cs="Times New Roman"/>
          <w:color w:val="auto"/>
        </w:rPr>
        <w:t>T</w:t>
      </w:r>
      <w:r>
        <w:rPr>
          <w:rFonts w:ascii="Times New Roman" w:hAnsi="Times New Roman" w:cs="Times New Roman"/>
          <w:color w:val="auto"/>
        </w:rPr>
        <w:t>HC、NO</w:t>
      </w:r>
      <w:r>
        <w:rPr>
          <w:rFonts w:ascii="Times New Roman" w:hAnsi="Times New Roman" w:cs="Times New Roman"/>
          <w:color w:val="auto"/>
          <w:vertAlign w:val="subscript"/>
        </w:rPr>
        <w:t>X</w:t>
      </w:r>
      <w:r>
        <w:rPr>
          <w:rFonts w:ascii="Times New Roman" w:hAnsi="Times New Roman" w:cs="Times New Roman"/>
          <w:color w:val="auto"/>
        </w:rPr>
        <w:t>。主要对作业点周围和运输线路两侧局部范围产生一定影响，由于排放量不大，其影响的程度与范围也相对较小，通过采取限制超载、限制车速等措施可以大大降低运输车辆及施工机械废气对周围环境的影响。施工场地应设置洗车平台，完善排水设施，防止泥土粘带。不得在未实施洒水等抑尘措施情况下进行直接清扫。</w:t>
      </w:r>
    </w:p>
    <w:p>
      <w:pPr>
        <w:pStyle w:val="9"/>
        <w:rPr>
          <w:rFonts w:ascii="Times New Roman" w:hAnsi="Times New Roman" w:cs="Times New Roman"/>
          <w:color w:val="auto"/>
        </w:rPr>
      </w:pPr>
      <w:bookmarkStart w:id="295" w:name="_Toc3387"/>
      <w:bookmarkStart w:id="296" w:name="_Toc17872"/>
      <w:bookmarkStart w:id="297" w:name="_Toc15551"/>
      <w:r>
        <w:rPr>
          <w:rFonts w:hint="eastAsia" w:ascii="Times New Roman" w:hAnsi="Times New Roman" w:cs="Times New Roman"/>
          <w:color w:val="auto"/>
        </w:rPr>
        <w:t>5</w:t>
      </w:r>
      <w:r>
        <w:rPr>
          <w:rFonts w:ascii="Times New Roman" w:hAnsi="Times New Roman" w:cs="Times New Roman"/>
          <w:color w:val="auto"/>
        </w:rPr>
        <w:t>.1.2 施工期水环境影响分析</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spacing w:line="520" w:lineRule="exact"/>
        <w:ind w:firstLine="456"/>
        <w:rPr>
          <w:rFonts w:ascii="Times New Roman" w:hAnsi="Times New Roman" w:cs="Times New Roman"/>
          <w:color w:val="auto"/>
        </w:rPr>
      </w:pPr>
      <w:bookmarkStart w:id="298" w:name="_Toc240476140"/>
      <w:bookmarkStart w:id="299" w:name="_Toc237534982"/>
      <w:bookmarkStart w:id="300" w:name="_Toc237534797"/>
      <w:bookmarkStart w:id="301" w:name="_Toc238089948"/>
      <w:bookmarkStart w:id="302" w:name="_Toc239439578"/>
      <w:bookmarkStart w:id="303" w:name="_Toc248875569"/>
      <w:bookmarkStart w:id="304" w:name="_Toc256494907"/>
      <w:bookmarkStart w:id="305" w:name="_Toc256667504"/>
      <w:bookmarkStart w:id="306" w:name="_Toc376168578"/>
      <w:bookmarkStart w:id="307" w:name="_Toc256524530"/>
      <w:bookmarkStart w:id="308" w:name="_Toc266117342"/>
      <w:bookmarkStart w:id="309" w:name="_Toc258592076"/>
      <w:bookmarkStart w:id="310" w:name="_Toc264817794"/>
      <w:r>
        <w:rPr>
          <w:rFonts w:ascii="Times New Roman" w:hAnsi="Times New Roman" w:cs="Times New Roman"/>
          <w:color w:val="auto"/>
          <w:spacing w:val="-6"/>
        </w:rPr>
        <w:t>施工场地不设置生活营地，无集中餐饮废水排放。生活污水主要来自于施工人员的日常生活，以施工平均40人/d，每天耗水量按50L/人·d计，</w:t>
      </w:r>
      <w:r>
        <w:rPr>
          <w:rFonts w:ascii="Times New Roman" w:hAnsi="Times New Roman" w:cs="Times New Roman"/>
          <w:color w:val="auto"/>
        </w:rPr>
        <w:t>生活用水量为1260m</w:t>
      </w:r>
      <w:r>
        <w:rPr>
          <w:rFonts w:ascii="Times New Roman" w:hAnsi="Times New Roman" w:cs="Times New Roman"/>
          <w:color w:val="auto"/>
          <w:vertAlign w:val="superscript"/>
        </w:rPr>
        <w:t>3</w:t>
      </w:r>
      <w:r>
        <w:rPr>
          <w:rFonts w:ascii="Times New Roman" w:hAnsi="Times New Roman" w:cs="Times New Roman"/>
          <w:color w:val="auto"/>
        </w:rPr>
        <w:t>，生活污水排放量按用水量的80％计，则生活污水排放量共1008m</w:t>
      </w:r>
      <w:r>
        <w:rPr>
          <w:rFonts w:ascii="Times New Roman" w:hAnsi="Times New Roman" w:cs="Times New Roman"/>
          <w:color w:val="auto"/>
          <w:vertAlign w:val="superscript"/>
        </w:rPr>
        <w:t>3</w:t>
      </w:r>
      <w:r>
        <w:rPr>
          <w:rFonts w:ascii="Times New Roman" w:hAnsi="Times New Roman" w:cs="Times New Roman"/>
          <w:color w:val="auto"/>
          <w:spacing w:val="-6"/>
        </w:rPr>
        <w:t>。类比同类型污水水质，工程排放生活污水中主要污染物为CODcr、BOD</w:t>
      </w:r>
      <w:r>
        <w:rPr>
          <w:rFonts w:ascii="Times New Roman" w:hAnsi="Times New Roman" w:cs="Times New Roman"/>
          <w:color w:val="auto"/>
          <w:spacing w:val="-6"/>
          <w:vertAlign w:val="subscript"/>
        </w:rPr>
        <w:t>5</w:t>
      </w:r>
      <w:r>
        <w:rPr>
          <w:rFonts w:ascii="Times New Roman" w:hAnsi="Times New Roman" w:cs="Times New Roman"/>
          <w:color w:val="auto"/>
          <w:spacing w:val="-6"/>
        </w:rPr>
        <w:t>和SS，各污染物浓度分别为：CODcr：280mg/l、BOD</w:t>
      </w:r>
      <w:r>
        <w:rPr>
          <w:rFonts w:ascii="Times New Roman" w:hAnsi="Times New Roman" w:cs="Times New Roman"/>
          <w:color w:val="auto"/>
          <w:spacing w:val="-6"/>
          <w:vertAlign w:val="subscript"/>
        </w:rPr>
        <w:t>5</w:t>
      </w:r>
      <w:r>
        <w:rPr>
          <w:rFonts w:ascii="Times New Roman" w:hAnsi="Times New Roman" w:cs="Times New Roman"/>
          <w:color w:val="auto"/>
          <w:spacing w:val="-6"/>
        </w:rPr>
        <w:t>：160mg/l、SS：200mg/l。项目施工期生活污水排入市政污水管网。</w:t>
      </w:r>
    </w:p>
    <w:p>
      <w:pPr>
        <w:spacing w:line="520" w:lineRule="exact"/>
        <w:jc w:val="left"/>
        <w:rPr>
          <w:rFonts w:ascii="Times New Roman" w:hAnsi="Times New Roman" w:cs="Times New Roman"/>
          <w:color w:val="auto"/>
        </w:rPr>
      </w:pPr>
      <w:r>
        <w:rPr>
          <w:rFonts w:ascii="Times New Roman" w:hAnsi="Times New Roman" w:cs="Times New Roman"/>
          <w:color w:val="auto"/>
        </w:rPr>
        <w:t>施工废水来自于材料、设备冲洗和水泥养护等过程，废水中主要以悬浮物为主，未经处理的施工废水水质pH：9～12，SS：3000～5000mg/l，考虑项目废水流动性强，废水处理单元简单，处理效果明显的要求，项目施工废水选用沉淀池并进行防渗，沉淀两小时以上后，</w:t>
      </w:r>
      <w:r>
        <w:rPr>
          <w:rFonts w:ascii="Times New Roman" w:hAnsi="Times New Roman" w:cs="Times New Roman"/>
          <w:color w:val="auto"/>
          <w:kern w:val="0"/>
          <w:szCs w:val="28"/>
        </w:rPr>
        <w:t>经沉淀分离后的上清液回用，沉淀泥浆固化后应定期及时清运至建筑垃圾堆放场地。</w:t>
      </w:r>
    </w:p>
    <w:p>
      <w:pPr>
        <w:pStyle w:val="9"/>
        <w:rPr>
          <w:rFonts w:ascii="Times New Roman" w:hAnsi="Times New Roman" w:cs="Times New Roman"/>
          <w:color w:val="auto"/>
        </w:rPr>
      </w:pPr>
      <w:bookmarkStart w:id="311" w:name="_Toc21127"/>
      <w:bookmarkStart w:id="312" w:name="_Toc4862"/>
      <w:bookmarkStart w:id="313" w:name="_Toc28235"/>
      <w:r>
        <w:rPr>
          <w:rFonts w:hint="eastAsia" w:ascii="Times New Roman" w:hAnsi="Times New Roman" w:cs="Times New Roman"/>
          <w:color w:val="auto"/>
        </w:rPr>
        <w:t>5</w:t>
      </w:r>
      <w:r>
        <w:rPr>
          <w:rFonts w:ascii="Times New Roman" w:hAnsi="Times New Roman" w:cs="Times New Roman"/>
          <w:color w:val="auto"/>
        </w:rPr>
        <w:t>.1.3 施工期声环境影响</w:t>
      </w:r>
      <w:bookmarkEnd w:id="298"/>
      <w:bookmarkEnd w:id="299"/>
      <w:bookmarkEnd w:id="300"/>
      <w:bookmarkEnd w:id="301"/>
      <w:bookmarkEnd w:id="302"/>
      <w:r>
        <w:rPr>
          <w:rFonts w:ascii="Times New Roman" w:hAnsi="Times New Roman" w:cs="Times New Roman"/>
          <w:color w:val="auto"/>
        </w:rPr>
        <w:t>分析</w:t>
      </w:r>
      <w:bookmarkEnd w:id="303"/>
      <w:bookmarkEnd w:id="304"/>
      <w:bookmarkEnd w:id="305"/>
      <w:bookmarkEnd w:id="306"/>
      <w:bookmarkEnd w:id="307"/>
      <w:bookmarkEnd w:id="308"/>
      <w:bookmarkEnd w:id="309"/>
      <w:bookmarkEnd w:id="310"/>
      <w:bookmarkEnd w:id="311"/>
      <w:bookmarkEnd w:id="312"/>
      <w:bookmarkEnd w:id="313"/>
    </w:p>
    <w:p>
      <w:pPr>
        <w:spacing w:line="520" w:lineRule="exact"/>
        <w:rPr>
          <w:rFonts w:ascii="Times New Roman" w:hAnsi="Times New Roman" w:cs="Times New Roman"/>
          <w:color w:val="auto"/>
        </w:rPr>
      </w:pPr>
      <w:bookmarkStart w:id="314" w:name="_Toc278226083"/>
      <w:bookmarkStart w:id="315" w:name="_Toc362254049"/>
      <w:bookmarkStart w:id="316" w:name="_Toc365899539"/>
      <w:bookmarkStart w:id="317" w:name="_Toc441980229"/>
      <w:bookmarkStart w:id="318" w:name="_Toc442215507"/>
      <w:bookmarkStart w:id="319" w:name="_Toc305360998"/>
      <w:bookmarkStart w:id="320" w:name="_Toc365896876"/>
      <w:bookmarkStart w:id="321" w:name="_Toc308179303"/>
      <w:bookmarkStart w:id="322" w:name="_Toc300562570"/>
      <w:bookmarkStart w:id="323" w:name="_Toc306813502"/>
      <w:bookmarkStart w:id="324" w:name="_Toc302460109"/>
      <w:bookmarkStart w:id="325" w:name="_Toc264817797"/>
      <w:bookmarkStart w:id="326" w:name="_Toc376168581"/>
      <w:bookmarkStart w:id="327" w:name="_Toc256667506"/>
      <w:bookmarkStart w:id="328" w:name="_Toc258592079"/>
      <w:bookmarkStart w:id="329" w:name="_Toc248875577"/>
      <w:bookmarkStart w:id="330" w:name="_Toc266117345"/>
      <w:bookmarkStart w:id="331" w:name="_Toc243431355"/>
      <w:bookmarkStart w:id="332" w:name="_Toc256524532"/>
      <w:r>
        <w:rPr>
          <w:rFonts w:ascii="Times New Roman" w:hAnsi="Times New Roman" w:cs="Times New Roman"/>
          <w:color w:val="auto"/>
        </w:rPr>
        <w:t>（1）施工期的噪声源和振动源</w:t>
      </w:r>
      <w:bookmarkEnd w:id="314"/>
      <w:bookmarkEnd w:id="315"/>
      <w:bookmarkEnd w:id="316"/>
      <w:bookmarkEnd w:id="317"/>
      <w:bookmarkEnd w:id="318"/>
      <w:bookmarkEnd w:id="319"/>
      <w:bookmarkEnd w:id="320"/>
      <w:bookmarkEnd w:id="321"/>
      <w:bookmarkEnd w:id="322"/>
      <w:bookmarkEnd w:id="323"/>
      <w:bookmarkEnd w:id="324"/>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建筑施工通常可以分为四个阶段，即土方阶段、打桩阶段、结构阶段和装修阶段。每一阶段所采用的施工机械不同，对环境所造成的噪声水平也不同。</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建筑施工期的噪声源虽然较多，但对环境影响起主要作用的是土石方阶段的推土机和挖掘机，基础阶段的打桩机、结构阶段的混凝土搅拌机和振捣棒，以及装修阶段短时间使用的高噪声设备。</w:t>
      </w:r>
      <w:bookmarkStart w:id="333" w:name="_Toc278226084"/>
      <w:bookmarkStart w:id="334" w:name="_Toc302460110"/>
      <w:bookmarkStart w:id="335" w:name="_Toc306813503"/>
      <w:bookmarkStart w:id="336" w:name="_Toc300562571"/>
      <w:bookmarkStart w:id="337" w:name="_Toc308179304"/>
      <w:bookmarkStart w:id="338" w:name="_Toc365899540"/>
      <w:bookmarkStart w:id="339" w:name="_Toc305360999"/>
      <w:bookmarkStart w:id="340" w:name="_Toc365896877"/>
      <w:bookmarkStart w:id="341" w:name="_Toc362254050"/>
    </w:p>
    <w:p>
      <w:pPr>
        <w:spacing w:line="520" w:lineRule="exact"/>
        <w:rPr>
          <w:rFonts w:ascii="Times New Roman" w:hAnsi="Times New Roman" w:cs="Times New Roman"/>
          <w:color w:val="auto"/>
        </w:rPr>
      </w:pPr>
      <w:bookmarkStart w:id="342" w:name="_Toc441980230"/>
      <w:r>
        <w:rPr>
          <w:rFonts w:ascii="Times New Roman" w:hAnsi="Times New Roman" w:cs="Times New Roman"/>
          <w:color w:val="auto"/>
        </w:rPr>
        <w:t>（2）施工设备噪声源强及预测强度分析</w:t>
      </w:r>
      <w:bookmarkEnd w:id="333"/>
      <w:bookmarkEnd w:id="334"/>
      <w:bookmarkEnd w:id="335"/>
      <w:bookmarkEnd w:id="336"/>
      <w:bookmarkEnd w:id="337"/>
      <w:bookmarkEnd w:id="338"/>
      <w:bookmarkEnd w:id="339"/>
      <w:bookmarkEnd w:id="340"/>
      <w:bookmarkEnd w:id="341"/>
      <w:bookmarkEnd w:id="342"/>
    </w:p>
    <w:p>
      <w:pPr>
        <w:snapToGrid w:val="0"/>
        <w:spacing w:line="520" w:lineRule="exact"/>
        <w:rPr>
          <w:rFonts w:ascii="Times New Roman" w:hAnsi="Times New Roman" w:cs="Times New Roman"/>
          <w:color w:val="auto"/>
        </w:rPr>
      </w:pPr>
      <w:r>
        <w:rPr>
          <w:rFonts w:ascii="Times New Roman" w:hAnsi="Times New Roman" w:cs="Times New Roman"/>
          <w:color w:val="auto"/>
        </w:rPr>
        <w:t>施工期的主要噪声源是各类高噪声的施工机械设备，评价采用点声源几何衰减计算公式对主要噪声源进行环境影响预测分析，距声源不同距离处噪声预测值见</w:t>
      </w:r>
      <w:r>
        <w:rPr>
          <w:rFonts w:ascii="Times New Roman" w:hAnsi="Times New Roman" w:cs="Times New Roman"/>
          <w:color w:val="auto"/>
        </w:rPr>
        <w:fldChar w:fldCharType="begin"/>
      </w:r>
      <w:r>
        <w:rPr>
          <w:rFonts w:ascii="Times New Roman" w:hAnsi="Times New Roman" w:cs="Times New Roman"/>
          <w:color w:val="auto"/>
        </w:rPr>
        <w:instrText xml:space="preserve"> REF _Ref448 \h  \* MERGEFORMAT </w:instrText>
      </w:r>
      <w:r>
        <w:rPr>
          <w:rFonts w:ascii="Times New Roman" w:hAnsi="Times New Roman" w:cs="Times New Roman"/>
          <w:color w:val="auto"/>
        </w:rPr>
        <w:fldChar w:fldCharType="separate"/>
      </w:r>
      <w:r>
        <w:rPr>
          <w:rFonts w:ascii="Times New Roman" w:hAnsi="Times New Roman" w:cs="Times New Roman"/>
          <w:color w:val="auto"/>
        </w:rPr>
        <w:t>表</w:t>
      </w:r>
      <w:r>
        <w:rPr>
          <w:rFonts w:hint="eastAsia" w:ascii="Times New Roman" w:hAnsi="Times New Roman" w:cs="Times New Roman"/>
          <w:color w:val="auto"/>
        </w:rPr>
        <w:t>5.1</w:t>
      </w:r>
      <w:r>
        <w:rPr>
          <w:rFonts w:ascii="Times New Roman" w:hAnsi="Times New Roman" w:cs="Times New Roman"/>
          <w:color w:val="auto"/>
        </w:rPr>
        <w:noBreakHyphen/>
      </w:r>
      <w:r>
        <w:rPr>
          <w:rFonts w:ascii="Times New Roman" w:hAnsi="Times New Roman" w:cs="Times New Roman"/>
          <w:color w:val="auto"/>
        </w:rPr>
        <w:t>3</w:t>
      </w:r>
      <w:r>
        <w:rPr>
          <w:rFonts w:ascii="Times New Roman" w:hAnsi="Times New Roman" w:cs="Times New Roman"/>
          <w:color w:val="auto"/>
        </w:rPr>
        <w:fldChar w:fldCharType="end"/>
      </w:r>
      <w:r>
        <w:rPr>
          <w:rFonts w:ascii="Times New Roman" w:hAnsi="Times New Roman" w:cs="Times New Roman"/>
          <w:color w:val="auto"/>
        </w:rPr>
        <w:t>。</w:t>
      </w:r>
    </w:p>
    <w:p>
      <w:pPr>
        <w:pStyle w:val="35"/>
        <w:spacing w:before="0" w:after="0" w:line="520" w:lineRule="exact"/>
        <w:rPr>
          <w:rFonts w:cs="Times New Roman"/>
          <w:color w:val="auto"/>
        </w:rPr>
      </w:pPr>
      <w:bookmarkStart w:id="343" w:name="_Ref448"/>
      <w:r>
        <w:rPr>
          <w:rFonts w:cs="Times New Roman"/>
          <w:color w:val="auto"/>
        </w:rPr>
        <w:t>表</w:t>
      </w:r>
      <w:r>
        <w:rPr>
          <w:rFonts w:hint="eastAsia" w:cs="Times New Roman"/>
          <w:color w:val="auto"/>
        </w:rPr>
        <w:t>5.1</w:t>
      </w:r>
      <w:r>
        <w:rPr>
          <w:rFonts w:cs="Times New Roman"/>
          <w:color w:val="auto"/>
        </w:rPr>
        <w:noBreakHyphen/>
      </w:r>
      <w:bookmarkEnd w:id="343"/>
      <w:r>
        <w:rPr>
          <w:rFonts w:cs="Times New Roman"/>
          <w:color w:val="auto"/>
        </w:rPr>
        <w:t>3   距声源不同距离处的噪声预测值   单位：dB（A）</w:t>
      </w:r>
    </w:p>
    <w:tbl>
      <w:tblPr>
        <w:tblStyle w:val="24"/>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74"/>
        <w:gridCol w:w="881"/>
        <w:gridCol w:w="818"/>
        <w:gridCol w:w="818"/>
        <w:gridCol w:w="818"/>
        <w:gridCol w:w="963"/>
        <w:gridCol w:w="963"/>
        <w:gridCol w:w="964"/>
        <w:gridCol w:w="11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Merge w:val="restart"/>
            <w:vAlign w:val="center"/>
          </w:tcPr>
          <w:p>
            <w:pPr>
              <w:pStyle w:val="36"/>
              <w:rPr>
                <w:rFonts w:ascii="Times New Roman" w:hAnsi="Times New Roman" w:cs="Times New Roman"/>
                <w:b/>
                <w:bCs/>
                <w:color w:val="auto"/>
              </w:rPr>
            </w:pPr>
            <w:r>
              <w:rPr>
                <w:rFonts w:ascii="Times New Roman" w:hAnsi="Times New Roman" w:cs="Times New Roman"/>
                <w:b/>
                <w:bCs/>
                <w:color w:val="auto"/>
              </w:rPr>
              <w:t>声源</w:t>
            </w:r>
          </w:p>
        </w:tc>
        <w:tc>
          <w:tcPr>
            <w:tcW w:w="517" w:type="pct"/>
            <w:vMerge w:val="restart"/>
            <w:vAlign w:val="center"/>
          </w:tcPr>
          <w:p>
            <w:pPr>
              <w:pStyle w:val="36"/>
              <w:rPr>
                <w:rFonts w:ascii="Times New Roman" w:hAnsi="Times New Roman" w:cs="Times New Roman"/>
                <w:b/>
                <w:bCs/>
                <w:color w:val="auto"/>
              </w:rPr>
            </w:pPr>
            <w:r>
              <w:rPr>
                <w:rFonts w:ascii="Times New Roman" w:hAnsi="Times New Roman" w:cs="Times New Roman"/>
                <w:b/>
                <w:bCs/>
                <w:color w:val="auto"/>
              </w:rPr>
              <w:t>源强</w:t>
            </w:r>
          </w:p>
        </w:tc>
        <w:tc>
          <w:tcPr>
            <w:tcW w:w="3792" w:type="pct"/>
            <w:gridSpan w:val="7"/>
            <w:vAlign w:val="center"/>
          </w:tcPr>
          <w:p>
            <w:pPr>
              <w:pStyle w:val="36"/>
              <w:rPr>
                <w:rFonts w:ascii="Times New Roman" w:hAnsi="Times New Roman" w:cs="Times New Roman"/>
                <w:b/>
                <w:bCs/>
                <w:color w:val="auto"/>
              </w:rPr>
            </w:pPr>
            <w:r>
              <w:rPr>
                <w:rFonts w:ascii="Times New Roman" w:hAnsi="Times New Roman" w:cs="Times New Roman"/>
                <w:b/>
                <w:bCs/>
                <w:color w:val="auto"/>
              </w:rPr>
              <w:t>位于声源不同距离处的噪声值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Merge w:val="continue"/>
            <w:vAlign w:val="center"/>
          </w:tcPr>
          <w:p>
            <w:pPr>
              <w:pStyle w:val="36"/>
              <w:rPr>
                <w:rFonts w:ascii="Times New Roman" w:hAnsi="Times New Roman" w:cs="Times New Roman"/>
                <w:color w:val="auto"/>
              </w:rPr>
            </w:pPr>
          </w:p>
        </w:tc>
        <w:tc>
          <w:tcPr>
            <w:tcW w:w="517" w:type="pct"/>
            <w:vMerge w:val="continue"/>
            <w:vAlign w:val="center"/>
          </w:tcPr>
          <w:p>
            <w:pPr>
              <w:pStyle w:val="36"/>
              <w:rPr>
                <w:rFonts w:ascii="Times New Roman" w:hAnsi="Times New Roman" w:cs="Times New Roman"/>
                <w:color w:val="auto"/>
              </w:rPr>
            </w:pP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10m</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30m</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50m</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100m</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150m</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200m</w:t>
            </w:r>
          </w:p>
        </w:tc>
        <w:tc>
          <w:tcPr>
            <w:tcW w:w="654" w:type="pct"/>
            <w:vAlign w:val="center"/>
          </w:tcPr>
          <w:p>
            <w:pPr>
              <w:pStyle w:val="36"/>
              <w:rPr>
                <w:rFonts w:ascii="Times New Roman" w:hAnsi="Times New Roman" w:cs="Times New Roman"/>
                <w:color w:val="auto"/>
              </w:rPr>
            </w:pPr>
            <w:r>
              <w:rPr>
                <w:rFonts w:ascii="Times New Roman" w:hAnsi="Times New Roman" w:cs="Times New Roman"/>
                <w:color w:val="auto"/>
              </w:rPr>
              <w:t>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36"/>
              <w:rPr>
                <w:rFonts w:ascii="Times New Roman" w:hAnsi="Times New Roman" w:cs="Times New Roman"/>
                <w:color w:val="auto"/>
              </w:rPr>
            </w:pPr>
            <w:r>
              <w:rPr>
                <w:rFonts w:ascii="Times New Roman" w:hAnsi="Times New Roman" w:cs="Times New Roman"/>
                <w:color w:val="auto"/>
              </w:rPr>
              <w:t>挖土机</w:t>
            </w:r>
          </w:p>
        </w:tc>
        <w:tc>
          <w:tcPr>
            <w:tcW w:w="517" w:type="pct"/>
            <w:vAlign w:val="center"/>
          </w:tcPr>
          <w:p>
            <w:pPr>
              <w:pStyle w:val="36"/>
              <w:rPr>
                <w:rFonts w:ascii="Times New Roman" w:hAnsi="Times New Roman" w:cs="Times New Roman"/>
                <w:color w:val="auto"/>
              </w:rPr>
            </w:pPr>
            <w:r>
              <w:rPr>
                <w:rFonts w:ascii="Times New Roman" w:hAnsi="Times New Roman" w:cs="Times New Roman"/>
                <w:color w:val="auto"/>
              </w:rPr>
              <w:t>95</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75.0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65.5</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61.0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55.0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51.5</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49.0</w:t>
            </w:r>
          </w:p>
        </w:tc>
        <w:tc>
          <w:tcPr>
            <w:tcW w:w="654" w:type="pct"/>
            <w:vAlign w:val="center"/>
          </w:tcPr>
          <w:p>
            <w:pPr>
              <w:pStyle w:val="36"/>
              <w:rPr>
                <w:rFonts w:ascii="Times New Roman" w:hAnsi="Times New Roman" w:cs="Times New Roman"/>
                <w:color w:val="auto"/>
              </w:rPr>
            </w:pPr>
            <w:r>
              <w:rPr>
                <w:rFonts w:ascii="Times New Roman" w:hAnsi="Times New Roman" w:cs="Times New Roman"/>
                <w:color w:val="auto"/>
              </w:rPr>
              <w:t>26.0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36"/>
              <w:rPr>
                <w:rFonts w:ascii="Times New Roman" w:hAnsi="Times New Roman" w:cs="Times New Roman"/>
                <w:color w:val="auto"/>
              </w:rPr>
            </w:pPr>
            <w:r>
              <w:rPr>
                <w:rFonts w:ascii="Times New Roman" w:hAnsi="Times New Roman" w:cs="Times New Roman"/>
                <w:color w:val="auto"/>
              </w:rPr>
              <w:t>推土机</w:t>
            </w:r>
          </w:p>
        </w:tc>
        <w:tc>
          <w:tcPr>
            <w:tcW w:w="517" w:type="pct"/>
            <w:vAlign w:val="center"/>
          </w:tcPr>
          <w:p>
            <w:pPr>
              <w:pStyle w:val="36"/>
              <w:rPr>
                <w:rFonts w:ascii="Times New Roman" w:hAnsi="Times New Roman" w:cs="Times New Roman"/>
                <w:color w:val="auto"/>
              </w:rPr>
            </w:pPr>
            <w:r>
              <w:rPr>
                <w:rFonts w:ascii="Times New Roman" w:hAnsi="Times New Roman" w:cs="Times New Roman"/>
                <w:color w:val="auto"/>
              </w:rPr>
              <w:t>95</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75.0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65.5</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61.0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55.0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51.5</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49.0</w:t>
            </w:r>
          </w:p>
        </w:tc>
        <w:tc>
          <w:tcPr>
            <w:tcW w:w="654" w:type="pct"/>
            <w:vAlign w:val="center"/>
          </w:tcPr>
          <w:p>
            <w:pPr>
              <w:pStyle w:val="36"/>
              <w:rPr>
                <w:rFonts w:ascii="Times New Roman" w:hAnsi="Times New Roman" w:cs="Times New Roman"/>
                <w:color w:val="auto"/>
              </w:rPr>
            </w:pPr>
            <w:r>
              <w:rPr>
                <w:rFonts w:ascii="Times New Roman" w:hAnsi="Times New Roman" w:cs="Times New Roman"/>
                <w:color w:val="auto"/>
              </w:rPr>
              <w:t>26.0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36"/>
              <w:rPr>
                <w:rFonts w:ascii="Times New Roman" w:hAnsi="Times New Roman" w:cs="Times New Roman"/>
                <w:color w:val="auto"/>
              </w:rPr>
            </w:pPr>
            <w:r>
              <w:rPr>
                <w:rFonts w:ascii="Times New Roman" w:hAnsi="Times New Roman" w:cs="Times New Roman"/>
                <w:color w:val="auto"/>
              </w:rPr>
              <w:t>搅拌机</w:t>
            </w:r>
          </w:p>
        </w:tc>
        <w:tc>
          <w:tcPr>
            <w:tcW w:w="517" w:type="pct"/>
            <w:vAlign w:val="center"/>
          </w:tcPr>
          <w:p>
            <w:pPr>
              <w:pStyle w:val="36"/>
              <w:rPr>
                <w:rFonts w:ascii="Times New Roman" w:hAnsi="Times New Roman" w:cs="Times New Roman"/>
                <w:color w:val="auto"/>
              </w:rPr>
            </w:pPr>
            <w:r>
              <w:rPr>
                <w:rFonts w:ascii="Times New Roman" w:hAnsi="Times New Roman" w:cs="Times New Roman"/>
                <w:color w:val="auto"/>
              </w:rPr>
              <w:t>90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70.0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60.5</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56.0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50.0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46.5</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44.0</w:t>
            </w:r>
          </w:p>
        </w:tc>
        <w:tc>
          <w:tcPr>
            <w:tcW w:w="654" w:type="pct"/>
            <w:vAlign w:val="center"/>
          </w:tcPr>
          <w:p>
            <w:pPr>
              <w:pStyle w:val="36"/>
              <w:rPr>
                <w:rFonts w:ascii="Times New Roman" w:hAnsi="Times New Roman" w:cs="Times New Roman"/>
                <w:color w:val="auto"/>
              </w:rPr>
            </w:pPr>
            <w:r>
              <w:rPr>
                <w:rFonts w:ascii="Times New Roman" w:hAnsi="Times New Roman" w:cs="Times New Roman"/>
                <w:color w:val="auto"/>
              </w:rPr>
              <w:t>21.0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36"/>
              <w:rPr>
                <w:rFonts w:ascii="Times New Roman" w:hAnsi="Times New Roman" w:cs="Times New Roman"/>
                <w:color w:val="auto"/>
              </w:rPr>
            </w:pPr>
            <w:r>
              <w:rPr>
                <w:rFonts w:ascii="Times New Roman" w:hAnsi="Times New Roman" w:cs="Times New Roman"/>
                <w:color w:val="auto"/>
              </w:rPr>
              <w:t>压路机</w:t>
            </w:r>
          </w:p>
        </w:tc>
        <w:tc>
          <w:tcPr>
            <w:tcW w:w="517" w:type="pct"/>
            <w:vAlign w:val="center"/>
          </w:tcPr>
          <w:p>
            <w:pPr>
              <w:pStyle w:val="36"/>
              <w:rPr>
                <w:rFonts w:ascii="Times New Roman" w:hAnsi="Times New Roman" w:cs="Times New Roman"/>
                <w:color w:val="auto"/>
              </w:rPr>
            </w:pPr>
            <w:r>
              <w:rPr>
                <w:rFonts w:ascii="Times New Roman" w:hAnsi="Times New Roman" w:cs="Times New Roman"/>
                <w:color w:val="auto"/>
              </w:rPr>
              <w:t>90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70.0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60.5</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56.0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50.0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46.5</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46.0</w:t>
            </w:r>
          </w:p>
        </w:tc>
        <w:tc>
          <w:tcPr>
            <w:tcW w:w="654" w:type="pct"/>
            <w:vAlign w:val="center"/>
          </w:tcPr>
          <w:p>
            <w:pPr>
              <w:pStyle w:val="36"/>
              <w:rPr>
                <w:rFonts w:ascii="Times New Roman" w:hAnsi="Times New Roman" w:cs="Times New Roman"/>
                <w:color w:val="auto"/>
              </w:rPr>
            </w:pPr>
            <w:r>
              <w:rPr>
                <w:rFonts w:ascii="Times New Roman" w:hAnsi="Times New Roman" w:cs="Times New Roman"/>
                <w:color w:val="auto"/>
              </w:rPr>
              <w:t>21.0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9" w:type="pct"/>
            <w:vAlign w:val="center"/>
          </w:tcPr>
          <w:p>
            <w:pPr>
              <w:pStyle w:val="36"/>
              <w:rPr>
                <w:rFonts w:ascii="Times New Roman" w:hAnsi="Times New Roman" w:cs="Times New Roman"/>
                <w:color w:val="auto"/>
              </w:rPr>
            </w:pPr>
            <w:r>
              <w:rPr>
                <w:rFonts w:ascii="Times New Roman" w:hAnsi="Times New Roman" w:cs="Times New Roman"/>
                <w:color w:val="auto"/>
              </w:rPr>
              <w:t>震捣棒</w:t>
            </w:r>
          </w:p>
        </w:tc>
        <w:tc>
          <w:tcPr>
            <w:tcW w:w="517" w:type="pct"/>
            <w:vAlign w:val="center"/>
          </w:tcPr>
          <w:p>
            <w:pPr>
              <w:pStyle w:val="36"/>
              <w:rPr>
                <w:rFonts w:ascii="Times New Roman" w:hAnsi="Times New Roman" w:cs="Times New Roman"/>
                <w:color w:val="auto"/>
              </w:rPr>
            </w:pPr>
            <w:r>
              <w:rPr>
                <w:rFonts w:ascii="Times New Roman" w:hAnsi="Times New Roman" w:cs="Times New Roman"/>
                <w:color w:val="auto"/>
              </w:rPr>
              <w:t>80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60.0</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50.5</w:t>
            </w:r>
          </w:p>
        </w:tc>
        <w:tc>
          <w:tcPr>
            <w:tcW w:w="480" w:type="pct"/>
            <w:vAlign w:val="center"/>
          </w:tcPr>
          <w:p>
            <w:pPr>
              <w:pStyle w:val="36"/>
              <w:rPr>
                <w:rFonts w:ascii="Times New Roman" w:hAnsi="Times New Roman" w:cs="Times New Roman"/>
                <w:color w:val="auto"/>
              </w:rPr>
            </w:pPr>
            <w:r>
              <w:rPr>
                <w:rFonts w:ascii="Times New Roman" w:hAnsi="Times New Roman" w:cs="Times New Roman"/>
                <w:color w:val="auto"/>
              </w:rPr>
              <w:t>46.0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40.0</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36.5</w:t>
            </w:r>
          </w:p>
        </w:tc>
        <w:tc>
          <w:tcPr>
            <w:tcW w:w="565" w:type="pct"/>
            <w:vAlign w:val="center"/>
          </w:tcPr>
          <w:p>
            <w:pPr>
              <w:pStyle w:val="36"/>
              <w:rPr>
                <w:rFonts w:ascii="Times New Roman" w:hAnsi="Times New Roman" w:cs="Times New Roman"/>
                <w:color w:val="auto"/>
              </w:rPr>
            </w:pPr>
            <w:r>
              <w:rPr>
                <w:rFonts w:ascii="Times New Roman" w:hAnsi="Times New Roman" w:cs="Times New Roman"/>
                <w:color w:val="auto"/>
              </w:rPr>
              <w:t>34.0</w:t>
            </w:r>
          </w:p>
        </w:tc>
        <w:tc>
          <w:tcPr>
            <w:tcW w:w="654" w:type="pct"/>
            <w:vAlign w:val="center"/>
          </w:tcPr>
          <w:p>
            <w:pPr>
              <w:pStyle w:val="36"/>
              <w:rPr>
                <w:rFonts w:ascii="Times New Roman" w:hAnsi="Times New Roman" w:cs="Times New Roman"/>
                <w:color w:val="auto"/>
              </w:rPr>
            </w:pPr>
            <w:r>
              <w:rPr>
                <w:rFonts w:ascii="Times New Roman" w:hAnsi="Times New Roman" w:cs="Times New Roman"/>
                <w:color w:val="auto"/>
              </w:rPr>
              <w:t>11.0</w:t>
            </w:r>
          </w:p>
        </w:tc>
      </w:tr>
    </w:tbl>
    <w:p>
      <w:pPr>
        <w:spacing w:line="520" w:lineRule="exact"/>
        <w:rPr>
          <w:rFonts w:ascii="Times New Roman" w:hAnsi="Times New Roman" w:cs="Times New Roman"/>
          <w:color w:val="auto"/>
        </w:rPr>
      </w:pPr>
      <w:r>
        <w:rPr>
          <w:rFonts w:ascii="Times New Roman" w:hAnsi="Times New Roman" w:cs="Times New Roman"/>
          <w:color w:val="auto"/>
        </w:rPr>
        <w:t>由</w:t>
      </w:r>
      <w:r>
        <w:rPr>
          <w:rFonts w:ascii="Times New Roman" w:hAnsi="Times New Roman" w:cs="Times New Roman"/>
          <w:color w:val="auto"/>
        </w:rPr>
        <w:fldChar w:fldCharType="begin"/>
      </w:r>
      <w:r>
        <w:rPr>
          <w:rFonts w:ascii="Times New Roman" w:hAnsi="Times New Roman" w:cs="Times New Roman"/>
          <w:color w:val="auto"/>
        </w:rPr>
        <w:instrText xml:space="preserve"> REF _Ref448 \h  \* MERGEFORMAT </w:instrText>
      </w:r>
      <w:r>
        <w:rPr>
          <w:rFonts w:ascii="Times New Roman" w:hAnsi="Times New Roman" w:cs="Times New Roman"/>
          <w:color w:val="auto"/>
        </w:rPr>
        <w:fldChar w:fldCharType="separate"/>
      </w:r>
      <w:r>
        <w:rPr>
          <w:rFonts w:ascii="Times New Roman" w:hAnsi="Times New Roman" w:cs="Times New Roman"/>
          <w:color w:val="auto"/>
        </w:rPr>
        <w:t>表</w:t>
      </w:r>
      <w:r>
        <w:rPr>
          <w:rFonts w:hint="eastAsia" w:ascii="Times New Roman" w:hAnsi="Times New Roman" w:cs="Times New Roman"/>
          <w:color w:val="auto"/>
        </w:rPr>
        <w:t>5.1</w:t>
      </w:r>
      <w:r>
        <w:rPr>
          <w:rFonts w:ascii="Times New Roman" w:hAnsi="Times New Roman" w:cs="Times New Roman"/>
          <w:color w:val="auto"/>
        </w:rPr>
        <w:noBreakHyphen/>
      </w:r>
      <w:r>
        <w:rPr>
          <w:rFonts w:ascii="Times New Roman" w:hAnsi="Times New Roman" w:cs="Times New Roman"/>
          <w:color w:val="auto"/>
        </w:rPr>
        <w:t>3</w:t>
      </w:r>
      <w:r>
        <w:rPr>
          <w:rFonts w:ascii="Times New Roman" w:hAnsi="Times New Roman" w:cs="Times New Roman"/>
          <w:color w:val="auto"/>
        </w:rPr>
        <w:fldChar w:fldCharType="end"/>
      </w:r>
      <w:r>
        <w:rPr>
          <w:rFonts w:ascii="Times New Roman" w:hAnsi="Times New Roman" w:cs="Times New Roman"/>
          <w:color w:val="auto"/>
        </w:rPr>
        <w:t>可见，在施工过程中，厂区内施工机械距厂界30m以上就可使厂界噪声符合《建筑施工场界环境噪声排放标准》（12523-2011）标准（70dB（A））的要求；拟建工程主要建构筑物距离厂界都在50m以上，因此，拟建工程施工期厂界噪声能够满足《建筑施工场界环境噪声排放标准》（GB12523-2011）标准（70dB（A））的要求。</w:t>
      </w:r>
    </w:p>
    <w:p>
      <w:pPr>
        <w:spacing w:line="520" w:lineRule="exact"/>
        <w:rPr>
          <w:rFonts w:ascii="Times New Roman" w:hAnsi="Times New Roman" w:cs="Times New Roman"/>
          <w:color w:val="auto"/>
        </w:rPr>
      </w:pPr>
      <w:r>
        <w:rPr>
          <w:rFonts w:ascii="Times New Roman" w:hAnsi="Times New Roman" w:cs="Times New Roman"/>
          <w:color w:val="auto"/>
        </w:rPr>
        <w:t>由</w:t>
      </w:r>
      <w:r>
        <w:rPr>
          <w:rFonts w:ascii="Times New Roman" w:hAnsi="Times New Roman" w:cs="Times New Roman"/>
          <w:color w:val="auto"/>
        </w:rPr>
        <w:fldChar w:fldCharType="begin"/>
      </w:r>
      <w:r>
        <w:rPr>
          <w:rFonts w:ascii="Times New Roman" w:hAnsi="Times New Roman" w:cs="Times New Roman"/>
          <w:color w:val="auto"/>
        </w:rPr>
        <w:instrText xml:space="preserve"> REF _Ref448 \h  \* MERGEFORMAT </w:instrText>
      </w:r>
      <w:r>
        <w:rPr>
          <w:rFonts w:ascii="Times New Roman" w:hAnsi="Times New Roman" w:cs="Times New Roman"/>
          <w:color w:val="auto"/>
        </w:rPr>
        <w:fldChar w:fldCharType="separate"/>
      </w:r>
      <w:r>
        <w:rPr>
          <w:rFonts w:ascii="Times New Roman" w:hAnsi="Times New Roman" w:cs="Times New Roman"/>
          <w:color w:val="auto"/>
        </w:rPr>
        <w:t>表</w:t>
      </w:r>
      <w:r>
        <w:rPr>
          <w:rFonts w:hint="eastAsia" w:ascii="Times New Roman" w:hAnsi="Times New Roman" w:cs="Times New Roman"/>
          <w:color w:val="auto"/>
        </w:rPr>
        <w:t>5.1</w:t>
      </w:r>
      <w:r>
        <w:rPr>
          <w:rFonts w:ascii="Times New Roman" w:hAnsi="Times New Roman" w:cs="Times New Roman"/>
          <w:color w:val="auto"/>
        </w:rPr>
        <w:noBreakHyphen/>
      </w:r>
      <w:r>
        <w:rPr>
          <w:rFonts w:ascii="Times New Roman" w:hAnsi="Times New Roman" w:cs="Times New Roman"/>
          <w:color w:val="auto"/>
        </w:rPr>
        <w:t>3</w:t>
      </w:r>
      <w:r>
        <w:rPr>
          <w:rFonts w:ascii="Times New Roman" w:hAnsi="Times New Roman" w:cs="Times New Roman"/>
          <w:color w:val="auto"/>
        </w:rPr>
        <w:fldChar w:fldCharType="end"/>
      </w:r>
      <w:r>
        <w:rPr>
          <w:rFonts w:ascii="Times New Roman" w:hAnsi="Times New Roman" w:cs="Times New Roman"/>
          <w:color w:val="auto"/>
        </w:rPr>
        <w:t>可见，在施工过程中，厂区外200m完全可以满足《声环境质量标准》（GB3096-2008）中1类声功能区的要求。并且项目区周边1km内并无环境敏感目标，根因此据预测：拟建工程施工机械噪声不会降低声环境级别，本项目在设计和建设中，通过对装置噪声源强的控制，并加强绿化措施，不会对声环境造成不良影响。</w:t>
      </w:r>
    </w:p>
    <w:p>
      <w:pPr>
        <w:pStyle w:val="9"/>
        <w:rPr>
          <w:rFonts w:ascii="Times New Roman" w:hAnsi="Times New Roman" w:cs="Times New Roman"/>
          <w:color w:val="auto"/>
        </w:rPr>
      </w:pPr>
      <w:bookmarkStart w:id="344" w:name="_Toc29231"/>
      <w:bookmarkStart w:id="345" w:name="_Toc30788"/>
      <w:bookmarkStart w:id="346" w:name="_Toc31443"/>
      <w:r>
        <w:rPr>
          <w:rFonts w:hint="eastAsia" w:ascii="Times New Roman" w:hAnsi="Times New Roman" w:cs="Times New Roman"/>
          <w:color w:val="auto"/>
        </w:rPr>
        <w:t>5</w:t>
      </w:r>
      <w:r>
        <w:rPr>
          <w:rFonts w:ascii="Times New Roman" w:hAnsi="Times New Roman" w:cs="Times New Roman"/>
          <w:color w:val="auto"/>
        </w:rPr>
        <w:t>.1.4 施工期固体废物环境影响分析</w:t>
      </w:r>
      <w:bookmarkEnd w:id="325"/>
      <w:bookmarkEnd w:id="326"/>
      <w:bookmarkEnd w:id="327"/>
      <w:bookmarkEnd w:id="328"/>
      <w:bookmarkEnd w:id="329"/>
      <w:bookmarkEnd w:id="330"/>
      <w:bookmarkEnd w:id="331"/>
      <w:bookmarkEnd w:id="332"/>
      <w:bookmarkEnd w:id="344"/>
      <w:bookmarkEnd w:id="345"/>
      <w:bookmarkEnd w:id="346"/>
    </w:p>
    <w:p>
      <w:pPr>
        <w:spacing w:line="520" w:lineRule="exact"/>
        <w:rPr>
          <w:rFonts w:ascii="Times New Roman" w:hAnsi="Times New Roman" w:cs="Times New Roman"/>
          <w:color w:val="auto"/>
        </w:rPr>
      </w:pPr>
      <w:r>
        <w:rPr>
          <w:rFonts w:ascii="Times New Roman" w:hAnsi="Times New Roman" w:cs="Times New Roman"/>
          <w:color w:val="auto"/>
        </w:rPr>
        <w:t>施工期间将涉及到土地开挖、填埋、道路修筑、管道敷设、材料运输、基础工程、厂房建筑等工程，建设期间将有一定数量的废弃建筑材料，如砂石、石灰、混凝土、废砖、土石方等。多余土石方送吉木萨尔县建筑垃圾堆场。</w:t>
      </w:r>
    </w:p>
    <w:p>
      <w:pPr>
        <w:spacing w:line="520" w:lineRule="exact"/>
        <w:rPr>
          <w:rFonts w:ascii="Times New Roman" w:hAnsi="Times New Roman" w:cs="Times New Roman"/>
          <w:color w:val="auto"/>
        </w:rPr>
      </w:pPr>
      <w:r>
        <w:rPr>
          <w:rFonts w:ascii="Times New Roman" w:hAnsi="Times New Roman" w:cs="Times New Roman"/>
          <w:color w:val="auto"/>
        </w:rPr>
        <w:t>拟建工程施工期一定量的施工人员工作和生活在施工现场，其日常生活将产生一定数量的生活垃圾，施工高峰期施工人员及工地管理人员约40人，工地生活垃圾按每人每天产生0.5kg计，工程施工区生活垃圾产生量约20kg/d，工程施工期共产生生活废弃物约12.6t。施工人员</w:t>
      </w:r>
      <w:bookmarkStart w:id="347" w:name="_Toc74102369"/>
      <w:bookmarkStart w:id="348" w:name="_Toc83948158"/>
      <w:bookmarkStart w:id="349" w:name="_Toc85937700"/>
      <w:bookmarkStart w:id="350" w:name="_Toc83353822"/>
      <w:bookmarkStart w:id="351" w:name="_Toc84126632"/>
      <w:bookmarkStart w:id="352" w:name="_Toc83279426"/>
      <w:bookmarkStart w:id="353" w:name="_Toc85527670"/>
      <w:bookmarkStart w:id="354" w:name="_Toc80979216"/>
      <w:bookmarkStart w:id="355" w:name="_Toc85586546"/>
      <w:bookmarkStart w:id="356" w:name="_Toc74541819"/>
      <w:bookmarkStart w:id="357" w:name="_Toc81067352"/>
      <w:bookmarkStart w:id="358" w:name="_Toc83355761"/>
      <w:bookmarkStart w:id="359" w:name="_Toc74563344"/>
      <w:bookmarkStart w:id="360" w:name="_Toc74394956"/>
      <w:r>
        <w:rPr>
          <w:rFonts w:ascii="Times New Roman" w:hAnsi="Times New Roman" w:cs="Times New Roman"/>
          <w:color w:val="auto"/>
        </w:rPr>
        <w:t>产生的生活垃圾统一收集，再由吉木萨尔县环卫部门统一清运至吉木萨尔县生活垃圾填埋场填埋处置。</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Fonts w:ascii="Times New Roman" w:hAnsi="Times New Roman" w:cs="Times New Roman"/>
          <w:color w:val="auto"/>
        </w:rPr>
        <w:t>吉木萨尔县生活垃圾填埋场总占地21.94万m</w:t>
      </w:r>
      <w:r>
        <w:rPr>
          <w:rFonts w:ascii="Times New Roman" w:hAnsi="Times New Roman" w:cs="Times New Roman"/>
          <w:color w:val="auto"/>
          <w:vertAlign w:val="superscript"/>
        </w:rPr>
        <w:t>2</w:t>
      </w:r>
      <w:r>
        <w:rPr>
          <w:rFonts w:ascii="Times New Roman" w:hAnsi="Times New Roman" w:cs="Times New Roman"/>
          <w:color w:val="auto"/>
        </w:rPr>
        <w:t>，近期总库容63万m</w:t>
      </w:r>
      <w:r>
        <w:rPr>
          <w:rFonts w:ascii="Times New Roman" w:hAnsi="Times New Roman" w:cs="Times New Roman"/>
          <w:color w:val="auto"/>
          <w:vertAlign w:val="superscript"/>
        </w:rPr>
        <w:t>3</w:t>
      </w:r>
      <w:r>
        <w:rPr>
          <w:rFonts w:ascii="Times New Roman" w:hAnsi="Times New Roman" w:cs="Times New Roman"/>
          <w:color w:val="auto"/>
        </w:rPr>
        <w:t>，服务年限11年；远期总库容94.5万m</w:t>
      </w:r>
      <w:r>
        <w:rPr>
          <w:rFonts w:ascii="Times New Roman" w:hAnsi="Times New Roman" w:cs="Times New Roman"/>
          <w:color w:val="auto"/>
          <w:vertAlign w:val="superscript"/>
        </w:rPr>
        <w:t>3</w:t>
      </w:r>
      <w:r>
        <w:rPr>
          <w:rFonts w:ascii="Times New Roman" w:hAnsi="Times New Roman" w:cs="Times New Roman"/>
          <w:color w:val="auto"/>
        </w:rPr>
        <w:t>，服务年限12年。该项目总投资2352.81万元，2014年建成并投运。目前已正常投入使用，基本能够满足县城日常垃圾处理工作需要。</w:t>
      </w:r>
    </w:p>
    <w:p>
      <w:pPr>
        <w:pStyle w:val="9"/>
        <w:rPr>
          <w:rFonts w:ascii="Times New Roman" w:hAnsi="Times New Roman" w:cs="Times New Roman"/>
          <w:color w:val="auto"/>
        </w:rPr>
      </w:pPr>
      <w:bookmarkStart w:id="361" w:name="_Toc23413"/>
      <w:bookmarkStart w:id="362" w:name="_Toc30503"/>
      <w:bookmarkStart w:id="363" w:name="_Toc3969"/>
      <w:r>
        <w:rPr>
          <w:rFonts w:hint="eastAsia" w:ascii="Times New Roman" w:hAnsi="Times New Roman" w:cs="Times New Roman"/>
          <w:color w:val="auto"/>
        </w:rPr>
        <w:t>5</w:t>
      </w:r>
      <w:r>
        <w:rPr>
          <w:rFonts w:ascii="Times New Roman" w:hAnsi="Times New Roman" w:cs="Times New Roman"/>
          <w:color w:val="auto"/>
        </w:rPr>
        <w:t>.1.5 施工期生态环境影响分析</w:t>
      </w:r>
      <w:bookmarkEnd w:id="361"/>
      <w:bookmarkEnd w:id="362"/>
      <w:bookmarkEnd w:id="363"/>
    </w:p>
    <w:p>
      <w:pPr>
        <w:spacing w:line="520" w:lineRule="exact"/>
        <w:jc w:val="left"/>
        <w:rPr>
          <w:rFonts w:ascii="Times New Roman" w:hAnsi="Times New Roman" w:cs="Times New Roman"/>
          <w:color w:val="auto"/>
        </w:rPr>
      </w:pPr>
      <w:r>
        <w:rPr>
          <w:rFonts w:ascii="Times New Roman" w:hAnsi="Times New Roman" w:cs="Times New Roman"/>
          <w:color w:val="auto"/>
        </w:rPr>
        <w:t>建设项目永久占地面积为12.43万m</w:t>
      </w:r>
      <w:r>
        <w:rPr>
          <w:rFonts w:ascii="Times New Roman" w:hAnsi="Times New Roman" w:cs="Times New Roman"/>
          <w:color w:val="auto"/>
          <w:vertAlign w:val="superscript"/>
        </w:rPr>
        <w:t>2</w:t>
      </w:r>
      <w:r>
        <w:rPr>
          <w:rFonts w:ascii="Times New Roman" w:hAnsi="Times New Roman" w:cs="Times New Roman"/>
          <w:color w:val="auto"/>
        </w:rPr>
        <w:t>（约186亩），占地类型为</w:t>
      </w:r>
      <w:r>
        <w:rPr>
          <w:rFonts w:hint="eastAsia" w:ascii="Times New Roman" w:hAnsi="Times New Roman" w:cs="Times New Roman"/>
          <w:color w:val="auto"/>
          <w:highlight w:val="none"/>
          <w:lang w:val="en-US" w:eastAsia="zh-CN"/>
        </w:rPr>
        <w:t>医疗卫生</w:t>
      </w:r>
      <w:r>
        <w:rPr>
          <w:rFonts w:ascii="Times New Roman" w:hAnsi="Times New Roman" w:cs="Times New Roman"/>
          <w:color w:val="auto"/>
          <w:highlight w:val="none"/>
        </w:rPr>
        <w:t>用地</w:t>
      </w:r>
      <w:r>
        <w:rPr>
          <w:rFonts w:ascii="Times New Roman" w:hAnsi="Times New Roman" w:cs="Times New Roman"/>
          <w:color w:val="auto"/>
        </w:rPr>
        <w:t>。</w:t>
      </w:r>
      <w:r>
        <w:rPr>
          <w:rFonts w:ascii="Times New Roman" w:hAnsi="Times New Roman" w:cs="Times New Roman"/>
          <w:color w:val="auto"/>
          <w:spacing w:val="-6"/>
        </w:rPr>
        <w:t>由于项目建设对原来的生态系统产生一定的影响，但对区域生态环境影响范围很小。</w:t>
      </w:r>
    </w:p>
    <w:p>
      <w:pPr>
        <w:spacing w:line="520" w:lineRule="exact"/>
        <w:jc w:val="left"/>
        <w:rPr>
          <w:rFonts w:ascii="Times New Roman" w:hAnsi="Times New Roman" w:cs="Times New Roman"/>
          <w:color w:val="auto"/>
        </w:rPr>
      </w:pPr>
      <w:r>
        <w:rPr>
          <w:rFonts w:ascii="Times New Roman" w:hAnsi="Times New Roman" w:cs="Times New Roman"/>
          <w:color w:val="auto"/>
        </w:rPr>
        <w:t>项目施工期间地表开挖、土石方工程、车辆碾压等将破坏原有地表植被和土壤结构，导致项目永久占地区植被全部被破坏。施工便道、物料堆放、修筑围墙等将临时占用场外少量用地，临时占地虽然时间短，影响不大，但原有地表植被在被破坏3～5年后才能逐渐恢复。因此，施工期应对原料堆放、机械设备及运输车辆的行走路线做好规划工作，充分利用规划场地，尽量减少临时占地数量。</w:t>
      </w:r>
    </w:p>
    <w:p>
      <w:pPr>
        <w:snapToGrid w:val="0"/>
        <w:spacing w:line="520" w:lineRule="exact"/>
        <w:rPr>
          <w:rFonts w:ascii="Times New Roman" w:hAnsi="Times New Roman" w:cs="Times New Roman"/>
          <w:color w:val="auto"/>
        </w:rPr>
      </w:pPr>
      <w:r>
        <w:rPr>
          <w:rFonts w:ascii="Times New Roman" w:hAnsi="Times New Roman" w:cs="Times New Roman"/>
          <w:color w:val="auto"/>
        </w:rPr>
        <w:t>项目建设完成后，项目主要区域将进行硬化处理，可有效减少项目区的水土流失；同时在非硬化区域将进行大面积绿化，绿化面积达到48587.67m</w:t>
      </w:r>
      <w:r>
        <w:rPr>
          <w:rFonts w:ascii="Times New Roman" w:hAnsi="Times New Roman" w:cs="Times New Roman"/>
          <w:color w:val="auto"/>
          <w:vertAlign w:val="superscript"/>
        </w:rPr>
        <w:t>2</w:t>
      </w:r>
      <w:r>
        <w:rPr>
          <w:rFonts w:ascii="Times New Roman" w:hAnsi="Times New Roman" w:cs="Times New Roman"/>
          <w:color w:val="auto"/>
        </w:rPr>
        <w:t>，可有效改善项目区的生态环境。项目的建设将对区域生态环境起到部分改善作用。</w:t>
      </w:r>
    </w:p>
    <w:p>
      <w:pPr>
        <w:pStyle w:val="9"/>
        <w:rPr>
          <w:rFonts w:ascii="Times New Roman" w:hAnsi="Times New Roman" w:cs="Times New Roman"/>
          <w:color w:val="auto"/>
        </w:rPr>
      </w:pPr>
      <w:bookmarkStart w:id="364" w:name="_Toc16616"/>
      <w:r>
        <w:rPr>
          <w:rFonts w:hint="eastAsia" w:ascii="Times New Roman" w:hAnsi="Times New Roman" w:cs="Times New Roman"/>
          <w:color w:val="auto"/>
        </w:rPr>
        <w:t>5</w:t>
      </w:r>
      <w:r>
        <w:rPr>
          <w:rFonts w:ascii="Times New Roman" w:hAnsi="Times New Roman" w:cs="Times New Roman"/>
          <w:color w:val="auto"/>
        </w:rPr>
        <w:t>.1.6 施工期水土流失影响分析</w:t>
      </w:r>
      <w:bookmarkEnd w:id="364"/>
    </w:p>
    <w:p>
      <w:pPr>
        <w:snapToGrid w:val="0"/>
        <w:spacing w:line="520" w:lineRule="exact"/>
        <w:rPr>
          <w:rFonts w:ascii="Times New Roman" w:hAnsi="Times New Roman" w:cs="Times New Roman"/>
          <w:color w:val="auto"/>
        </w:rPr>
      </w:pPr>
      <w:r>
        <w:rPr>
          <w:rFonts w:ascii="Times New Roman" w:hAnsi="Times New Roman" w:cs="Times New Roman"/>
          <w:color w:val="auto"/>
        </w:rPr>
        <w:t>工程建设新增水土流失产生于两个方面：</w:t>
      </w:r>
    </w:p>
    <w:p>
      <w:pPr>
        <w:numPr>
          <w:ilvl w:val="0"/>
          <w:numId w:val="4"/>
        </w:numPr>
        <w:snapToGrid w:val="0"/>
        <w:spacing w:line="520" w:lineRule="exact"/>
        <w:rPr>
          <w:rFonts w:ascii="Times New Roman" w:hAnsi="Times New Roman" w:cs="Times New Roman"/>
          <w:color w:val="auto"/>
        </w:rPr>
      </w:pPr>
      <w:r>
        <w:rPr>
          <w:rFonts w:ascii="Times New Roman" w:hAnsi="Times New Roman" w:cs="Times New Roman"/>
          <w:color w:val="auto"/>
        </w:rPr>
        <w:t>门诊楼、医技楼、病房楼等建设、管网和道路建设期间，由于地基土层的填挖、施工道路的布置等，可能造成原生地表植被的破坏，引发水土流失。</w:t>
      </w:r>
    </w:p>
    <w:p>
      <w:pPr>
        <w:numPr>
          <w:ilvl w:val="0"/>
          <w:numId w:val="4"/>
        </w:numPr>
        <w:snapToGrid w:val="0"/>
        <w:spacing w:line="520" w:lineRule="exact"/>
        <w:rPr>
          <w:rFonts w:ascii="Times New Roman" w:hAnsi="Times New Roman" w:cs="Times New Roman"/>
          <w:color w:val="auto"/>
        </w:rPr>
      </w:pPr>
      <w:r>
        <w:rPr>
          <w:rFonts w:ascii="Times New Roman" w:hAnsi="Times New Roman" w:cs="Times New Roman"/>
          <w:color w:val="auto"/>
        </w:rPr>
        <w:t>弃渣堆放被冲刷和风蚀的可能性较大，若堆放或保护措施不当，将会在融雪、降雨、大风等作用下产生水土流失。</w:t>
      </w:r>
    </w:p>
    <w:p>
      <w:pPr>
        <w:pStyle w:val="9"/>
        <w:rPr>
          <w:rFonts w:ascii="Times New Roman" w:hAnsi="Times New Roman" w:cs="Times New Roman"/>
          <w:color w:val="auto"/>
        </w:rPr>
      </w:pPr>
      <w:bookmarkStart w:id="365" w:name="_Toc22746"/>
      <w:r>
        <w:rPr>
          <w:rFonts w:hint="eastAsia" w:ascii="Times New Roman" w:hAnsi="Times New Roman" w:cs="Times New Roman"/>
          <w:color w:val="auto"/>
        </w:rPr>
        <w:t>5</w:t>
      </w:r>
      <w:r>
        <w:rPr>
          <w:rFonts w:ascii="Times New Roman" w:hAnsi="Times New Roman" w:cs="Times New Roman"/>
          <w:color w:val="auto"/>
        </w:rPr>
        <w:t>.1.7 施工期环境影响分析总结</w:t>
      </w:r>
      <w:bookmarkEnd w:id="365"/>
    </w:p>
    <w:p>
      <w:pPr>
        <w:snapToGrid w:val="0"/>
        <w:spacing w:line="520" w:lineRule="exact"/>
        <w:rPr>
          <w:rFonts w:ascii="Times New Roman" w:hAnsi="Times New Roman" w:cs="Times New Roman"/>
          <w:color w:val="auto"/>
        </w:rPr>
      </w:pPr>
      <w:r>
        <w:rPr>
          <w:rFonts w:ascii="Times New Roman" w:hAnsi="Times New Roman" w:cs="Times New Roman"/>
          <w:color w:val="auto"/>
        </w:rPr>
        <w:t>综上所述，施工期的环境影响主要是施工扬尘、施工噪声、施工废水和固体废物等对周围环境的影响，以及施工对周围生态环境的影响，基本上都是短期的、局部的，但须制定切实可行的污染防治措施，加强管理，使施工期的环境影响降低到最小程度，并在施工结束后，及时清理场地并开展绿化工作。</w:t>
      </w:r>
    </w:p>
    <w:p>
      <w:pPr>
        <w:pStyle w:val="8"/>
        <w:keepNext w:val="0"/>
        <w:keepLines w:val="0"/>
        <w:snapToGrid w:val="0"/>
        <w:rPr>
          <w:rFonts w:ascii="Times New Roman" w:hAnsi="Times New Roman" w:cs="Times New Roman"/>
          <w:color w:val="auto"/>
        </w:rPr>
      </w:pPr>
      <w:bookmarkStart w:id="366" w:name="_Toc23822"/>
      <w:bookmarkStart w:id="367" w:name="_Toc31111_WPSOffice_Level2"/>
      <w:bookmarkStart w:id="368" w:name="_Toc27857"/>
      <w:r>
        <w:rPr>
          <w:rFonts w:hint="eastAsia" w:ascii="Times New Roman" w:hAnsi="Times New Roman" w:cs="Times New Roman"/>
          <w:color w:val="auto"/>
        </w:rPr>
        <w:t>5</w:t>
      </w:r>
      <w:r>
        <w:rPr>
          <w:rFonts w:ascii="Times New Roman" w:hAnsi="Times New Roman" w:cs="Times New Roman"/>
          <w:color w:val="auto"/>
        </w:rPr>
        <w:t>.2</w:t>
      </w:r>
      <w:bookmarkStart w:id="369" w:name="_Toc504733756"/>
      <w:bookmarkStart w:id="370" w:name="_Toc501940747"/>
      <w:r>
        <w:rPr>
          <w:rFonts w:ascii="Times New Roman" w:hAnsi="Times New Roman" w:cs="Times New Roman"/>
          <w:color w:val="auto"/>
        </w:rPr>
        <w:t xml:space="preserve"> 运营期环境影响分析与评价</w:t>
      </w:r>
      <w:bookmarkEnd w:id="366"/>
      <w:bookmarkEnd w:id="367"/>
      <w:bookmarkEnd w:id="368"/>
      <w:bookmarkEnd w:id="369"/>
      <w:bookmarkEnd w:id="370"/>
    </w:p>
    <w:p>
      <w:pPr>
        <w:pStyle w:val="9"/>
        <w:keepNext w:val="0"/>
        <w:keepLines w:val="0"/>
        <w:snapToGrid w:val="0"/>
        <w:rPr>
          <w:rFonts w:ascii="Times New Roman" w:hAnsi="Times New Roman" w:cs="Times New Roman"/>
          <w:color w:val="auto"/>
        </w:rPr>
      </w:pPr>
      <w:bookmarkStart w:id="371" w:name="_Toc504733757"/>
      <w:bookmarkStart w:id="372" w:name="_Toc10563"/>
      <w:bookmarkStart w:id="373" w:name="_Toc501940748"/>
      <w:r>
        <w:rPr>
          <w:rFonts w:hint="eastAsia" w:ascii="Times New Roman" w:hAnsi="Times New Roman" w:cs="Times New Roman"/>
          <w:color w:val="auto"/>
        </w:rPr>
        <w:t>5</w:t>
      </w:r>
      <w:r>
        <w:rPr>
          <w:rFonts w:ascii="Times New Roman" w:hAnsi="Times New Roman" w:cs="Times New Roman"/>
          <w:color w:val="auto"/>
        </w:rPr>
        <w:t>.2.1 大气环境影响分析与评价</w:t>
      </w:r>
      <w:bookmarkEnd w:id="371"/>
      <w:bookmarkEnd w:id="372"/>
      <w:bookmarkEnd w:id="373"/>
    </w:p>
    <w:p>
      <w:pPr>
        <w:pStyle w:val="10"/>
        <w:rPr>
          <w:rFonts w:cs="Times New Roman"/>
          <w:color w:val="auto"/>
        </w:rPr>
      </w:pPr>
      <w:r>
        <w:rPr>
          <w:rFonts w:hint="eastAsia" w:cs="Times New Roman"/>
          <w:color w:val="auto"/>
        </w:rPr>
        <w:t>5</w:t>
      </w:r>
      <w:r>
        <w:rPr>
          <w:rFonts w:cs="Times New Roman"/>
          <w:color w:val="auto"/>
        </w:rPr>
        <w:t>.2.1.1 大气环境影响分析</w:t>
      </w:r>
    </w:p>
    <w:p>
      <w:pPr>
        <w:spacing w:line="520" w:lineRule="exact"/>
        <w:rPr>
          <w:rFonts w:ascii="Times New Roman" w:hAnsi="Times New Roman" w:cs="Times New Roman"/>
          <w:color w:val="auto"/>
        </w:rPr>
      </w:pPr>
      <w:r>
        <w:rPr>
          <w:rFonts w:ascii="Times New Roman" w:hAnsi="Times New Roman" w:cs="Times New Roman"/>
          <w:color w:val="auto"/>
        </w:rPr>
        <w:t>（1）污水处理站恶臭</w:t>
      </w:r>
    </w:p>
    <w:p>
      <w:pPr>
        <w:spacing w:line="520" w:lineRule="exact"/>
        <w:rPr>
          <w:rFonts w:ascii="Times New Roman" w:hAnsi="Times New Roman" w:cs="Times New Roman"/>
          <w:color w:val="auto"/>
        </w:rPr>
      </w:pPr>
      <w:r>
        <w:rPr>
          <w:rFonts w:ascii="Times New Roman" w:hAnsi="Times New Roman" w:cs="Times New Roman"/>
          <w:color w:val="auto"/>
        </w:rPr>
        <w:t>根据工程分析，本项目医院污水处理设施可能会产生恶臭气体，主要来自格栅池、调节池及消毒池等设施，恶臭的主要成分为硫化氢、氨、臭气浓度等污染物，医院污水处理站散发的恶臭气体对周围大气环境会产生一定的影响。恶臭气体产生量随污水水质、气温（或水温）以及曝气量的不同而变化。</w:t>
      </w:r>
    </w:p>
    <w:p>
      <w:pPr>
        <w:spacing w:line="520" w:lineRule="exact"/>
        <w:rPr>
          <w:rFonts w:ascii="Times New Roman" w:hAnsi="Times New Roman" w:cs="Times New Roman"/>
          <w:color w:val="auto"/>
        </w:rPr>
      </w:pPr>
      <w:r>
        <w:rPr>
          <w:rFonts w:ascii="Times New Roman" w:hAnsi="Times New Roman" w:cs="Times New Roman"/>
          <w:color w:val="auto"/>
        </w:rPr>
        <w:t>本项目污水处理站采用二级处理工艺。为防止废气从医院水处理构筑物表面挥发到大气中而造成病毒、细菌的二次传播污染，污水处理设施均为地埋式，各处理池加盖板密闭，盖板上预留进、出气口，把处于自由扩散状态的气体用管道收集起来，收集效率可达90%，本评价建议采用等离子除臭装置，该装置能有效去除硫化氢、氨气等主要的污染物，以及各种恶臭味，且不会产生二次污染。可适应高浓度、大气量、不同恶臭气体物质的脱臭净化处理，运行稳定可靠，恶臭处理效率可达</w:t>
      </w:r>
      <w:r>
        <w:rPr>
          <w:rFonts w:hint="eastAsia" w:ascii="Times New Roman" w:hAnsi="Times New Roman" w:cs="Times New Roman"/>
          <w:color w:val="auto"/>
          <w:lang w:val="en-US" w:eastAsia="zh-CN"/>
        </w:rPr>
        <w:t>6</w:t>
      </w:r>
      <w:r>
        <w:rPr>
          <w:rFonts w:ascii="Times New Roman" w:hAnsi="Times New Roman" w:cs="Times New Roman"/>
          <w:color w:val="auto"/>
        </w:rPr>
        <w:t>0%左右。经净化处理后的污水处理站恶臭气体排放可达到《医疗机构水污染物排放标准》（GB18466-2005）中表3“污水处理站周边大气污染物最高允许浓度”限值要求和《恶臭污染物排放标准》（GB14554-93）排放限值要求。通过1根15m高的排气筒达标排放，不会对周边环境造成明显不良影响，对环境空气影响较小。</w:t>
      </w:r>
    </w:p>
    <w:p>
      <w:pPr>
        <w:spacing w:line="520" w:lineRule="exact"/>
        <w:rPr>
          <w:rFonts w:hint="eastAsia" w:ascii="Times New Roman" w:hAnsi="Times New Roman" w:eastAsia="宋体" w:cs="Times New Roman"/>
          <w:color w:val="auto"/>
          <w:lang w:eastAsia="zh-CN"/>
        </w:rPr>
      </w:pPr>
      <w:r>
        <w:rPr>
          <w:rFonts w:ascii="Times New Roman" w:hAnsi="Times New Roman" w:cs="Times New Roman"/>
          <w:color w:val="auto"/>
        </w:rPr>
        <w:t>（2）</w:t>
      </w:r>
      <w:r>
        <w:rPr>
          <w:rFonts w:hint="eastAsia" w:ascii="Times New Roman" w:hAnsi="Times New Roman" w:cs="Times New Roman"/>
          <w:color w:val="auto"/>
          <w:lang w:eastAsia="zh-CN"/>
        </w:rPr>
        <w:t>带菌空气</w:t>
      </w:r>
    </w:p>
    <w:p>
      <w:pPr>
        <w:spacing w:line="520" w:lineRule="exact"/>
        <w:rPr>
          <w:rFonts w:ascii="Times New Roman" w:hAnsi="Times New Roman" w:cs="Times New Roman"/>
          <w:color w:val="auto"/>
        </w:rPr>
      </w:pPr>
      <w:r>
        <w:rPr>
          <w:rFonts w:hint="eastAsia" w:ascii="Times New Roman" w:hAnsi="Times New Roman" w:cs="Times New Roman"/>
          <w:color w:val="auto"/>
        </w:rPr>
        <w:t>医院内空气中含有病人携带的致病菌，所以要求医院按照《医院空气净化管理规范》（WS/T368-2012）和《医疗机构消毒技术规范》（WS/T367-2012）的要求，严格管理，对室内定期进行消毒灭菌（每日至少一次），即采用醋酸、优氨净、复方来苏水等以降低空气中含菌量，可采用喷雾消毒或熏蒸消毒等化学消毒方法；同时加强室内通风，使医院非洁净手术部（室）的室内空气经消毒净化后执行《医院空气净化管理规范》（WST368-2012）中细菌菌落总数≤4CFU/（15min·直径9cm平皿）”的空气净化卫生要求；其余区域的室内空气经消毒净化后达到《医院空气净化管理规范》（WST368-2012）中细菌菌落总数≤4CFU/（5min·直径9cm平皿）”的空气净化卫生要求，并加强通风换气，给医院一个洁净的室内空气环境。</w:t>
      </w:r>
    </w:p>
    <w:p>
      <w:pPr>
        <w:spacing w:line="520" w:lineRule="exact"/>
        <w:rPr>
          <w:rFonts w:ascii="Times New Roman" w:hAnsi="Times New Roman" w:cs="Times New Roman"/>
          <w:color w:val="auto"/>
        </w:rPr>
      </w:pPr>
      <w:r>
        <w:rPr>
          <w:rFonts w:ascii="Times New Roman" w:hAnsi="Times New Roman" w:cs="Times New Roman"/>
          <w:color w:val="auto"/>
        </w:rPr>
        <w:t>（3）食堂油烟</w:t>
      </w:r>
    </w:p>
    <w:p>
      <w:pPr>
        <w:spacing w:line="520" w:lineRule="exact"/>
        <w:rPr>
          <w:rFonts w:ascii="Times New Roman" w:hAnsi="Times New Roman" w:cs="Times New Roman"/>
          <w:color w:val="auto"/>
        </w:rPr>
      </w:pPr>
      <w:r>
        <w:rPr>
          <w:rFonts w:ascii="Times New Roman" w:hAnsi="Times New Roman" w:cs="Times New Roman"/>
          <w:color w:val="auto"/>
        </w:rPr>
        <w:t>医院食堂安装有油烟净化器，油烟去除率大于85%，经油烟净化器处理后满足《饮食业油烟排放标准（试行）》（GB18483-2001）中的相关标准限值，通过专用排烟管道引至房顶达标排放，对周边大气环境影响较小。</w:t>
      </w:r>
    </w:p>
    <w:p>
      <w:pPr>
        <w:spacing w:line="520" w:lineRule="exact"/>
        <w:rPr>
          <w:rFonts w:ascii="Times New Roman" w:hAnsi="Times New Roman" w:cs="Times New Roman"/>
          <w:color w:val="auto"/>
        </w:rPr>
      </w:pPr>
      <w:r>
        <w:rPr>
          <w:rFonts w:ascii="Times New Roman" w:hAnsi="Times New Roman" w:cs="Times New Roman"/>
          <w:color w:val="auto"/>
        </w:rPr>
        <w:t>（4）柴油发电机废气</w:t>
      </w:r>
    </w:p>
    <w:p>
      <w:pPr>
        <w:spacing w:line="520" w:lineRule="exact"/>
        <w:rPr>
          <w:rFonts w:hint="eastAsia" w:ascii="Times New Roman" w:hAnsi="Times New Roman" w:eastAsia="宋体" w:cs="Times New Roman"/>
          <w:color w:val="auto"/>
          <w:highlight w:val="none"/>
          <w:lang w:val="en-US" w:eastAsia="zh-CN"/>
        </w:rPr>
      </w:pPr>
      <w:r>
        <w:rPr>
          <w:rFonts w:ascii="Times New Roman" w:hAnsi="Times New Roman" w:cs="Times New Roman"/>
          <w:color w:val="auto"/>
        </w:rPr>
        <w:t>医院正常运营阶段不会使用柴油发电机发电，主要在停电时使用。发电机使用轻质柴油，属于清洁能源，且使用很少</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根据工程分析可知，</w:t>
      </w:r>
      <w:r>
        <w:rPr>
          <w:rFonts w:ascii="Times New Roman" w:hAnsi="Times New Roman" w:cs="Times New Roman"/>
          <w:color w:val="auto"/>
        </w:rPr>
        <w:t>燃油废气</w:t>
      </w:r>
      <w:r>
        <w:rPr>
          <w:rFonts w:hint="eastAsia" w:ascii="Times New Roman" w:hAnsi="Times New Roman" w:cs="Times New Roman"/>
          <w:color w:val="auto"/>
          <w:lang w:val="en-US" w:eastAsia="zh-CN"/>
        </w:rPr>
        <w:t>主要污染因子为SO</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、NOx和烟尘。根据《大气环境污染工程师实用手册》，</w:t>
      </w:r>
      <w:r>
        <w:rPr>
          <w:rFonts w:ascii="Times New Roman" w:hAnsi="Times New Roman" w:cs="Times New Roman"/>
          <w:color w:val="auto"/>
        </w:rPr>
        <w:t>当空气过剩系数为1时，1kg柴油产生的烟气量约为11Nm</w:t>
      </w:r>
      <w:r>
        <w:rPr>
          <w:rFonts w:ascii="Times New Roman" w:hAnsi="Times New Roman" w:cs="Times New Roman"/>
          <w:color w:val="auto"/>
          <w:vertAlign w:val="superscript"/>
        </w:rPr>
        <w:t>3</w:t>
      </w:r>
      <w:r>
        <w:rPr>
          <w:rFonts w:ascii="Times New Roman" w:hAnsi="Times New Roman" w:cs="Times New Roman"/>
          <w:color w:val="auto"/>
        </w:rPr>
        <w:t>。一般柴油发电机空气过剩系数为1.8，则发电机每燃烧1kg柴油产生的烟气量为11×1.8≈20Nm</w:t>
      </w:r>
      <w:r>
        <w:rPr>
          <w:rFonts w:ascii="Times New Roman" w:hAnsi="Times New Roman" w:cs="Times New Roman"/>
          <w:color w:val="auto"/>
          <w:vertAlign w:val="superscript"/>
        </w:rPr>
        <w:t>3</w:t>
      </w:r>
      <w:r>
        <w:rPr>
          <w:rFonts w:ascii="Times New Roman" w:hAnsi="Times New Roman" w:cs="Times New Roman"/>
          <w:color w:val="auto"/>
        </w:rPr>
        <w:t>，每年产生的烟气量为1.008×10</w:t>
      </w:r>
      <w:r>
        <w:rPr>
          <w:rFonts w:ascii="Times New Roman" w:hAnsi="Times New Roman" w:cs="Times New Roman"/>
          <w:color w:val="auto"/>
          <w:vertAlign w:val="superscript"/>
        </w:rPr>
        <w:t>5</w:t>
      </w:r>
      <w:r>
        <w:rPr>
          <w:rFonts w:ascii="Times New Roman" w:hAnsi="Times New Roman" w:cs="Times New Roman"/>
          <w:color w:val="auto"/>
        </w:rPr>
        <w:t>Nm</w:t>
      </w:r>
      <w:r>
        <w:rPr>
          <w:rFonts w:ascii="Times New Roman" w:hAnsi="Times New Roman" w:cs="Times New Roman"/>
          <w:color w:val="auto"/>
          <w:vertAlign w:val="superscript"/>
        </w:rPr>
        <w:t>3</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其SO</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排放量为0.101kg/a，NOx排放量为7.772kg/a，烟尘排放量为0.504kg/a</w:t>
      </w:r>
      <w:r>
        <w:rPr>
          <w:rFonts w:ascii="Times New Roman" w:hAnsi="Times New Roman" w:cs="Times New Roman"/>
          <w:color w:val="auto"/>
        </w:rPr>
        <w:t>。</w:t>
      </w:r>
      <w:r>
        <w:rPr>
          <w:rFonts w:hint="eastAsia" w:ascii="Times New Roman" w:hAnsi="Times New Roman" w:cs="Times New Roman"/>
          <w:color w:val="auto"/>
          <w:highlight w:val="none"/>
        </w:rPr>
        <w:t>燃烧废气</w:t>
      </w:r>
      <w:r>
        <w:rPr>
          <w:rFonts w:ascii="Times New Roman" w:hAnsi="Times New Roman" w:cs="Times New Roman"/>
          <w:color w:val="auto"/>
          <w:highlight w:val="none"/>
        </w:rPr>
        <w:t>满足《大气污染物综合排放标准》（GB16297-1996）表2中</w:t>
      </w:r>
      <w:r>
        <w:rPr>
          <w:rFonts w:hint="eastAsia" w:ascii="Times New Roman" w:hAnsi="Times New Roman" w:cs="Times New Roman"/>
          <w:color w:val="auto"/>
          <w:highlight w:val="none"/>
        </w:rPr>
        <w:t>无组织排放</w:t>
      </w:r>
      <w:r>
        <w:rPr>
          <w:rFonts w:ascii="Times New Roman" w:hAnsi="Times New Roman" w:cs="Times New Roman"/>
          <w:color w:val="auto"/>
          <w:highlight w:val="none"/>
        </w:rPr>
        <w:t>限值</w:t>
      </w:r>
      <w:r>
        <w:rPr>
          <w:rFonts w:hint="eastAsia" w:ascii="Times New Roman" w:hAnsi="Times New Roman" w:cs="Times New Roman"/>
          <w:color w:val="auto"/>
          <w:highlight w:val="none"/>
        </w:rPr>
        <w:t>要求</w:t>
      </w:r>
      <w:r>
        <w:rPr>
          <w:rFonts w:ascii="Times New Roman" w:hAnsi="Times New Roman" w:cs="Times New Roman"/>
          <w:color w:val="auto"/>
          <w:highlight w:val="none"/>
        </w:rPr>
        <w:t>后</w:t>
      </w:r>
      <w:r>
        <w:rPr>
          <w:rFonts w:hint="eastAsia" w:ascii="Times New Roman" w:hAnsi="Times New Roman" w:cs="Times New Roman"/>
          <w:color w:val="auto"/>
          <w:highlight w:val="none"/>
        </w:rPr>
        <w:t>以无组织形式</w:t>
      </w:r>
      <w:r>
        <w:rPr>
          <w:rFonts w:ascii="Times New Roman" w:hAnsi="Times New Roman" w:cs="Times New Roman"/>
          <w:color w:val="auto"/>
          <w:highlight w:val="none"/>
        </w:rPr>
        <w:t>排放，且被周边大气很快稀释，对周边大气环境影响较小。</w:t>
      </w:r>
    </w:p>
    <w:p>
      <w:pPr>
        <w:spacing w:line="520" w:lineRule="exact"/>
        <w:rPr>
          <w:rFonts w:ascii="Times New Roman" w:hAnsi="Times New Roman" w:cs="Times New Roman"/>
          <w:color w:val="auto"/>
        </w:rPr>
      </w:pPr>
      <w:r>
        <w:rPr>
          <w:rFonts w:ascii="Times New Roman" w:hAnsi="Times New Roman" w:cs="Times New Roman"/>
          <w:color w:val="auto"/>
        </w:rPr>
        <w:t>（5）汽车尾气</w:t>
      </w:r>
    </w:p>
    <w:p>
      <w:pPr>
        <w:spacing w:line="520" w:lineRule="exact"/>
        <w:rPr>
          <w:rFonts w:ascii="Times New Roman" w:hAnsi="Times New Roman" w:cs="Times New Roman"/>
          <w:color w:val="auto"/>
        </w:rPr>
      </w:pPr>
      <w:r>
        <w:rPr>
          <w:rFonts w:ascii="Times New Roman" w:hAnsi="Times New Roman" w:cs="Times New Roman"/>
          <w:color w:val="auto"/>
        </w:rPr>
        <w:t>医院设有地上停车位和地下车库，由于地面空气流通较好，地面停车场汽车尾气基本不会对环境空气形成明显影响。地下车库废气经竖井引至室外绿化带排放，汽车尾气排风口设置在远离住院楼等敏感目标的绿化带附近，对周边大气环境影响较小。</w:t>
      </w:r>
    </w:p>
    <w:p>
      <w:pPr>
        <w:pStyle w:val="10"/>
        <w:rPr>
          <w:rFonts w:hint="eastAsia" w:cs="Times New Roman"/>
          <w:color w:val="auto"/>
        </w:rPr>
      </w:pPr>
    </w:p>
    <w:p>
      <w:pPr>
        <w:pStyle w:val="10"/>
        <w:rPr>
          <w:rFonts w:cs="Times New Roman"/>
          <w:color w:val="auto"/>
        </w:rPr>
      </w:pPr>
      <w:r>
        <w:rPr>
          <w:rFonts w:hint="eastAsia" w:cs="Times New Roman"/>
          <w:color w:val="auto"/>
        </w:rPr>
        <w:t>5</w:t>
      </w:r>
      <w:r>
        <w:rPr>
          <w:rFonts w:cs="Times New Roman"/>
          <w:color w:val="auto"/>
        </w:rPr>
        <w:t>.2.1.2 大气环境影响预测与评价</w:t>
      </w:r>
    </w:p>
    <w:p>
      <w:pPr>
        <w:spacing w:line="520" w:lineRule="exact"/>
        <w:rPr>
          <w:rFonts w:ascii="Times New Roman" w:hAnsi="Times New Roman" w:cs="Times New Roman"/>
          <w:color w:val="auto"/>
        </w:rPr>
      </w:pPr>
      <w:r>
        <w:rPr>
          <w:rFonts w:ascii="Times New Roman" w:hAnsi="Times New Roman" w:cs="Times New Roman"/>
          <w:color w:val="auto"/>
        </w:rPr>
        <w:t>根据分析，医院营运期产生的大气污染物产生量小，排放浓度均较低，本次评价选取医疗废水处理站恶臭气体进行大气环境影响评价等级判断。采用《环境影响评价技术导则 大气环境》（HJ2.2-2018）大气估算模式（Arescreen）计算医疗废水处理站恶臭在落实环保措施的情况下，H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的最大占标率，并根据《环境影响评价技术导则 大气环境》（HJ2.2-2018）进行评价等级判断。</w:t>
      </w:r>
    </w:p>
    <w:p>
      <w:pPr>
        <w:spacing w:line="520" w:lineRule="exact"/>
        <w:rPr>
          <w:rFonts w:ascii="Times New Roman" w:hAnsi="Times New Roman" w:cs="Times New Roman"/>
          <w:color w:val="auto"/>
        </w:rPr>
      </w:pPr>
      <w:r>
        <w:rPr>
          <w:rFonts w:ascii="Times New Roman" w:hAnsi="Times New Roman" w:cs="Times New Roman"/>
          <w:color w:val="auto"/>
        </w:rPr>
        <w:t>（1）判定依据</w:t>
      </w:r>
    </w:p>
    <w:p>
      <w:pPr>
        <w:spacing w:line="520" w:lineRule="exact"/>
        <w:rPr>
          <w:rFonts w:ascii="Times New Roman" w:hAnsi="Times New Roman" w:cs="Times New Roman"/>
          <w:color w:val="auto"/>
        </w:rPr>
      </w:pPr>
      <w:r>
        <w:rPr>
          <w:rFonts w:ascii="Times New Roman" w:hAnsi="Times New Roman" w:cs="Times New Roman"/>
          <w:color w:val="auto"/>
        </w:rPr>
        <w:t>项目根据工程特点和污染特征以及周围环境状况，采用《环境影响评价技术导则·大气环境》（HJ2.2-2018）中规定的方法核算，计算公式及评价工作级别判断表（表</w:t>
      </w:r>
      <w:r>
        <w:rPr>
          <w:rFonts w:hint="eastAsia" w:ascii="Times New Roman" w:hAnsi="Times New Roman" w:cs="Times New Roman"/>
          <w:color w:val="auto"/>
        </w:rPr>
        <w:t>5.2-1</w:t>
      </w:r>
      <w:r>
        <w:rPr>
          <w:rFonts w:ascii="Times New Roman" w:hAnsi="Times New Roman" w:cs="Times New Roman"/>
          <w:color w:val="auto"/>
        </w:rPr>
        <w:t>）如下：</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object>
          <v:shape id="_x0000_i1032" o:spt="75" type="#_x0000_t75" style="height:34.2pt;width:78pt;" o:ole="t" filled="f" o:preferrelative="t" stroked="f" coordsize="21600,21600">
            <v:path/>
            <v:fill on="f" focussize="0,0"/>
            <v:stroke on="f" joinstyle="miter"/>
            <v:imagedata r:id="rId12" o:title=""/>
            <o:lock v:ext="edit" aspectratio="t"/>
            <w10:wrap type="none"/>
            <w10:anchorlock/>
          </v:shape>
          <o:OLEObject Type="Embed" ProgID="Equation.3" ShapeID="_x0000_i1032" DrawAspect="Content" ObjectID="_1468075732" r:id="rId26">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式中：P</w:t>
      </w:r>
      <w:r>
        <w:rPr>
          <w:rFonts w:ascii="Times New Roman" w:hAnsi="Times New Roman" w:cs="Times New Roman"/>
          <w:color w:val="auto"/>
          <w:vertAlign w:val="subscript"/>
        </w:rPr>
        <w:t>i</w:t>
      </w:r>
      <w:r>
        <w:rPr>
          <w:rFonts w:ascii="Times New Roman" w:hAnsi="Times New Roman" w:cs="Times New Roman"/>
          <w:color w:val="auto"/>
        </w:rPr>
        <w:t>---第i个污染物的最大地面浓度占标率，%；</w:t>
      </w:r>
    </w:p>
    <w:p>
      <w:pPr>
        <w:spacing w:line="520" w:lineRule="exact"/>
        <w:rPr>
          <w:rFonts w:ascii="Times New Roman" w:hAnsi="Times New Roman" w:cs="Times New Roman"/>
          <w:color w:val="auto"/>
        </w:rPr>
      </w:pPr>
      <w:r>
        <w:rPr>
          <w:rFonts w:ascii="Times New Roman" w:hAnsi="Times New Roman" w:cs="Times New Roman"/>
          <w:color w:val="auto"/>
        </w:rPr>
        <w:t xml:space="preserve">      C</w:t>
      </w:r>
      <w:r>
        <w:rPr>
          <w:rFonts w:ascii="Times New Roman" w:hAnsi="Times New Roman" w:cs="Times New Roman"/>
          <w:color w:val="auto"/>
          <w:vertAlign w:val="subscript"/>
        </w:rPr>
        <w:t>i</w:t>
      </w:r>
      <w:r>
        <w:rPr>
          <w:rFonts w:ascii="Times New Roman" w:hAnsi="Times New Roman" w:cs="Times New Roman"/>
          <w:color w:val="auto"/>
        </w:rPr>
        <w:t>---采用估算模式计算出的第i个污染物的最大地面浓度，mg/m</w:t>
      </w:r>
      <w:r>
        <w:rPr>
          <w:rFonts w:ascii="Times New Roman" w:hAnsi="Times New Roman" w:cs="Times New Roman"/>
          <w:color w:val="auto"/>
          <w:vertAlign w:val="superscript"/>
        </w:rPr>
        <w:t>3</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 xml:space="preserve">      C</w:t>
      </w:r>
      <w:r>
        <w:rPr>
          <w:rFonts w:ascii="Times New Roman" w:hAnsi="Times New Roman" w:cs="Times New Roman"/>
          <w:color w:val="auto"/>
          <w:vertAlign w:val="subscript"/>
        </w:rPr>
        <w:t>oi</w:t>
      </w:r>
      <w:r>
        <w:rPr>
          <w:rFonts w:ascii="Times New Roman" w:hAnsi="Times New Roman" w:cs="Times New Roman"/>
          <w:color w:val="auto"/>
        </w:rPr>
        <w:t>---第i个污染物的环境空气质量标准，mg/m</w:t>
      </w:r>
      <w:r>
        <w:rPr>
          <w:rFonts w:ascii="Times New Roman" w:hAnsi="Times New Roman" w:cs="Times New Roman"/>
          <w:color w:val="auto"/>
          <w:vertAlign w:val="superscript"/>
        </w:rPr>
        <w:t>3</w:t>
      </w:r>
      <w:r>
        <w:rPr>
          <w:rFonts w:ascii="Times New Roman" w:hAnsi="Times New Roman" w:cs="Times New Roman"/>
          <w:color w:val="auto"/>
        </w:rPr>
        <w:t>。一般选用GB3095中1h平均质量浓度的二级浓度限值，µg/m</w:t>
      </w:r>
      <w:r>
        <w:rPr>
          <w:rFonts w:ascii="Times New Roman" w:hAnsi="Times New Roman" w:cs="Times New Roman"/>
          <w:color w:val="auto"/>
          <w:vertAlign w:val="superscript"/>
        </w:rPr>
        <w:t>3</w:t>
      </w:r>
      <w:r>
        <w:rPr>
          <w:rFonts w:ascii="Times New Roman" w:hAnsi="Times New Roman" w:cs="Times New Roman"/>
          <w:color w:val="auto"/>
        </w:rPr>
        <w:t>；对仅有8h平均质量浓度限值、日平均质量浓度限值或年平均质量浓度限值的，可分别按2倍、3倍、6倍折算为1h平均质量浓度限值。</w:t>
      </w:r>
    </w:p>
    <w:p>
      <w:pPr>
        <w:spacing w:line="520" w:lineRule="exact"/>
        <w:rPr>
          <w:rFonts w:ascii="Times New Roman" w:hAnsi="Times New Roman" w:cs="Times New Roman"/>
          <w:color w:val="auto"/>
        </w:rPr>
      </w:pPr>
      <w:r>
        <w:rPr>
          <w:rFonts w:ascii="Times New Roman" w:hAnsi="Times New Roman" w:cs="Times New Roman"/>
          <w:color w:val="auto"/>
        </w:rPr>
        <w:t>评价工作等级按表</w:t>
      </w:r>
      <w:r>
        <w:rPr>
          <w:rFonts w:hint="eastAsia" w:ascii="Times New Roman" w:hAnsi="Times New Roman" w:cs="Times New Roman"/>
          <w:color w:val="auto"/>
        </w:rPr>
        <w:t>5.2-1</w:t>
      </w:r>
      <w:r>
        <w:rPr>
          <w:rFonts w:ascii="Times New Roman" w:hAnsi="Times New Roman" w:cs="Times New Roman"/>
          <w:color w:val="auto"/>
        </w:rPr>
        <w:t>的分级判据进行划分。最大地面浓度占标率Pi按公式计算，如污染物i大于1，取P值的最大者（Pmax），和其对应的D10%。</w:t>
      </w:r>
    </w:p>
    <w:p>
      <w:pPr>
        <w:pStyle w:val="35"/>
        <w:spacing w:before="0" w:after="0" w:line="520" w:lineRule="exact"/>
        <w:rPr>
          <w:rFonts w:cs="Times New Roman"/>
          <w:color w:val="auto"/>
        </w:rPr>
      </w:pPr>
      <w:r>
        <w:rPr>
          <w:rFonts w:cs="Times New Roman"/>
          <w:color w:val="auto"/>
        </w:rPr>
        <w:t>表</w:t>
      </w:r>
      <w:r>
        <w:rPr>
          <w:rFonts w:hint="eastAsia" w:cs="Times New Roman"/>
          <w:color w:val="auto"/>
        </w:rPr>
        <w:t>5.2-1</w:t>
      </w:r>
      <w:r>
        <w:rPr>
          <w:rFonts w:cs="Times New Roman"/>
          <w:color w:val="auto"/>
        </w:rPr>
        <w:t xml:space="preserve">   评价工作等级分级判据</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022" w:type="pct"/>
            <w:vAlign w:val="center"/>
          </w:tcPr>
          <w:p>
            <w:pPr>
              <w:pStyle w:val="36"/>
              <w:rPr>
                <w:rFonts w:ascii="Times New Roman" w:hAnsi="Times New Roman" w:cs="Times New Roman"/>
                <w:b/>
                <w:bCs/>
                <w:color w:val="auto"/>
              </w:rPr>
            </w:pPr>
            <w:r>
              <w:rPr>
                <w:rFonts w:ascii="Times New Roman" w:hAnsi="Times New Roman" w:cs="Times New Roman"/>
                <w:b/>
                <w:bCs/>
                <w:color w:val="auto"/>
              </w:rPr>
              <w:t>评价工作等级</w:t>
            </w:r>
          </w:p>
        </w:tc>
        <w:tc>
          <w:tcPr>
            <w:tcW w:w="3977" w:type="pct"/>
            <w:vAlign w:val="center"/>
          </w:tcPr>
          <w:p>
            <w:pPr>
              <w:pStyle w:val="36"/>
              <w:rPr>
                <w:rFonts w:ascii="Times New Roman" w:hAnsi="Times New Roman" w:cs="Times New Roman"/>
                <w:b/>
                <w:bCs/>
                <w:color w:val="auto"/>
              </w:rPr>
            </w:pPr>
            <w:r>
              <w:rPr>
                <w:rFonts w:ascii="Times New Roman" w:hAnsi="Times New Roman" w:cs="Times New Roman"/>
                <w:b/>
                <w:bCs/>
                <w:color w:val="auto"/>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36"/>
              <w:rPr>
                <w:rFonts w:ascii="Times New Roman" w:hAnsi="Times New Roman" w:cs="Times New Roman"/>
                <w:color w:val="auto"/>
              </w:rPr>
            </w:pPr>
            <w:r>
              <w:rPr>
                <w:rFonts w:ascii="Times New Roman" w:hAnsi="Times New Roman" w:cs="Times New Roman"/>
                <w:color w:val="auto"/>
              </w:rPr>
              <w:t>一级</w:t>
            </w:r>
          </w:p>
        </w:tc>
        <w:tc>
          <w:tcPr>
            <w:tcW w:w="3977" w:type="pct"/>
            <w:vAlign w:val="center"/>
          </w:tcPr>
          <w:p>
            <w:pPr>
              <w:pStyle w:val="36"/>
              <w:rPr>
                <w:rFonts w:ascii="Times New Roman" w:hAnsi="Times New Roman" w:cs="Times New Roman"/>
                <w:color w:val="auto"/>
              </w:rPr>
            </w:pPr>
            <w:r>
              <w:rPr>
                <w:rFonts w:ascii="Times New Roman" w:hAnsi="Times New Roman" w:cs="Times New Roman"/>
                <w:color w:val="auto"/>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22" w:type="pct"/>
            <w:vAlign w:val="center"/>
          </w:tcPr>
          <w:p>
            <w:pPr>
              <w:pStyle w:val="36"/>
              <w:rPr>
                <w:rFonts w:ascii="Times New Roman" w:hAnsi="Times New Roman" w:cs="Times New Roman"/>
                <w:color w:val="auto"/>
              </w:rPr>
            </w:pPr>
            <w:r>
              <w:rPr>
                <w:rFonts w:ascii="Times New Roman" w:hAnsi="Times New Roman" w:cs="Times New Roman"/>
                <w:color w:val="auto"/>
              </w:rPr>
              <w:t>二级</w:t>
            </w:r>
          </w:p>
        </w:tc>
        <w:tc>
          <w:tcPr>
            <w:tcW w:w="3977" w:type="pct"/>
            <w:vAlign w:val="center"/>
          </w:tcPr>
          <w:p>
            <w:pPr>
              <w:pStyle w:val="36"/>
              <w:rPr>
                <w:rFonts w:ascii="Times New Roman" w:hAnsi="Times New Roman" w:cs="Times New Roman"/>
                <w:color w:val="auto"/>
              </w:rPr>
            </w:pPr>
            <w:r>
              <w:rPr>
                <w:rFonts w:ascii="Times New Roman" w:hAnsi="Times New Roman" w:cs="Times New Roman"/>
                <w:color w:val="auto"/>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22" w:type="pct"/>
            <w:vAlign w:val="center"/>
          </w:tcPr>
          <w:p>
            <w:pPr>
              <w:pStyle w:val="36"/>
              <w:rPr>
                <w:rFonts w:ascii="Times New Roman" w:hAnsi="Times New Roman" w:cs="Times New Roman"/>
                <w:color w:val="auto"/>
              </w:rPr>
            </w:pPr>
            <w:r>
              <w:rPr>
                <w:rFonts w:ascii="Times New Roman" w:hAnsi="Times New Roman" w:cs="Times New Roman"/>
                <w:color w:val="auto"/>
              </w:rPr>
              <w:t>三级</w:t>
            </w:r>
          </w:p>
        </w:tc>
        <w:tc>
          <w:tcPr>
            <w:tcW w:w="3977" w:type="pct"/>
            <w:vAlign w:val="center"/>
          </w:tcPr>
          <w:p>
            <w:pPr>
              <w:pStyle w:val="36"/>
              <w:rPr>
                <w:rFonts w:ascii="Times New Roman" w:hAnsi="Times New Roman" w:cs="Times New Roman"/>
                <w:color w:val="auto"/>
              </w:rPr>
            </w:pPr>
            <w:r>
              <w:rPr>
                <w:rFonts w:ascii="Times New Roman" w:hAnsi="Times New Roman" w:cs="Times New Roman"/>
                <w:color w:val="auto"/>
              </w:rPr>
              <w:t>Pmax＜1%</w:t>
            </w:r>
          </w:p>
        </w:tc>
      </w:tr>
    </w:tbl>
    <w:p>
      <w:pPr>
        <w:spacing w:line="520" w:lineRule="exact"/>
        <w:rPr>
          <w:rFonts w:ascii="Times New Roman" w:hAnsi="Times New Roman" w:cs="Times New Roman"/>
          <w:color w:val="auto"/>
        </w:rPr>
      </w:pPr>
      <w:r>
        <w:rPr>
          <w:rFonts w:ascii="Times New Roman" w:hAnsi="Times New Roman" w:cs="Times New Roman"/>
          <w:color w:val="auto"/>
        </w:rPr>
        <w:t>本项目大气污染物主要为污水处理站产生的恶臭，污染因子主要为H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、臭气浓度等。本评价主要以污水处理站恶臭中H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的排放量来确定评价工作等级。</w:t>
      </w:r>
    </w:p>
    <w:p>
      <w:pPr>
        <w:spacing w:line="520" w:lineRule="exact"/>
        <w:rPr>
          <w:rFonts w:ascii="Times New Roman" w:hAnsi="Times New Roman" w:cs="Times New Roman"/>
          <w:color w:val="auto"/>
        </w:rPr>
      </w:pPr>
      <w:r>
        <w:rPr>
          <w:rFonts w:ascii="Times New Roman" w:hAnsi="Times New Roman" w:cs="Times New Roman"/>
          <w:color w:val="auto"/>
        </w:rPr>
        <w:t>根据《环境影响评价技术导则—大气环境》（HJ2.2-2018），按照估算模式AERSCREEN模式，依据上述公式进行评价等级确定，其中污染物计算参数如下。本项目评价因子和评价标准件下表</w:t>
      </w:r>
      <w:r>
        <w:rPr>
          <w:rFonts w:hint="eastAsia" w:ascii="Times New Roman" w:hAnsi="Times New Roman" w:cs="Times New Roman"/>
          <w:color w:val="auto"/>
        </w:rPr>
        <w:t>5</w:t>
      </w:r>
      <w:r>
        <w:rPr>
          <w:rFonts w:ascii="Times New Roman" w:hAnsi="Times New Roman" w:cs="Times New Roman"/>
          <w:color w:val="auto"/>
        </w:rPr>
        <w:t>.2-</w:t>
      </w:r>
      <w:r>
        <w:rPr>
          <w:rFonts w:hint="eastAsia" w:ascii="Times New Roman" w:hAnsi="Times New Roman" w:cs="Times New Roman"/>
          <w:color w:val="auto"/>
        </w:rPr>
        <w:t>2</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5.2-2</w:t>
      </w:r>
      <w:r>
        <w:rPr>
          <w:rFonts w:cs="Times New Roman"/>
          <w:color w:val="auto"/>
        </w:rPr>
        <w:t xml:space="preserve">  本项目评价因子和评价标准</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7"/>
        <w:gridCol w:w="1372"/>
        <w:gridCol w:w="1600"/>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评价因子</w:t>
            </w:r>
          </w:p>
        </w:tc>
        <w:tc>
          <w:tcPr>
            <w:tcW w:w="13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平均时段</w:t>
            </w:r>
          </w:p>
        </w:tc>
        <w:tc>
          <w:tcPr>
            <w:tcW w:w="16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标准值ug/m</w:t>
            </w:r>
            <w:r>
              <w:rPr>
                <w:rFonts w:ascii="Times New Roman" w:hAnsi="Times New Roman" w:cs="Times New Roman"/>
                <w:b/>
                <w:color w:val="auto"/>
                <w:sz w:val="21"/>
                <w:szCs w:val="21"/>
                <w:vertAlign w:val="superscript"/>
              </w:rPr>
              <w:t>3</w:t>
            </w:r>
          </w:p>
        </w:tc>
        <w:tc>
          <w:tcPr>
            <w:tcW w:w="345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硫化氢</w:t>
            </w:r>
          </w:p>
        </w:tc>
        <w:tc>
          <w:tcPr>
            <w:tcW w:w="13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1h均值</w:t>
            </w:r>
          </w:p>
        </w:tc>
        <w:tc>
          <w:tcPr>
            <w:tcW w:w="16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w:t>
            </w:r>
          </w:p>
        </w:tc>
        <w:tc>
          <w:tcPr>
            <w:tcW w:w="3457"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氨</w:t>
            </w:r>
          </w:p>
        </w:tc>
        <w:tc>
          <w:tcPr>
            <w:tcW w:w="137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1h均值</w:t>
            </w:r>
          </w:p>
        </w:tc>
        <w:tc>
          <w:tcPr>
            <w:tcW w:w="16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3457" w:type="dxa"/>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auto"/>
                <w:sz w:val="21"/>
                <w:szCs w:val="21"/>
              </w:rPr>
            </w:pPr>
          </w:p>
        </w:tc>
      </w:tr>
    </w:tbl>
    <w:p>
      <w:pPr>
        <w:spacing w:line="520" w:lineRule="exact"/>
        <w:ind w:firstLine="456"/>
        <w:rPr>
          <w:rFonts w:ascii="Times New Roman" w:hAnsi="Times New Roman" w:cs="Times New Roman"/>
          <w:color w:val="auto"/>
          <w:spacing w:val="-6"/>
        </w:rPr>
      </w:pPr>
      <w:r>
        <w:rPr>
          <w:rFonts w:ascii="Times New Roman" w:hAnsi="Times New Roman" w:cs="Times New Roman"/>
          <w:color w:val="auto"/>
          <w:spacing w:val="-6"/>
        </w:rPr>
        <w:t>（2）估算模式参数选取</w:t>
      </w:r>
    </w:p>
    <w:p>
      <w:pPr>
        <w:spacing w:line="520" w:lineRule="exact"/>
        <w:rPr>
          <w:rFonts w:ascii="Times New Roman" w:hAnsi="Times New Roman" w:cs="Times New Roman"/>
          <w:color w:val="auto"/>
        </w:rPr>
      </w:pPr>
      <w:r>
        <w:rPr>
          <w:rFonts w:ascii="Times New Roman" w:hAnsi="Times New Roman" w:cs="Times New Roman"/>
          <w:color w:val="auto"/>
        </w:rPr>
        <w:t>本次评价选择《环境评价技术导则 大气环境》（HJ2.2-2018）推荐的AERSCREEN估算模型，选取本项目估算模型参数见表</w:t>
      </w:r>
      <w:r>
        <w:rPr>
          <w:rFonts w:hint="eastAsia" w:ascii="Times New Roman" w:hAnsi="Times New Roman" w:cs="Times New Roman"/>
          <w:color w:val="auto"/>
        </w:rPr>
        <w:t>5.2-3</w:t>
      </w:r>
      <w:r>
        <w:rPr>
          <w:rFonts w:ascii="Times New Roman" w:hAnsi="Times New Roman" w:cs="Times New Roman"/>
          <w:color w:val="auto"/>
        </w:rPr>
        <w:t>，大气污染物排放参数详见表</w:t>
      </w:r>
      <w:r>
        <w:rPr>
          <w:rFonts w:hint="eastAsia" w:ascii="Times New Roman" w:hAnsi="Times New Roman" w:cs="Times New Roman"/>
          <w:color w:val="auto"/>
        </w:rPr>
        <w:t>5.2-4</w:t>
      </w:r>
      <w:r>
        <w:rPr>
          <w:rFonts w:ascii="Times New Roman" w:hAnsi="Times New Roman" w:cs="Times New Roman"/>
          <w:color w:val="auto"/>
        </w:rPr>
        <w:t>。</w:t>
      </w:r>
    </w:p>
    <w:p>
      <w:pPr>
        <w:pStyle w:val="35"/>
        <w:spacing w:before="0" w:after="0" w:line="520" w:lineRule="exact"/>
        <w:rPr>
          <w:rFonts w:cs="Times New Roman"/>
          <w:color w:val="auto"/>
          <w:lang w:val="zh-CN"/>
        </w:rPr>
      </w:pPr>
      <w:r>
        <w:rPr>
          <w:rFonts w:cs="Times New Roman"/>
          <w:color w:val="auto"/>
          <w:lang w:val="zh-CN"/>
        </w:rPr>
        <w:t>表</w:t>
      </w:r>
      <w:r>
        <w:rPr>
          <w:rFonts w:hint="eastAsia" w:cs="Times New Roman"/>
          <w:color w:val="auto"/>
        </w:rPr>
        <w:t>5.2-3</w:t>
      </w:r>
      <w:r>
        <w:rPr>
          <w:rFonts w:cs="Times New Roman"/>
          <w:color w:val="auto"/>
        </w:rPr>
        <w:t xml:space="preserve">   </w:t>
      </w:r>
      <w:r>
        <w:rPr>
          <w:rFonts w:cs="Times New Roman"/>
          <w:color w:val="auto"/>
          <w:lang w:val="zh-CN"/>
        </w:rPr>
        <w:t>估算模型参数表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333" w:type="pct"/>
            <w:gridSpan w:val="2"/>
            <w:tcBorders>
              <w:bottom w:val="single" w:color="auto" w:sz="6" w:space="0"/>
              <w:right w:val="single" w:color="auto" w:sz="6" w:space="0"/>
            </w:tcBorders>
            <w:vAlign w:val="center"/>
          </w:tcPr>
          <w:p>
            <w:pPr>
              <w:adjustRightInd w:val="0"/>
              <w:snapToGrid w:val="0"/>
              <w:spacing w:line="240" w:lineRule="auto"/>
              <w:ind w:firstLine="422"/>
              <w:jc w:val="center"/>
              <w:rPr>
                <w:rFonts w:ascii="Times New Roman" w:hAnsi="Times New Roman" w:cs="Times New Roman"/>
                <w:b/>
                <w:bCs/>
                <w:color w:val="auto"/>
                <w:sz w:val="21"/>
                <w:szCs w:val="21"/>
                <w:lang w:val="zh-CN"/>
              </w:rPr>
            </w:pPr>
            <w:r>
              <w:rPr>
                <w:rFonts w:ascii="Times New Roman" w:hAnsi="Times New Roman" w:cs="Times New Roman"/>
                <w:b/>
                <w:bCs/>
                <w:color w:val="auto"/>
                <w:sz w:val="21"/>
                <w:szCs w:val="21"/>
                <w:lang w:val="zh-CN"/>
              </w:rPr>
              <w:t>参数</w:t>
            </w:r>
          </w:p>
        </w:tc>
        <w:tc>
          <w:tcPr>
            <w:tcW w:w="1666" w:type="pct"/>
            <w:tcBorders>
              <w:left w:val="single" w:color="auto" w:sz="6" w:space="0"/>
              <w:bottom w:val="single" w:color="auto" w:sz="6" w:space="0"/>
            </w:tcBorders>
            <w:vAlign w:val="center"/>
          </w:tcPr>
          <w:p>
            <w:pPr>
              <w:adjustRightInd w:val="0"/>
              <w:snapToGrid w:val="0"/>
              <w:spacing w:line="240" w:lineRule="auto"/>
              <w:ind w:firstLine="422"/>
              <w:jc w:val="center"/>
              <w:rPr>
                <w:rFonts w:ascii="Times New Roman" w:hAnsi="Times New Roman" w:cs="Times New Roman"/>
                <w:b/>
                <w:bCs/>
                <w:color w:val="auto"/>
                <w:sz w:val="21"/>
                <w:szCs w:val="21"/>
                <w:lang w:val="zh-CN"/>
              </w:rPr>
            </w:pPr>
            <w:r>
              <w:rPr>
                <w:rFonts w:ascii="Times New Roman" w:hAnsi="Times New Roman" w:cs="Times New Roman"/>
                <w:b/>
                <w:bCs/>
                <w:color w:val="auto"/>
                <w:sz w:val="21"/>
                <w:szCs w:val="21"/>
                <w:lang w:val="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tcBorders>
              <w:top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城市</w:t>
            </w:r>
            <w:r>
              <w:rPr>
                <w:rFonts w:ascii="Times New Roman" w:hAnsi="Times New Roman" w:cs="Times New Roman"/>
                <w:color w:val="auto"/>
                <w:sz w:val="21"/>
                <w:szCs w:val="21"/>
              </w:rPr>
              <w:t>/农村选型</w:t>
            </w: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城市</w:t>
            </w:r>
            <w:r>
              <w:rPr>
                <w:rFonts w:ascii="Times New Roman" w:hAnsi="Times New Roman" w:cs="Times New Roman"/>
                <w:color w:val="auto"/>
                <w:sz w:val="21"/>
                <w:szCs w:val="21"/>
              </w:rPr>
              <w:t>/农村</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人口数（城市选项时）</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最高环境温度</w:t>
            </w:r>
            <w:r>
              <w:rPr>
                <w:rFonts w:ascii="Times New Roman" w:hAnsi="Times New Roman" w:cs="Times New Roman"/>
                <w:color w:val="auto"/>
                <w:sz w:val="21"/>
                <w:szCs w:val="21"/>
              </w:rPr>
              <w:t>/℃</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最低环境温度</w:t>
            </w:r>
            <w:r>
              <w:rPr>
                <w:rFonts w:ascii="Times New Roman" w:hAnsi="Times New Roman" w:cs="Times New Roman"/>
                <w:color w:val="auto"/>
                <w:sz w:val="21"/>
                <w:szCs w:val="21"/>
              </w:rPr>
              <w:t>/℃</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土地利用类型</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33" w:type="pct"/>
            <w:gridSpan w:val="2"/>
            <w:tcBorders>
              <w:top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区域湿度条件</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干燥区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tcBorders>
              <w:top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是否考虑地形</w:t>
            </w: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考虑地形</w:t>
            </w:r>
          </w:p>
        </w:tc>
        <w:tc>
          <w:tcPr>
            <w:tcW w:w="1666" w:type="pct"/>
            <w:tcBorders>
              <w:top w:val="single" w:color="auto" w:sz="6" w:space="0"/>
              <w:left w:val="single" w:color="auto" w:sz="6" w:space="0"/>
              <w:bottom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地形数据分辨率</w:t>
            </w:r>
            <w:r>
              <w:rPr>
                <w:rFonts w:ascii="Times New Roman" w:hAnsi="Times New Roman" w:cs="Times New Roman"/>
                <w:color w:val="auto"/>
                <w:sz w:val="21"/>
                <w:szCs w:val="21"/>
              </w:rPr>
              <w:t>/m</w:t>
            </w:r>
          </w:p>
        </w:tc>
        <w:tc>
          <w:tcPr>
            <w:tcW w:w="1666" w:type="pct"/>
            <w:tcBorders>
              <w:top w:val="single" w:color="auto" w:sz="6" w:space="0"/>
              <w:left w:val="single" w:color="auto" w:sz="6" w:space="0"/>
              <w:bottom w:val="single" w:color="auto" w:sz="6" w:space="0"/>
            </w:tcBorders>
            <w:vAlign w:val="center"/>
          </w:tcPr>
          <w:p>
            <w:pPr>
              <w:pStyle w:val="44"/>
              <w:spacing w:line="240" w:lineRule="auto"/>
              <w:ind w:firstLine="420"/>
              <w:rPr>
                <w:rFonts w:ascii="Times New Roman" w:hAnsi="Times New Roman" w:cs="Times New Roman"/>
                <w:b w:val="0"/>
                <w:color w:val="auto"/>
                <w:sz w:val="21"/>
                <w:szCs w:val="21"/>
              </w:rPr>
            </w:pPr>
            <w:r>
              <w:rPr>
                <w:rFonts w:ascii="Times New Roman" w:hAnsi="Times New Roman" w:cs="Times New Roman"/>
                <w:b w:val="0"/>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restart"/>
            <w:tcBorders>
              <w:top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是否考虑岸线熏烟</w:t>
            </w: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考虑岸线熏烟</w:t>
            </w:r>
          </w:p>
        </w:tc>
        <w:tc>
          <w:tcPr>
            <w:tcW w:w="1666" w:type="pct"/>
            <w:tcBorders>
              <w:top w:val="single" w:color="auto" w:sz="6" w:space="0"/>
              <w:left w:val="single" w:color="auto" w:sz="6" w:space="0"/>
              <w:bottom w:val="single" w:color="auto" w:sz="6" w:space="0"/>
            </w:tcBorders>
            <w:vAlign w:val="center"/>
          </w:tcPr>
          <w:p>
            <w:pPr>
              <w:pStyle w:val="44"/>
              <w:spacing w:line="240" w:lineRule="auto"/>
              <w:ind w:firstLine="420"/>
              <w:rPr>
                <w:rFonts w:ascii="Times New Roman" w:hAnsi="Times New Roman" w:cs="Times New Roman"/>
                <w:b w:val="0"/>
                <w:color w:val="auto"/>
                <w:sz w:val="21"/>
                <w:szCs w:val="21"/>
                <w:lang w:val="zh-CN"/>
              </w:rPr>
            </w:pPr>
            <w:r>
              <w:rPr>
                <w:rFonts w:ascii="Times New Roman" w:hAnsi="Times New Roman" w:cs="Times New Roman"/>
                <w:b w:val="0"/>
                <w:color w:val="auto"/>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岸线距离</w:t>
            </w:r>
            <w:r>
              <w:rPr>
                <w:rFonts w:ascii="Times New Roman" w:hAnsi="Times New Roman" w:cs="Times New Roman"/>
                <w:color w:val="auto"/>
                <w:sz w:val="21"/>
                <w:szCs w:val="21"/>
              </w:rPr>
              <w:t>/km</w:t>
            </w:r>
          </w:p>
        </w:tc>
        <w:tc>
          <w:tcPr>
            <w:tcW w:w="1666" w:type="pct"/>
            <w:tcBorders>
              <w:top w:val="single" w:color="auto" w:sz="6" w:space="0"/>
              <w:left w:val="single" w:color="auto" w:sz="6" w:space="0"/>
              <w:bottom w:val="single" w:color="auto" w:sz="6" w:space="0"/>
            </w:tcBorders>
            <w:vAlign w:val="center"/>
          </w:tcPr>
          <w:p>
            <w:pPr>
              <w:pStyle w:val="44"/>
              <w:spacing w:line="240" w:lineRule="auto"/>
              <w:ind w:firstLine="420"/>
              <w:rPr>
                <w:rFonts w:ascii="Times New Roman" w:hAnsi="Times New Roman" w:cs="Times New Roman"/>
                <w:b w:val="0"/>
                <w:color w:val="auto"/>
                <w:sz w:val="21"/>
                <w:szCs w:val="21"/>
              </w:rPr>
            </w:pPr>
            <w:r>
              <w:rPr>
                <w:rFonts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6" w:type="pct"/>
            <w:vMerge w:val="continue"/>
            <w:tcBorders>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lang w:val="zh-CN"/>
              </w:rPr>
            </w:pPr>
          </w:p>
        </w:tc>
        <w:tc>
          <w:tcPr>
            <w:tcW w:w="1667" w:type="pct"/>
            <w:tcBorders>
              <w:top w:val="single" w:color="auto" w:sz="6" w:space="0"/>
              <w:left w:val="single" w:color="auto" w:sz="6" w:space="0"/>
              <w:right w:val="single" w:color="auto" w:sz="6" w:space="0"/>
            </w:tcBorders>
            <w:vAlign w:val="center"/>
          </w:tcPr>
          <w:p>
            <w:pPr>
              <w:adjustRightInd w:val="0"/>
              <w:snapToGrid w:val="0"/>
              <w:spacing w:line="240" w:lineRule="auto"/>
              <w:ind w:firstLine="420"/>
              <w:jc w:val="center"/>
              <w:rPr>
                <w:rFonts w:ascii="Times New Roman" w:hAnsi="Times New Roman" w:cs="Times New Roman"/>
                <w:color w:val="auto"/>
                <w:sz w:val="21"/>
                <w:szCs w:val="21"/>
              </w:rPr>
            </w:pPr>
            <w:r>
              <w:rPr>
                <w:rFonts w:ascii="Times New Roman" w:hAnsi="Times New Roman" w:cs="Times New Roman"/>
                <w:color w:val="auto"/>
                <w:sz w:val="21"/>
                <w:szCs w:val="21"/>
                <w:lang w:val="zh-CN"/>
              </w:rPr>
              <w:t>岸线方向</w:t>
            </w:r>
            <w:r>
              <w:rPr>
                <w:rFonts w:ascii="Times New Roman" w:hAnsi="Times New Roman" w:cs="Times New Roman"/>
                <w:color w:val="auto"/>
                <w:sz w:val="21"/>
                <w:szCs w:val="21"/>
              </w:rPr>
              <w:t>/</w:t>
            </w:r>
          </w:p>
        </w:tc>
        <w:tc>
          <w:tcPr>
            <w:tcW w:w="1666" w:type="pct"/>
            <w:tcBorders>
              <w:top w:val="single" w:color="auto" w:sz="6" w:space="0"/>
              <w:left w:val="single" w:color="auto" w:sz="6" w:space="0"/>
            </w:tcBorders>
            <w:vAlign w:val="center"/>
          </w:tcPr>
          <w:p>
            <w:pPr>
              <w:pStyle w:val="44"/>
              <w:spacing w:line="240" w:lineRule="auto"/>
              <w:ind w:firstLine="420"/>
              <w:rPr>
                <w:rFonts w:ascii="Times New Roman" w:hAnsi="Times New Roman" w:cs="Times New Roman"/>
                <w:b w:val="0"/>
                <w:color w:val="auto"/>
                <w:sz w:val="21"/>
                <w:szCs w:val="21"/>
              </w:rPr>
            </w:pPr>
            <w:r>
              <w:rPr>
                <w:rFonts w:ascii="Times New Roman" w:hAnsi="Times New Roman" w:cs="Times New Roman"/>
                <w:b w:val="0"/>
                <w:color w:val="auto"/>
                <w:sz w:val="21"/>
                <w:szCs w:val="21"/>
              </w:rPr>
              <w:t>/</w:t>
            </w:r>
          </w:p>
        </w:tc>
      </w:tr>
    </w:tbl>
    <w:p>
      <w:pPr>
        <w:pStyle w:val="35"/>
        <w:spacing w:before="0" w:after="0" w:line="520" w:lineRule="exact"/>
        <w:rPr>
          <w:rFonts w:cs="Times New Roman"/>
          <w:color w:val="auto"/>
          <w:lang w:val="zh-CN"/>
        </w:rPr>
      </w:pPr>
      <w:r>
        <w:rPr>
          <w:rFonts w:cs="Times New Roman"/>
          <w:color w:val="auto"/>
          <w:lang w:val="zh-CN"/>
        </w:rPr>
        <w:t>表</w:t>
      </w:r>
      <w:r>
        <w:rPr>
          <w:rFonts w:hint="eastAsia" w:cs="Times New Roman"/>
          <w:color w:val="auto"/>
        </w:rPr>
        <w:t>5.2-4</w:t>
      </w:r>
      <w:r>
        <w:rPr>
          <w:rFonts w:cs="Times New Roman"/>
          <w:color w:val="auto"/>
          <w:lang w:val="zh-CN"/>
        </w:rPr>
        <w:t xml:space="preserve"> </w:t>
      </w:r>
      <w:r>
        <w:rPr>
          <w:rFonts w:cs="Times New Roman"/>
          <w:color w:val="auto"/>
        </w:rPr>
        <w:t xml:space="preserve"> </w:t>
      </w:r>
      <w:r>
        <w:rPr>
          <w:rFonts w:cs="Times New Roman"/>
          <w:color w:val="auto"/>
          <w:lang w:val="zh-CN"/>
        </w:rPr>
        <w:t xml:space="preserve"> 大气污染物排放参数</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70"/>
        <w:gridCol w:w="2994"/>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b/>
                <w:bCs/>
                <w:color w:val="auto"/>
                <w:szCs w:val="21"/>
              </w:rPr>
            </w:pPr>
            <w:r>
              <w:rPr>
                <w:rFonts w:ascii="Times New Roman" w:hAnsi="Times New Roman"/>
                <w:b/>
                <w:bCs/>
                <w:color w:val="auto"/>
                <w:szCs w:val="21"/>
              </w:rPr>
              <w:t>排放性质</w:t>
            </w:r>
          </w:p>
        </w:tc>
        <w:tc>
          <w:tcPr>
            <w:tcW w:w="1757" w:type="pct"/>
            <w:vAlign w:val="center"/>
          </w:tcPr>
          <w:p>
            <w:pPr>
              <w:pStyle w:val="46"/>
              <w:rPr>
                <w:rFonts w:ascii="Times New Roman" w:hAnsi="Times New Roman"/>
                <w:b/>
                <w:bCs/>
                <w:color w:val="auto"/>
                <w:szCs w:val="21"/>
              </w:rPr>
            </w:pPr>
            <w:r>
              <w:rPr>
                <w:rFonts w:ascii="Times New Roman" w:hAnsi="Times New Roman"/>
                <w:b/>
                <w:bCs/>
                <w:color w:val="auto"/>
                <w:szCs w:val="21"/>
              </w:rPr>
              <w:t>点源（有组织）</w:t>
            </w:r>
          </w:p>
        </w:tc>
        <w:tc>
          <w:tcPr>
            <w:tcW w:w="1573" w:type="pct"/>
          </w:tcPr>
          <w:p>
            <w:pPr>
              <w:pStyle w:val="46"/>
              <w:rPr>
                <w:rFonts w:ascii="Times New Roman" w:hAnsi="Times New Roman"/>
                <w:b/>
                <w:bCs/>
                <w:color w:val="auto"/>
                <w:szCs w:val="21"/>
              </w:rPr>
            </w:pPr>
            <w:r>
              <w:rPr>
                <w:rFonts w:ascii="Times New Roman" w:hAnsi="Times New Roman"/>
                <w:b/>
                <w:bCs/>
                <w:color w:val="auto"/>
                <w:szCs w:val="21"/>
              </w:rPr>
              <w:t>面源（无组织）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排放高度</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15.0m</w:t>
            </w:r>
          </w:p>
        </w:tc>
        <w:tc>
          <w:tcPr>
            <w:tcW w:w="1573" w:type="pct"/>
          </w:tcPr>
          <w:p>
            <w:pPr>
              <w:pStyle w:val="46"/>
              <w:rPr>
                <w:rFonts w:ascii="Times New Roman" w:hAnsi="Times New Roman"/>
                <w:color w:val="auto"/>
                <w:szCs w:val="21"/>
              </w:rPr>
            </w:pPr>
            <w:r>
              <w:rPr>
                <w:rFonts w:ascii="Times New Roman" w:hAnsi="Times New Roman"/>
                <w:color w:val="auto"/>
                <w:szCs w:val="21"/>
                <w:lang w:eastAsia="zh-CN"/>
              </w:rPr>
              <w:t>3</w:t>
            </w:r>
            <w:r>
              <w:rPr>
                <w:rFonts w:ascii="Times New Roman" w:hAnsi="Times New Roman"/>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排气筒内径</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0.</w:t>
            </w:r>
            <w:r>
              <w:rPr>
                <w:rFonts w:ascii="Times New Roman" w:hAnsi="Times New Roman"/>
                <w:color w:val="auto"/>
                <w:szCs w:val="21"/>
                <w:lang w:eastAsia="zh-CN"/>
              </w:rPr>
              <w:t>2</w:t>
            </w:r>
            <w:r>
              <w:rPr>
                <w:rFonts w:ascii="Times New Roman" w:hAnsi="Times New Roman"/>
                <w:color w:val="auto"/>
                <w:szCs w:val="21"/>
              </w:rPr>
              <w:t>0m</w:t>
            </w:r>
          </w:p>
        </w:tc>
        <w:tc>
          <w:tcPr>
            <w:tcW w:w="1573" w:type="pct"/>
          </w:tcPr>
          <w:p>
            <w:pPr>
              <w:pStyle w:val="46"/>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排气筒出口温度</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2</w:t>
            </w:r>
            <w:r>
              <w:rPr>
                <w:rFonts w:ascii="Times New Roman" w:hAnsi="Times New Roman"/>
                <w:color w:val="auto"/>
                <w:szCs w:val="21"/>
                <w:lang w:eastAsia="zh-CN"/>
              </w:rPr>
              <w:t>0</w:t>
            </w:r>
            <w:r>
              <w:rPr>
                <w:rFonts w:ascii="Times New Roman" w:hAnsi="Times New Roman"/>
                <w:color w:val="auto"/>
                <w:szCs w:val="21"/>
              </w:rPr>
              <w:t>℃</w:t>
            </w:r>
          </w:p>
        </w:tc>
        <w:tc>
          <w:tcPr>
            <w:tcW w:w="1573" w:type="pct"/>
          </w:tcPr>
          <w:p>
            <w:pPr>
              <w:pStyle w:val="46"/>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9" w:type="pct"/>
            <w:gridSpan w:val="2"/>
            <w:vAlign w:val="center"/>
          </w:tcPr>
          <w:p>
            <w:pPr>
              <w:pStyle w:val="46"/>
              <w:rPr>
                <w:rFonts w:ascii="Times New Roman" w:hAnsi="Times New Roman"/>
                <w:color w:val="auto"/>
                <w:szCs w:val="21"/>
              </w:rPr>
            </w:pPr>
            <w:r>
              <w:rPr>
                <w:rFonts w:ascii="Times New Roman" w:hAnsi="Times New Roman"/>
                <w:color w:val="auto"/>
                <w:szCs w:val="21"/>
              </w:rPr>
              <w:t>排放尺寸</w:t>
            </w:r>
          </w:p>
        </w:tc>
        <w:tc>
          <w:tcPr>
            <w:tcW w:w="1757" w:type="pct"/>
            <w:vAlign w:val="center"/>
          </w:tcPr>
          <w:p>
            <w:pPr>
              <w:pStyle w:val="46"/>
              <w:rPr>
                <w:rFonts w:ascii="Times New Roman" w:hAnsi="Times New Roman"/>
                <w:color w:val="auto"/>
                <w:szCs w:val="21"/>
              </w:rPr>
            </w:pPr>
            <w:r>
              <w:rPr>
                <w:rFonts w:ascii="Times New Roman" w:hAnsi="Times New Roman"/>
                <w:color w:val="auto"/>
                <w:szCs w:val="21"/>
              </w:rPr>
              <w:t>/</w:t>
            </w:r>
          </w:p>
        </w:tc>
        <w:tc>
          <w:tcPr>
            <w:tcW w:w="1573" w:type="pct"/>
          </w:tcPr>
          <w:p>
            <w:pPr>
              <w:pStyle w:val="46"/>
              <w:rPr>
                <w:rFonts w:ascii="Times New Roman" w:hAnsi="Times New Roman"/>
                <w:color w:val="auto"/>
                <w:szCs w:val="21"/>
                <w:lang w:eastAsia="zh-CN"/>
              </w:rPr>
            </w:pPr>
            <w:r>
              <w:rPr>
                <w:rFonts w:ascii="Times New Roman" w:hAnsi="Times New Roman"/>
                <w:color w:val="auto"/>
                <w:szCs w:val="21"/>
                <w:lang w:eastAsia="zh-CN"/>
              </w:rPr>
              <w:t>200m</w:t>
            </w:r>
            <w:r>
              <w:rPr>
                <w:rFonts w:ascii="Times New Roman" w:hAnsi="Times New Roman"/>
                <w:color w:val="auto"/>
                <w:szCs w:val="21"/>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Merge w:val="restart"/>
            <w:vAlign w:val="center"/>
          </w:tcPr>
          <w:p>
            <w:pPr>
              <w:pStyle w:val="46"/>
              <w:rPr>
                <w:rFonts w:ascii="Times New Roman" w:hAnsi="Times New Roman"/>
                <w:color w:val="auto"/>
                <w:szCs w:val="21"/>
              </w:rPr>
            </w:pPr>
            <w:r>
              <w:rPr>
                <w:rFonts w:ascii="Times New Roman" w:hAnsi="Times New Roman"/>
                <w:color w:val="auto"/>
                <w:szCs w:val="21"/>
              </w:rPr>
              <w:t>排放因子</w:t>
            </w:r>
          </w:p>
        </w:tc>
        <w:tc>
          <w:tcPr>
            <w:tcW w:w="920" w:type="pct"/>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H</w:t>
            </w:r>
            <w:r>
              <w:rPr>
                <w:rFonts w:ascii="Times New Roman" w:hAnsi="Times New Roman"/>
                <w:color w:val="auto"/>
                <w:szCs w:val="21"/>
                <w:vertAlign w:val="subscript"/>
                <w:lang w:eastAsia="zh-CN"/>
              </w:rPr>
              <w:t>2</w:t>
            </w:r>
            <w:r>
              <w:rPr>
                <w:rFonts w:ascii="Times New Roman" w:hAnsi="Times New Roman"/>
                <w:color w:val="auto"/>
                <w:szCs w:val="21"/>
                <w:lang w:eastAsia="zh-CN"/>
              </w:rPr>
              <w:t>S</w:t>
            </w:r>
          </w:p>
        </w:tc>
        <w:tc>
          <w:tcPr>
            <w:tcW w:w="1757" w:type="pct"/>
            <w:vAlign w:val="center"/>
          </w:tcPr>
          <w:p>
            <w:pPr>
              <w:spacing w:line="240" w:lineRule="auto"/>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000m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/h；0.0</w:t>
            </w:r>
            <w:r>
              <w:rPr>
                <w:rFonts w:hint="eastAsia" w:ascii="Times New Roman" w:hAnsi="Times New Roman" w:cs="Times New Roman"/>
                <w:color w:val="auto"/>
                <w:sz w:val="21"/>
                <w:szCs w:val="21"/>
                <w:lang w:val="en-US" w:eastAsia="zh-CN"/>
              </w:rPr>
              <w:t>0</w:t>
            </w:r>
            <w:r>
              <w:rPr>
                <w:rFonts w:ascii="Times New Roman" w:hAnsi="Times New Roman" w:cs="Times New Roman"/>
                <w:color w:val="auto"/>
                <w:sz w:val="21"/>
                <w:szCs w:val="21"/>
              </w:rPr>
              <w:t>05t/a</w:t>
            </w:r>
          </w:p>
        </w:tc>
        <w:tc>
          <w:tcPr>
            <w:tcW w:w="1573" w:type="pct"/>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r>
              <w:rPr>
                <w:rFonts w:hint="eastAsia" w:ascii="Times New Roman" w:hAnsi="Times New Roman" w:cs="Times New Roman"/>
                <w:color w:val="auto"/>
                <w:sz w:val="21"/>
                <w:szCs w:val="21"/>
                <w:lang w:val="en-US" w:eastAsia="zh-CN"/>
              </w:rPr>
              <w:t>01</w:t>
            </w:r>
            <w:r>
              <w:rPr>
                <w:rFonts w:ascii="Times New Roman" w:hAnsi="Times New Roman"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8" w:type="pct"/>
            <w:vMerge w:val="continue"/>
            <w:vAlign w:val="center"/>
          </w:tcPr>
          <w:p>
            <w:pPr>
              <w:pStyle w:val="46"/>
              <w:rPr>
                <w:rFonts w:ascii="Times New Roman" w:hAnsi="Times New Roman"/>
                <w:color w:val="auto"/>
                <w:szCs w:val="21"/>
              </w:rPr>
            </w:pPr>
          </w:p>
        </w:tc>
        <w:tc>
          <w:tcPr>
            <w:tcW w:w="920" w:type="pct"/>
            <w:vAlign w:val="center"/>
          </w:tcPr>
          <w:p>
            <w:pPr>
              <w:pStyle w:val="46"/>
              <w:rPr>
                <w:rFonts w:ascii="Times New Roman" w:hAnsi="Times New Roman"/>
                <w:color w:val="auto"/>
                <w:szCs w:val="21"/>
                <w:lang w:eastAsia="zh-CN"/>
              </w:rPr>
            </w:pPr>
            <w:r>
              <w:rPr>
                <w:rFonts w:ascii="Times New Roman" w:hAnsi="Times New Roman"/>
                <w:color w:val="auto"/>
                <w:szCs w:val="21"/>
                <w:lang w:eastAsia="zh-CN"/>
              </w:rPr>
              <w:t>NH</w:t>
            </w:r>
            <w:r>
              <w:rPr>
                <w:rFonts w:ascii="Times New Roman" w:hAnsi="Times New Roman"/>
                <w:color w:val="auto"/>
                <w:szCs w:val="21"/>
                <w:vertAlign w:val="subscript"/>
                <w:lang w:eastAsia="zh-CN"/>
              </w:rPr>
              <w:t>3</w:t>
            </w:r>
          </w:p>
        </w:tc>
        <w:tc>
          <w:tcPr>
            <w:tcW w:w="1757" w:type="pct"/>
            <w:vAlign w:val="center"/>
          </w:tcPr>
          <w:p>
            <w:pPr>
              <w:spacing w:line="240" w:lineRule="auto"/>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ascii="Times New Roman" w:hAnsi="Times New Roman" w:cs="Times New Roman"/>
                <w:color w:val="auto"/>
                <w:sz w:val="21"/>
                <w:szCs w:val="21"/>
              </w:rPr>
              <w:t>000m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/h；0.00</w:t>
            </w:r>
            <w:r>
              <w:rPr>
                <w:rFonts w:hint="eastAsia" w:ascii="Times New Roman" w:hAnsi="Times New Roman" w:cs="Times New Roman"/>
                <w:color w:val="auto"/>
                <w:sz w:val="21"/>
                <w:szCs w:val="21"/>
                <w:lang w:val="en-US" w:eastAsia="zh-CN"/>
              </w:rPr>
              <w:t>13</w:t>
            </w:r>
            <w:r>
              <w:rPr>
                <w:rFonts w:ascii="Times New Roman" w:hAnsi="Times New Roman" w:cs="Times New Roman"/>
                <w:color w:val="auto"/>
                <w:sz w:val="21"/>
                <w:szCs w:val="21"/>
              </w:rPr>
              <w:t>t/a</w:t>
            </w:r>
          </w:p>
        </w:tc>
        <w:tc>
          <w:tcPr>
            <w:tcW w:w="1573" w:type="pct"/>
          </w:tcPr>
          <w:p>
            <w:pPr>
              <w:spacing w:line="240" w:lineRule="auto"/>
              <w:ind w:left="0" w:leftChars="0"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w:t>
            </w:r>
            <w:r>
              <w:rPr>
                <w:rFonts w:hint="eastAsia" w:ascii="Times New Roman" w:hAnsi="Times New Roman" w:cs="Times New Roman"/>
                <w:color w:val="auto"/>
                <w:sz w:val="21"/>
                <w:szCs w:val="21"/>
                <w:lang w:val="en-US" w:eastAsia="zh-CN"/>
              </w:rPr>
              <w:t>36</w:t>
            </w:r>
            <w:r>
              <w:rPr>
                <w:rFonts w:ascii="Times New Roman" w:hAnsi="Times New Roman" w:cs="Times New Roman"/>
                <w:color w:val="auto"/>
                <w:sz w:val="21"/>
                <w:szCs w:val="21"/>
              </w:rPr>
              <w:t>t/a</w:t>
            </w:r>
          </w:p>
        </w:tc>
      </w:tr>
    </w:tbl>
    <w:p>
      <w:pPr>
        <w:spacing w:line="520" w:lineRule="exact"/>
        <w:ind w:firstLine="456"/>
        <w:rPr>
          <w:rFonts w:ascii="Times New Roman" w:hAnsi="Times New Roman" w:cs="Times New Roman"/>
          <w:color w:val="auto"/>
          <w:spacing w:val="-6"/>
        </w:rPr>
      </w:pPr>
      <w:r>
        <w:rPr>
          <w:rFonts w:ascii="Times New Roman" w:hAnsi="Times New Roman" w:cs="Times New Roman"/>
          <w:color w:val="auto"/>
          <w:spacing w:val="-6"/>
        </w:rPr>
        <w:t>（3）估算模式计算结果</w:t>
      </w:r>
    </w:p>
    <w:p>
      <w:pPr>
        <w:spacing w:line="520" w:lineRule="exact"/>
        <w:ind w:firstLine="456"/>
        <w:rPr>
          <w:rFonts w:ascii="Times New Roman" w:hAnsi="Times New Roman" w:cs="Times New Roman"/>
          <w:color w:val="auto"/>
        </w:rPr>
      </w:pPr>
      <w:r>
        <w:rPr>
          <w:rFonts w:ascii="Times New Roman" w:hAnsi="Times New Roman" w:cs="Times New Roman"/>
          <w:color w:val="auto"/>
          <w:spacing w:val="-6"/>
        </w:rPr>
        <w:t>本项目有组织废气估算计算结果见表</w:t>
      </w:r>
      <w:r>
        <w:rPr>
          <w:rFonts w:hint="eastAsia" w:ascii="Times New Roman" w:hAnsi="Times New Roman" w:cs="Times New Roman"/>
          <w:color w:val="auto"/>
          <w:spacing w:val="-6"/>
        </w:rPr>
        <w:t>5.2-5</w:t>
      </w:r>
      <w:r>
        <w:rPr>
          <w:rFonts w:ascii="Times New Roman" w:hAnsi="Times New Roman" w:cs="Times New Roman"/>
          <w:color w:val="auto"/>
          <w:spacing w:val="-6"/>
        </w:rPr>
        <w:t>，无组织废气计算结果详见表</w:t>
      </w:r>
      <w:r>
        <w:rPr>
          <w:rFonts w:hint="eastAsia" w:ascii="Times New Roman" w:hAnsi="Times New Roman" w:cs="Times New Roman"/>
          <w:color w:val="auto"/>
          <w:spacing w:val="-6"/>
        </w:rPr>
        <w:t>5.2-6</w:t>
      </w:r>
      <w:r>
        <w:rPr>
          <w:rFonts w:ascii="Times New Roman" w:hAnsi="Times New Roman" w:cs="Times New Roman"/>
          <w:color w:val="auto"/>
          <w:spacing w:val="-6"/>
        </w:rPr>
        <w:t>。</w:t>
      </w:r>
    </w:p>
    <w:p>
      <w:pPr>
        <w:pStyle w:val="35"/>
        <w:spacing w:before="0" w:after="0" w:line="520" w:lineRule="exact"/>
        <w:rPr>
          <w:rFonts w:cs="Times New Roman"/>
          <w:color w:val="auto"/>
          <w:lang w:val="zh-CN"/>
        </w:rPr>
      </w:pPr>
      <w:r>
        <w:rPr>
          <w:rFonts w:cs="Times New Roman"/>
          <w:color w:val="auto"/>
          <w:lang w:val="zh-CN"/>
        </w:rPr>
        <w:t>表</w:t>
      </w:r>
      <w:r>
        <w:rPr>
          <w:rFonts w:hint="eastAsia" w:cs="Times New Roman"/>
          <w:color w:val="auto"/>
        </w:rPr>
        <w:t>5.2-5</w:t>
      </w:r>
      <w:r>
        <w:rPr>
          <w:rFonts w:cs="Times New Roman"/>
          <w:color w:val="auto"/>
          <w:lang w:val="zh-CN"/>
        </w:rPr>
        <w:t xml:space="preserve"> </w:t>
      </w:r>
      <w:r>
        <w:rPr>
          <w:rFonts w:cs="Times New Roman"/>
          <w:color w:val="auto"/>
        </w:rPr>
        <w:t xml:space="preserve"> </w:t>
      </w:r>
      <w:r>
        <w:rPr>
          <w:rFonts w:cs="Times New Roman"/>
          <w:color w:val="auto"/>
          <w:lang w:val="zh-CN"/>
        </w:rPr>
        <w:t xml:space="preserve"> 有组织废气计算结果一览表</w:t>
      </w:r>
    </w:p>
    <w:tbl>
      <w:tblPr>
        <w:tblStyle w:val="24"/>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793"/>
        <w:gridCol w:w="1619"/>
        <w:gridCol w:w="1698"/>
        <w:gridCol w:w="1718"/>
        <w:gridCol w:w="16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blHeader/>
        </w:trPr>
        <w:tc>
          <w:tcPr>
            <w:tcW w:w="1052"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下风向距离</w:t>
            </w:r>
          </w:p>
        </w:tc>
        <w:tc>
          <w:tcPr>
            <w:tcW w:w="3947" w:type="pct"/>
            <w:gridSpan w:val="4"/>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点源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blHeader/>
        </w:trPr>
        <w:tc>
          <w:tcPr>
            <w:tcW w:w="1052"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95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pacing w:val="-6"/>
                <w:sz w:val="21"/>
                <w:szCs w:val="21"/>
              </w:rPr>
              <w:t>H</w:t>
            </w:r>
            <w:r>
              <w:rPr>
                <w:rFonts w:ascii="Times New Roman" w:hAnsi="Times New Roman" w:cs="Times New Roman"/>
                <w:b/>
                <w:bCs/>
                <w:color w:val="auto"/>
                <w:spacing w:val="-6"/>
                <w:sz w:val="21"/>
                <w:szCs w:val="21"/>
                <w:vertAlign w:val="subscript"/>
              </w:rPr>
              <w:t>2</w:t>
            </w:r>
            <w:r>
              <w:rPr>
                <w:rFonts w:ascii="Times New Roman" w:hAnsi="Times New Roman" w:cs="Times New Roman"/>
                <w:b/>
                <w:bCs/>
                <w:color w:val="auto"/>
                <w:spacing w:val="-6"/>
                <w:sz w:val="21"/>
                <w:szCs w:val="21"/>
              </w:rPr>
              <w:t>S浓度(μg/m³)</w:t>
            </w:r>
          </w:p>
        </w:tc>
        <w:tc>
          <w:tcPr>
            <w:tcW w:w="996"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H</w:t>
            </w:r>
            <w:r>
              <w:rPr>
                <w:rFonts w:ascii="Times New Roman" w:hAnsi="Times New Roman" w:cs="Times New Roman"/>
                <w:b/>
                <w:bCs/>
                <w:color w:val="auto"/>
                <w:sz w:val="21"/>
                <w:szCs w:val="21"/>
                <w:vertAlign w:val="subscript"/>
              </w:rPr>
              <w:t>2</w:t>
            </w:r>
            <w:r>
              <w:rPr>
                <w:rFonts w:ascii="Times New Roman" w:hAnsi="Times New Roman" w:cs="Times New Roman"/>
                <w:b/>
                <w:bCs/>
                <w:color w:val="auto"/>
                <w:sz w:val="21"/>
                <w:szCs w:val="21"/>
              </w:rPr>
              <w:t>S占标率(%)</w:t>
            </w:r>
          </w:p>
        </w:tc>
        <w:tc>
          <w:tcPr>
            <w:tcW w:w="1008"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NH</w:t>
            </w:r>
            <w:r>
              <w:rPr>
                <w:rFonts w:ascii="Times New Roman" w:hAnsi="Times New Roman" w:cs="Times New Roman"/>
                <w:b/>
                <w:bCs/>
                <w:color w:val="auto"/>
                <w:sz w:val="21"/>
                <w:szCs w:val="21"/>
                <w:vertAlign w:val="subscript"/>
              </w:rPr>
              <w:t>3</w:t>
            </w:r>
            <w:r>
              <w:rPr>
                <w:rFonts w:ascii="Times New Roman" w:hAnsi="Times New Roman" w:cs="Times New Roman"/>
                <w:b/>
                <w:bCs/>
                <w:color w:val="auto"/>
                <w:sz w:val="21"/>
                <w:szCs w:val="21"/>
              </w:rPr>
              <w:t>浓度(μg/m³)</w:t>
            </w:r>
          </w:p>
        </w:tc>
        <w:tc>
          <w:tcPr>
            <w:tcW w:w="992"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NH</w:t>
            </w:r>
            <w:r>
              <w:rPr>
                <w:rFonts w:ascii="Times New Roman" w:hAnsi="Times New Roman" w:cs="Times New Roman"/>
                <w:b/>
                <w:bCs/>
                <w:color w:val="auto"/>
                <w:sz w:val="21"/>
                <w:szCs w:val="21"/>
                <w:vertAlign w:val="subscript"/>
              </w:rPr>
              <w:t>3</w:t>
            </w:r>
            <w:r>
              <w:rPr>
                <w:rFonts w:ascii="Times New Roman" w:hAnsi="Times New Roman" w:cs="Times New Roman"/>
                <w:b/>
                <w:bCs/>
                <w:color w:val="auto"/>
                <w:sz w:val="21"/>
                <w:szCs w:val="21"/>
              </w:rPr>
              <w:t>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0.0015</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0.0150</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0.0374</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0.0016</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0.0163</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0.0408</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0.0206</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0.0515</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0.0016</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0.0155</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0.0389</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0.0013</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0.0132</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0.0330</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0.0111</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0.0277</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0.0139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0.0019</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0.0189</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0.0471</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0.0035</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0.0347</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0.0868</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0.0029</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0.0287</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0.0717</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0.0025</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0.0249</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0.0621</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0.0022</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0.0223</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0.0558</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0.0018</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0.0179</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0.0446</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0.0014</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0.0135</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0.0338</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0.0013</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0.0125</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0.0313</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0.0008</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0.0085</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0.0212</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0.0009</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0.0092</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0.0230</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0.0007</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0.0070</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0.0174</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0.0006</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0.0056</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0.0140</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0.0004</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0.0044</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0.0111</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0.0004</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0.0043</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0.0107</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4500.0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0.0003</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0.0032</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0.0081</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0.0004</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0.0038</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0.0095</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0.0002</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0.0016</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0.0040</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0.0014</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0.0034</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0.0013</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0.0032</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0.0013</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0.0032</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0.0013</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0.0033</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0.0012</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0.0030</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0.0009</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0.0023</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25000.0</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0.0001</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0.0007</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0.0018</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下风向最大浓度</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0.0035</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0.0347</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0.0868</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下风向最大浓度出现距离</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698.0</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698.0</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698.0</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698.0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D10%最远距离</w:t>
            </w:r>
          </w:p>
        </w:tc>
        <w:tc>
          <w:tcPr>
            <w:tcW w:w="95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9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0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9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35"/>
        <w:spacing w:before="0" w:after="0" w:line="520" w:lineRule="exact"/>
        <w:rPr>
          <w:rFonts w:cs="Times New Roman"/>
          <w:color w:val="auto"/>
          <w:lang w:val="zh-CN"/>
        </w:rPr>
      </w:pPr>
      <w:r>
        <w:rPr>
          <w:rFonts w:cs="Times New Roman"/>
          <w:color w:val="auto"/>
          <w:lang w:val="zh-CN"/>
        </w:rPr>
        <w:t>表</w:t>
      </w:r>
      <w:r>
        <w:rPr>
          <w:rFonts w:hint="eastAsia" w:cs="Times New Roman"/>
          <w:color w:val="auto"/>
        </w:rPr>
        <w:t>5.2-6</w:t>
      </w:r>
      <w:r>
        <w:rPr>
          <w:rFonts w:cs="Times New Roman"/>
          <w:color w:val="auto"/>
          <w:lang w:val="zh-CN"/>
        </w:rPr>
        <w:t xml:space="preserve"> </w:t>
      </w:r>
      <w:r>
        <w:rPr>
          <w:rFonts w:cs="Times New Roman"/>
          <w:color w:val="auto"/>
        </w:rPr>
        <w:t xml:space="preserve"> </w:t>
      </w:r>
      <w:r>
        <w:rPr>
          <w:rFonts w:cs="Times New Roman"/>
          <w:color w:val="auto"/>
          <w:lang w:val="zh-CN"/>
        </w:rPr>
        <w:t xml:space="preserve"> 无组织废气计算结果一览表</w:t>
      </w:r>
    </w:p>
    <w:tbl>
      <w:tblPr>
        <w:tblStyle w:val="24"/>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764"/>
        <w:gridCol w:w="1663"/>
        <w:gridCol w:w="1677"/>
        <w:gridCol w:w="1730"/>
        <w:gridCol w:w="168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blHeader/>
        </w:trPr>
        <w:tc>
          <w:tcPr>
            <w:tcW w:w="1035" w:type="pct"/>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下风向距离</w:t>
            </w:r>
          </w:p>
        </w:tc>
        <w:tc>
          <w:tcPr>
            <w:tcW w:w="3964" w:type="pct"/>
            <w:gridSpan w:val="4"/>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矩形面源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3" w:hRule="atLeast"/>
          <w:tblHeader/>
        </w:trPr>
        <w:tc>
          <w:tcPr>
            <w:tcW w:w="1035" w:type="pct"/>
            <w:vMerge w:val="continue"/>
            <w:vAlign w:val="center"/>
          </w:tcPr>
          <w:p>
            <w:pPr>
              <w:spacing w:line="240" w:lineRule="auto"/>
              <w:ind w:firstLine="0" w:firstLineChars="0"/>
              <w:jc w:val="center"/>
              <w:rPr>
                <w:rFonts w:ascii="Times New Roman" w:hAnsi="Times New Roman" w:cs="Times New Roman"/>
                <w:b/>
                <w:bCs/>
                <w:color w:val="auto"/>
                <w:sz w:val="21"/>
                <w:szCs w:val="21"/>
              </w:rPr>
            </w:pPr>
          </w:p>
        </w:tc>
        <w:tc>
          <w:tcPr>
            <w:tcW w:w="976"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pacing w:val="-6"/>
                <w:sz w:val="21"/>
                <w:szCs w:val="21"/>
              </w:rPr>
              <w:t>H</w:t>
            </w:r>
            <w:r>
              <w:rPr>
                <w:rFonts w:ascii="Times New Roman" w:hAnsi="Times New Roman" w:cs="Times New Roman"/>
                <w:b/>
                <w:bCs/>
                <w:color w:val="auto"/>
                <w:spacing w:val="-6"/>
                <w:sz w:val="21"/>
                <w:szCs w:val="21"/>
                <w:vertAlign w:val="subscript"/>
              </w:rPr>
              <w:t>2</w:t>
            </w:r>
            <w:r>
              <w:rPr>
                <w:rFonts w:ascii="Times New Roman" w:hAnsi="Times New Roman" w:cs="Times New Roman"/>
                <w:b/>
                <w:bCs/>
                <w:color w:val="auto"/>
                <w:spacing w:val="-6"/>
                <w:sz w:val="21"/>
                <w:szCs w:val="21"/>
              </w:rPr>
              <w:t>S浓度(μg/m³)</w:t>
            </w:r>
          </w:p>
        </w:tc>
        <w:tc>
          <w:tcPr>
            <w:tcW w:w="984"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H</w:t>
            </w:r>
            <w:r>
              <w:rPr>
                <w:rFonts w:ascii="Times New Roman" w:hAnsi="Times New Roman" w:cs="Times New Roman"/>
                <w:b/>
                <w:bCs/>
                <w:color w:val="auto"/>
                <w:sz w:val="21"/>
                <w:szCs w:val="21"/>
                <w:vertAlign w:val="subscript"/>
              </w:rPr>
              <w:t>2</w:t>
            </w:r>
            <w:r>
              <w:rPr>
                <w:rFonts w:ascii="Times New Roman" w:hAnsi="Times New Roman" w:cs="Times New Roman"/>
                <w:b/>
                <w:bCs/>
                <w:color w:val="auto"/>
                <w:sz w:val="21"/>
                <w:szCs w:val="21"/>
              </w:rPr>
              <w:t>S占标率(%)</w:t>
            </w:r>
          </w:p>
        </w:tc>
        <w:tc>
          <w:tcPr>
            <w:tcW w:w="101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NH</w:t>
            </w:r>
            <w:r>
              <w:rPr>
                <w:rFonts w:ascii="Times New Roman" w:hAnsi="Times New Roman" w:cs="Times New Roman"/>
                <w:b/>
                <w:bCs/>
                <w:color w:val="auto"/>
                <w:sz w:val="21"/>
                <w:szCs w:val="21"/>
                <w:vertAlign w:val="subscript"/>
              </w:rPr>
              <w:t>3</w:t>
            </w:r>
            <w:r>
              <w:rPr>
                <w:rFonts w:ascii="Times New Roman" w:hAnsi="Times New Roman" w:cs="Times New Roman"/>
                <w:b/>
                <w:bCs/>
                <w:color w:val="auto"/>
                <w:sz w:val="21"/>
                <w:szCs w:val="21"/>
              </w:rPr>
              <w:t>浓度(μg/m³)</w:t>
            </w:r>
          </w:p>
        </w:tc>
        <w:tc>
          <w:tcPr>
            <w:tcW w:w="988"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NH</w:t>
            </w:r>
            <w:r>
              <w:rPr>
                <w:rFonts w:ascii="Times New Roman" w:hAnsi="Times New Roman" w:cs="Times New Roman"/>
                <w:b/>
                <w:bCs/>
                <w:color w:val="auto"/>
                <w:sz w:val="21"/>
                <w:szCs w:val="21"/>
                <w:vertAlign w:val="subscript"/>
              </w:rPr>
              <w:t>3</w:t>
            </w:r>
            <w:r>
              <w:rPr>
                <w:rFonts w:ascii="Times New Roman" w:hAnsi="Times New Roman" w:cs="Times New Roman"/>
                <w:b/>
                <w:bCs/>
                <w:color w:val="auto"/>
                <w:sz w:val="21"/>
                <w:szCs w:val="21"/>
              </w:rPr>
              <w:t>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0.0063</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0.0629</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0.1572</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0.0786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0.0072</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0.0723</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0.1808</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0.0904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0.0090</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0.0904</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0.2260</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0.0102</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0.1020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0.2551</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0.0093</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0.0927</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0.2319</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0.1159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0.0083</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0.0827</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0.2069</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0.0076</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0.0761</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0.1903</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0.0951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0.0071</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0.0711</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0.1778</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0.0889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0.0067</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0.0670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0.1674</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0.0837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0.0063</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0.0634</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0.1586</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0.0793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0.0060</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0.0602</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0.1505</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0.0752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0.0054</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0.0540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0.1350</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0.0675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0.0049</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0.0485</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0.1213</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0.0606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0.0044</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0.0437</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0.1092</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1800.0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0.0040</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0.0395</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0.0988</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0.0036</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0.0359</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0.0898</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0.0449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0.0029</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0.0288</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0.0721</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0.0024</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0.0238</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0.0594</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0.0297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3500.0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0.0020</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0.0200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0.0501</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0.0017</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0.0172</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0.0430</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0.0215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4500.0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0.0015</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0.0150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0.0374</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0.0013</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0.0132</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0.0330</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0.0006</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0.0057</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0.0143</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0.0071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11000.0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0.0005</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0.0126</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0.0063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0.0004</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0.0045</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0.0112</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13000.0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0.0004</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0.0101</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14000.0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0.0004</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0.0036</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0.0091</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0.0003</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0.0033</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0.0083</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20000.0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0.0002</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0.0023</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0.0057</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25000.0</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0.0002</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0.0017</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0.0042</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0.0021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下风向最大浓度</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0.0102</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0.1021</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0.2551</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0.1276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下风向最大浓度出现距离</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297.0</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297.0</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297.0</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trPr>
        <w:tc>
          <w:tcPr>
            <w:tcW w:w="103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D10%最远距离</w:t>
            </w:r>
          </w:p>
        </w:tc>
        <w:tc>
          <w:tcPr>
            <w:tcW w:w="976"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8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1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88"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spacing w:line="520" w:lineRule="exact"/>
        <w:rPr>
          <w:rFonts w:ascii="Times New Roman" w:hAnsi="Times New Roman" w:cs="Times New Roman"/>
          <w:color w:val="auto"/>
          <w:highlight w:val="yellow"/>
        </w:rPr>
      </w:pPr>
      <w:r>
        <w:rPr>
          <w:rFonts w:ascii="Times New Roman" w:hAnsi="Times New Roman" w:cs="Times New Roman"/>
          <w:color w:val="auto"/>
        </w:rPr>
        <w:t>根据上表估算结果可知，项目有组织H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最大落地浓度分别为0.0035mg/m</w:t>
      </w:r>
      <w:r>
        <w:rPr>
          <w:rFonts w:ascii="Times New Roman" w:hAnsi="Times New Roman" w:cs="Times New Roman"/>
          <w:color w:val="auto"/>
          <w:vertAlign w:val="superscript"/>
        </w:rPr>
        <w:t>3</w:t>
      </w:r>
      <w:r>
        <w:rPr>
          <w:rFonts w:ascii="Times New Roman" w:hAnsi="Times New Roman" w:cs="Times New Roman"/>
          <w:color w:val="auto"/>
        </w:rPr>
        <w:t>、0.0868mg/m</w:t>
      </w:r>
      <w:r>
        <w:rPr>
          <w:rFonts w:ascii="Times New Roman" w:hAnsi="Times New Roman" w:cs="Times New Roman"/>
          <w:color w:val="auto"/>
          <w:vertAlign w:val="superscript"/>
        </w:rPr>
        <w:t>3</w:t>
      </w:r>
      <w:r>
        <w:rPr>
          <w:rFonts w:ascii="Times New Roman" w:hAnsi="Times New Roman" w:cs="Times New Roman"/>
          <w:color w:val="auto"/>
        </w:rPr>
        <w:t>，位于厂界外698m处，远小于《医疗机构水污染物排放标准》（GB18466-2005）表3最高允许浓度限值和《恶臭污染物排放标准》（GB14554-93）排放限值要求；无组织H</w:t>
      </w:r>
      <w:r>
        <w:rPr>
          <w:rFonts w:ascii="Times New Roman" w:hAnsi="Times New Roman" w:cs="Times New Roman"/>
          <w:color w:val="auto"/>
          <w:vertAlign w:val="subscript"/>
        </w:rPr>
        <w:t>2</w:t>
      </w:r>
      <w:r>
        <w:rPr>
          <w:rFonts w:ascii="Times New Roman" w:hAnsi="Times New Roman" w:cs="Times New Roman"/>
          <w:color w:val="auto"/>
        </w:rPr>
        <w:t>S、NH</w:t>
      </w:r>
      <w:r>
        <w:rPr>
          <w:rFonts w:ascii="Times New Roman" w:hAnsi="Times New Roman" w:cs="Times New Roman"/>
          <w:color w:val="auto"/>
          <w:vertAlign w:val="subscript"/>
        </w:rPr>
        <w:t>3</w:t>
      </w:r>
      <w:r>
        <w:rPr>
          <w:rFonts w:ascii="Times New Roman" w:hAnsi="Times New Roman" w:cs="Times New Roman"/>
          <w:color w:val="auto"/>
        </w:rPr>
        <w:t>最大落地浓度分别为0.0102mg/m</w:t>
      </w:r>
      <w:r>
        <w:rPr>
          <w:rFonts w:ascii="Times New Roman" w:hAnsi="Times New Roman" w:cs="Times New Roman"/>
          <w:color w:val="auto"/>
          <w:vertAlign w:val="superscript"/>
        </w:rPr>
        <w:t>3</w:t>
      </w:r>
      <w:r>
        <w:rPr>
          <w:rFonts w:ascii="Times New Roman" w:hAnsi="Times New Roman" w:cs="Times New Roman"/>
          <w:color w:val="auto"/>
        </w:rPr>
        <w:t>、0.2551mg/m</w:t>
      </w:r>
      <w:r>
        <w:rPr>
          <w:rFonts w:ascii="Times New Roman" w:hAnsi="Times New Roman" w:cs="Times New Roman"/>
          <w:color w:val="auto"/>
          <w:vertAlign w:val="superscript"/>
        </w:rPr>
        <w:t>3</w:t>
      </w:r>
      <w:r>
        <w:rPr>
          <w:rFonts w:ascii="Times New Roman" w:hAnsi="Times New Roman" w:cs="Times New Roman"/>
          <w:color w:val="auto"/>
        </w:rPr>
        <w:t>，位于厂界外297m处，满足《医疗机构水污染物排放标准》（GB18466-2005）表3最高允许浓度限值和《恶臭污染物排放标准》（GB14554-93）排放限值要求，对周围环境影响较小。</w:t>
      </w:r>
    </w:p>
    <w:p>
      <w:pPr>
        <w:spacing w:line="520" w:lineRule="exact"/>
        <w:rPr>
          <w:rFonts w:ascii="Times New Roman" w:hAnsi="Times New Roman" w:cs="Times New Roman"/>
          <w:color w:val="auto"/>
        </w:rPr>
      </w:pPr>
      <w:r>
        <w:rPr>
          <w:rFonts w:ascii="Times New Roman" w:hAnsi="Times New Roman" w:cs="Times New Roman"/>
          <w:color w:val="auto"/>
        </w:rPr>
        <w:t>（4）大气污染物对敏感点的影响</w:t>
      </w:r>
    </w:p>
    <w:p>
      <w:pPr>
        <w:spacing w:line="520" w:lineRule="exact"/>
        <w:rPr>
          <w:rFonts w:ascii="Times New Roman" w:hAnsi="Times New Roman" w:cs="Times New Roman"/>
          <w:color w:val="auto"/>
        </w:rPr>
      </w:pPr>
      <w:r>
        <w:rPr>
          <w:rFonts w:ascii="Times New Roman" w:hAnsi="Times New Roman" w:cs="Times New Roman"/>
          <w:color w:val="auto"/>
        </w:rPr>
        <w:t>根据现场调查，距离最近的敏感点为本项目区东北方向1km处的沙河西村，项目废气最大落地浓度较低，经大气衰减后，基本不会影响敏感点大气环境功能现状。</w:t>
      </w:r>
    </w:p>
    <w:p>
      <w:pPr>
        <w:spacing w:line="520" w:lineRule="exact"/>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5</w:t>
      </w:r>
      <w:r>
        <w:rPr>
          <w:rFonts w:ascii="Times New Roman" w:hAnsi="Times New Roman" w:cs="Times New Roman"/>
          <w:color w:val="auto"/>
        </w:rPr>
        <w:t>）大气防护距离</w:t>
      </w:r>
    </w:p>
    <w:p>
      <w:pPr>
        <w:spacing w:line="520" w:lineRule="exact"/>
        <w:rPr>
          <w:rFonts w:ascii="Times New Roman" w:hAnsi="Times New Roman" w:cs="Times New Roman"/>
          <w:color w:val="auto"/>
        </w:rPr>
      </w:pPr>
      <w:r>
        <w:rPr>
          <w:rFonts w:ascii="Times New Roman" w:hAnsi="Times New Roman" w:cs="Times New Roman"/>
          <w:color w:val="auto"/>
        </w:rPr>
        <w:t>项目大气评价等级为三级。根据估算结果可知，项目无超标点，因此不需设置大气环境防护距离。</w:t>
      </w:r>
    </w:p>
    <w:p>
      <w:pPr>
        <w:pStyle w:val="10"/>
        <w:rPr>
          <w:rFonts w:cs="Times New Roman"/>
          <w:color w:val="auto"/>
        </w:rPr>
      </w:pPr>
      <w:r>
        <w:rPr>
          <w:rFonts w:hint="eastAsia" w:cs="Times New Roman"/>
          <w:color w:val="auto"/>
        </w:rPr>
        <w:t>5</w:t>
      </w:r>
      <w:r>
        <w:rPr>
          <w:rFonts w:cs="Times New Roman"/>
          <w:color w:val="auto"/>
        </w:rPr>
        <w:t>.2.1.</w:t>
      </w:r>
      <w:r>
        <w:rPr>
          <w:rFonts w:hint="eastAsia" w:cs="Times New Roman"/>
          <w:color w:val="auto"/>
        </w:rPr>
        <w:t>3</w:t>
      </w:r>
      <w:r>
        <w:rPr>
          <w:rFonts w:cs="Times New Roman"/>
          <w:color w:val="auto"/>
        </w:rPr>
        <w:t xml:space="preserve"> 大气环境影响评价自查表</w:t>
      </w:r>
    </w:p>
    <w:p>
      <w:pPr>
        <w:pStyle w:val="35"/>
        <w:spacing w:before="0" w:after="0" w:line="520" w:lineRule="exact"/>
        <w:rPr>
          <w:rFonts w:cs="Times New Roman"/>
          <w:color w:val="auto"/>
          <w:lang w:val="zh-CN"/>
        </w:rPr>
      </w:pPr>
      <w:r>
        <w:rPr>
          <w:rFonts w:cs="Times New Roman"/>
          <w:color w:val="auto"/>
          <w:lang w:val="zh-CN"/>
        </w:rPr>
        <w:t>表</w:t>
      </w:r>
      <w:r>
        <w:rPr>
          <w:rFonts w:hint="eastAsia" w:cs="Times New Roman"/>
          <w:color w:val="auto"/>
        </w:rPr>
        <w:t>5.2-7</w:t>
      </w:r>
      <w:r>
        <w:rPr>
          <w:rFonts w:cs="Times New Roman"/>
          <w:color w:val="auto"/>
          <w:lang w:val="zh-CN"/>
        </w:rPr>
        <w:t xml:space="preserve"> </w:t>
      </w:r>
      <w:r>
        <w:rPr>
          <w:rFonts w:cs="Times New Roman"/>
          <w:color w:val="auto"/>
        </w:rPr>
        <w:t xml:space="preserve"> </w:t>
      </w:r>
      <w:r>
        <w:rPr>
          <w:rFonts w:cs="Times New Roman"/>
          <w:color w:val="auto"/>
          <w:lang w:val="zh-CN"/>
        </w:rPr>
        <w:t xml:space="preserve"> 大气环境影响评价自查表</w:t>
      </w:r>
    </w:p>
    <w:tbl>
      <w:tblPr>
        <w:tblStyle w:val="24"/>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8"/>
        <w:gridCol w:w="1133"/>
        <w:gridCol w:w="930"/>
        <w:gridCol w:w="345"/>
        <w:gridCol w:w="272"/>
        <w:gridCol w:w="913"/>
        <w:gridCol w:w="229"/>
        <w:gridCol w:w="1035"/>
        <w:gridCol w:w="275"/>
        <w:gridCol w:w="115"/>
        <w:gridCol w:w="507"/>
        <w:gridCol w:w="92"/>
        <w:gridCol w:w="339"/>
        <w:gridCol w:w="504"/>
        <w:gridCol w:w="160"/>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690" w:type="pct"/>
            <w:gridSpan w:val="3"/>
            <w:vAlign w:val="center"/>
          </w:tcPr>
          <w:p>
            <w:pPr>
              <w:pStyle w:val="42"/>
              <w:spacing w:before="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工作内容</w:t>
            </w:r>
          </w:p>
        </w:tc>
        <w:tc>
          <w:tcPr>
            <w:tcW w:w="3309" w:type="pct"/>
            <w:gridSpan w:val="13"/>
            <w:vAlign w:val="center"/>
          </w:tcPr>
          <w:p>
            <w:pPr>
              <w:pStyle w:val="42"/>
              <w:spacing w:before="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评价等级与范围</w:t>
            </w: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评价等级</w:t>
            </w:r>
          </w:p>
        </w:tc>
        <w:tc>
          <w:tcPr>
            <w:tcW w:w="1053"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1213"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104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评价范围</w:t>
            </w:r>
          </w:p>
        </w:tc>
        <w:tc>
          <w:tcPr>
            <w:tcW w:w="1053"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边长=50km⎕</w:t>
            </w:r>
          </w:p>
        </w:tc>
        <w:tc>
          <w:tcPr>
            <w:tcW w:w="1213"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边长5～50km√⎕</w:t>
            </w:r>
          </w:p>
        </w:tc>
        <w:tc>
          <w:tcPr>
            <w:tcW w:w="104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评价因子</w:t>
            </w: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position w:val="2"/>
                <w:sz w:val="21"/>
                <w:szCs w:val="21"/>
              </w:rPr>
              <w:t>SO</w:t>
            </w:r>
            <w:r>
              <w:rPr>
                <w:rFonts w:ascii="Times New Roman" w:hAnsi="Times New Roman" w:cs="Times New Roman"/>
                <w:color w:val="auto"/>
                <w:position w:val="2"/>
                <w:sz w:val="21"/>
                <w:szCs w:val="21"/>
                <w:vertAlign w:val="subscript"/>
              </w:rPr>
              <w:t>2</w:t>
            </w:r>
            <w:r>
              <w:rPr>
                <w:rFonts w:ascii="Times New Roman" w:hAnsi="Times New Roman" w:cs="Times New Roman"/>
                <w:color w:val="auto"/>
                <w:position w:val="2"/>
                <w:sz w:val="21"/>
                <w:szCs w:val="21"/>
              </w:rPr>
              <w:t>+NO</w:t>
            </w:r>
            <w:r>
              <w:rPr>
                <w:rFonts w:ascii="Times New Roman" w:hAnsi="Times New Roman" w:cs="Times New Roman"/>
                <w:color w:val="auto"/>
                <w:position w:val="2"/>
                <w:sz w:val="21"/>
                <w:szCs w:val="21"/>
                <w:vertAlign w:val="subscript"/>
              </w:rPr>
              <w:t>X</w:t>
            </w:r>
            <w:r>
              <w:rPr>
                <w:rFonts w:ascii="Times New Roman" w:hAnsi="Times New Roman" w:cs="Times New Roman"/>
                <w:color w:val="auto"/>
                <w:position w:val="2"/>
                <w:sz w:val="21"/>
                <w:szCs w:val="21"/>
              </w:rPr>
              <w:t xml:space="preserve"> 排放量</w:t>
            </w:r>
          </w:p>
        </w:tc>
        <w:tc>
          <w:tcPr>
            <w:tcW w:w="1053"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≥2000t/a⎕</w:t>
            </w:r>
          </w:p>
        </w:tc>
        <w:tc>
          <w:tcPr>
            <w:tcW w:w="1213"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500～2000t/a⎕</w:t>
            </w:r>
          </w:p>
        </w:tc>
        <w:tc>
          <w:tcPr>
            <w:tcW w:w="104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评价因子</w:t>
            </w:r>
          </w:p>
        </w:tc>
        <w:tc>
          <w:tcPr>
            <w:tcW w:w="2266" w:type="pct"/>
            <w:gridSpan w:val="9"/>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pacing w:val="-9"/>
                <w:position w:val="2"/>
                <w:sz w:val="21"/>
                <w:szCs w:val="21"/>
              </w:rPr>
              <w:t>基本污染物</w:t>
            </w:r>
            <w:r>
              <w:rPr>
                <w:rFonts w:ascii="Times New Roman" w:hAnsi="Times New Roman" w:cs="Times New Roman"/>
                <w:color w:val="auto"/>
                <w:spacing w:val="-1"/>
                <w:position w:val="2"/>
                <w:sz w:val="21"/>
                <w:szCs w:val="21"/>
              </w:rPr>
              <w:t>（SO</w:t>
            </w:r>
            <w:r>
              <w:rPr>
                <w:rFonts w:ascii="Times New Roman" w:hAnsi="Times New Roman" w:cs="Times New Roman"/>
                <w:color w:val="auto"/>
                <w:spacing w:val="-1"/>
                <w:position w:val="2"/>
                <w:sz w:val="21"/>
                <w:szCs w:val="21"/>
                <w:vertAlign w:val="subscript"/>
              </w:rPr>
              <w:t>2</w:t>
            </w:r>
            <w:r>
              <w:rPr>
                <w:rFonts w:ascii="Times New Roman" w:hAnsi="Times New Roman" w:cs="Times New Roman"/>
                <w:color w:val="auto"/>
                <w:spacing w:val="-41"/>
                <w:position w:val="2"/>
                <w:sz w:val="21"/>
                <w:szCs w:val="21"/>
              </w:rPr>
              <w:t>、</w:t>
            </w:r>
            <w:r>
              <w:rPr>
                <w:rFonts w:ascii="Times New Roman" w:hAnsi="Times New Roman" w:cs="Times New Roman"/>
                <w:color w:val="auto"/>
                <w:spacing w:val="-1"/>
                <w:position w:val="2"/>
                <w:sz w:val="21"/>
                <w:szCs w:val="21"/>
              </w:rPr>
              <w:t>NO</w:t>
            </w:r>
            <w:r>
              <w:rPr>
                <w:rFonts w:ascii="Times New Roman" w:hAnsi="Times New Roman" w:cs="Times New Roman"/>
                <w:color w:val="auto"/>
                <w:spacing w:val="-1"/>
                <w:position w:val="2"/>
                <w:sz w:val="21"/>
                <w:szCs w:val="21"/>
                <w:vertAlign w:val="subscript"/>
              </w:rPr>
              <w:t>2</w:t>
            </w:r>
            <w:r>
              <w:rPr>
                <w:rFonts w:ascii="Times New Roman" w:hAnsi="Times New Roman" w:cs="Times New Roman"/>
                <w:color w:val="auto"/>
                <w:spacing w:val="-41"/>
                <w:position w:val="2"/>
                <w:sz w:val="21"/>
                <w:szCs w:val="21"/>
              </w:rPr>
              <w:t>、</w:t>
            </w:r>
            <w:r>
              <w:rPr>
                <w:rFonts w:ascii="Times New Roman" w:hAnsi="Times New Roman" w:cs="Times New Roman"/>
                <w:color w:val="auto"/>
                <w:spacing w:val="-1"/>
                <w:position w:val="2"/>
                <w:sz w:val="21"/>
                <w:szCs w:val="21"/>
              </w:rPr>
              <w:t>PM</w:t>
            </w:r>
            <w:r>
              <w:rPr>
                <w:rFonts w:ascii="Times New Roman" w:hAnsi="Times New Roman" w:cs="Times New Roman"/>
                <w:color w:val="auto"/>
                <w:spacing w:val="-1"/>
                <w:position w:val="2"/>
                <w:sz w:val="21"/>
                <w:szCs w:val="21"/>
                <w:vertAlign w:val="subscript"/>
              </w:rPr>
              <w:t>10</w:t>
            </w:r>
            <w:r>
              <w:rPr>
                <w:rFonts w:ascii="Times New Roman" w:hAnsi="Times New Roman" w:cs="Times New Roman"/>
                <w:color w:val="auto"/>
                <w:spacing w:val="-44"/>
                <w:position w:val="2"/>
                <w:sz w:val="21"/>
                <w:szCs w:val="21"/>
              </w:rPr>
              <w:t>、</w:t>
            </w:r>
            <w:r>
              <w:rPr>
                <w:rFonts w:ascii="Times New Roman" w:hAnsi="Times New Roman" w:cs="Times New Roman"/>
                <w:color w:val="auto"/>
                <w:spacing w:val="-1"/>
                <w:position w:val="2"/>
                <w:sz w:val="21"/>
                <w:szCs w:val="21"/>
              </w:rPr>
              <w:t>PM</w:t>
            </w:r>
            <w:r>
              <w:rPr>
                <w:rFonts w:ascii="Times New Roman" w:hAnsi="Times New Roman" w:cs="Times New Roman"/>
                <w:color w:val="auto"/>
                <w:spacing w:val="-1"/>
                <w:position w:val="2"/>
                <w:sz w:val="21"/>
                <w:szCs w:val="21"/>
                <w:vertAlign w:val="subscript"/>
              </w:rPr>
              <w:t>2.5</w:t>
            </w:r>
            <w:r>
              <w:rPr>
                <w:rFonts w:ascii="Times New Roman" w:hAnsi="Times New Roman" w:cs="Times New Roman"/>
                <w:color w:val="auto"/>
                <w:spacing w:val="-41"/>
                <w:position w:val="2"/>
                <w:sz w:val="21"/>
                <w:szCs w:val="21"/>
              </w:rPr>
              <w:t>、</w:t>
            </w:r>
            <w:r>
              <w:rPr>
                <w:rFonts w:ascii="Times New Roman" w:hAnsi="Times New Roman" w:cs="Times New Roman"/>
                <w:color w:val="auto"/>
                <w:spacing w:val="-14"/>
                <w:position w:val="2"/>
                <w:sz w:val="21"/>
                <w:szCs w:val="21"/>
              </w:rPr>
              <w:t xml:space="preserve">CO </w:t>
            </w:r>
            <w:r>
              <w:rPr>
                <w:rFonts w:ascii="Times New Roman" w:hAnsi="Times New Roman" w:cs="Times New Roman"/>
                <w:color w:val="auto"/>
                <w:position w:val="2"/>
                <w:sz w:val="21"/>
                <w:szCs w:val="21"/>
              </w:rPr>
              <w:t>O</w:t>
            </w:r>
            <w:r>
              <w:rPr>
                <w:rFonts w:ascii="Times New Roman" w:hAnsi="Times New Roman" w:cs="Times New Roman"/>
                <w:color w:val="auto"/>
                <w:position w:val="2"/>
                <w:sz w:val="21"/>
                <w:szCs w:val="21"/>
                <w:vertAlign w:val="subscript"/>
              </w:rPr>
              <w:t>3</w:t>
            </w:r>
            <w:r>
              <w:rPr>
                <w:rFonts w:ascii="Times New Roman" w:hAnsi="Times New Roman" w:cs="Times New Roman"/>
                <w:color w:val="auto"/>
                <w:position w:val="2"/>
                <w:sz w:val="21"/>
                <w:szCs w:val="21"/>
              </w:rPr>
              <w:t>）</w:t>
            </w:r>
          </w:p>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position w:val="2"/>
                <w:sz w:val="21"/>
                <w:szCs w:val="21"/>
              </w:rPr>
              <w:t>其他污染物（NH</w:t>
            </w:r>
            <w:r>
              <w:rPr>
                <w:rFonts w:ascii="Times New Roman" w:hAnsi="Times New Roman" w:cs="Times New Roman"/>
                <w:color w:val="auto"/>
                <w:position w:val="2"/>
                <w:sz w:val="21"/>
                <w:szCs w:val="21"/>
                <w:vertAlign w:val="subscript"/>
              </w:rPr>
              <w:t>3</w:t>
            </w:r>
            <w:r>
              <w:rPr>
                <w:rFonts w:ascii="Times New Roman" w:hAnsi="Times New Roman" w:cs="Times New Roman"/>
                <w:color w:val="auto"/>
                <w:position w:val="2"/>
                <w:sz w:val="21"/>
                <w:szCs w:val="21"/>
              </w:rPr>
              <w:t>、H</w:t>
            </w:r>
            <w:r>
              <w:rPr>
                <w:rFonts w:ascii="Times New Roman" w:hAnsi="Times New Roman" w:cs="Times New Roman"/>
                <w:color w:val="auto"/>
                <w:position w:val="2"/>
                <w:sz w:val="21"/>
                <w:szCs w:val="21"/>
                <w:vertAlign w:val="subscript"/>
              </w:rPr>
              <w:t>2</w:t>
            </w:r>
            <w:r>
              <w:rPr>
                <w:rFonts w:ascii="Times New Roman" w:hAnsi="Times New Roman" w:cs="Times New Roman"/>
                <w:color w:val="auto"/>
                <w:position w:val="2"/>
                <w:sz w:val="21"/>
                <w:szCs w:val="21"/>
              </w:rPr>
              <w:t>S）</w:t>
            </w:r>
          </w:p>
        </w:tc>
        <w:tc>
          <w:tcPr>
            <w:tcW w:w="104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position w:val="2"/>
                <w:sz w:val="21"/>
                <w:szCs w:val="21"/>
              </w:rPr>
              <w:t>包括二次PM</w:t>
            </w:r>
            <w:r>
              <w:rPr>
                <w:rFonts w:ascii="Times New Roman" w:hAnsi="Times New Roman" w:cs="Times New Roman"/>
                <w:color w:val="auto"/>
                <w:position w:val="2"/>
                <w:sz w:val="21"/>
                <w:szCs w:val="21"/>
                <w:vertAlign w:val="subscript"/>
              </w:rPr>
              <w:t>2.5</w:t>
            </w:r>
            <w:r>
              <w:rPr>
                <w:rFonts w:ascii="Times New Roman" w:hAnsi="Times New Roman" w:cs="Times New Roman"/>
                <w:color w:val="auto"/>
                <w:position w:val="2"/>
                <w:sz w:val="21"/>
                <w:szCs w:val="21"/>
              </w:rPr>
              <w:t>⎕</w:t>
            </w:r>
          </w:p>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position w:val="2"/>
                <w:sz w:val="21"/>
                <w:szCs w:val="21"/>
              </w:rPr>
              <w:t>不包括二次PM</w:t>
            </w:r>
            <w:r>
              <w:rPr>
                <w:rFonts w:ascii="Times New Roman" w:hAnsi="Times New Roman" w:cs="Times New Roman"/>
                <w:color w:val="auto"/>
                <w:position w:val="2"/>
                <w:sz w:val="21"/>
                <w:szCs w:val="21"/>
                <w:vertAlign w:val="subscript"/>
              </w:rPr>
              <w:t>2.5</w:t>
            </w:r>
            <w:r>
              <w:rPr>
                <w:rFonts w:ascii="Times New Roman" w:hAnsi="Times New Roman" w:cs="Times New Roman"/>
                <w:color w:val="auto"/>
                <w:positio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评价标</w:t>
            </w:r>
          </w:p>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准</w:t>
            </w: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评价标准</w:t>
            </w:r>
          </w:p>
        </w:tc>
        <w:tc>
          <w:tcPr>
            <w:tcW w:w="1053"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国家标准√</w:t>
            </w:r>
          </w:p>
        </w:tc>
        <w:tc>
          <w:tcPr>
            <w:tcW w:w="620"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地方标准⎕</w:t>
            </w:r>
          </w:p>
        </w:tc>
        <w:tc>
          <w:tcPr>
            <w:tcW w:w="59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附录D√</w:t>
            </w:r>
          </w:p>
        </w:tc>
        <w:tc>
          <w:tcPr>
            <w:tcW w:w="104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现状评价</w:t>
            </w: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环境功能区</w:t>
            </w:r>
          </w:p>
        </w:tc>
        <w:tc>
          <w:tcPr>
            <w:tcW w:w="1053"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一类区⎕</w:t>
            </w:r>
          </w:p>
        </w:tc>
        <w:tc>
          <w:tcPr>
            <w:tcW w:w="1213"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二类区√</w:t>
            </w:r>
          </w:p>
        </w:tc>
        <w:tc>
          <w:tcPr>
            <w:tcW w:w="104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评价基准年</w:t>
            </w:r>
          </w:p>
        </w:tc>
        <w:tc>
          <w:tcPr>
            <w:tcW w:w="3309" w:type="pct"/>
            <w:gridSpan w:val="13"/>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（201</w:t>
            </w:r>
            <w:r>
              <w:rPr>
                <w:rFonts w:hint="eastAsia" w:ascii="Times New Roman" w:hAnsi="Times New Roman" w:cs="Times New Roman"/>
                <w:color w:val="auto"/>
                <w:sz w:val="21"/>
                <w:szCs w:val="21"/>
                <w:lang w:val="en-US" w:eastAsia="zh-CN"/>
              </w:rPr>
              <w:t>9</w:t>
            </w:r>
            <w:r>
              <w:rPr>
                <w:rFonts w:ascii="Times New Roman" w:hAnsi="Times New Roman" w:cs="Times New Roman"/>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环境空气质量现状调查数据来源</w:t>
            </w:r>
          </w:p>
        </w:tc>
        <w:tc>
          <w:tcPr>
            <w:tcW w:w="1053"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长期例行监测数据</w:t>
            </w:r>
          </w:p>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w w:val="95"/>
                <w:sz w:val="21"/>
                <w:szCs w:val="21"/>
              </w:rPr>
              <w:t>⎕</w:t>
            </w:r>
          </w:p>
        </w:tc>
        <w:tc>
          <w:tcPr>
            <w:tcW w:w="1213"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主管部门发布的数据√</w:t>
            </w:r>
          </w:p>
        </w:tc>
        <w:tc>
          <w:tcPr>
            <w:tcW w:w="1042"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236"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现状评价</w:t>
            </w:r>
          </w:p>
        </w:tc>
        <w:tc>
          <w:tcPr>
            <w:tcW w:w="1674"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达标区⎕</w:t>
            </w:r>
          </w:p>
        </w:tc>
        <w:tc>
          <w:tcPr>
            <w:tcW w:w="1635" w:type="pct"/>
            <w:gridSpan w:val="8"/>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不达标区⎕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污染源调查</w:t>
            </w:r>
          </w:p>
        </w:tc>
        <w:tc>
          <w:tcPr>
            <w:tcW w:w="679"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调查内容</w:t>
            </w:r>
          </w:p>
        </w:tc>
        <w:tc>
          <w:tcPr>
            <w:tcW w:w="1611"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本项目正常排放源√  本项目非正常排放源</w:t>
            </w:r>
            <w:r>
              <w:rPr>
                <w:rFonts w:ascii="Times New Roman" w:hAnsi="Times New Roman" w:cs="Times New Roman"/>
                <w:color w:val="auto"/>
                <w:spacing w:val="-13"/>
                <w:sz w:val="21"/>
                <w:szCs w:val="21"/>
              </w:rPr>
              <w:t xml:space="preserve">⎕ </w:t>
            </w:r>
            <w:r>
              <w:rPr>
                <w:rFonts w:ascii="Times New Roman" w:hAnsi="Times New Roman" w:cs="Times New Roman"/>
                <w:color w:val="auto"/>
                <w:sz w:val="21"/>
                <w:szCs w:val="21"/>
              </w:rPr>
              <w:t>现有污染源⎕</w:t>
            </w:r>
          </w:p>
        </w:tc>
        <w:tc>
          <w:tcPr>
            <w:tcW w:w="1213"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拟替代的污染源⎕</w:t>
            </w:r>
          </w:p>
        </w:tc>
        <w:tc>
          <w:tcPr>
            <w:tcW w:w="505"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其他在建本项目污染源</w:t>
            </w:r>
          </w:p>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w w:val="95"/>
                <w:sz w:val="21"/>
                <w:szCs w:val="21"/>
              </w:rPr>
              <w:t>⎕</w:t>
            </w:r>
          </w:p>
        </w:tc>
        <w:tc>
          <w:tcPr>
            <w:tcW w:w="537"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restar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大气环境影响预测与评价</w:t>
            </w:r>
          </w:p>
        </w:tc>
        <w:tc>
          <w:tcPr>
            <w:tcW w:w="679"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预测模型</w:t>
            </w:r>
          </w:p>
        </w:tc>
        <w:tc>
          <w:tcPr>
            <w:tcW w:w="557"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AERMOD</w:t>
            </w:r>
          </w:p>
        </w:tc>
        <w:tc>
          <w:tcPr>
            <w:tcW w:w="370"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ADMS</w:t>
            </w:r>
          </w:p>
        </w:tc>
        <w:tc>
          <w:tcPr>
            <w:tcW w:w="683"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AUSTAL200 0</w:t>
            </w:r>
          </w:p>
        </w:tc>
        <w:tc>
          <w:tcPr>
            <w:tcW w:w="854" w:type="pct"/>
            <w:gridSpan w:val="3"/>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EDMS/AEDT⎕</w:t>
            </w:r>
          </w:p>
        </w:tc>
        <w:tc>
          <w:tcPr>
            <w:tcW w:w="562" w:type="pct"/>
            <w:gridSpan w:val="3"/>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CALPUFF</w:t>
            </w:r>
          </w:p>
        </w:tc>
        <w:tc>
          <w:tcPr>
            <w:tcW w:w="398"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网格模型</w:t>
            </w:r>
          </w:p>
        </w:tc>
        <w:tc>
          <w:tcPr>
            <w:tcW w:w="439"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其他</w:t>
            </w:r>
            <w:r>
              <w:rPr>
                <w:rFonts w:ascii="Times New Roman" w:hAnsi="Times New Roman" w:cs="Times New Roman"/>
                <w:color w:val="auto"/>
                <w:positio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679"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预测范围</w:t>
            </w:r>
          </w:p>
        </w:tc>
        <w:tc>
          <w:tcPr>
            <w:tcW w:w="1474" w:type="pct"/>
            <w:gridSpan w:val="4"/>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边长≥50km⎕</w:t>
            </w:r>
          </w:p>
        </w:tc>
        <w:tc>
          <w:tcPr>
            <w:tcW w:w="1295"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边长 5～50km</w:t>
            </w:r>
            <w:r>
              <w:rPr>
                <w:rFonts w:ascii="Times New Roman" w:hAnsi="Times New Roman" w:cs="Times New Roman"/>
                <w:color w:val="auto"/>
                <w:position w:val="2"/>
                <w:sz w:val="21"/>
                <w:szCs w:val="21"/>
              </w:rPr>
              <w:t>√</w:t>
            </w:r>
            <w:r>
              <w:rPr>
                <w:rFonts w:ascii="Times New Roman" w:hAnsi="Times New Roman" w:cs="Times New Roman"/>
                <w:color w:val="auto"/>
                <w:sz w:val="21"/>
                <w:szCs w:val="21"/>
              </w:rPr>
              <w:t>⎕</w:t>
            </w:r>
          </w:p>
        </w:tc>
        <w:tc>
          <w:tcPr>
            <w:tcW w:w="1096"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679"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预测因子</w:t>
            </w:r>
          </w:p>
        </w:tc>
        <w:tc>
          <w:tcPr>
            <w:tcW w:w="2231" w:type="pct"/>
            <w:gridSpan w:val="6"/>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position w:val="2"/>
                <w:sz w:val="21"/>
                <w:szCs w:val="21"/>
              </w:rPr>
              <w:t>预测因子（NH</w:t>
            </w:r>
            <w:r>
              <w:rPr>
                <w:rFonts w:ascii="Times New Roman" w:hAnsi="Times New Roman" w:cs="Times New Roman"/>
                <w:color w:val="auto"/>
                <w:position w:val="2"/>
                <w:sz w:val="21"/>
                <w:szCs w:val="21"/>
                <w:vertAlign w:val="subscript"/>
              </w:rPr>
              <w:t>3</w:t>
            </w:r>
            <w:r>
              <w:rPr>
                <w:rFonts w:ascii="Times New Roman" w:hAnsi="Times New Roman" w:cs="Times New Roman"/>
                <w:color w:val="auto"/>
                <w:position w:val="2"/>
                <w:sz w:val="21"/>
                <w:szCs w:val="21"/>
              </w:rPr>
              <w:t>、H</w:t>
            </w:r>
            <w:r>
              <w:rPr>
                <w:rFonts w:ascii="Times New Roman" w:hAnsi="Times New Roman" w:cs="Times New Roman"/>
                <w:color w:val="auto"/>
                <w:position w:val="2"/>
                <w:sz w:val="21"/>
                <w:szCs w:val="21"/>
                <w:vertAlign w:val="subscript"/>
              </w:rPr>
              <w:t>2</w:t>
            </w:r>
            <w:r>
              <w:rPr>
                <w:rFonts w:ascii="Times New Roman" w:hAnsi="Times New Roman" w:cs="Times New Roman"/>
                <w:color w:val="auto"/>
                <w:position w:val="2"/>
                <w:sz w:val="21"/>
                <w:szCs w:val="21"/>
              </w:rPr>
              <w:t>S）</w:t>
            </w:r>
          </w:p>
        </w:tc>
        <w:tc>
          <w:tcPr>
            <w:tcW w:w="1635" w:type="pct"/>
            <w:gridSpan w:val="8"/>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position w:val="2"/>
                <w:sz w:val="21"/>
                <w:szCs w:val="21"/>
              </w:rPr>
              <w:t>包括二次PM</w:t>
            </w:r>
            <w:r>
              <w:rPr>
                <w:rFonts w:ascii="Times New Roman" w:hAnsi="Times New Roman" w:cs="Times New Roman"/>
                <w:color w:val="auto"/>
                <w:position w:val="2"/>
                <w:sz w:val="21"/>
                <w:szCs w:val="21"/>
                <w:vertAlign w:val="subscript"/>
              </w:rPr>
              <w:t>2.5</w:t>
            </w:r>
            <w:r>
              <w:rPr>
                <w:rFonts w:ascii="Times New Roman" w:hAnsi="Times New Roman" w:cs="Times New Roman"/>
                <w:color w:val="auto"/>
                <w:position w:val="2"/>
                <w:sz w:val="21"/>
                <w:szCs w:val="21"/>
              </w:rPr>
              <w:t>⎕ 不包括二次 PM</w:t>
            </w:r>
            <w:r>
              <w:rPr>
                <w:rFonts w:ascii="Times New Roman" w:hAnsi="Times New Roman" w:cs="Times New Roman"/>
                <w:color w:val="auto"/>
                <w:position w:val="2"/>
                <w:sz w:val="21"/>
                <w:szCs w:val="21"/>
                <w:vertAlign w:val="subscript"/>
              </w:rPr>
              <w:t>2.5</w:t>
            </w:r>
            <w:r>
              <w:rPr>
                <w:rFonts w:ascii="Times New Roman" w:hAnsi="Times New Roman" w:cs="Times New Roman"/>
                <w:color w:val="auto"/>
                <w:positio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679"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正常排放短期浓度贡献值</w:t>
            </w:r>
          </w:p>
        </w:tc>
        <w:tc>
          <w:tcPr>
            <w:tcW w:w="2231" w:type="pct"/>
            <w:gridSpan w:val="6"/>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C</w:t>
            </w:r>
            <w:r>
              <w:rPr>
                <w:rFonts w:ascii="Times New Roman" w:hAnsi="Times New Roman" w:cs="Times New Roman"/>
                <w:color w:val="auto"/>
                <w:position w:val="-1"/>
                <w:sz w:val="21"/>
                <w:szCs w:val="21"/>
              </w:rPr>
              <w:t>本项目</w:t>
            </w:r>
            <w:r>
              <w:rPr>
                <w:rFonts w:ascii="Times New Roman" w:hAnsi="Times New Roman" w:cs="Times New Roman"/>
                <w:color w:val="auto"/>
                <w:sz w:val="21"/>
                <w:szCs w:val="21"/>
              </w:rPr>
              <w:t>最大占标率≤100%⎕</w:t>
            </w:r>
          </w:p>
        </w:tc>
        <w:tc>
          <w:tcPr>
            <w:tcW w:w="1635" w:type="pct"/>
            <w:gridSpan w:val="8"/>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C</w:t>
            </w:r>
            <w:r>
              <w:rPr>
                <w:rFonts w:ascii="Times New Roman" w:hAnsi="Times New Roman" w:cs="Times New Roman"/>
                <w:color w:val="auto"/>
                <w:position w:val="-1"/>
                <w:sz w:val="21"/>
                <w:szCs w:val="21"/>
              </w:rPr>
              <w:t>本项目</w:t>
            </w:r>
            <w:r>
              <w:rPr>
                <w:rFonts w:ascii="Times New Roman" w:hAnsi="Times New Roman" w:cs="Times New Roman"/>
                <w:color w:val="auto"/>
                <w:sz w:val="21"/>
                <w:szCs w:val="21"/>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679" w:type="pct"/>
            <w:vMerge w:val="restar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pacing w:val="-3"/>
                <w:sz w:val="21"/>
                <w:szCs w:val="21"/>
              </w:rPr>
              <w:t>正常排放年均</w:t>
            </w:r>
            <w:r>
              <w:rPr>
                <w:rFonts w:ascii="Times New Roman" w:hAnsi="Times New Roman" w:cs="Times New Roman"/>
                <w:color w:val="auto"/>
                <w:sz w:val="21"/>
                <w:szCs w:val="21"/>
              </w:rPr>
              <w:t>浓度贡献值</w:t>
            </w:r>
          </w:p>
        </w:tc>
        <w:tc>
          <w:tcPr>
            <w:tcW w:w="557"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一类区</w:t>
            </w:r>
          </w:p>
        </w:tc>
        <w:tc>
          <w:tcPr>
            <w:tcW w:w="1674"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C</w:t>
            </w:r>
            <w:r>
              <w:rPr>
                <w:rFonts w:ascii="Times New Roman" w:hAnsi="Times New Roman" w:cs="Times New Roman"/>
                <w:color w:val="auto"/>
                <w:position w:val="-1"/>
                <w:sz w:val="21"/>
                <w:szCs w:val="21"/>
              </w:rPr>
              <w:t>本项目</w:t>
            </w:r>
            <w:r>
              <w:rPr>
                <w:rFonts w:ascii="Times New Roman" w:hAnsi="Times New Roman" w:cs="Times New Roman"/>
                <w:color w:val="auto"/>
                <w:sz w:val="21"/>
                <w:szCs w:val="21"/>
              </w:rPr>
              <w:t>最大占标率≤10%⎕</w:t>
            </w:r>
          </w:p>
        </w:tc>
        <w:tc>
          <w:tcPr>
            <w:tcW w:w="1635" w:type="pct"/>
            <w:gridSpan w:val="8"/>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C</w:t>
            </w:r>
            <w:r>
              <w:rPr>
                <w:rFonts w:ascii="Times New Roman" w:hAnsi="Times New Roman" w:cs="Times New Roman"/>
                <w:color w:val="auto"/>
                <w:position w:val="-1"/>
                <w:sz w:val="21"/>
                <w:szCs w:val="21"/>
              </w:rPr>
              <w:t>本项目</w:t>
            </w:r>
            <w:r>
              <w:rPr>
                <w:rFonts w:ascii="Times New Roman" w:hAnsi="Times New Roman" w:cs="Times New Roman"/>
                <w:color w:val="auto"/>
                <w:sz w:val="21"/>
                <w:szCs w:val="21"/>
              </w:rPr>
              <w:t>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679"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557"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二类区</w:t>
            </w:r>
          </w:p>
        </w:tc>
        <w:tc>
          <w:tcPr>
            <w:tcW w:w="1674"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C</w:t>
            </w:r>
            <w:r>
              <w:rPr>
                <w:rFonts w:ascii="Times New Roman" w:hAnsi="Times New Roman" w:cs="Times New Roman"/>
                <w:color w:val="auto"/>
                <w:position w:val="-1"/>
                <w:sz w:val="21"/>
                <w:szCs w:val="21"/>
              </w:rPr>
              <w:t>本项目</w:t>
            </w:r>
            <w:r>
              <w:rPr>
                <w:rFonts w:ascii="Times New Roman" w:hAnsi="Times New Roman" w:cs="Times New Roman"/>
                <w:color w:val="auto"/>
                <w:sz w:val="21"/>
                <w:szCs w:val="21"/>
              </w:rPr>
              <w:t>最大占标率≤30%⎕</w:t>
            </w:r>
          </w:p>
        </w:tc>
        <w:tc>
          <w:tcPr>
            <w:tcW w:w="1635" w:type="pct"/>
            <w:gridSpan w:val="8"/>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C</w:t>
            </w:r>
            <w:r>
              <w:rPr>
                <w:rFonts w:ascii="Times New Roman" w:hAnsi="Times New Roman" w:cs="Times New Roman"/>
                <w:color w:val="auto"/>
                <w:position w:val="-1"/>
                <w:sz w:val="21"/>
                <w:szCs w:val="21"/>
              </w:rPr>
              <w:t>本项目</w:t>
            </w:r>
            <w:r>
              <w:rPr>
                <w:rFonts w:ascii="Times New Roman" w:hAnsi="Times New Roman" w:cs="Times New Roman"/>
                <w:color w:val="auto"/>
                <w:sz w:val="21"/>
                <w:szCs w:val="21"/>
              </w:rPr>
              <w:t>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679" w:type="pct"/>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非正常排放1h浓度贡献值</w:t>
            </w:r>
          </w:p>
        </w:tc>
        <w:tc>
          <w:tcPr>
            <w:tcW w:w="764" w:type="pct"/>
            <w:gridSpan w:val="2"/>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非正常持续时</w:t>
            </w:r>
          </w:p>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长（ ）h</w:t>
            </w:r>
          </w:p>
        </w:tc>
        <w:tc>
          <w:tcPr>
            <w:tcW w:w="1632" w:type="pct"/>
            <w:gridSpan w:val="5"/>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position w:val="2"/>
                <w:sz w:val="21"/>
                <w:szCs w:val="21"/>
              </w:rPr>
              <w:t>C</w:t>
            </w:r>
            <w:r>
              <w:rPr>
                <w:rFonts w:ascii="Times New Roman" w:hAnsi="Times New Roman" w:cs="Times New Roman"/>
                <w:color w:val="auto"/>
                <w:spacing w:val="51"/>
                <w:position w:val="2"/>
                <w:sz w:val="21"/>
                <w:szCs w:val="21"/>
              </w:rPr>
              <w:t xml:space="preserve"> </w:t>
            </w:r>
            <w:r>
              <w:rPr>
                <w:rFonts w:ascii="Times New Roman" w:hAnsi="Times New Roman" w:cs="Times New Roman"/>
                <w:color w:val="auto"/>
                <w:spacing w:val="-2"/>
                <w:sz w:val="21"/>
                <w:szCs w:val="21"/>
              </w:rPr>
              <w:t>本项目</w:t>
            </w:r>
            <w:r>
              <w:rPr>
                <w:rFonts w:ascii="Times New Roman" w:hAnsi="Times New Roman" w:cs="Times New Roman"/>
                <w:color w:val="auto"/>
                <w:position w:val="2"/>
                <w:sz w:val="21"/>
                <w:szCs w:val="21"/>
              </w:rPr>
              <w:t>最大占标率≤100%</w:t>
            </w:r>
            <w:r>
              <w:rPr>
                <w:rFonts w:ascii="Times New Roman" w:hAnsi="Times New Roman" w:cs="Times New Roman"/>
                <w:color w:val="auto"/>
                <w:position w:val="4"/>
                <w:sz w:val="21"/>
                <w:szCs w:val="21"/>
              </w:rPr>
              <w:t>⎕</w:t>
            </w:r>
          </w:p>
        </w:tc>
        <w:tc>
          <w:tcPr>
            <w:tcW w:w="1470" w:type="pct"/>
            <w:gridSpan w:val="7"/>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 xml:space="preserve">C </w:t>
            </w:r>
            <w:r>
              <w:rPr>
                <w:rFonts w:ascii="Times New Roman" w:hAnsi="Times New Roman" w:cs="Times New Roman"/>
                <w:color w:val="auto"/>
                <w:spacing w:val="-2"/>
                <w:position w:val="-1"/>
                <w:sz w:val="21"/>
                <w:szCs w:val="21"/>
              </w:rPr>
              <w:t>本项目</w:t>
            </w:r>
            <w:r>
              <w:rPr>
                <w:rFonts w:ascii="Times New Roman" w:hAnsi="Times New Roman" w:cs="Times New Roman"/>
                <w:color w:val="auto"/>
                <w:sz w:val="21"/>
                <w:szCs w:val="21"/>
              </w:rPr>
              <w:t>最大占标率＞100%⎕</w:t>
            </w:r>
          </w:p>
        </w:tc>
      </w:tr>
    </w:tbl>
    <w:p>
      <w:pPr>
        <w:pStyle w:val="9"/>
        <w:rPr>
          <w:rFonts w:ascii="Times New Roman" w:hAnsi="Times New Roman" w:cs="Times New Roman"/>
          <w:color w:val="auto"/>
        </w:rPr>
      </w:pPr>
      <w:bookmarkStart w:id="374" w:name="_Toc17252"/>
      <w:r>
        <w:rPr>
          <w:rFonts w:hint="eastAsia" w:ascii="Times New Roman" w:hAnsi="Times New Roman" w:cs="Times New Roman"/>
          <w:color w:val="auto"/>
        </w:rPr>
        <w:t>5</w:t>
      </w:r>
      <w:r>
        <w:rPr>
          <w:rFonts w:ascii="Times New Roman" w:hAnsi="Times New Roman" w:cs="Times New Roman"/>
          <w:color w:val="auto"/>
        </w:rPr>
        <w:t>.2.2运营期水环境影响预测与评价</w:t>
      </w:r>
      <w:bookmarkEnd w:id="374"/>
    </w:p>
    <w:p>
      <w:pPr>
        <w:pStyle w:val="10"/>
        <w:rPr>
          <w:rFonts w:cs="Times New Roman"/>
          <w:color w:val="auto"/>
        </w:rPr>
      </w:pPr>
      <w:r>
        <w:rPr>
          <w:rFonts w:hint="eastAsia" w:cs="Times New Roman"/>
          <w:color w:val="auto"/>
        </w:rPr>
        <w:t>5</w:t>
      </w:r>
      <w:r>
        <w:rPr>
          <w:rFonts w:cs="Times New Roman"/>
          <w:color w:val="auto"/>
        </w:rPr>
        <w:t>.2.2.1 营运期地表水环境影响分析</w:t>
      </w:r>
    </w:p>
    <w:p>
      <w:pPr>
        <w:spacing w:line="520" w:lineRule="exact"/>
        <w:rPr>
          <w:rFonts w:ascii="Times New Roman" w:hAnsi="Times New Roman" w:cs="Times New Roman"/>
          <w:color w:val="auto"/>
        </w:rPr>
      </w:pPr>
      <w:r>
        <w:rPr>
          <w:rFonts w:ascii="Times New Roman" w:hAnsi="Times New Roman" w:cs="Times New Roman"/>
          <w:color w:val="auto"/>
        </w:rPr>
        <w:t>项目排放的废水包括感染废水、食堂废水、医护及职工办公生活污水、病房和门诊产生的废水、保洁废水以及医院检验、分析、治疗产生的特殊废水，其中特殊废水主要为酸性废水。感染废水需经消毒预处理、酸性废水需经中和处理后，</w:t>
      </w:r>
      <w:r>
        <w:rPr>
          <w:rFonts w:hint="eastAsia" w:ascii="Times New Roman" w:hAnsi="Times New Roman" w:cs="Times New Roman"/>
          <w:color w:val="auto"/>
        </w:rPr>
        <w:t>再</w:t>
      </w:r>
      <w:r>
        <w:rPr>
          <w:rFonts w:ascii="Times New Roman" w:hAnsi="Times New Roman" w:cs="Times New Roman"/>
          <w:color w:val="auto"/>
        </w:rPr>
        <w:t>与院区其他综合污水一起进入医院污水处理站进行处理；食堂废水经隔油池预处理后与其他生活污水一起进入医院污水处理站进行处理，废水处理达到《医疗机构水污染物排放标准》（GB18466-2005）表2中预处理标准排入市政污水管网，进入吉木萨尔县污水处理厂处理。项目废水排放量为112858m</w:t>
      </w:r>
      <w:r>
        <w:rPr>
          <w:rFonts w:ascii="Times New Roman" w:hAnsi="Times New Roman" w:cs="Times New Roman"/>
          <w:color w:val="auto"/>
          <w:vertAlign w:val="superscript"/>
        </w:rPr>
        <w:t>3</w:t>
      </w:r>
      <w:r>
        <w:rPr>
          <w:rFonts w:ascii="Times New Roman" w:hAnsi="Times New Roman" w:cs="Times New Roman"/>
          <w:color w:val="auto"/>
        </w:rPr>
        <w:t>/a，属于间接排放，依据《环境影响评价技术导则 地表水环境》（HJ/T2.3-2018）中的水污染影响型建设项目评价等级判定，确定本项目地表水环境影响评价等级为三级B。根据评价技术导则“7.1.2”条款相关要求：“水污染影响型三级B评价可不进行水环境影响预测”。故本评价不进行水环境影响预测。</w:t>
      </w:r>
    </w:p>
    <w:p>
      <w:pPr>
        <w:spacing w:line="520" w:lineRule="exact"/>
        <w:rPr>
          <w:rFonts w:ascii="Times New Roman" w:hAnsi="Times New Roman" w:cs="Times New Roman"/>
          <w:color w:val="auto"/>
        </w:rPr>
      </w:pPr>
      <w:r>
        <w:rPr>
          <w:rFonts w:ascii="Times New Roman" w:hAnsi="Times New Roman" w:cs="Times New Roman"/>
          <w:color w:val="auto"/>
        </w:rPr>
        <w:t>（1）本项目污染控制和水环境影响减缓措施有效性评价</w:t>
      </w:r>
    </w:p>
    <w:p>
      <w:pPr>
        <w:spacing w:line="520" w:lineRule="exact"/>
        <w:rPr>
          <w:rFonts w:ascii="Times New Roman" w:hAnsi="Times New Roman" w:cs="Times New Roman"/>
          <w:color w:val="auto"/>
        </w:rPr>
      </w:pPr>
      <w:r>
        <w:rPr>
          <w:rFonts w:ascii="Times New Roman" w:hAnsi="Times New Roman" w:cs="Times New Roman"/>
          <w:color w:val="auto"/>
        </w:rPr>
        <w:t>本项目污水处理站采用二级处理，处理工艺为“预消毒池+生物化粪池+格栅+集水井+调节池+水解酸化池+生物接触氧化池+二沉池+消毒池”，符合《关于发布&lt;医院污水处理技术指南&gt;的通知》（环发〔2003〕197号）医院污水处理工艺选择原则：“处理出水排入城市下水道（下游设有二级污水处理厂）的综合医院推荐采用二级处理，对采用一级处理工艺的必须加强处理效果”，也符合《医疗机构水污染物排放标准》（GB18466-2005）相关要求：“传染病医疗机构和综合医疗机构的传染病房应设专用化粪池，收集经消毒处理后的粪便排泄物等传染性废物”，出水水质可满足《医疗机构水污染物排放标准》（GB18466-2005）预处理标准。项目采取的水污染控制措施是有效可行的。</w:t>
      </w:r>
    </w:p>
    <w:p>
      <w:pPr>
        <w:spacing w:line="520" w:lineRule="exact"/>
        <w:rPr>
          <w:rFonts w:ascii="Times New Roman" w:hAnsi="Times New Roman" w:cs="Times New Roman"/>
          <w:color w:val="auto"/>
        </w:rPr>
      </w:pPr>
      <w:r>
        <w:rPr>
          <w:rFonts w:ascii="Times New Roman" w:hAnsi="Times New Roman" w:cs="Times New Roman"/>
          <w:color w:val="auto"/>
        </w:rPr>
        <w:t>（2）项目依托污水处理设施措施有效性评价</w:t>
      </w:r>
    </w:p>
    <w:p>
      <w:pPr>
        <w:spacing w:line="520" w:lineRule="exact"/>
        <w:rPr>
          <w:rFonts w:ascii="Times New Roman" w:hAnsi="Times New Roman" w:cs="Times New Roman"/>
          <w:color w:val="auto"/>
        </w:rPr>
      </w:pPr>
      <w:r>
        <w:rPr>
          <w:rFonts w:ascii="Times New Roman" w:hAnsi="Times New Roman" w:cs="Times New Roman"/>
          <w:color w:val="auto"/>
        </w:rPr>
        <w:t>项目排放的废水包括感染废水、食堂废水、医护及职工办公生活污水、病房和门诊产生的废水、保洁废水以及医院检验、分析、治疗产生的特殊废水经医院污水处理站处理后排入市政管网，进入吉木萨尔县污水处理厂进一步处理。</w:t>
      </w:r>
    </w:p>
    <w:p>
      <w:pPr>
        <w:spacing w:line="520" w:lineRule="exact"/>
        <w:rPr>
          <w:rFonts w:ascii="Times New Roman" w:hAnsi="Times New Roman" w:cs="Times New Roman"/>
          <w:color w:val="auto"/>
        </w:rPr>
      </w:pPr>
      <w:r>
        <w:rPr>
          <w:rFonts w:ascii="Times New Roman" w:hAnsi="Times New Roman" w:cs="Times New Roman"/>
          <w:color w:val="auto"/>
        </w:rPr>
        <w:t>根据《医疗机构水污染物排放标准》（GB18466-2005）、《医院污水处理工程技术规范》（HJ2029-2013）、《医院污水处理设计规范》（CECS07：2004），医疗机构污水处理工艺与要求主要内容列举如下：</w:t>
      </w:r>
    </w:p>
    <w:p>
      <w:pPr>
        <w:spacing w:line="520" w:lineRule="exact"/>
        <w:rPr>
          <w:rFonts w:ascii="Times New Roman" w:hAnsi="Times New Roman" w:cs="Times New Roman"/>
          <w:color w:val="auto"/>
        </w:rPr>
      </w:pPr>
      <w:r>
        <w:rPr>
          <w:rFonts w:ascii="Times New Roman" w:hAnsi="Times New Roman" w:cs="Times New Roman"/>
          <w:color w:val="auto"/>
        </w:rPr>
        <w:t>①医疗机构病区和非病区的污水应分流，不得将固体传染性废物，各种化学废液弃置和倾倒排入下水道；</w:t>
      </w:r>
    </w:p>
    <w:p>
      <w:pPr>
        <w:spacing w:line="520" w:lineRule="exact"/>
        <w:rPr>
          <w:rFonts w:ascii="Times New Roman" w:hAnsi="Times New Roman" w:cs="Times New Roman"/>
          <w:color w:val="auto"/>
        </w:rPr>
      </w:pPr>
      <w:r>
        <w:rPr>
          <w:rFonts w:ascii="Times New Roman" w:hAnsi="Times New Roman" w:cs="Times New Roman"/>
          <w:color w:val="auto"/>
        </w:rPr>
        <w:t>②医院内污水收集处理系统应按“清污分流、分质处理”的原则优化设置；</w:t>
      </w:r>
    </w:p>
    <w:p>
      <w:pPr>
        <w:spacing w:line="520" w:lineRule="exact"/>
        <w:rPr>
          <w:rFonts w:ascii="Times New Roman" w:hAnsi="Times New Roman" w:cs="Times New Roman"/>
          <w:color w:val="auto"/>
        </w:rPr>
      </w:pPr>
      <w:r>
        <w:rPr>
          <w:rFonts w:ascii="Times New Roman" w:hAnsi="Times New Roman" w:cs="Times New Roman"/>
          <w:color w:val="auto"/>
        </w:rPr>
        <w:t>③采用含氯消毒剂消毒的工艺控制要求为：排放标准：消毒接触池接触时间≥1h，接触池出口总余氯2~8mg/L。</w:t>
      </w:r>
    </w:p>
    <w:p>
      <w:pPr>
        <w:spacing w:line="520" w:lineRule="exact"/>
        <w:rPr>
          <w:rFonts w:ascii="Times New Roman" w:hAnsi="Times New Roman" w:cs="Times New Roman"/>
          <w:color w:val="auto"/>
        </w:rPr>
      </w:pPr>
      <w:r>
        <w:rPr>
          <w:rFonts w:ascii="Times New Roman" w:hAnsi="Times New Roman" w:cs="Times New Roman"/>
          <w:color w:val="auto"/>
        </w:rPr>
        <w:t>因此，根据环保管理要求，本项目污水处理系统采用“格栅+调节池+水解池+生化反应池+二次沉淀池+消毒池”处理工艺对医疗废水进行处理，出水水质可满足《医疗机构水污染物排放标准》（GB18466-2005）预处理标准</w:t>
      </w:r>
      <w:r>
        <w:rPr>
          <w:rFonts w:hint="eastAsia" w:ascii="Times New Roman" w:hAnsi="Times New Roman" w:cs="Times New Roman"/>
          <w:color w:val="auto"/>
        </w:rPr>
        <w:t>，</w:t>
      </w:r>
      <w:r>
        <w:rPr>
          <w:rFonts w:ascii="Times New Roman" w:hAnsi="Times New Roman" w:cs="Times New Roman"/>
          <w:color w:val="auto"/>
        </w:rPr>
        <w:t>消毒池出水可实现达标排放。</w:t>
      </w:r>
    </w:p>
    <w:p>
      <w:pPr>
        <w:spacing w:line="520" w:lineRule="exact"/>
        <w:rPr>
          <w:rFonts w:hint="default" w:ascii="Times New Roman" w:hAnsi="Times New Roman" w:eastAsia="宋体" w:cs="Times New Roman"/>
          <w:color w:val="auto"/>
          <w:lang w:val="en-US" w:eastAsia="zh-CN"/>
        </w:rPr>
      </w:pPr>
      <w:r>
        <w:rPr>
          <w:rFonts w:ascii="Times New Roman" w:hAnsi="Times New Roman" w:cs="Times New Roman"/>
          <w:color w:val="auto"/>
          <w:highlight w:val="none"/>
        </w:rPr>
        <w:t>吉木萨尔县污水处理厂于201</w:t>
      </w:r>
      <w:r>
        <w:rPr>
          <w:rFonts w:hint="eastAsia" w:ascii="Times New Roman" w:hAnsi="Times New Roman" w:cs="Times New Roman"/>
          <w:color w:val="auto"/>
          <w:highlight w:val="none"/>
          <w:lang w:val="en-US" w:eastAsia="zh-CN"/>
        </w:rPr>
        <w:t>7</w:t>
      </w:r>
      <w:r>
        <w:rPr>
          <w:rFonts w:ascii="Times New Roman" w:hAnsi="Times New Roman" w:cs="Times New Roman"/>
          <w:color w:val="auto"/>
          <w:highlight w:val="none"/>
        </w:rPr>
        <w:t>年1</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月建成并投入运行，采用“</w:t>
      </w:r>
      <w:r>
        <w:rPr>
          <w:rFonts w:hint="eastAsia" w:ascii="Times New Roman" w:hAnsi="Times New Roman" w:cs="Times New Roman"/>
          <w:color w:val="auto"/>
          <w:highlight w:val="none"/>
        </w:rPr>
        <w:t>强化脱氮改良A</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rPr>
        <w:t>/O工艺+絮凝沉淀滤布滤池工艺</w:t>
      </w:r>
      <w:r>
        <w:rPr>
          <w:rFonts w:ascii="Times New Roman" w:hAnsi="Times New Roman" w:cs="Times New Roman"/>
          <w:color w:val="auto"/>
          <w:highlight w:val="none"/>
        </w:rPr>
        <w:t>”处理工艺，设计处理能力为10000m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w:t>
      </w:r>
      <w:r>
        <w:rPr>
          <w:rFonts w:hint="eastAsia" w:ascii="Times New Roman" w:hAnsi="Times New Roman" w:cs="Times New Roman"/>
          <w:color w:val="auto"/>
          <w:highlight w:val="none"/>
          <w:lang w:eastAsia="zh-CN"/>
        </w:rPr>
        <w:t>，实际处理</w:t>
      </w:r>
      <w:r>
        <w:rPr>
          <w:rFonts w:hint="eastAsia" w:ascii="Times New Roman" w:hAnsi="Times New Roman" w:cs="Times New Roman"/>
          <w:color w:val="auto"/>
          <w:highlight w:val="none"/>
          <w:lang w:val="en-US" w:eastAsia="zh-CN"/>
        </w:rPr>
        <w:t>量</w:t>
      </w:r>
      <w:r>
        <w:rPr>
          <w:rFonts w:hint="eastAsia" w:ascii="Times New Roman" w:hAnsi="Times New Roman" w:cs="Times New Roman"/>
          <w:color w:val="auto"/>
          <w:highlight w:val="none"/>
          <w:lang w:eastAsia="zh-CN"/>
        </w:rPr>
        <w:t>为7000m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/d，</w:t>
      </w:r>
      <w:r>
        <w:rPr>
          <w:rFonts w:ascii="Times New Roman" w:hAnsi="Times New Roman" w:cs="Times New Roman"/>
          <w:color w:val="auto"/>
          <w:highlight w:val="none"/>
        </w:rPr>
        <w:t>经处理的出水水质达到《城镇污水处理厂污染物排放标准》（GB18918-2002）一级A标准。</w:t>
      </w:r>
      <w:r>
        <w:rPr>
          <w:rFonts w:ascii="Times New Roman" w:hAnsi="Times New Roman" w:cs="Times New Roman"/>
          <w:color w:val="auto"/>
        </w:rPr>
        <w:t>从水量方面分析，本项目废水排放量为112858m</w:t>
      </w:r>
      <w:r>
        <w:rPr>
          <w:rFonts w:ascii="Times New Roman" w:hAnsi="Times New Roman" w:cs="Times New Roman"/>
          <w:color w:val="auto"/>
          <w:vertAlign w:val="superscript"/>
        </w:rPr>
        <w:t>3</w:t>
      </w:r>
      <w:r>
        <w:rPr>
          <w:rFonts w:ascii="Times New Roman" w:hAnsi="Times New Roman" w:cs="Times New Roman"/>
          <w:color w:val="auto"/>
        </w:rPr>
        <w:t>/a（即309.2m</w:t>
      </w:r>
      <w:r>
        <w:rPr>
          <w:rFonts w:ascii="Times New Roman" w:hAnsi="Times New Roman" w:cs="Times New Roman"/>
          <w:color w:val="auto"/>
          <w:vertAlign w:val="superscript"/>
        </w:rPr>
        <w:t>3</w:t>
      </w:r>
      <w:r>
        <w:rPr>
          <w:rFonts w:ascii="Times New Roman" w:hAnsi="Times New Roman" w:cs="Times New Roman"/>
          <w:color w:val="auto"/>
        </w:rPr>
        <w:t>/d），</w:t>
      </w:r>
      <w:r>
        <w:rPr>
          <w:rFonts w:hint="eastAsia" w:ascii="Times New Roman" w:hAnsi="Times New Roman" w:cs="Times New Roman"/>
          <w:color w:val="auto"/>
        </w:rPr>
        <w:t>占吉木萨尔县污水处理厂处理能力的3.1%，</w:t>
      </w:r>
      <w:r>
        <w:rPr>
          <w:rFonts w:ascii="Times New Roman" w:hAnsi="Times New Roman" w:cs="Times New Roman"/>
          <w:color w:val="auto"/>
        </w:rPr>
        <w:t>本项目产生的废水在吉木萨尔县污水处理厂的处理能力范围内。</w:t>
      </w:r>
    </w:p>
    <w:p>
      <w:pPr>
        <w:spacing w:line="520" w:lineRule="exact"/>
        <w:rPr>
          <w:rFonts w:ascii="Times New Roman" w:hAnsi="Times New Roman" w:cs="Times New Roman"/>
          <w:color w:val="auto"/>
        </w:rPr>
      </w:pPr>
      <w:r>
        <w:rPr>
          <w:rFonts w:ascii="Times New Roman" w:hAnsi="Times New Roman" w:cs="Times New Roman"/>
          <w:color w:val="auto"/>
        </w:rPr>
        <w:t>综上，本项目依托吉木萨尔县污水处理厂集中处理是可行的。</w:t>
      </w:r>
    </w:p>
    <w:p>
      <w:pPr>
        <w:pStyle w:val="10"/>
        <w:rPr>
          <w:rFonts w:cs="Times New Roman"/>
          <w:color w:val="auto"/>
        </w:rPr>
      </w:pPr>
      <w:r>
        <w:rPr>
          <w:rFonts w:hint="eastAsia" w:cs="Times New Roman"/>
          <w:color w:val="auto"/>
        </w:rPr>
        <w:t>5</w:t>
      </w:r>
      <w:r>
        <w:rPr>
          <w:rFonts w:cs="Times New Roman"/>
          <w:color w:val="auto"/>
        </w:rPr>
        <w:t>.2.2.2 营运期地下水环境影响分析</w:t>
      </w:r>
    </w:p>
    <w:p>
      <w:pPr>
        <w:spacing w:line="520" w:lineRule="exact"/>
        <w:rPr>
          <w:rFonts w:ascii="Times New Roman" w:hAnsi="Times New Roman" w:cs="Times New Roman"/>
          <w:color w:val="auto"/>
        </w:rPr>
      </w:pPr>
      <w:r>
        <w:rPr>
          <w:rFonts w:ascii="Times New Roman" w:hAnsi="Times New Roman" w:cs="Times New Roman"/>
          <w:color w:val="auto"/>
        </w:rPr>
        <w:t>本项目不采用地下水作为水源，也不对地下水回灌，一般不会对地下水水质和水资源产生不利影响。根据项目区所在区域的地质情况，项目可能对地下水造成的污染途径主要有：污水处理设施的污水下渗对地下水造成的污染。</w:t>
      </w:r>
    </w:p>
    <w:p>
      <w:pPr>
        <w:spacing w:line="520" w:lineRule="exact"/>
        <w:rPr>
          <w:rFonts w:ascii="Times New Roman" w:hAnsi="Times New Roman" w:cs="Times New Roman"/>
          <w:color w:val="auto"/>
        </w:rPr>
      </w:pPr>
      <w:r>
        <w:rPr>
          <w:rFonts w:ascii="Times New Roman" w:hAnsi="Times New Roman" w:cs="Times New Roman"/>
          <w:color w:val="auto"/>
        </w:rPr>
        <w:t>项目营运期医疗废水、生活污水经管网收集后进入废水处理站处理达标后，</w:t>
      </w:r>
      <w:r>
        <w:rPr>
          <w:rFonts w:ascii="Times New Roman" w:hAnsi="Times New Roman" w:cs="Times New Roman"/>
          <w:color w:val="auto"/>
          <w:spacing w:val="-6"/>
        </w:rPr>
        <w:t>再外排市政污水管网。为防止污水处理站渗漏对地下水产生影响，应采取如下措施：</w:t>
      </w:r>
    </w:p>
    <w:p>
      <w:pPr>
        <w:spacing w:line="520" w:lineRule="exact"/>
        <w:rPr>
          <w:rFonts w:ascii="Times New Roman" w:hAnsi="Times New Roman" w:cs="Times New Roman"/>
          <w:color w:val="auto"/>
        </w:rPr>
      </w:pPr>
      <w:r>
        <w:rPr>
          <w:rFonts w:ascii="Times New Roman" w:hAnsi="Times New Roman" w:cs="Times New Roman"/>
          <w:color w:val="auto"/>
        </w:rPr>
        <w:t>（1）地埋式污水处理站和输送管道管材需满足《工业建设防腐蚀设计规范》（GB50046-2008）、《建筑防腐蚀工程施工及验收规范》（GB50235-97）中防腐防渗要求，应委托有经验的单位进行专业设计，确保防腐防渗措施达到要求。</w:t>
      </w:r>
    </w:p>
    <w:p>
      <w:pPr>
        <w:spacing w:line="520" w:lineRule="exact"/>
        <w:rPr>
          <w:rFonts w:ascii="Times New Roman" w:hAnsi="Times New Roman" w:cs="Times New Roman"/>
          <w:color w:val="auto"/>
        </w:rPr>
      </w:pPr>
      <w:r>
        <w:rPr>
          <w:rFonts w:ascii="Times New Roman" w:hAnsi="Times New Roman" w:cs="Times New Roman"/>
          <w:color w:val="auto"/>
        </w:rPr>
        <w:t>（2）污水处理站消毒池内涂沥青防腐涂料。</w:t>
      </w:r>
    </w:p>
    <w:p>
      <w:pPr>
        <w:spacing w:line="520" w:lineRule="exact"/>
        <w:rPr>
          <w:rFonts w:ascii="Times New Roman" w:hAnsi="Times New Roman" w:cs="Times New Roman"/>
          <w:color w:val="auto"/>
        </w:rPr>
      </w:pPr>
      <w:r>
        <w:rPr>
          <w:rFonts w:ascii="Times New Roman" w:hAnsi="Times New Roman" w:cs="Times New Roman"/>
          <w:color w:val="auto"/>
        </w:rPr>
        <w:t>（3）发生事故时应加强对泄漏液体的收集，不得随意排放；</w:t>
      </w:r>
    </w:p>
    <w:p>
      <w:pPr>
        <w:spacing w:line="520" w:lineRule="exact"/>
        <w:rPr>
          <w:rFonts w:ascii="Times New Roman" w:hAnsi="Times New Roman" w:cs="Times New Roman"/>
          <w:color w:val="auto"/>
        </w:rPr>
      </w:pPr>
      <w:r>
        <w:rPr>
          <w:rFonts w:ascii="Times New Roman" w:hAnsi="Times New Roman" w:cs="Times New Roman"/>
          <w:color w:val="auto"/>
        </w:rPr>
        <w:t>（4）应加强各地下设备的维修和故障排查，在管道达到运营寿命年限时。</w:t>
      </w:r>
    </w:p>
    <w:p>
      <w:pPr>
        <w:spacing w:line="520" w:lineRule="exact"/>
        <w:rPr>
          <w:rFonts w:ascii="Times New Roman" w:hAnsi="Times New Roman" w:cs="Times New Roman"/>
          <w:color w:val="auto"/>
        </w:rPr>
      </w:pPr>
      <w:r>
        <w:rPr>
          <w:rFonts w:ascii="Times New Roman" w:hAnsi="Times New Roman" w:cs="Times New Roman"/>
          <w:color w:val="auto"/>
        </w:rPr>
        <w:t>运营期产生的生活垃圾由环卫部门统一清运；医疗废物暂存于符合要求的暂存间，由有资质的单位回收、处置，避免了遭受降雨等的淋滤产生污水，不会影响地下水；污泥池产生的污泥定期由有资质单位回收、处置。</w:t>
      </w:r>
    </w:p>
    <w:p>
      <w:pPr>
        <w:spacing w:line="520" w:lineRule="exact"/>
        <w:rPr>
          <w:rFonts w:ascii="Times New Roman" w:hAnsi="Times New Roman" w:cs="Times New Roman"/>
          <w:color w:val="auto"/>
        </w:rPr>
      </w:pPr>
      <w:r>
        <w:rPr>
          <w:rFonts w:ascii="Times New Roman" w:hAnsi="Times New Roman" w:cs="Times New Roman"/>
          <w:color w:val="auto"/>
        </w:rPr>
        <w:t>综上分析，在落实好防渗、防漏、防污措施后，本项目污染物能得到有效处理，对地下水水质影响较小，项目的建设不会产生其他环境地质问题，因此对地下水环境质量影响较小。</w:t>
      </w:r>
    </w:p>
    <w:p>
      <w:pPr>
        <w:pStyle w:val="9"/>
        <w:rPr>
          <w:rFonts w:ascii="Times New Roman" w:hAnsi="Times New Roman" w:cs="Times New Roman"/>
          <w:color w:val="auto"/>
        </w:rPr>
      </w:pPr>
      <w:bookmarkStart w:id="375" w:name="_Toc7478"/>
      <w:r>
        <w:rPr>
          <w:rFonts w:hint="eastAsia" w:ascii="Times New Roman" w:hAnsi="Times New Roman" w:cs="Times New Roman"/>
          <w:color w:val="auto"/>
        </w:rPr>
        <w:t>5</w:t>
      </w:r>
      <w:r>
        <w:rPr>
          <w:rFonts w:ascii="Times New Roman" w:hAnsi="Times New Roman" w:cs="Times New Roman"/>
          <w:color w:val="auto"/>
        </w:rPr>
        <w:t>.2.3运营期声环境影响预测与评价</w:t>
      </w:r>
      <w:bookmarkEnd w:id="375"/>
    </w:p>
    <w:p>
      <w:pPr>
        <w:spacing w:line="520" w:lineRule="exact"/>
        <w:rPr>
          <w:rFonts w:ascii="Times New Roman" w:hAnsi="Times New Roman" w:cs="Times New Roman"/>
          <w:color w:val="auto"/>
        </w:rPr>
      </w:pPr>
      <w:r>
        <w:rPr>
          <w:rFonts w:ascii="Times New Roman" w:hAnsi="Times New Roman" w:cs="Times New Roman"/>
          <w:color w:val="auto"/>
        </w:rPr>
        <w:t>本项目产噪设备主要为门诊噪声、废水处理设施污水泵运行噪声、位于医院地下设备间的水泵，其噪声级约为75～80dB（A）。针对噪声源的特点，通过在设备机座与基础之间设橡胶隔振垫、隔声等措施降噪隔声后，可减低噪声10dB（A），其中风机采取设置消音器、基础减震措施，可减低噪声15dB（A）。</w:t>
      </w:r>
    </w:p>
    <w:p>
      <w:pPr>
        <w:spacing w:line="520" w:lineRule="exact"/>
        <w:ind w:firstLine="456"/>
        <w:rPr>
          <w:rFonts w:ascii="Times New Roman" w:hAnsi="Times New Roman" w:cs="Times New Roman"/>
          <w:color w:val="auto"/>
          <w:spacing w:val="-6"/>
        </w:rPr>
      </w:pPr>
      <w:r>
        <w:rPr>
          <w:rFonts w:ascii="Times New Roman" w:hAnsi="Times New Roman" w:cs="Times New Roman"/>
          <w:color w:val="auto"/>
          <w:spacing w:val="-6"/>
        </w:rPr>
        <w:t>本评价采用噪声距离衰减模式，预测各厂界处及声环境敏感点处的噪声影响。</w:t>
      </w:r>
    </w:p>
    <w:p>
      <w:pPr>
        <w:spacing w:line="520" w:lineRule="exact"/>
        <w:rPr>
          <w:rFonts w:ascii="Times New Roman" w:hAnsi="Times New Roman" w:cs="Times New Roman"/>
          <w:color w:val="auto"/>
        </w:rPr>
      </w:pPr>
      <w:r>
        <w:rPr>
          <w:rFonts w:ascii="Times New Roman" w:hAnsi="Times New Roman" w:cs="Times New Roman"/>
          <w:color w:val="auto"/>
        </w:rPr>
        <w:t>①预测模式：</w:t>
      </w:r>
    </w:p>
    <w:p>
      <w:pPr>
        <w:ind w:firstLine="0" w:firstLineChars="0"/>
        <w:jc w:val="center"/>
        <w:rPr>
          <w:rFonts w:ascii="Times New Roman" w:hAnsi="Times New Roman" w:cs="Times New Roman"/>
          <w:color w:val="auto"/>
        </w:rPr>
      </w:pPr>
      <w:r>
        <w:rPr>
          <w:rFonts w:ascii="Times New Roman" w:hAnsi="Times New Roman" w:cs="Times New Roman"/>
          <w:color w:val="auto"/>
        </w:rPr>
        <w:t>L</w:t>
      </w:r>
      <w:r>
        <w:rPr>
          <w:rFonts w:ascii="Times New Roman" w:hAnsi="Times New Roman" w:cs="Times New Roman"/>
          <w:color w:val="auto"/>
          <w:vertAlign w:val="subscript"/>
        </w:rPr>
        <w:t>P</w:t>
      </w:r>
      <w:r>
        <w:rPr>
          <w:rFonts w:ascii="Times New Roman" w:hAnsi="Times New Roman" w:cs="Times New Roman"/>
          <w:color w:val="auto"/>
        </w:rPr>
        <w:t>=L</w:t>
      </w:r>
      <w:r>
        <w:rPr>
          <w:rFonts w:ascii="Times New Roman" w:hAnsi="Times New Roman" w:cs="Times New Roman"/>
          <w:color w:val="auto"/>
          <w:vertAlign w:val="subscript"/>
        </w:rPr>
        <w:t>P0</w:t>
      </w:r>
      <w:r>
        <w:rPr>
          <w:rFonts w:ascii="Times New Roman" w:hAnsi="Times New Roman" w:cs="Times New Roman"/>
          <w:color w:val="auto"/>
        </w:rPr>
        <w:t>－20lg（r/r</w:t>
      </w:r>
      <w:r>
        <w:rPr>
          <w:rFonts w:ascii="Times New Roman" w:hAnsi="Times New Roman" w:cs="Times New Roman"/>
          <w:color w:val="auto"/>
          <w:vertAlign w:val="subscript"/>
        </w:rPr>
        <w:t>0</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式中：L</w:t>
      </w:r>
      <w:r>
        <w:rPr>
          <w:rFonts w:ascii="Times New Roman" w:hAnsi="Times New Roman" w:cs="Times New Roman"/>
          <w:color w:val="auto"/>
          <w:vertAlign w:val="subscript"/>
        </w:rPr>
        <w:t xml:space="preserve">P </w:t>
      </w:r>
      <w:r>
        <w:rPr>
          <w:rFonts w:ascii="Times New Roman" w:hAnsi="Times New Roman" w:cs="Times New Roman"/>
          <w:color w:val="auto"/>
        </w:rPr>
        <w:t>—评价点噪声预测值，dB（A）；</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L</w:t>
      </w:r>
      <w:r>
        <w:rPr>
          <w:rFonts w:ascii="Times New Roman" w:hAnsi="Times New Roman" w:cs="Times New Roman"/>
          <w:color w:val="auto"/>
          <w:vertAlign w:val="subscript"/>
        </w:rPr>
        <w:t>P0</w:t>
      </w:r>
      <w:r>
        <w:rPr>
          <w:rFonts w:ascii="Times New Roman" w:hAnsi="Times New Roman" w:cs="Times New Roman"/>
          <w:color w:val="auto"/>
        </w:rPr>
        <w:t>—参考位置r</w:t>
      </w:r>
      <w:r>
        <w:rPr>
          <w:rFonts w:ascii="Times New Roman" w:hAnsi="Times New Roman" w:cs="Times New Roman"/>
          <w:color w:val="auto"/>
          <w:vertAlign w:val="subscript"/>
        </w:rPr>
        <w:t>0</w:t>
      </w:r>
      <w:r>
        <w:rPr>
          <w:rFonts w:ascii="Times New Roman" w:hAnsi="Times New Roman" w:cs="Times New Roman"/>
          <w:color w:val="auto"/>
        </w:rPr>
        <w:t>处的声源压级，dB（A）；</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r —为预测点距声源的距离，m；</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r</w:t>
      </w:r>
      <w:r>
        <w:rPr>
          <w:rFonts w:ascii="Times New Roman" w:hAnsi="Times New Roman" w:cs="Times New Roman"/>
          <w:color w:val="auto"/>
          <w:vertAlign w:val="subscript"/>
        </w:rPr>
        <w:t>0</w:t>
      </w:r>
      <w:r>
        <w:rPr>
          <w:rFonts w:ascii="Times New Roman" w:hAnsi="Times New Roman" w:cs="Times New Roman"/>
          <w:color w:val="auto"/>
        </w:rPr>
        <w:t>—为参考点距声源的距离，m。</w:t>
      </w:r>
    </w:p>
    <w:p>
      <w:pPr>
        <w:spacing w:line="520" w:lineRule="exact"/>
        <w:rPr>
          <w:rFonts w:ascii="Times New Roman" w:hAnsi="Times New Roman" w:cs="Times New Roman"/>
          <w:color w:val="auto"/>
        </w:rPr>
      </w:pPr>
      <w:r>
        <w:rPr>
          <w:rFonts w:ascii="Times New Roman" w:hAnsi="Times New Roman" w:cs="Times New Roman"/>
          <w:color w:val="auto"/>
        </w:rPr>
        <w:t>②评价标准</w:t>
      </w:r>
    </w:p>
    <w:p>
      <w:pPr>
        <w:spacing w:line="520" w:lineRule="exact"/>
        <w:ind w:firstLine="456"/>
        <w:rPr>
          <w:rFonts w:ascii="Times New Roman" w:hAnsi="Times New Roman" w:cs="Times New Roman"/>
          <w:color w:val="auto"/>
        </w:rPr>
      </w:pPr>
      <w:r>
        <w:rPr>
          <w:rFonts w:ascii="Times New Roman" w:hAnsi="Times New Roman" w:cs="Times New Roman"/>
          <w:color w:val="auto"/>
          <w:spacing w:val="-6"/>
        </w:rPr>
        <w:t>评价标准采用《工业单位厂界环境噪声排放标准》（GB12348-2008）中2类。</w:t>
      </w:r>
    </w:p>
    <w:p>
      <w:pPr>
        <w:spacing w:line="520" w:lineRule="exact"/>
        <w:rPr>
          <w:rFonts w:ascii="Times New Roman" w:hAnsi="Times New Roman" w:cs="Times New Roman"/>
          <w:color w:val="auto"/>
        </w:rPr>
      </w:pPr>
      <w:r>
        <w:rPr>
          <w:rFonts w:ascii="Times New Roman" w:hAnsi="Times New Roman" w:cs="Times New Roman"/>
          <w:color w:val="auto"/>
        </w:rPr>
        <w:t>③预测结果</w:t>
      </w:r>
    </w:p>
    <w:p>
      <w:pPr>
        <w:spacing w:line="520" w:lineRule="exact"/>
        <w:rPr>
          <w:rFonts w:ascii="Times New Roman" w:hAnsi="Times New Roman" w:cs="Times New Roman"/>
          <w:color w:val="auto"/>
        </w:rPr>
      </w:pPr>
      <w:r>
        <w:rPr>
          <w:rFonts w:ascii="Times New Roman" w:hAnsi="Times New Roman" w:cs="Times New Roman"/>
          <w:color w:val="auto"/>
        </w:rPr>
        <w:t>本项目营运期厂界噪声预测结果见表</w:t>
      </w:r>
      <w:r>
        <w:rPr>
          <w:rFonts w:hint="eastAsia" w:ascii="Times New Roman" w:hAnsi="Times New Roman" w:cs="Times New Roman"/>
          <w:color w:val="auto"/>
        </w:rPr>
        <w:t>5.2-8</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5.2-8</w:t>
      </w:r>
      <w:r>
        <w:rPr>
          <w:rFonts w:cs="Times New Roman"/>
          <w:color w:val="auto"/>
        </w:rPr>
        <w:t xml:space="preserve">   设备噪声源对厂界四周的影响值预测</w:t>
      </w:r>
    </w:p>
    <w:tbl>
      <w:tblPr>
        <w:tblStyle w:val="24"/>
        <w:tblW w:w="5001"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47"/>
        <w:gridCol w:w="947"/>
        <w:gridCol w:w="997"/>
        <w:gridCol w:w="1764"/>
        <w:gridCol w:w="826"/>
        <w:gridCol w:w="997"/>
        <w:gridCol w:w="473"/>
        <w:gridCol w:w="658"/>
        <w:gridCol w:w="70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blHeader/>
        </w:trPr>
        <w:tc>
          <w:tcPr>
            <w:tcW w:w="56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评价点</w:t>
            </w:r>
          </w:p>
        </w:tc>
        <w:tc>
          <w:tcPr>
            <w:tcW w:w="56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污染源</w:t>
            </w: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源强</w:t>
            </w:r>
          </w:p>
        </w:tc>
        <w:tc>
          <w:tcPr>
            <w:tcW w:w="1060"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降噪措施</w:t>
            </w:r>
          </w:p>
        </w:tc>
        <w:tc>
          <w:tcPr>
            <w:tcW w:w="49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衰减</w:t>
            </w: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评价点</w:t>
            </w:r>
          </w:p>
        </w:tc>
        <w:tc>
          <w:tcPr>
            <w:tcW w:w="679" w:type="pct"/>
            <w:gridSpan w:val="2"/>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排放值</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判断</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东</w:t>
            </w:r>
          </w:p>
        </w:tc>
        <w:tc>
          <w:tcPr>
            <w:tcW w:w="569"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风机、水泵等</w:t>
            </w:r>
          </w:p>
        </w:tc>
        <w:tc>
          <w:tcPr>
            <w:tcW w:w="599"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75-80</w:t>
            </w:r>
          </w:p>
        </w:tc>
        <w:tc>
          <w:tcPr>
            <w:tcW w:w="1060"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减振、隔声</w:t>
            </w:r>
          </w:p>
          <w:p>
            <w:pPr>
              <w:pStyle w:val="36"/>
              <w:rPr>
                <w:rFonts w:ascii="Times New Roman" w:hAnsi="Times New Roman" w:cs="Times New Roman"/>
                <w:color w:val="auto"/>
              </w:rPr>
            </w:pPr>
            <w:r>
              <w:rPr>
                <w:rFonts w:ascii="Times New Roman" w:hAnsi="Times New Roman" w:cs="Times New Roman"/>
                <w:color w:val="auto"/>
              </w:rPr>
              <w:t>15-25</w:t>
            </w: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50</w:t>
            </w: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43.0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昼</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51.0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060"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37.0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夜</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hint="eastAsia" w:ascii="Times New Roman" w:hAnsi="Times New Roman" w:cs="Times New Roman"/>
                <w:color w:val="auto"/>
                <w:lang w:val="en-US" w:eastAsia="zh-CN"/>
              </w:rPr>
              <w:t>40</w:t>
            </w:r>
            <w:r>
              <w:rPr>
                <w:rFonts w:ascii="Times New Roman" w:hAnsi="Times New Roman" w:cs="Times New Roman"/>
                <w:color w:val="auto"/>
              </w:rPr>
              <w:t>.0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南</w:t>
            </w: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060"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40</w:t>
            </w: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41.0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昼</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44.0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060"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35.0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夜</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41.0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北</w:t>
            </w: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060"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30</w:t>
            </w: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50.0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昼</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50.0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060"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41.0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夜</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42.0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西</w:t>
            </w: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060"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32</w:t>
            </w: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50.0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昼</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50.0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6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060"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59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37.0</w:t>
            </w:r>
          </w:p>
        </w:tc>
        <w:tc>
          <w:tcPr>
            <w:tcW w:w="28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夜</w:t>
            </w:r>
          </w:p>
        </w:tc>
        <w:tc>
          <w:tcPr>
            <w:tcW w:w="39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38.0</w:t>
            </w:r>
          </w:p>
        </w:tc>
        <w:tc>
          <w:tcPr>
            <w:tcW w:w="4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达标</w:t>
            </w:r>
          </w:p>
        </w:tc>
      </w:tr>
    </w:tbl>
    <w:p>
      <w:pPr>
        <w:spacing w:line="520" w:lineRule="exact"/>
        <w:rPr>
          <w:rFonts w:ascii="Times New Roman" w:hAnsi="Times New Roman" w:cs="Times New Roman"/>
          <w:color w:val="auto"/>
        </w:rPr>
      </w:pPr>
      <w:r>
        <w:rPr>
          <w:rFonts w:ascii="Times New Roman" w:hAnsi="Times New Roman" w:cs="Times New Roman"/>
          <w:color w:val="auto"/>
        </w:rPr>
        <w:t>从以上预测结果来看，项目营运期间，在采取噪声源强治理措施后，各噪声源对厂界的影响值在35dB（A）～50dB（A）之间，厂界均满足《工业单位厂界环境噪声排放标准》（GB12348-2008）中1类标准限值，对周围环境影响较小。</w:t>
      </w:r>
    </w:p>
    <w:p>
      <w:pPr>
        <w:pStyle w:val="9"/>
        <w:rPr>
          <w:rFonts w:ascii="Times New Roman" w:hAnsi="Times New Roman" w:cs="Times New Roman"/>
          <w:color w:val="auto"/>
        </w:rPr>
      </w:pPr>
      <w:bookmarkStart w:id="376" w:name="6.3.8.2非正常工况下车间排气筒废气预测结果分析"/>
      <w:bookmarkEnd w:id="376"/>
      <w:bookmarkStart w:id="377" w:name="6.3.10卫生防护距离的确定"/>
      <w:bookmarkEnd w:id="377"/>
      <w:bookmarkStart w:id="378" w:name="6.3.9大气环境防护距离的确定"/>
      <w:bookmarkEnd w:id="378"/>
      <w:bookmarkStart w:id="379" w:name="_Toc27088"/>
      <w:r>
        <w:rPr>
          <w:rFonts w:hint="eastAsia" w:ascii="Times New Roman" w:hAnsi="Times New Roman" w:cs="Times New Roman"/>
          <w:color w:val="auto"/>
        </w:rPr>
        <w:t>5</w:t>
      </w:r>
      <w:r>
        <w:rPr>
          <w:rFonts w:ascii="Times New Roman" w:hAnsi="Times New Roman" w:cs="Times New Roman"/>
          <w:color w:val="auto"/>
        </w:rPr>
        <w:t>.2.4 运营期固体废物环境影响预测与评价</w:t>
      </w:r>
      <w:bookmarkEnd w:id="379"/>
    </w:p>
    <w:p>
      <w:pPr>
        <w:snapToGrid w:val="0"/>
        <w:spacing w:line="520" w:lineRule="exact"/>
        <w:rPr>
          <w:rFonts w:ascii="Times New Roman" w:hAnsi="Times New Roman" w:cs="Times New Roman"/>
          <w:color w:val="auto"/>
        </w:rPr>
      </w:pPr>
      <w:r>
        <w:rPr>
          <w:rFonts w:ascii="Times New Roman" w:hAnsi="Times New Roman" w:cs="Times New Roman"/>
          <w:color w:val="auto"/>
        </w:rPr>
        <w:t>本项目营运期产生的固体废物主要是生活垃圾、医疗废物和污水处理站产生的污泥。</w:t>
      </w:r>
    </w:p>
    <w:p>
      <w:pPr>
        <w:pStyle w:val="10"/>
        <w:rPr>
          <w:rFonts w:cs="Times New Roman"/>
          <w:color w:val="auto"/>
        </w:rPr>
      </w:pPr>
      <w:r>
        <w:rPr>
          <w:rFonts w:hint="eastAsia" w:cs="Times New Roman"/>
          <w:color w:val="auto"/>
        </w:rPr>
        <w:t>5</w:t>
      </w:r>
      <w:r>
        <w:rPr>
          <w:rFonts w:cs="Times New Roman"/>
          <w:color w:val="auto"/>
        </w:rPr>
        <w:t>.2.4.1 生活垃圾对环境影响分析</w:t>
      </w:r>
    </w:p>
    <w:p>
      <w:pPr>
        <w:snapToGrid w:val="0"/>
        <w:spacing w:line="520" w:lineRule="exact"/>
        <w:rPr>
          <w:rFonts w:ascii="Times New Roman" w:hAnsi="Times New Roman" w:cs="Times New Roman"/>
          <w:color w:val="auto"/>
        </w:rPr>
      </w:pPr>
      <w:r>
        <w:rPr>
          <w:rFonts w:ascii="Times New Roman" w:hAnsi="Times New Roman" w:cs="Times New Roman"/>
          <w:color w:val="auto"/>
        </w:rPr>
        <w:t>根据工程分析可知，本项目生活垃圾主要来源医护人员、门诊部及陪护人员产生的一般生活垃圾，产生量为244.55t/a，该生活垃圾有环卫部门统一收集，最终运至吉木萨尔县生活垃圾填埋场填埋处理。</w:t>
      </w:r>
    </w:p>
    <w:p>
      <w:pPr>
        <w:snapToGrid w:val="0"/>
        <w:spacing w:line="520" w:lineRule="exact"/>
        <w:rPr>
          <w:rFonts w:ascii="Times New Roman" w:hAnsi="Times New Roman" w:cs="Times New Roman"/>
          <w:color w:val="auto"/>
        </w:rPr>
      </w:pPr>
      <w:r>
        <w:rPr>
          <w:rFonts w:ascii="Times New Roman" w:hAnsi="Times New Roman" w:cs="Times New Roman"/>
          <w:color w:val="auto"/>
        </w:rPr>
        <w:t>本项目生活垃圾经以上措施处理后，不会对建设项目周围环境造成明显的不良影响。</w:t>
      </w:r>
    </w:p>
    <w:p>
      <w:pPr>
        <w:pStyle w:val="10"/>
        <w:rPr>
          <w:rFonts w:hint="eastAsia" w:cs="Times New Roman"/>
          <w:color w:val="auto"/>
        </w:rPr>
      </w:pPr>
    </w:p>
    <w:p>
      <w:pPr>
        <w:pStyle w:val="10"/>
        <w:rPr>
          <w:rFonts w:cs="Times New Roman"/>
          <w:color w:val="auto"/>
        </w:rPr>
      </w:pPr>
      <w:r>
        <w:rPr>
          <w:rFonts w:hint="eastAsia" w:cs="Times New Roman"/>
          <w:color w:val="auto"/>
        </w:rPr>
        <w:t>5</w:t>
      </w:r>
      <w:r>
        <w:rPr>
          <w:rFonts w:cs="Times New Roman"/>
          <w:color w:val="auto"/>
        </w:rPr>
        <w:t>.2.4.2 医疗垃圾对环境影响分析</w:t>
      </w:r>
    </w:p>
    <w:p>
      <w:pPr>
        <w:snapToGrid w:val="0"/>
        <w:spacing w:line="520" w:lineRule="exact"/>
        <w:rPr>
          <w:rFonts w:ascii="Times New Roman" w:hAnsi="Times New Roman" w:cs="Times New Roman"/>
          <w:color w:val="auto"/>
        </w:rPr>
      </w:pPr>
      <w:r>
        <w:rPr>
          <w:rFonts w:ascii="Times New Roman" w:hAnsi="Times New Roman" w:cs="Times New Roman"/>
          <w:color w:val="auto"/>
        </w:rPr>
        <w:t>项目医疗垃圾主要为破损的体温计、废针头、压舌板等器材和一次性医疗卫生用品；污染的纱布、绷带、脱脂棉等废敷料；检验过程中使用的器皿、试管、吸管、标本、培养基等废弃物；病区卫生清洁用擦布、拖布等。这些医疗垃圾含有大量的病原微生物、寄生虫等有害物质，处理不当将会引起空气、水源、土壤的污染，极易造成院内感染的发生和流行，对社会人群也将带来极大的危害。</w:t>
      </w:r>
    </w:p>
    <w:p>
      <w:pPr>
        <w:snapToGrid w:val="0"/>
        <w:spacing w:line="520" w:lineRule="exact"/>
        <w:rPr>
          <w:rFonts w:ascii="Times New Roman" w:hAnsi="Times New Roman" w:cs="Times New Roman"/>
          <w:color w:val="auto"/>
        </w:rPr>
      </w:pPr>
      <w:r>
        <w:rPr>
          <w:rFonts w:ascii="Times New Roman" w:hAnsi="Times New Roman" w:cs="Times New Roman"/>
          <w:color w:val="auto"/>
        </w:rPr>
        <w:t>根据《医疗废物管理条例》（2003年颁布，2011年修订）规定，医疗卫生机构应当建立、健全医疗废物管理责任制；应制定与医疗废物安全处置有关的规章制度和在发生意外事故时的应急方案；应当对本单位从事医疗废物收集、运送、贮存、处置等工作的人员和管理人员，进行相关法律和专业技术、安全防护以及紧急处理等知识的培训；应当采取有效的职业卫生防护措施；应该执行危险废物转移联单管理制度；应该执行登记制度；应当采取有效措施，防止医疗废物流失、泄漏、扩散。</w:t>
      </w:r>
    </w:p>
    <w:p>
      <w:pPr>
        <w:snapToGrid w:val="0"/>
        <w:spacing w:line="520" w:lineRule="exact"/>
        <w:rPr>
          <w:rFonts w:ascii="Times New Roman" w:hAnsi="Times New Roman" w:cs="Times New Roman"/>
          <w:color w:val="auto"/>
        </w:rPr>
      </w:pPr>
      <w:r>
        <w:rPr>
          <w:rFonts w:ascii="Times New Roman" w:hAnsi="Times New Roman" w:cs="Times New Roman"/>
          <w:color w:val="auto"/>
        </w:rPr>
        <w:t>医疗卫生机构应当及时分类收集，本项目产生的医疗废物，按照类别分置于防渗漏、防锐器穿透的专用包装物或者密闭的容器内。医疗废物专用包装物、容器，应当有明显的警示标识和警示说明。医疗废物中病原体的培养基、标本和菌种、毒种保存液等高危险废物，在交医疗废物集中处置单位处置前应当就地消毒。所有医疗垃圾将使用防渗漏、防遗撒的专用运送工具，医疗废物运送时间，将医疗垃圾收集、运送至暂时贮存地点，及时清运，医疗废物暂时贮存的时间不得超过2天，并对使用后的运送工具在内部指定的地点及时进行消毒和清洁。不得露天存放医疗废物。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应满足《危险废物贮存污染控制标准》（GB18597-2001）。医院应当使用防渗漏、防遗撒的专用运送工具，按照本单位确定的内部医疗废物运送时间、路线，将医疗废物收集、运送至暂时贮存地点。运送工具使用后应当在医院内指定的地点及时消毒和清洁。医疗废物转运车应满足《医疗废物转运车技术要求》（GB19217-2003）。</w:t>
      </w:r>
    </w:p>
    <w:p>
      <w:pPr>
        <w:snapToGrid w:val="0"/>
        <w:spacing w:line="520" w:lineRule="exact"/>
        <w:rPr>
          <w:rFonts w:ascii="Times New Roman" w:hAnsi="Times New Roman" w:cs="Times New Roman"/>
          <w:color w:val="auto"/>
        </w:rPr>
      </w:pPr>
      <w:r>
        <w:rPr>
          <w:rFonts w:ascii="Times New Roman" w:hAnsi="Times New Roman" w:cs="Times New Roman"/>
          <w:color w:val="auto"/>
        </w:rPr>
        <w:t>根据《国家危险废物名录》（2021版）规定，医疗废物属危险废物，危废</w:t>
      </w:r>
      <w:r>
        <w:rPr>
          <w:rFonts w:hint="eastAsia" w:ascii="Times New Roman" w:hAnsi="Times New Roman" w:cs="Times New Roman"/>
          <w:color w:val="auto"/>
          <w:lang w:val="en-US" w:eastAsia="zh-CN"/>
        </w:rPr>
        <w:t>代码</w:t>
      </w:r>
      <w:r>
        <w:rPr>
          <w:rFonts w:ascii="Times New Roman" w:hAnsi="Times New Roman" w:cs="Times New Roman"/>
          <w:color w:val="auto"/>
        </w:rPr>
        <w:t>：HW</w:t>
      </w:r>
      <w:r>
        <w:rPr>
          <w:rFonts w:hint="eastAsia" w:ascii="Times New Roman" w:hAnsi="Times New Roman" w:cs="Times New Roman"/>
          <w:color w:val="auto"/>
          <w:lang w:val="en-US" w:eastAsia="zh-CN"/>
        </w:rPr>
        <w:t>49（772-006-49）</w:t>
      </w:r>
      <w:r>
        <w:rPr>
          <w:rFonts w:ascii="Times New Roman" w:hAnsi="Times New Roman" w:cs="Times New Roman"/>
          <w:color w:val="auto"/>
        </w:rPr>
        <w:t>，应按规定分类收集至相应容器暂存于医疗废物暂存室（暂存时间不得超过2天），由有资质的单位用专用车辆运输、处置并执行危险废物联单管理制度，最终送往资质单位处理后，对环境影响较小。因此，采取上述系列措施处理后，本项目医疗垃圾将不会对周围环境造成影响。</w:t>
      </w:r>
    </w:p>
    <w:p>
      <w:pPr>
        <w:snapToGrid w:val="0"/>
        <w:spacing w:line="520" w:lineRule="exact"/>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本项目固废产生及处置情况详见表5.2-9。</w:t>
      </w:r>
    </w:p>
    <w:p>
      <w:pPr>
        <w:pStyle w:val="35"/>
        <w:snapToGrid w:val="0"/>
        <w:spacing w:before="0" w:after="0" w:line="520" w:lineRule="exact"/>
        <w:rPr>
          <w:rFonts w:cs="Times New Roman"/>
          <w:color w:val="auto"/>
        </w:rPr>
      </w:pPr>
      <w:r>
        <w:rPr>
          <w:rFonts w:cs="Times New Roman"/>
          <w:color w:val="auto"/>
        </w:rPr>
        <w:t>表</w:t>
      </w:r>
      <w:r>
        <w:rPr>
          <w:rFonts w:hint="eastAsia" w:cs="Times New Roman"/>
          <w:color w:val="auto"/>
          <w:lang w:val="en-US" w:eastAsia="zh-CN"/>
        </w:rPr>
        <w:t>5.2-9</w:t>
      </w:r>
      <w:r>
        <w:rPr>
          <w:rFonts w:cs="Times New Roman"/>
          <w:color w:val="auto"/>
        </w:rPr>
        <w:t xml:space="preserve">    全院固体废物产生与处置情况</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735"/>
        <w:gridCol w:w="1420"/>
        <w:gridCol w:w="1422"/>
        <w:gridCol w:w="1420"/>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47" w:type="pc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1018" w:type="pc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固体废物类别</w:t>
            </w:r>
          </w:p>
        </w:tc>
        <w:tc>
          <w:tcPr>
            <w:tcW w:w="833" w:type="pc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833" w:type="pc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产生系数</w:t>
            </w:r>
          </w:p>
        </w:tc>
        <w:tc>
          <w:tcPr>
            <w:tcW w:w="833" w:type="pc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产生量（t/a）</w:t>
            </w:r>
          </w:p>
        </w:tc>
        <w:tc>
          <w:tcPr>
            <w:tcW w:w="833" w:type="pct"/>
            <w:vAlign w:val="center"/>
          </w:tcPr>
          <w:p>
            <w:pPr>
              <w:snapToGrid w:val="0"/>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w:t>
            </w:r>
          </w:p>
        </w:tc>
        <w:tc>
          <w:tcPr>
            <w:tcW w:w="4352" w:type="pct"/>
            <w:gridSpan w:val="5"/>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018"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医疗废物</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运营过程中</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87.6</w:t>
            </w:r>
          </w:p>
        </w:tc>
        <w:tc>
          <w:tcPr>
            <w:tcW w:w="833" w:type="pct"/>
            <w:vMerge w:val="restar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消毒后，委托有资质单位妥善处置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018"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污泥、格栅渣</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厂区污水站</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29.13</w:t>
            </w:r>
          </w:p>
        </w:tc>
        <w:tc>
          <w:tcPr>
            <w:tcW w:w="833" w:type="pct"/>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4"/>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sum(E3:E4)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116.73</w:t>
            </w:r>
            <w:r>
              <w:rPr>
                <w:rFonts w:ascii="Times New Roman" w:hAnsi="Times New Roman" w:cs="Times New Roman"/>
                <w:color w:val="auto"/>
                <w:sz w:val="21"/>
                <w:szCs w:val="21"/>
              </w:rPr>
              <w:fldChar w:fldCharType="end"/>
            </w:r>
          </w:p>
        </w:tc>
        <w:tc>
          <w:tcPr>
            <w:tcW w:w="833" w:type="pct"/>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w:t>
            </w:r>
          </w:p>
        </w:tc>
        <w:tc>
          <w:tcPr>
            <w:tcW w:w="4352" w:type="pct"/>
            <w:gridSpan w:val="5"/>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018"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医护人员</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540人</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0.5kg/人·d</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98.55</w:t>
            </w:r>
          </w:p>
        </w:tc>
        <w:tc>
          <w:tcPr>
            <w:tcW w:w="833" w:type="pct"/>
            <w:vMerge w:val="restar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018"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住院部</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600床</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0.5kg/床</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109.5</w:t>
            </w:r>
          </w:p>
        </w:tc>
        <w:tc>
          <w:tcPr>
            <w:tcW w:w="833" w:type="pct"/>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018"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门诊部</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1000次</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0.1kg/人次</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36.5</w:t>
            </w:r>
          </w:p>
        </w:tc>
        <w:tc>
          <w:tcPr>
            <w:tcW w:w="833" w:type="pct"/>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4"/>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 sum(E7:E9) \* MERGEFORMAT </w:instrText>
            </w:r>
            <w:r>
              <w:rPr>
                <w:rFonts w:ascii="Times New Roman" w:hAnsi="Times New Roman" w:cs="Times New Roman"/>
                <w:color w:val="auto"/>
                <w:sz w:val="21"/>
                <w:szCs w:val="21"/>
              </w:rPr>
              <w:fldChar w:fldCharType="separate"/>
            </w:r>
            <w:r>
              <w:rPr>
                <w:rFonts w:ascii="Times New Roman" w:hAnsi="Times New Roman" w:cs="Times New Roman"/>
                <w:color w:val="auto"/>
                <w:sz w:val="21"/>
                <w:szCs w:val="21"/>
              </w:rPr>
              <w:t>244.55</w:t>
            </w:r>
            <w:r>
              <w:rPr>
                <w:rFonts w:ascii="Times New Roman" w:hAnsi="Times New Roman" w:cs="Times New Roman"/>
                <w:color w:val="auto"/>
                <w:sz w:val="21"/>
                <w:szCs w:val="21"/>
              </w:rPr>
              <w:fldChar w:fldCharType="end"/>
            </w:r>
          </w:p>
        </w:tc>
        <w:tc>
          <w:tcPr>
            <w:tcW w:w="833" w:type="pct"/>
            <w:vMerge w:val="continue"/>
            <w:vAlign w:val="center"/>
          </w:tcPr>
          <w:p>
            <w:pPr>
              <w:snapToGrid w:val="0"/>
              <w:spacing w:line="240" w:lineRule="auto"/>
              <w:ind w:firstLine="0" w:firstLineChars="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2" w:type="pct"/>
            <w:gridSpan w:val="4"/>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361.28</w:t>
            </w:r>
          </w:p>
        </w:tc>
        <w:tc>
          <w:tcPr>
            <w:tcW w:w="833" w:type="pct"/>
            <w:vAlign w:val="center"/>
          </w:tcPr>
          <w:p>
            <w:pPr>
              <w:snapToGrid w:val="0"/>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妥善处理</w:t>
            </w:r>
          </w:p>
        </w:tc>
      </w:tr>
    </w:tbl>
    <w:p>
      <w:pPr>
        <w:pStyle w:val="10"/>
        <w:rPr>
          <w:rFonts w:cs="Times New Roman"/>
          <w:color w:val="auto"/>
        </w:rPr>
      </w:pPr>
      <w:r>
        <w:rPr>
          <w:rFonts w:hint="eastAsia" w:cs="Times New Roman"/>
          <w:color w:val="auto"/>
        </w:rPr>
        <w:t>5</w:t>
      </w:r>
      <w:r>
        <w:rPr>
          <w:rFonts w:cs="Times New Roman"/>
          <w:color w:val="auto"/>
        </w:rPr>
        <w:t>.2.4.3 污泥对环境影响分析</w:t>
      </w:r>
    </w:p>
    <w:p>
      <w:pPr>
        <w:snapToGrid w:val="0"/>
        <w:spacing w:line="520" w:lineRule="exact"/>
        <w:rPr>
          <w:rFonts w:ascii="Times New Roman" w:hAnsi="Times New Roman" w:cs="Times New Roman"/>
          <w:color w:val="auto"/>
        </w:rPr>
      </w:pPr>
      <w:r>
        <w:rPr>
          <w:rFonts w:ascii="Times New Roman" w:hAnsi="Times New Roman" w:cs="Times New Roman"/>
          <w:color w:val="auto"/>
        </w:rPr>
        <w:t>本项目污水处理站产生的污泥也属于医疗废物，属于危险废物应按危险废物进行处理和处置，本项目医疗废物委托有资质单位统一处理。只要本项目加强管理，对产生的固体废物进行分类、收集、消毒、无害化处理处置，并对代处理单位进行必要的监督，固废不会对周围环境带来不利影响。</w:t>
      </w:r>
    </w:p>
    <w:p>
      <w:pPr>
        <w:snapToGrid w:val="0"/>
        <w:spacing w:line="520" w:lineRule="exact"/>
        <w:rPr>
          <w:rFonts w:ascii="Times New Roman" w:hAnsi="Times New Roman" w:cs="Times New Roman"/>
          <w:color w:val="auto"/>
        </w:rPr>
      </w:pPr>
      <w:r>
        <w:rPr>
          <w:rFonts w:ascii="Times New Roman" w:hAnsi="Times New Roman" w:cs="Times New Roman"/>
          <w:color w:val="auto"/>
        </w:rPr>
        <w:t>综上分析，对固体废物采取相应治理措施后，固废可以得到合理处置，产生的固体废物对周围环境影响不大。</w:t>
      </w:r>
    </w:p>
    <w:p>
      <w:pPr>
        <w:pStyle w:val="8"/>
        <w:rPr>
          <w:rFonts w:ascii="Times New Roman" w:hAnsi="Times New Roman" w:cs="Times New Roman"/>
          <w:color w:val="auto"/>
        </w:rPr>
      </w:pPr>
      <w:bookmarkStart w:id="380" w:name="_Toc15807"/>
      <w:bookmarkStart w:id="381" w:name="_Toc18140_WPSOffice_Level2"/>
      <w:bookmarkStart w:id="382" w:name="_Toc9061"/>
      <w:r>
        <w:rPr>
          <w:rFonts w:hint="eastAsia" w:ascii="Times New Roman" w:hAnsi="Times New Roman" w:cs="Times New Roman"/>
          <w:color w:val="auto"/>
        </w:rPr>
        <w:t>5</w:t>
      </w:r>
      <w:r>
        <w:rPr>
          <w:rFonts w:ascii="Times New Roman" w:hAnsi="Times New Roman" w:cs="Times New Roman"/>
          <w:color w:val="auto"/>
        </w:rPr>
        <w:t>.3</w:t>
      </w:r>
      <w:r>
        <w:rPr>
          <w:rFonts w:hint="eastAsia" w:ascii="Times New Roman" w:hAnsi="Times New Roman" w:cs="Times New Roman"/>
          <w:color w:val="auto"/>
          <w:lang w:val="en-US" w:eastAsia="zh-CN"/>
        </w:rPr>
        <w:t xml:space="preserve"> </w:t>
      </w:r>
      <w:r>
        <w:rPr>
          <w:rFonts w:ascii="Times New Roman" w:hAnsi="Times New Roman" w:cs="Times New Roman"/>
          <w:color w:val="auto"/>
        </w:rPr>
        <w:t>环境风险评价</w:t>
      </w:r>
      <w:bookmarkEnd w:id="380"/>
      <w:bookmarkEnd w:id="381"/>
      <w:bookmarkEnd w:id="382"/>
    </w:p>
    <w:p>
      <w:pPr>
        <w:spacing w:line="520" w:lineRule="exact"/>
        <w:rPr>
          <w:rFonts w:ascii="Times New Roman" w:hAnsi="Times New Roman" w:cs="Times New Roman"/>
          <w:color w:val="auto"/>
        </w:rPr>
      </w:pPr>
      <w:r>
        <w:rPr>
          <w:rFonts w:ascii="Times New Roman" w:hAnsi="Times New Roman" w:cs="Times New Roman"/>
          <w:color w:val="auto"/>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spacing w:line="520" w:lineRule="exact"/>
        <w:rPr>
          <w:rFonts w:ascii="Times New Roman" w:hAnsi="Times New Roman" w:cs="Times New Roman"/>
          <w:color w:val="auto"/>
        </w:rPr>
      </w:pPr>
      <w:r>
        <w:rPr>
          <w:rFonts w:ascii="Times New Roman" w:hAnsi="Times New Roman" w:cs="Times New Roman"/>
          <w:color w:val="auto"/>
        </w:rPr>
        <w:t>环境风险评价的目的在于分析、识别项目生产、贮运过程中的风险因素及可能诱发的环境问题，并针对潜在的环境风险，提出相应的预防措施，力求在产品生产过程中，将潜在的事故工况和危害程度降到最低。</w:t>
      </w:r>
    </w:p>
    <w:p>
      <w:pPr>
        <w:pStyle w:val="9"/>
        <w:rPr>
          <w:rFonts w:ascii="Times New Roman" w:hAnsi="Times New Roman" w:cs="Times New Roman"/>
          <w:color w:val="auto"/>
        </w:rPr>
      </w:pPr>
      <w:bookmarkStart w:id="383" w:name="_Toc31981"/>
      <w:r>
        <w:rPr>
          <w:rFonts w:hint="eastAsia" w:ascii="Times New Roman" w:hAnsi="Times New Roman" w:cs="Times New Roman"/>
          <w:color w:val="auto"/>
        </w:rPr>
        <w:t>5</w:t>
      </w:r>
      <w:r>
        <w:rPr>
          <w:rFonts w:ascii="Times New Roman" w:hAnsi="Times New Roman" w:cs="Times New Roman"/>
          <w:color w:val="auto"/>
        </w:rPr>
        <w:t>.3.1 风险调查</w:t>
      </w:r>
      <w:bookmarkEnd w:id="383"/>
    </w:p>
    <w:p>
      <w:pPr>
        <w:spacing w:line="520" w:lineRule="exact"/>
        <w:rPr>
          <w:rFonts w:ascii="Times New Roman" w:hAnsi="Times New Roman" w:cs="Times New Roman"/>
          <w:color w:val="auto"/>
        </w:rPr>
      </w:pPr>
      <w:r>
        <w:rPr>
          <w:rFonts w:hint="eastAsia" w:ascii="Times New Roman" w:hAnsi="Times New Roman" w:cs="Times New Roman"/>
          <w:color w:val="auto"/>
        </w:rPr>
        <w:t>依据《建设项目环境风险评价技术导则》（HJ 169-2018）中附录B的表B.1和表B.2，本项目的风险物质为</w:t>
      </w:r>
      <w:r>
        <w:rPr>
          <w:rFonts w:hint="eastAsia" w:ascii="Times New Roman" w:hAnsi="Times New Roman" w:cs="Times New Roman"/>
          <w:color w:val="auto"/>
          <w:lang w:val="en-US" w:eastAsia="zh-CN"/>
        </w:rPr>
        <w:t>二氧化氯</w:t>
      </w:r>
      <w:r>
        <w:rPr>
          <w:rFonts w:hint="eastAsia" w:ascii="Times New Roman" w:hAnsi="Times New Roman" w:cs="Times New Roman"/>
          <w:color w:val="auto"/>
        </w:rPr>
        <w:t>、H</w:t>
      </w:r>
      <w:r>
        <w:rPr>
          <w:rFonts w:hint="eastAsia" w:ascii="Times New Roman" w:hAnsi="Times New Roman" w:cs="Times New Roman"/>
          <w:color w:val="auto"/>
          <w:vertAlign w:val="subscript"/>
        </w:rPr>
        <w:t>2</w:t>
      </w:r>
      <w:r>
        <w:rPr>
          <w:rFonts w:hint="eastAsia" w:ascii="Times New Roman" w:hAnsi="Times New Roman" w:cs="Times New Roman"/>
          <w:color w:val="auto"/>
        </w:rPr>
        <w:t>S、NH</w:t>
      </w:r>
      <w:r>
        <w:rPr>
          <w:rFonts w:hint="eastAsia" w:ascii="Times New Roman" w:hAnsi="Times New Roman" w:cs="Times New Roman"/>
          <w:color w:val="auto"/>
          <w:vertAlign w:val="subscript"/>
        </w:rPr>
        <w:t>3</w:t>
      </w:r>
      <w:r>
        <w:rPr>
          <w:rFonts w:hint="eastAsia" w:ascii="Times New Roman" w:hAnsi="Times New Roman" w:cs="Times New Roman"/>
          <w:color w:val="auto"/>
        </w:rPr>
        <w:t>和柴油。其中H</w:t>
      </w:r>
      <w:r>
        <w:rPr>
          <w:rFonts w:hint="eastAsia" w:ascii="Times New Roman" w:hAnsi="Times New Roman" w:cs="Times New Roman"/>
          <w:color w:val="auto"/>
          <w:vertAlign w:val="subscript"/>
        </w:rPr>
        <w:t>2</w:t>
      </w:r>
      <w:r>
        <w:rPr>
          <w:rFonts w:hint="eastAsia" w:ascii="Times New Roman" w:hAnsi="Times New Roman" w:cs="Times New Roman"/>
          <w:color w:val="auto"/>
        </w:rPr>
        <w:t>S、NH</w:t>
      </w:r>
      <w:r>
        <w:rPr>
          <w:rFonts w:hint="eastAsia" w:ascii="Times New Roman" w:hAnsi="Times New Roman" w:cs="Times New Roman"/>
          <w:color w:val="auto"/>
          <w:vertAlign w:val="subscript"/>
        </w:rPr>
        <w:t>3</w:t>
      </w:r>
      <w:r>
        <w:rPr>
          <w:rFonts w:hint="eastAsia" w:ascii="Times New Roman" w:hAnsi="Times New Roman" w:cs="Times New Roman"/>
          <w:color w:val="auto"/>
        </w:rPr>
        <w:t>产生后即排放，不存储，因此本项目的风险物质为</w:t>
      </w:r>
      <w:r>
        <w:rPr>
          <w:rFonts w:hint="eastAsia" w:ascii="Times New Roman" w:hAnsi="Times New Roman" w:cs="Times New Roman"/>
          <w:color w:val="auto"/>
          <w:lang w:val="en-US" w:eastAsia="zh-CN"/>
        </w:rPr>
        <w:t>二氧化氯</w:t>
      </w:r>
      <w:r>
        <w:rPr>
          <w:rFonts w:hint="eastAsia" w:ascii="Times New Roman" w:hAnsi="Times New Roman" w:cs="Times New Roman"/>
          <w:color w:val="auto"/>
        </w:rPr>
        <w:t>和柴油。</w:t>
      </w:r>
      <w:r>
        <w:rPr>
          <w:rFonts w:ascii="Times New Roman" w:hAnsi="Times New Roman" w:cs="Times New Roman"/>
          <w:color w:val="auto"/>
        </w:rPr>
        <w:t>本项目风险物质存在量情况祥见表</w:t>
      </w:r>
      <w:r>
        <w:rPr>
          <w:rFonts w:hint="eastAsia" w:ascii="Times New Roman" w:hAnsi="Times New Roman" w:cs="Times New Roman"/>
          <w:color w:val="auto"/>
        </w:rPr>
        <w:t>5</w:t>
      </w:r>
      <w:r>
        <w:rPr>
          <w:rFonts w:ascii="Times New Roman" w:hAnsi="Times New Roman" w:cs="Times New Roman"/>
          <w:color w:val="auto"/>
        </w:rPr>
        <w:t>.3-1。</w:t>
      </w:r>
    </w:p>
    <w:p>
      <w:pPr>
        <w:pStyle w:val="35"/>
        <w:spacing w:before="0" w:after="0" w:line="520" w:lineRule="exact"/>
        <w:rPr>
          <w:rFonts w:cs="Times New Roman"/>
          <w:color w:val="auto"/>
        </w:rPr>
      </w:pPr>
      <w:r>
        <w:rPr>
          <w:rFonts w:cs="Times New Roman"/>
          <w:color w:val="auto"/>
        </w:rPr>
        <w:t>表</w:t>
      </w:r>
      <w:r>
        <w:rPr>
          <w:rFonts w:hint="eastAsia" w:cs="Times New Roman"/>
          <w:color w:val="auto"/>
        </w:rPr>
        <w:t>5.3-1</w:t>
      </w:r>
      <w:r>
        <w:rPr>
          <w:rFonts w:cs="Times New Roman"/>
          <w:color w:val="auto"/>
        </w:rPr>
        <w:t xml:space="preserve">   环境风险评价工作级别</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厂内分部区域</w:t>
            </w:r>
          </w:p>
        </w:tc>
        <w:tc>
          <w:tcPr>
            <w:tcW w:w="284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物质类别</w:t>
            </w:r>
          </w:p>
        </w:tc>
        <w:tc>
          <w:tcPr>
            <w:tcW w:w="284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最大储存量（t）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2841" w:type="dxa"/>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二氧化氯</w:t>
            </w:r>
          </w:p>
        </w:tc>
        <w:tc>
          <w:tcPr>
            <w:tcW w:w="284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w:t>
            </w:r>
            <w:r>
              <w:rPr>
                <w:rFonts w:ascii="Times New Roman" w:hAnsi="Times New Roman" w:cs="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备用发电机库房</w:t>
            </w:r>
          </w:p>
        </w:tc>
        <w:tc>
          <w:tcPr>
            <w:tcW w:w="284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柴油</w:t>
            </w:r>
          </w:p>
        </w:tc>
        <w:tc>
          <w:tcPr>
            <w:tcW w:w="2841"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r>
    </w:tbl>
    <w:p>
      <w:pPr>
        <w:pStyle w:val="9"/>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.3.2 环境风险潜势划分</w:t>
      </w:r>
    </w:p>
    <w:p>
      <w:pPr>
        <w:spacing w:line="520" w:lineRule="exact"/>
        <w:rPr>
          <w:rFonts w:ascii="Times New Roman" w:hAnsi="Times New Roman" w:cs="Times New Roman"/>
          <w:color w:val="auto"/>
        </w:rPr>
      </w:pPr>
      <w:r>
        <w:rPr>
          <w:rFonts w:ascii="Times New Roman" w:hAnsi="Times New Roman" w:cs="Times New Roman"/>
          <w:color w:val="auto"/>
        </w:rPr>
        <w:t>根据《建设项目环境风险评价技术导则》（HJ/T169-2018）的相关规定，建设项目环境风险潜势划分为Ⅰ、Ⅱ、Ⅲ、Ⅳ/Ⅳ</w:t>
      </w:r>
      <w:r>
        <w:rPr>
          <w:rFonts w:ascii="Times New Roman" w:hAnsi="Times New Roman" w:cs="Times New Roman"/>
          <w:color w:val="auto"/>
          <w:vertAlign w:val="superscript"/>
        </w:rPr>
        <w:t>+</w:t>
      </w:r>
      <w:r>
        <w:rPr>
          <w:rFonts w:ascii="Times New Roman" w:hAnsi="Times New Roman" w:cs="Times New Roman"/>
          <w:color w:val="auto"/>
        </w:rPr>
        <w:t>。</w:t>
      </w:r>
    </w:p>
    <w:p>
      <w:pPr>
        <w:spacing w:line="520" w:lineRule="exact"/>
        <w:rPr>
          <w:rFonts w:ascii="Times New Roman" w:hAnsi="Times New Roman" w:cs="Times New Roman"/>
          <w:color w:val="auto"/>
        </w:rPr>
      </w:pPr>
      <w:r>
        <w:rPr>
          <w:rFonts w:ascii="Times New Roman" w:hAnsi="Times New Roman" w:cs="Times New Roman"/>
          <w:color w:val="auto"/>
        </w:rPr>
        <w:t>根据建设项目涉及的物质和工艺系统的危险性及其所在的环境敏感程度，结合事故情形下环境影响途径，对建设项目潜在环境危害程度进行概化分析，按照下表确定环境风险潜势。</w:t>
      </w:r>
    </w:p>
    <w:p>
      <w:pPr>
        <w:pStyle w:val="35"/>
        <w:spacing w:before="0" w:after="0" w:line="520" w:lineRule="exact"/>
        <w:rPr>
          <w:rFonts w:cs="Times New Roman"/>
          <w:color w:val="auto"/>
        </w:rPr>
      </w:pPr>
      <w:r>
        <w:rPr>
          <w:rFonts w:cs="Times New Roman"/>
          <w:color w:val="auto"/>
        </w:rPr>
        <w:t>表</w:t>
      </w:r>
      <w:r>
        <w:rPr>
          <w:rFonts w:hint="eastAsia" w:cs="Times New Roman"/>
          <w:color w:val="auto"/>
        </w:rPr>
        <w:t>5.3-2</w:t>
      </w:r>
      <w:r>
        <w:rPr>
          <w:rFonts w:cs="Times New Roman"/>
          <w:color w:val="auto"/>
        </w:rPr>
        <w:t xml:space="preserve">   建设项目环境风险潜势划分</w:t>
      </w:r>
    </w:p>
    <w:tbl>
      <w:tblPr>
        <w:tblStyle w:val="24"/>
        <w:tblW w:w="83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6"/>
        <w:gridCol w:w="1525"/>
        <w:gridCol w:w="1525"/>
        <w:gridCol w:w="1525"/>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vMerge w:val="restar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环境敏感程度（E）</w:t>
            </w:r>
          </w:p>
        </w:tc>
        <w:tc>
          <w:tcPr>
            <w:tcW w:w="6101" w:type="dxa"/>
            <w:gridSpan w:val="4"/>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危险物质及工艺系统危险性（P）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vMerge w:val="continue"/>
            <w:tcBorders>
              <w:top w:val="nil"/>
            </w:tcBorders>
            <w:vAlign w:val="center"/>
          </w:tcPr>
          <w:p>
            <w:pPr>
              <w:spacing w:line="240" w:lineRule="auto"/>
              <w:ind w:firstLine="0" w:firstLineChars="0"/>
              <w:jc w:val="center"/>
              <w:rPr>
                <w:rFonts w:ascii="Times New Roman" w:hAnsi="Times New Roman" w:cs="Times New Roman"/>
                <w:b/>
                <w:bCs/>
                <w:color w:val="auto"/>
                <w:sz w:val="21"/>
                <w:szCs w:val="21"/>
              </w:rPr>
            </w:pPr>
          </w:p>
        </w:tc>
        <w:tc>
          <w:tcPr>
            <w:tcW w:w="1525"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极高危害（P1）</w:t>
            </w:r>
          </w:p>
        </w:tc>
        <w:tc>
          <w:tcPr>
            <w:tcW w:w="1525"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高度危害（P2）</w:t>
            </w:r>
          </w:p>
        </w:tc>
        <w:tc>
          <w:tcPr>
            <w:tcW w:w="1525"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中度危害（P3）</w:t>
            </w:r>
          </w:p>
        </w:tc>
        <w:tc>
          <w:tcPr>
            <w:tcW w:w="1526"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轻度危害（P4）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环境高度敏感区（E1）</w:t>
            </w:r>
          </w:p>
        </w:tc>
        <w:tc>
          <w:tcPr>
            <w:tcW w:w="152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Ⅳ</w:t>
            </w:r>
            <w:r>
              <w:rPr>
                <w:rFonts w:ascii="Times New Roman" w:hAnsi="Times New Roman" w:cs="Times New Roman"/>
                <w:color w:val="auto"/>
                <w:sz w:val="21"/>
                <w:szCs w:val="21"/>
                <w:vertAlign w:val="superscript"/>
              </w:rPr>
              <w:t>+</w:t>
            </w:r>
          </w:p>
        </w:tc>
        <w:tc>
          <w:tcPr>
            <w:tcW w:w="152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Ⅳ</w:t>
            </w:r>
          </w:p>
        </w:tc>
        <w:tc>
          <w:tcPr>
            <w:tcW w:w="1525"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c>
          <w:tcPr>
            <w:tcW w:w="152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环境高度敏感区（E2）</w:t>
            </w:r>
          </w:p>
        </w:tc>
        <w:tc>
          <w:tcPr>
            <w:tcW w:w="1525"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Ⅳ</w:t>
            </w:r>
          </w:p>
        </w:tc>
        <w:tc>
          <w:tcPr>
            <w:tcW w:w="1525"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Ⅲ</w:t>
            </w:r>
          </w:p>
        </w:tc>
        <w:tc>
          <w:tcPr>
            <w:tcW w:w="1525"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Ⅲ</w:t>
            </w:r>
          </w:p>
        </w:tc>
        <w:tc>
          <w:tcPr>
            <w:tcW w:w="1526"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06"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环境高度敏感区（E3）</w:t>
            </w:r>
          </w:p>
        </w:tc>
        <w:tc>
          <w:tcPr>
            <w:tcW w:w="1525"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Ⅲ</w:t>
            </w:r>
          </w:p>
        </w:tc>
        <w:tc>
          <w:tcPr>
            <w:tcW w:w="1525"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Ⅲ</w:t>
            </w:r>
          </w:p>
        </w:tc>
        <w:tc>
          <w:tcPr>
            <w:tcW w:w="1525"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Ⅱ</w:t>
            </w:r>
          </w:p>
        </w:tc>
        <w:tc>
          <w:tcPr>
            <w:tcW w:w="1526" w:type="dxa"/>
          </w:tcPr>
          <w:p>
            <w:pPr>
              <w:spacing w:line="240" w:lineRule="auto"/>
              <w:ind w:firstLine="0" w:firstLineChars="0"/>
              <w:jc w:val="center"/>
              <w:rPr>
                <w:rFonts w:ascii="Times New Roman" w:hAnsi="Times New Roman" w:cs="Times New Roman"/>
                <w:color w:val="auto"/>
                <w:sz w:val="21"/>
                <w:szCs w:val="21"/>
                <w:lang w:val="zh-CN"/>
              </w:rPr>
            </w:pPr>
            <w:r>
              <w:rPr>
                <w:rFonts w:ascii="Times New Roman" w:hAnsi="Times New Roman" w:cs="Times New Roman"/>
                <w:color w:val="auto"/>
                <w:sz w:val="21"/>
                <w:szCs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307" w:type="dxa"/>
            <w:gridSpan w:val="5"/>
            <w:vAlign w:val="center"/>
          </w:tcPr>
          <w:p>
            <w:pPr>
              <w:spacing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注：Ⅳ</w:t>
            </w:r>
            <w:r>
              <w:rPr>
                <w:rFonts w:ascii="Times New Roman" w:hAnsi="Times New Roman" w:cs="Times New Roman"/>
                <w:color w:val="auto"/>
                <w:sz w:val="21"/>
                <w:szCs w:val="21"/>
                <w:vertAlign w:val="superscript"/>
              </w:rPr>
              <w:t>+</w:t>
            </w:r>
            <w:r>
              <w:rPr>
                <w:rFonts w:ascii="Times New Roman" w:hAnsi="Times New Roman" w:cs="Times New Roman"/>
                <w:color w:val="auto"/>
                <w:sz w:val="21"/>
                <w:szCs w:val="21"/>
              </w:rPr>
              <w:t>高环境风险</w:t>
            </w:r>
          </w:p>
        </w:tc>
      </w:tr>
    </w:tbl>
    <w:p>
      <w:pPr>
        <w:pStyle w:val="9"/>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.3.3 （P）的分级确定</w:t>
      </w:r>
    </w:p>
    <w:p>
      <w:pPr>
        <w:spacing w:line="520" w:lineRule="exact"/>
        <w:rPr>
          <w:rFonts w:ascii="Times New Roman" w:hAnsi="Times New Roman" w:cs="Times New Roman"/>
          <w:color w:val="auto"/>
        </w:rPr>
      </w:pPr>
      <w:r>
        <w:rPr>
          <w:rFonts w:ascii="Times New Roman" w:hAnsi="Times New Roman" w:cs="Times New Roman"/>
          <w:color w:val="auto"/>
        </w:rPr>
        <w:t>（1）危险物质数量与临界量的比值（Q）</w:t>
      </w:r>
    </w:p>
    <w:p>
      <w:pPr>
        <w:spacing w:line="520" w:lineRule="exact"/>
        <w:rPr>
          <w:rFonts w:ascii="Times New Roman" w:hAnsi="Times New Roman" w:cs="Times New Roman"/>
          <w:color w:val="auto"/>
        </w:rPr>
      </w:pPr>
      <w:r>
        <w:rPr>
          <w:rFonts w:ascii="Times New Roman" w:hAnsi="Times New Roman" w:cs="Times New Roman"/>
          <w:color w:val="auto"/>
        </w:rPr>
        <w:t>根据《建设项目环境风险评价技术导则》（HJ/T169-2018），计算项目所涉及的每种危险物质在厂界内的最大存在总量与其在附录B中对应临界量的比值（Q）。在不同院区的同一种物质，按其在厂界内最大存在总量计算。对于长输管线项目，按照两个截断阀室之间管段危险物质最大存在总量计算。</w:t>
      </w:r>
    </w:p>
    <w:p>
      <w:pPr>
        <w:spacing w:line="520" w:lineRule="exact"/>
        <w:rPr>
          <w:rFonts w:ascii="Times New Roman" w:hAnsi="Times New Roman" w:cs="Times New Roman"/>
          <w:color w:val="auto"/>
        </w:rPr>
      </w:pPr>
      <w:r>
        <w:rPr>
          <w:rFonts w:ascii="Times New Roman" w:hAnsi="Times New Roman" w:cs="Times New Roman"/>
          <w:color w:val="auto"/>
        </w:rPr>
        <w:t>当只涉及一种危险物质时，计算该物质的总量与临界量比值，即为Q；当存在多种危险物质时，则按式（C.1）计算物质总量与其临界量比值（Q）：</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position w:val="-30"/>
        </w:rPr>
        <w:object>
          <v:shape id="_x0000_i1033" o:spt="75" type="#_x0000_t75" style="height:34.2pt;width:109.8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p>
    <w:p>
      <w:pPr>
        <w:spacing w:line="520" w:lineRule="exact"/>
        <w:rPr>
          <w:rFonts w:ascii="Times New Roman" w:hAnsi="Times New Roman" w:cs="Times New Roman"/>
          <w:color w:val="auto"/>
        </w:rPr>
      </w:pPr>
      <w:r>
        <w:rPr>
          <w:rFonts w:ascii="Times New Roman" w:hAnsi="Times New Roman" w:cs="Times New Roman"/>
          <w:color w:val="auto"/>
        </w:rPr>
        <w:t>式中：q</w:t>
      </w:r>
      <w:r>
        <w:rPr>
          <w:rFonts w:ascii="Times New Roman" w:hAnsi="Times New Roman" w:cs="Times New Roman"/>
          <w:color w:val="auto"/>
          <w:vertAlign w:val="subscript"/>
        </w:rPr>
        <w:t>1</w:t>
      </w:r>
      <w:r>
        <w:rPr>
          <w:rFonts w:ascii="Times New Roman" w:hAnsi="Times New Roman" w:cs="Times New Roman"/>
          <w:color w:val="auto"/>
        </w:rPr>
        <w:t>，q</w:t>
      </w:r>
      <w:r>
        <w:rPr>
          <w:rFonts w:ascii="Times New Roman" w:hAnsi="Times New Roman" w:cs="Times New Roman"/>
          <w:color w:val="auto"/>
          <w:vertAlign w:val="subscript"/>
        </w:rPr>
        <w:t>2</w:t>
      </w:r>
      <w:r>
        <w:rPr>
          <w:rFonts w:ascii="Times New Roman" w:hAnsi="Times New Roman" w:cs="Times New Roman"/>
          <w:color w:val="auto"/>
        </w:rPr>
        <w:t>，…，q</w:t>
      </w:r>
      <w:r>
        <w:rPr>
          <w:rFonts w:ascii="Times New Roman" w:hAnsi="Times New Roman" w:cs="Times New Roman"/>
          <w:color w:val="auto"/>
          <w:vertAlign w:val="subscript"/>
        </w:rPr>
        <w:t>n</w:t>
      </w:r>
      <w:r>
        <w:rPr>
          <w:rFonts w:ascii="Times New Roman" w:hAnsi="Times New Roman" w:cs="Times New Roman"/>
          <w:color w:val="auto"/>
        </w:rPr>
        <w:t>—每种危险物质的最大存在量，t；</w:t>
      </w:r>
    </w:p>
    <w:p>
      <w:pPr>
        <w:spacing w:line="520" w:lineRule="exact"/>
        <w:ind w:firstLine="1200" w:firstLineChars="500"/>
        <w:rPr>
          <w:rFonts w:ascii="Times New Roman" w:hAnsi="Times New Roman" w:cs="Times New Roman"/>
          <w:color w:val="auto"/>
        </w:rPr>
      </w:pPr>
      <w:r>
        <w:rPr>
          <w:rFonts w:ascii="Times New Roman" w:hAnsi="Times New Roman" w:cs="Times New Roman"/>
          <w:color w:val="auto"/>
        </w:rPr>
        <w:t>Q</w:t>
      </w:r>
      <w:r>
        <w:rPr>
          <w:rFonts w:ascii="Times New Roman" w:hAnsi="Times New Roman" w:cs="Times New Roman"/>
          <w:color w:val="auto"/>
          <w:vertAlign w:val="subscript"/>
        </w:rPr>
        <w:t>1</w:t>
      </w:r>
      <w:r>
        <w:rPr>
          <w:rFonts w:ascii="Times New Roman" w:hAnsi="Times New Roman" w:cs="Times New Roman"/>
          <w:color w:val="auto"/>
        </w:rPr>
        <w:t>，Q</w:t>
      </w:r>
      <w:r>
        <w:rPr>
          <w:rFonts w:ascii="Times New Roman" w:hAnsi="Times New Roman" w:cs="Times New Roman"/>
          <w:color w:val="auto"/>
          <w:vertAlign w:val="subscript"/>
        </w:rPr>
        <w:t>2</w:t>
      </w:r>
      <w:r>
        <w:rPr>
          <w:rFonts w:ascii="Times New Roman" w:hAnsi="Times New Roman" w:cs="Times New Roman"/>
          <w:color w:val="auto"/>
        </w:rPr>
        <w:t>，…，Q</w:t>
      </w:r>
      <w:r>
        <w:rPr>
          <w:rFonts w:ascii="Times New Roman" w:hAnsi="Times New Roman" w:cs="Times New Roman"/>
          <w:color w:val="auto"/>
          <w:vertAlign w:val="subscript"/>
        </w:rPr>
        <w:t>n</w:t>
      </w:r>
      <w:r>
        <w:rPr>
          <w:rFonts w:ascii="Times New Roman" w:hAnsi="Times New Roman" w:cs="Times New Roman"/>
          <w:color w:val="auto"/>
        </w:rPr>
        <w:t>——每种危险物质的临界量，t；</w:t>
      </w:r>
    </w:p>
    <w:p>
      <w:pPr>
        <w:spacing w:line="520" w:lineRule="exact"/>
        <w:rPr>
          <w:rFonts w:ascii="Times New Roman" w:hAnsi="Times New Roman" w:cs="Times New Roman"/>
          <w:color w:val="auto"/>
        </w:rPr>
      </w:pPr>
      <w:r>
        <w:rPr>
          <w:rFonts w:ascii="Times New Roman" w:hAnsi="Times New Roman" w:cs="Times New Roman"/>
          <w:color w:val="auto"/>
        </w:rPr>
        <w:t>当Q＜1时，该项目环境风险潜势为Ⅰ；</w:t>
      </w:r>
    </w:p>
    <w:p>
      <w:pPr>
        <w:spacing w:line="520" w:lineRule="exact"/>
        <w:rPr>
          <w:rFonts w:ascii="Times New Roman" w:hAnsi="Times New Roman" w:cs="Times New Roman"/>
          <w:color w:val="auto"/>
        </w:rPr>
      </w:pPr>
      <w:r>
        <w:rPr>
          <w:rFonts w:ascii="Times New Roman" w:hAnsi="Times New Roman" w:cs="Times New Roman"/>
          <w:color w:val="auto"/>
        </w:rPr>
        <w:t>当Q≥1时，将Q值划分为：（1）1≤Q＜10；（2）10≤Q＜100；（3）Q≥100。对照本项目生产过程所涉及到各类危险物质的最大数量（生产场所使用量和储存量之和）和临界量比值计算见表</w:t>
      </w:r>
      <w:r>
        <w:rPr>
          <w:rFonts w:hint="eastAsia" w:ascii="Times New Roman" w:hAnsi="Times New Roman" w:cs="Times New Roman"/>
          <w:color w:val="auto"/>
        </w:rPr>
        <w:t>5.3-4</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5.3-4</w:t>
      </w:r>
      <w:r>
        <w:rPr>
          <w:rFonts w:cs="Times New Roman"/>
          <w:color w:val="auto"/>
        </w:rPr>
        <w:t xml:space="preserve">   本项目危险物质数量与临界量比值</w:t>
      </w:r>
    </w:p>
    <w:tbl>
      <w:tblPr>
        <w:tblStyle w:val="24"/>
        <w:tblW w:w="502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12"/>
        <w:gridCol w:w="1689"/>
        <w:gridCol w:w="1347"/>
        <w:gridCol w:w="1484"/>
        <w:gridCol w:w="14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1441" w:type="pct"/>
            <w:tcBorders>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危险物质名称</w:t>
            </w:r>
          </w:p>
        </w:tc>
        <w:tc>
          <w:tcPr>
            <w:tcW w:w="1009" w:type="pct"/>
            <w:tcBorders>
              <w:left w:val="single" w:color="000000" w:sz="6" w:space="0"/>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最大存在量（t）</w:t>
            </w:r>
          </w:p>
        </w:tc>
        <w:tc>
          <w:tcPr>
            <w:tcW w:w="805" w:type="pct"/>
            <w:tcBorders>
              <w:left w:val="single" w:color="000000" w:sz="6" w:space="0"/>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临界量（t）</w:t>
            </w:r>
          </w:p>
        </w:tc>
        <w:tc>
          <w:tcPr>
            <w:tcW w:w="887" w:type="pct"/>
            <w:tcBorders>
              <w:left w:val="single" w:color="000000" w:sz="6" w:space="0"/>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比值Q</w:t>
            </w:r>
          </w:p>
        </w:tc>
        <w:tc>
          <w:tcPr>
            <w:tcW w:w="855" w:type="pct"/>
            <w:tcBorders>
              <w:left w:val="single" w:color="000000" w:sz="6" w:space="0"/>
              <w:bottom w:val="single" w:color="000000" w:sz="6" w:space="0"/>
            </w:tcBorders>
            <w:vAlign w:val="center"/>
          </w:tcPr>
          <w:p>
            <w:pPr>
              <w:pStyle w:val="42"/>
              <w:spacing w:before="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项目Q合计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441" w:type="pct"/>
            <w:tcBorders>
              <w:top w:val="single" w:color="000000" w:sz="6" w:space="0"/>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消毒液（</w:t>
            </w:r>
            <w:r>
              <w:rPr>
                <w:rFonts w:hint="eastAsia" w:ascii="Times New Roman" w:hAnsi="Times New Roman" w:cs="Times New Roman"/>
                <w:color w:val="auto"/>
                <w:sz w:val="21"/>
                <w:szCs w:val="21"/>
                <w:lang w:val="en-US" w:eastAsia="zh-CN"/>
              </w:rPr>
              <w:t>二氧化氯</w:t>
            </w:r>
            <w:r>
              <w:rPr>
                <w:rFonts w:ascii="Times New Roman" w:hAnsi="Times New Roman" w:cs="Times New Roman"/>
                <w:color w:val="auto"/>
                <w:sz w:val="21"/>
                <w:szCs w:val="21"/>
              </w:rPr>
              <w:t>）</w:t>
            </w:r>
          </w:p>
        </w:tc>
        <w:tc>
          <w:tcPr>
            <w:tcW w:w="1009" w:type="pct"/>
            <w:tcBorders>
              <w:top w:val="single" w:color="000000" w:sz="6" w:space="0"/>
              <w:left w:val="single" w:color="000000" w:sz="6" w:space="0"/>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0.</w:t>
            </w:r>
            <w:r>
              <w:rPr>
                <w:rFonts w:hint="eastAsia" w:ascii="Times New Roman" w:hAnsi="Times New Roman" w:cs="Times New Roman"/>
                <w:color w:val="auto"/>
                <w:sz w:val="21"/>
                <w:szCs w:val="21"/>
                <w:lang w:val="en-US" w:eastAsia="zh-CN"/>
              </w:rPr>
              <w:t>0</w:t>
            </w:r>
            <w:r>
              <w:rPr>
                <w:rFonts w:ascii="Times New Roman" w:hAnsi="Times New Roman" w:cs="Times New Roman"/>
                <w:color w:val="auto"/>
                <w:sz w:val="21"/>
                <w:szCs w:val="21"/>
              </w:rPr>
              <w:t>5</w:t>
            </w:r>
          </w:p>
        </w:tc>
        <w:tc>
          <w:tcPr>
            <w:tcW w:w="805" w:type="pct"/>
            <w:tcBorders>
              <w:top w:val="single" w:color="000000" w:sz="6" w:space="0"/>
              <w:left w:val="single" w:color="000000" w:sz="6" w:space="0"/>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rPr>
            </w:pPr>
            <w:r>
              <w:rPr>
                <w:rFonts w:hint="eastAsia" w:ascii="Times New Roman" w:hAnsi="Times New Roman" w:cs="Times New Roman"/>
                <w:color w:val="auto"/>
                <w:w w:val="99"/>
                <w:sz w:val="21"/>
                <w:szCs w:val="21"/>
                <w:lang w:val="en-US" w:eastAsia="zh-CN"/>
              </w:rPr>
              <w:t>0.</w:t>
            </w:r>
            <w:r>
              <w:rPr>
                <w:rFonts w:ascii="Times New Roman" w:hAnsi="Times New Roman" w:cs="Times New Roman"/>
                <w:color w:val="auto"/>
                <w:w w:val="99"/>
                <w:sz w:val="21"/>
                <w:szCs w:val="21"/>
              </w:rPr>
              <w:t>5</w:t>
            </w:r>
          </w:p>
        </w:tc>
        <w:tc>
          <w:tcPr>
            <w:tcW w:w="887" w:type="pct"/>
            <w:tcBorders>
              <w:top w:val="single" w:color="000000" w:sz="6" w:space="0"/>
              <w:left w:val="single" w:color="000000" w:sz="6" w:space="0"/>
              <w:bottom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0.1</w:t>
            </w:r>
          </w:p>
        </w:tc>
        <w:tc>
          <w:tcPr>
            <w:tcW w:w="855" w:type="pct"/>
            <w:vMerge w:val="restart"/>
            <w:tcBorders>
              <w:top w:val="single" w:color="000000" w:sz="6" w:space="0"/>
              <w:lef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lang w:val="en-US"/>
              </w:rPr>
            </w:pPr>
            <w:r>
              <w:rPr>
                <w:rFonts w:ascii="Times New Roman" w:hAnsi="Times New Roman" w:cs="Times New Roman"/>
                <w:color w:val="auto"/>
                <w:sz w:val="21"/>
                <w:szCs w:val="21"/>
              </w:rPr>
              <w:t>0.1</w:t>
            </w:r>
            <w:r>
              <w:rPr>
                <w:rFonts w:ascii="Times New Roman" w:hAnsi="Times New Roman" w:cs="Times New Roman"/>
                <w:color w:val="auto"/>
                <w:sz w:val="21"/>
                <w:szCs w:val="21"/>
                <w:lang w:val="en-US"/>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441" w:type="pct"/>
            <w:tcBorders>
              <w:top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柴油</w:t>
            </w:r>
          </w:p>
        </w:tc>
        <w:tc>
          <w:tcPr>
            <w:tcW w:w="1009" w:type="pct"/>
            <w:tcBorders>
              <w:top w:val="single" w:color="000000" w:sz="6" w:space="0"/>
              <w:left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5</w:t>
            </w:r>
          </w:p>
        </w:tc>
        <w:tc>
          <w:tcPr>
            <w:tcW w:w="805" w:type="pct"/>
            <w:tcBorders>
              <w:top w:val="single" w:color="000000" w:sz="6" w:space="0"/>
              <w:left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w w:val="99"/>
                <w:sz w:val="21"/>
                <w:szCs w:val="21"/>
                <w:lang w:val="en-US"/>
              </w:rPr>
            </w:pPr>
            <w:r>
              <w:rPr>
                <w:rFonts w:ascii="Times New Roman" w:hAnsi="Times New Roman" w:cs="Times New Roman"/>
                <w:color w:val="auto"/>
                <w:w w:val="99"/>
                <w:sz w:val="21"/>
                <w:szCs w:val="21"/>
                <w:lang w:val="en-US"/>
              </w:rPr>
              <w:t>1000</w:t>
            </w:r>
          </w:p>
        </w:tc>
        <w:tc>
          <w:tcPr>
            <w:tcW w:w="887" w:type="pct"/>
            <w:tcBorders>
              <w:top w:val="single" w:color="000000" w:sz="6" w:space="0"/>
              <w:left w:val="single" w:color="000000" w:sz="6" w:space="0"/>
              <w:righ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0.005</w:t>
            </w:r>
          </w:p>
        </w:tc>
        <w:tc>
          <w:tcPr>
            <w:tcW w:w="855" w:type="pct"/>
            <w:vMerge w:val="continue"/>
            <w:tcBorders>
              <w:left w:val="single" w:color="000000" w:sz="6" w:space="0"/>
            </w:tcBorders>
            <w:vAlign w:val="center"/>
          </w:tcPr>
          <w:p>
            <w:pPr>
              <w:pStyle w:val="42"/>
              <w:spacing w:before="0" w:line="240" w:lineRule="auto"/>
              <w:ind w:firstLine="0" w:firstLineChars="0"/>
              <w:rPr>
                <w:rFonts w:ascii="Times New Roman" w:hAnsi="Times New Roman" w:cs="Times New Roman"/>
                <w:color w:val="auto"/>
                <w:sz w:val="21"/>
                <w:szCs w:val="21"/>
              </w:rPr>
            </w:pPr>
          </w:p>
        </w:tc>
      </w:tr>
    </w:tbl>
    <w:p>
      <w:pPr>
        <w:spacing w:line="520" w:lineRule="exact"/>
        <w:rPr>
          <w:rFonts w:ascii="Times New Roman" w:hAnsi="Times New Roman" w:cs="Times New Roman"/>
          <w:color w:val="auto"/>
        </w:rPr>
      </w:pPr>
      <w:r>
        <w:rPr>
          <w:rFonts w:ascii="Times New Roman" w:hAnsi="Times New Roman" w:cs="Times New Roman"/>
          <w:color w:val="auto"/>
        </w:rPr>
        <w:t>因为Q＜1时，所以该项目环境风险潜势为Ⅰ。</w:t>
      </w:r>
    </w:p>
    <w:p>
      <w:pPr>
        <w:pStyle w:val="9"/>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.3.4 环境风险评价等级</w:t>
      </w:r>
    </w:p>
    <w:p>
      <w:pPr>
        <w:spacing w:line="520" w:lineRule="exact"/>
        <w:rPr>
          <w:rFonts w:ascii="Times New Roman" w:hAnsi="Times New Roman" w:cs="Times New Roman"/>
          <w:color w:val="auto"/>
        </w:rPr>
      </w:pPr>
      <w:r>
        <w:rPr>
          <w:rFonts w:ascii="Times New Roman" w:hAnsi="Times New Roman" w:cs="Times New Roman"/>
          <w:color w:val="auto"/>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pPr>
        <w:pStyle w:val="9"/>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.3.5 风险源项识别及评价</w:t>
      </w:r>
    </w:p>
    <w:p>
      <w:pPr>
        <w:pStyle w:val="10"/>
        <w:rPr>
          <w:rFonts w:cs="Times New Roman"/>
          <w:color w:val="auto"/>
        </w:rPr>
      </w:pPr>
      <w:r>
        <w:rPr>
          <w:rFonts w:hint="eastAsia" w:cs="Times New Roman"/>
          <w:color w:val="auto"/>
        </w:rPr>
        <w:t>5</w:t>
      </w:r>
      <w:r>
        <w:rPr>
          <w:rFonts w:cs="Times New Roman"/>
          <w:color w:val="auto"/>
        </w:rPr>
        <w:t>.3.5.1 风险源项识别</w:t>
      </w:r>
    </w:p>
    <w:p>
      <w:pPr>
        <w:spacing w:line="520" w:lineRule="exact"/>
        <w:rPr>
          <w:rFonts w:ascii="Times New Roman" w:hAnsi="Times New Roman" w:cs="Times New Roman"/>
          <w:color w:val="auto"/>
        </w:rPr>
      </w:pPr>
      <w:r>
        <w:rPr>
          <w:rFonts w:ascii="Times New Roman" w:hAnsi="Times New Roman" w:cs="Times New Roman"/>
          <w:color w:val="auto"/>
        </w:rPr>
        <w:t>本项目运营过程中的安全事故或其他的一些突发性事故会导致环境风险物质泄漏到环境中，引起环境质量的下降甚至恶性循环化以及其他的环境毒性效应。该项目风险源有：</w:t>
      </w:r>
    </w:p>
    <w:p>
      <w:pPr>
        <w:spacing w:line="520" w:lineRule="exact"/>
        <w:rPr>
          <w:rFonts w:ascii="Times New Roman" w:hAnsi="Times New Roman" w:cs="Times New Roman"/>
          <w:color w:val="auto"/>
        </w:rPr>
      </w:pPr>
      <w:r>
        <w:rPr>
          <w:rFonts w:ascii="Times New Roman" w:hAnsi="Times New Roman" w:cs="Times New Roman"/>
          <w:color w:val="auto"/>
        </w:rPr>
        <w:t>（1）化学品储运的风险；</w:t>
      </w:r>
    </w:p>
    <w:p>
      <w:pPr>
        <w:spacing w:line="520" w:lineRule="exact"/>
        <w:rPr>
          <w:rFonts w:ascii="Times New Roman" w:hAnsi="Times New Roman" w:cs="Times New Roman"/>
          <w:color w:val="auto"/>
        </w:rPr>
      </w:pPr>
      <w:r>
        <w:rPr>
          <w:rFonts w:ascii="Times New Roman" w:hAnsi="Times New Roman" w:cs="Times New Roman"/>
          <w:color w:val="auto"/>
        </w:rPr>
        <w:t>（2）带有致病性微生物病人存在着致病微生物（细菌、病毒）产生环境风险的潜在可能；</w:t>
      </w:r>
    </w:p>
    <w:p>
      <w:pPr>
        <w:spacing w:line="520" w:lineRule="exact"/>
        <w:rPr>
          <w:rFonts w:ascii="Times New Roman" w:hAnsi="Times New Roman" w:cs="Times New Roman"/>
          <w:color w:val="auto"/>
        </w:rPr>
      </w:pPr>
      <w:r>
        <w:rPr>
          <w:rFonts w:ascii="Times New Roman" w:hAnsi="Times New Roman" w:cs="Times New Roman"/>
          <w:color w:val="auto"/>
        </w:rPr>
        <w:t>（3）医疗废水处理设施事故状态下的排污；</w:t>
      </w:r>
    </w:p>
    <w:p>
      <w:pPr>
        <w:spacing w:line="520" w:lineRule="exact"/>
        <w:rPr>
          <w:rFonts w:ascii="Times New Roman" w:hAnsi="Times New Roman" w:cs="Times New Roman"/>
          <w:color w:val="auto"/>
        </w:rPr>
      </w:pPr>
      <w:r>
        <w:rPr>
          <w:rFonts w:ascii="Times New Roman" w:hAnsi="Times New Roman" w:cs="Times New Roman"/>
          <w:color w:val="auto"/>
        </w:rPr>
        <w:t>（4）医疗废物在收集、贮存、运送过程中的存在的风险。</w:t>
      </w:r>
    </w:p>
    <w:p>
      <w:pPr>
        <w:spacing w:line="520" w:lineRule="exact"/>
        <w:rPr>
          <w:rFonts w:ascii="Times New Roman" w:hAnsi="Times New Roman" w:cs="Times New Roman"/>
          <w:color w:val="auto"/>
        </w:rPr>
      </w:pPr>
      <w:r>
        <w:rPr>
          <w:rFonts w:ascii="Times New Roman" w:hAnsi="Times New Roman" w:cs="Times New Roman"/>
          <w:color w:val="auto"/>
        </w:rPr>
        <w:t>因此，本评价主要对医院建设及运营期间可能存在的危险、有害因素进行分析，并对可能发生的突发性事件及事故所造成的人身安全与环境影响和损害程度，提出合理的可行的防范、应急与减缓措施。</w:t>
      </w:r>
    </w:p>
    <w:p>
      <w:pPr>
        <w:pStyle w:val="10"/>
        <w:rPr>
          <w:rFonts w:cs="Times New Roman"/>
          <w:color w:val="auto"/>
        </w:rPr>
      </w:pPr>
      <w:r>
        <w:rPr>
          <w:rFonts w:hint="eastAsia" w:cs="Times New Roman"/>
          <w:color w:val="auto"/>
        </w:rPr>
        <w:t>5</w:t>
      </w:r>
      <w:r>
        <w:rPr>
          <w:rFonts w:cs="Times New Roman"/>
          <w:color w:val="auto"/>
        </w:rPr>
        <w:t>.3.5.2 物品储存和使用的风险评价</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（1）化学品化学品储运风险分析</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本项目为医疗机构，本项目储运和营运过程中涉及的有毒有害化学品物质，虽用量较小，但营运过程中的使用、运输容器、贮存等均有可能导致物质的释放与泄漏，发生毒害或污染事故等。因此，需加强各类化学品的储运管理。</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1）柴油储存和使用的风险评价</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因项目设备用柴油发电机，涉及柴油的储存，对柴油发生异常情况爆炸的影响进行定性分析，制定应急预案，并提出事故防范措施，确保管线运营中的万无一失。</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本项目中设有1台500kW的柴油备用发电机，预测年使用柴油约5.04t。柴油的闪点650C，爆炸限6.5~0.6（V%），引燃温度350-3800C。由于本项目使用柴油量较小，储存量也比较小，柴油发生爆炸或火灾的概率较小。本报告书主要定性说明一下风险以及对策。若遇明火（如思想麻痹违章带火和静电物品），有可能引起发生火灾爆炸。建议柴油储存间应设置泡沫灭火装置，并设火灾自动报警系统，报警信号通至消防值班室，值班室有火灾报警电话。储存间外路边应设置户外手动报警按钮，接入火灾报警系统内。储存间应在明显处张贴警示标志，以防人误闯或误带入明火导致事故发生。</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建议将柴油导致爆炸、火灾作为危险事故列入医院应急预案中，制订并实行的“柴油安全管理制度”，包括“防雷、防静电管理制度”、“巡回检查制度”、“安全操作规程”、“安全管理规定”等规章制度。对操作人员进行安全教育，正确使用柴油发电机，确保不产生风险。</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2）氧气存储及使用的环境风险分析</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①危险性分析</w:t>
      </w:r>
    </w:p>
    <w:p>
      <w:pPr>
        <w:numPr>
          <w:ilvl w:val="0"/>
          <w:numId w:val="5"/>
        </w:num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泄漏：由于管道、阀门等损坏，导致氧气的外泄。液氧泄漏一旦发生，会对设备周围部分地区造成速冻低温或高氧的环境。</w:t>
      </w:r>
    </w:p>
    <w:p>
      <w:pPr>
        <w:numPr>
          <w:ilvl w:val="0"/>
          <w:numId w:val="5"/>
        </w:num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火灾、爆炸：氧气为助燃气体，与易燃物（如乙炔、甲烷等）混合后容易形成有爆炸性的混合物。</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②事故应急措施</w:t>
      </w:r>
    </w:p>
    <w:p>
      <w:pPr>
        <w:numPr>
          <w:ilvl w:val="0"/>
          <w:numId w:val="6"/>
        </w:num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储罐发生氧气泄漏时，检修人员应注意个人安全和高氧易引发爆炸的危险，并注意排险。而泄漏气体一旦扩散到大气中，对周围水环境，大气环境并无影响。</w:t>
      </w:r>
    </w:p>
    <w:p>
      <w:pPr>
        <w:numPr>
          <w:ilvl w:val="0"/>
          <w:numId w:val="6"/>
        </w:num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本项目储罐设置在的独立空间内，氧气最大存储量较小，在日常操作规程满足安全生产相关要求的情况下风险较小，建设单位需制定相关的应急预案和突发事故下的监测方案，保障事故发生后得到妥善处理。</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（2）危险化学品使用过程风险防范措施</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医院在日常运营中，应加强对危险化学品的管理。对于危险化学品的购买、储存、保管、使用等需按照《危险化学品安全管理条例》之规定管理。危险化学品必须储存在专用仓库、专用场地或者专用储存室内，其储存方式、方法与储存数量必须符合国家标准，并由专人管理，危险化学品出入库，必须进行核查登记，并定期检查库存。危险化学品专用仓库，应当符合国家标准对安全、消防的要求，设置明显标志。危险化学品专用仓库的储存设备和安全设施应当定期检测。而对于精神药品和麻醉药品，则根据《精神药品管理办法》和《麻醉药品管理办法》中要求购买、储存、使用，其检查监督由卫生部门管理。加强对氧气瓶操作者的安全操作知识教育，按规定检查检验氧气瓶。氧气瓶必须与易燃、易爆、聚合气体气瓶分开储存。</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（3）化学品运输过程事故防范措施</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由于危险品的运输较其它货物的运输有更大的危险性，因此在运输过程中应小心谨慎，确保安全。为此注意以下几个问题：</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1）合理规划运输路线及运输时间；</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2）危险品的装运应做到定车、定人。定车就是要把装运危险品的车辆，相对固定，专车专用。凡用来盛装危险物质的容器，不得用来盛装其它物品，更不许盛装食品。而车辆必须是专用车，不能在任务紧急、车辆紧张的情况下使用两轮摩托车或三轮摩托车等担任危险物品的运输任务。定人就是把管理、驾驶、押运及装卸等工作的人员加以固定，这就保证了危险品的运输任务始终是由专业人员来担负，从人员上保障危险品运输过程中的安全。</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3）被装运的危险物品必须在其外包装的明显部位按《危险货物包装标志》</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（GB190-2009）规定的危险物品标志，包装标志要粘牢固、正确。具有易燃、有毒等多种危险特性的化学品，则应该根据其不同危险特性而同时粘贴相应的包装标志，以便一旦发生问题，可以进行多种防护。</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4）在危险品运输过程中，一旦发生意外，在采取应急处理的同时，迅速报告公安机关和环保等有关部门，疏散群众，防止事态进一步扩大，并积极协助前来救助的公安交通和消防人员抢救伤者和物资，使损失降低到最小范围。</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5）运输有毒和腐蚀性物品汽车的驾驶员和押运人员，在出车前必须检查防毒、防护用品和检查是否携带齐全有效，在运输途中发现泄漏时应主动采取处理措施，防止事态进一步扩大，在切断泄漏源后，应将情况及时向当地公安机关和有关部门报告，若处理不了，应立即报告当地公安机关和有关部门，请求支援。</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（4）化学品泄漏事故应急处置</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危险化学品的泄漏，容易发生中毒或转化为火灾爆炸事故，因此泄漏处理要及时得当，避免重大事故的发生。</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进入泄漏现场进行处理时，应注意以下几点：</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1）进入现场人员必须配备必要的个人防护器具；</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2）如果泄漏化学品是易燃易爆的应严禁火种。扑灭任何明火及任何其它形式的热源和火源，以降低发生火灾爆炸的危险性；</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3）应急处理时严禁单独行动，要有监护人，必要时用水枪、水炮掩护；</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4）应从上风、上坡处接近现场，严禁盲目进入。</w:t>
      </w:r>
    </w:p>
    <w:p>
      <w:pPr>
        <w:spacing w:line="520" w:lineRule="exact"/>
        <w:rPr>
          <w:rFonts w:ascii="Times New Roman" w:hAnsi="Times New Roman" w:cs="Times New Roman"/>
          <w:color w:val="auto"/>
          <w:highlight w:val="none"/>
        </w:rPr>
      </w:pPr>
      <w:r>
        <w:rPr>
          <w:rFonts w:ascii="Times New Roman" w:hAnsi="Times New Roman" w:cs="Times New Roman"/>
          <w:color w:val="auto"/>
          <w:highlight w:val="none"/>
        </w:rPr>
        <w:t>泄漏事故控制一般分为泄漏源控制和泄漏物处置两部分。这可以通过以下方法：容器发生泄漏后，应采取措施修补和堵塞裂口，防止化学品的进一步泄漏。能否成功的进行堵漏取决于几个因素：接近泄漏点的危险程度、泄漏孔的尺寸、泄漏点处实际的或潜在的压力、泄漏物质的特性。泄漏被控制后，要及时将现场泄漏物进行覆盖、收容、稀释、处理使泄漏物得到安全可靠的处置，防止二次事故的发生。地面上泄漏物处置主要有以下方法：</w:t>
      </w:r>
    </w:p>
    <w:p>
      <w:pPr>
        <w:numPr>
          <w:ilvl w:val="0"/>
          <w:numId w:val="7"/>
        </w:numPr>
        <w:spacing w:line="520" w:lineRule="exact"/>
        <w:ind w:left="0" w:firstLine="480"/>
        <w:rPr>
          <w:rFonts w:ascii="Times New Roman" w:hAnsi="Times New Roman" w:cs="Times New Roman"/>
          <w:color w:val="auto"/>
          <w:highlight w:val="none"/>
        </w:rPr>
      </w:pPr>
      <w:r>
        <w:rPr>
          <w:rFonts w:ascii="Times New Roman" w:hAnsi="Times New Roman" w:cs="Times New Roman"/>
          <w:color w:val="auto"/>
          <w:highlight w:val="none"/>
        </w:rPr>
        <w:t>如果化学品为液体，泄漏到地面上时会四处蔓延扩散，难以收集处理，为此需要筑堤堵截或者引流到安全地点；</w:t>
      </w:r>
    </w:p>
    <w:p>
      <w:pPr>
        <w:numPr>
          <w:ilvl w:val="0"/>
          <w:numId w:val="7"/>
        </w:numPr>
        <w:spacing w:line="520" w:lineRule="exact"/>
        <w:ind w:left="0" w:firstLine="480"/>
        <w:rPr>
          <w:rFonts w:ascii="Times New Roman" w:hAnsi="Times New Roman" w:cs="Times New Roman"/>
          <w:color w:val="auto"/>
          <w:highlight w:val="none"/>
        </w:rPr>
      </w:pPr>
      <w:r>
        <w:rPr>
          <w:rFonts w:ascii="Times New Roman" w:hAnsi="Times New Roman" w:cs="Times New Roman"/>
          <w:color w:val="auto"/>
          <w:highlight w:val="none"/>
        </w:rPr>
        <w:t>对于液体泄漏，为降低物料向大气中的蒸发速度，可用泡沫或其它覆盖物品覆盖外泄的物料，在其表面形成覆盖层，抑制其蒸发，或者采用低温冷却来降低泄漏物的蒸发；</w:t>
      </w:r>
    </w:p>
    <w:p>
      <w:pPr>
        <w:numPr>
          <w:ilvl w:val="0"/>
          <w:numId w:val="7"/>
        </w:numPr>
        <w:spacing w:line="520" w:lineRule="exact"/>
        <w:ind w:left="0" w:firstLine="480"/>
        <w:rPr>
          <w:rFonts w:ascii="Times New Roman" w:hAnsi="Times New Roman" w:cs="Times New Roman"/>
          <w:color w:val="auto"/>
          <w:highlight w:val="none"/>
        </w:rPr>
      </w:pPr>
      <w:r>
        <w:rPr>
          <w:rFonts w:ascii="Times New Roman" w:hAnsi="Times New Roman" w:cs="Times New Roman"/>
          <w:color w:val="auto"/>
          <w:highlight w:val="none"/>
        </w:rPr>
        <w:t>为减少大气污染，采用水枪或消防水袋向有害物质蒸汽喷射雾状水，加速气体向高空扩散，使其在安全地带扩散。在使用这一技术时，将产生大量的污水，因此应疏通污水排放，纳入废水处理设施系统中处理。对于可燃物，也可以在现场施放大量水蒸汽或氮气，破坏燃烧条件；</w:t>
      </w:r>
    </w:p>
    <w:p>
      <w:pPr>
        <w:numPr>
          <w:ilvl w:val="0"/>
          <w:numId w:val="7"/>
        </w:numPr>
        <w:spacing w:line="520" w:lineRule="exact"/>
        <w:ind w:left="0" w:firstLine="480"/>
        <w:rPr>
          <w:rFonts w:ascii="Times New Roman" w:hAnsi="Times New Roman" w:cs="Times New Roman"/>
          <w:color w:val="auto"/>
          <w:highlight w:val="none"/>
        </w:rPr>
      </w:pPr>
      <w:r>
        <w:rPr>
          <w:rFonts w:ascii="Times New Roman" w:hAnsi="Times New Roman" w:cs="Times New Roman"/>
          <w:color w:val="auto"/>
          <w:highlight w:val="none"/>
        </w:rPr>
        <w:t>对于大量液体泄漏，可选择用隔膜泵将泄漏出的物料抽入容器内或槽车内，当泄漏量小时，可用沙子、吸附材料、中和材料等吸附中和。或者用固化法处理泄漏物；</w:t>
      </w:r>
    </w:p>
    <w:p>
      <w:pPr>
        <w:numPr>
          <w:ilvl w:val="0"/>
          <w:numId w:val="7"/>
        </w:numPr>
        <w:spacing w:line="520" w:lineRule="exact"/>
        <w:ind w:left="0" w:firstLine="480"/>
        <w:rPr>
          <w:rFonts w:ascii="Times New Roman" w:hAnsi="Times New Roman" w:cs="Times New Roman"/>
          <w:color w:val="auto"/>
          <w:highlight w:val="none"/>
        </w:rPr>
      </w:pPr>
      <w:r>
        <w:rPr>
          <w:rFonts w:ascii="Times New Roman" w:hAnsi="Times New Roman" w:cs="Times New Roman"/>
          <w:color w:val="auto"/>
          <w:highlight w:val="none"/>
        </w:rPr>
        <w:t>将收集的泄漏物运至废物处理场所处理。用消防水冲洗剩下的少量物料，冲洗水排入污水处理系统。</w:t>
      </w:r>
    </w:p>
    <w:p>
      <w:pPr>
        <w:pStyle w:val="10"/>
        <w:rPr>
          <w:rFonts w:cs="Times New Roman"/>
          <w:color w:val="auto"/>
        </w:rPr>
      </w:pPr>
      <w:r>
        <w:rPr>
          <w:rFonts w:hint="eastAsia" w:cs="Times New Roman"/>
          <w:color w:val="auto"/>
        </w:rPr>
        <w:t>5</w:t>
      </w:r>
      <w:r>
        <w:rPr>
          <w:rFonts w:cs="Times New Roman"/>
          <w:color w:val="auto"/>
        </w:rPr>
        <w:t>.3.5.3 致病微生物环境风险分析</w:t>
      </w:r>
    </w:p>
    <w:p>
      <w:pPr>
        <w:spacing w:line="520" w:lineRule="exact"/>
        <w:rPr>
          <w:rFonts w:ascii="Times New Roman" w:hAnsi="Times New Roman" w:cs="Times New Roman"/>
          <w:color w:val="auto"/>
        </w:rPr>
      </w:pPr>
      <w:r>
        <w:rPr>
          <w:rFonts w:ascii="Times New Roman" w:hAnsi="Times New Roman" w:cs="Times New Roman"/>
          <w:color w:val="auto"/>
        </w:rPr>
        <w:t>由于医院方与众多病患及家属的高频接触，日常医疗过程中会接触到带有致病性微生物病人，如：流感病人、肝炎病人、肺结核病人、痢疾病人等等，存在产生环境风险的潜在可能性。</w:t>
      </w:r>
    </w:p>
    <w:p>
      <w:pPr>
        <w:spacing w:line="520" w:lineRule="exact"/>
        <w:rPr>
          <w:rFonts w:ascii="Times New Roman" w:hAnsi="Times New Roman" w:cs="Times New Roman"/>
          <w:color w:val="auto"/>
        </w:rPr>
      </w:pPr>
      <w:r>
        <w:rPr>
          <w:rFonts w:ascii="Times New Roman" w:hAnsi="Times New Roman" w:cs="Times New Roman"/>
          <w:color w:val="auto"/>
        </w:rPr>
        <w:t>血液、体液、消化道传播的传染病的主要特征是指接触除与病人的接触和医疗操作感染外，因医院环境污染而造成的人体接触或饮用水、食物的污染，其主要表现在医疗垃圾泄漏到环境中，发生与人接触的事件；医院污水收集处理系统不完善，带菌毒的污水进入外环境，污染饮用水、食物等。</w:t>
      </w:r>
    </w:p>
    <w:p>
      <w:pPr>
        <w:spacing w:line="520" w:lineRule="exact"/>
        <w:rPr>
          <w:rFonts w:ascii="Times New Roman" w:hAnsi="Times New Roman" w:cs="Times New Roman"/>
          <w:color w:val="auto"/>
        </w:rPr>
      </w:pPr>
      <w:r>
        <w:rPr>
          <w:rFonts w:ascii="Times New Roman" w:hAnsi="Times New Roman" w:cs="Times New Roman"/>
          <w:color w:val="auto"/>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pPr>
        <w:spacing w:line="520" w:lineRule="exact"/>
        <w:rPr>
          <w:rFonts w:ascii="Times New Roman" w:hAnsi="Times New Roman" w:cs="Times New Roman"/>
          <w:color w:val="auto"/>
        </w:rPr>
      </w:pPr>
      <w:r>
        <w:rPr>
          <w:rFonts w:ascii="Times New Roman" w:hAnsi="Times New Roman" w:cs="Times New Roman"/>
          <w:color w:val="auto"/>
        </w:rPr>
        <w:t>因此，应对传染病诊治规模进行控制，尽量将传染病理进行单独诊治，并给予特殊管理，严格控制传染病对外蔓延的趋势。缩小传染病病毒接触群体，将传染对象降到最低。适当时候应当进行隔离方式的保守治疗方式。</w:t>
      </w:r>
    </w:p>
    <w:p>
      <w:pPr>
        <w:spacing w:line="520" w:lineRule="exact"/>
        <w:rPr>
          <w:rFonts w:ascii="Times New Roman" w:hAnsi="Times New Roman" w:cs="Times New Roman"/>
          <w:color w:val="auto"/>
        </w:rPr>
      </w:pPr>
      <w:r>
        <w:rPr>
          <w:rFonts w:ascii="Times New Roman" w:hAnsi="Times New Roman" w:cs="Times New Roman"/>
          <w:color w:val="auto"/>
        </w:rPr>
        <w:t>另外由于检验科每天都要接触大量的临床标本，工作人员最有可能受到感染，因此在临床检验工作中，医护人员应做好消毒及个人防护，按照合理流程处理标本，可有效的控制医院感染；同时医院应制定切实符合医院临床实验室或检</w:t>
      </w:r>
      <w:r>
        <w:rPr>
          <w:rFonts w:ascii="Times New Roman" w:hAnsi="Times New Roman" w:cs="Times New Roman"/>
          <w:color w:val="auto"/>
          <w:spacing w:val="6"/>
        </w:rPr>
        <w:t>验科实际情况的安全防护措施及遵照合理的消毒方法，降低环境微生物污染风险。</w:t>
      </w:r>
    </w:p>
    <w:p>
      <w:pPr>
        <w:pStyle w:val="10"/>
        <w:rPr>
          <w:rFonts w:cs="Times New Roman"/>
          <w:color w:val="auto"/>
        </w:rPr>
      </w:pPr>
      <w:r>
        <w:rPr>
          <w:rFonts w:hint="eastAsia" w:cs="Times New Roman"/>
          <w:color w:val="auto"/>
        </w:rPr>
        <w:t>5</w:t>
      </w:r>
      <w:r>
        <w:rPr>
          <w:rFonts w:cs="Times New Roman"/>
          <w:color w:val="auto"/>
        </w:rPr>
        <w:t>.3.5.4 项目医疗废水事故排放风险分析</w:t>
      </w:r>
    </w:p>
    <w:p>
      <w:pPr>
        <w:spacing w:line="520" w:lineRule="exact"/>
        <w:rPr>
          <w:rFonts w:ascii="Times New Roman" w:hAnsi="Times New Roman" w:cs="Times New Roman"/>
          <w:color w:val="auto"/>
        </w:rPr>
      </w:pPr>
      <w:r>
        <w:rPr>
          <w:rFonts w:ascii="Times New Roman" w:hAnsi="Times New Roman" w:cs="Times New Roman"/>
          <w:color w:val="auto"/>
        </w:rPr>
        <w:t>（1）项目医疗废水处理过程中的事故因素</w:t>
      </w:r>
    </w:p>
    <w:p>
      <w:pPr>
        <w:spacing w:line="520" w:lineRule="exact"/>
        <w:rPr>
          <w:rFonts w:ascii="Times New Roman" w:hAnsi="Times New Roman" w:cs="Times New Roman"/>
          <w:color w:val="auto"/>
        </w:rPr>
      </w:pPr>
      <w:r>
        <w:rPr>
          <w:rFonts w:ascii="Times New Roman" w:hAnsi="Times New Roman" w:cs="Times New Roman"/>
          <w:color w:val="auto"/>
        </w:rPr>
        <w:t>医疗废水处理过程中的事故因素包括两方面：一是操作不当或处理设施失灵，废水不能达标而直接排放。医院污水可沾染病人的血、尿、便，或受到粪便、传染性细菌和病毒等病原性微生物污染，具有传染性，可以诱发疾病或造成伤害；含有酸、碱、悬浮固体、BOD、COD和动植物油等有毒、有害物质和多种致病菌、病毒和寄生虫卵，它们在环境中具有一定的适应力，有的甚至在污水中存活较长，危害性较大；治疗和化验等过程产生污水含有消毒剂、有机溶剂等，部分具有致癌、致畸或致突变性，具有空间污染、急性传染和潜伏性传染等特征，不经有效处理会成为一条疫病扩散的重要途径和严重污染环境，危害人体健康并对环境有长远影响，泄漏或排放的废水将会导致环境污染事故；二是虽然废水水质处理达标，但未能较好的控制水量，使过多的余氯、大肠杆菌排放水体，影响附近的水环境质量。</w:t>
      </w:r>
    </w:p>
    <w:p>
      <w:pPr>
        <w:spacing w:line="520" w:lineRule="exact"/>
        <w:rPr>
          <w:rFonts w:ascii="Times New Roman" w:hAnsi="Times New Roman" w:cs="Times New Roman"/>
          <w:color w:val="auto"/>
        </w:rPr>
      </w:pPr>
      <w:r>
        <w:rPr>
          <w:rFonts w:ascii="Times New Roman" w:hAnsi="Times New Roman" w:cs="Times New Roman"/>
          <w:color w:val="auto"/>
        </w:rPr>
        <w:t>（2）医疗废水事故排放引起的风险影响</w:t>
      </w:r>
    </w:p>
    <w:p>
      <w:pPr>
        <w:spacing w:line="520" w:lineRule="exact"/>
        <w:rPr>
          <w:rFonts w:ascii="Times New Roman" w:hAnsi="Times New Roman" w:cs="Times New Roman"/>
          <w:color w:val="auto"/>
        </w:rPr>
      </w:pPr>
      <w:r>
        <w:rPr>
          <w:rFonts w:ascii="Times New Roman" w:hAnsi="Times New Roman" w:cs="Times New Roman"/>
          <w:color w:val="auto"/>
        </w:rPr>
        <w:t>本项目因污染物防治设施非正常使用，如：管道破裂、泵设备损坏或失效、人为操作失误等，导致废水污染物未经处理直接排放至环境而引起的污染风险事故是比较常见的。但该项目废水污染物成分特殊，其影响程度要远大于达标排放。</w:t>
      </w:r>
    </w:p>
    <w:p>
      <w:pPr>
        <w:spacing w:line="520" w:lineRule="exact"/>
        <w:rPr>
          <w:rFonts w:ascii="Times New Roman" w:hAnsi="Times New Roman" w:cs="Times New Roman"/>
          <w:color w:val="auto"/>
        </w:rPr>
      </w:pPr>
      <w:r>
        <w:rPr>
          <w:rFonts w:ascii="Times New Roman" w:hAnsi="Times New Roman" w:cs="Times New Roman"/>
          <w:color w:val="auto"/>
        </w:rPr>
        <w:t>1）对吉木萨尔县污水处理厂的影响</w:t>
      </w:r>
    </w:p>
    <w:p>
      <w:pPr>
        <w:spacing w:line="520" w:lineRule="exact"/>
        <w:rPr>
          <w:rFonts w:ascii="Times New Roman" w:hAnsi="Times New Roman" w:cs="Times New Roman"/>
          <w:color w:val="auto"/>
        </w:rPr>
      </w:pPr>
      <w:r>
        <w:rPr>
          <w:rFonts w:ascii="Times New Roman" w:hAnsi="Times New Roman" w:cs="Times New Roman"/>
          <w:color w:val="auto"/>
        </w:rPr>
        <w:t>虽然本项目废水量仅占吉木萨尔县污水处理厂日处理量很小的一部分，因此冲击影响不大，但根据项目工程分析章节中，可以得出项目废水发生事故排放时，CODcr的排放量比正常排放的多5.64t/a，BOD</w:t>
      </w:r>
      <w:r>
        <w:rPr>
          <w:rFonts w:ascii="Times New Roman" w:hAnsi="Times New Roman" w:cs="Times New Roman"/>
          <w:color w:val="auto"/>
          <w:vertAlign w:val="subscript"/>
        </w:rPr>
        <w:t>5</w:t>
      </w:r>
      <w:r>
        <w:rPr>
          <w:rFonts w:ascii="Times New Roman" w:hAnsi="Times New Roman" w:cs="Times New Roman"/>
          <w:color w:val="auto"/>
        </w:rPr>
        <w:t>多5.64t/a，SS多6.77t/a，因此，本项目废水事故排放会加大污染负荷，将对市政管道污水水质造成一定影响，对于最终进入吉木萨尔县污水处理厂的水质会造成一定的影响，对污水处理厂的处理效果也有一定的负面影响。</w:t>
      </w:r>
    </w:p>
    <w:p>
      <w:pPr>
        <w:spacing w:line="520" w:lineRule="exact"/>
        <w:rPr>
          <w:rFonts w:ascii="Times New Roman" w:hAnsi="Times New Roman" w:cs="Times New Roman"/>
          <w:color w:val="auto"/>
        </w:rPr>
      </w:pPr>
      <w:r>
        <w:rPr>
          <w:rFonts w:ascii="Times New Roman" w:hAnsi="Times New Roman" w:cs="Times New Roman"/>
          <w:color w:val="auto"/>
        </w:rPr>
        <w:t>2）医院废水病原细菌、病毒的影响分析</w:t>
      </w:r>
    </w:p>
    <w:p>
      <w:pPr>
        <w:spacing w:line="520" w:lineRule="exact"/>
        <w:rPr>
          <w:rFonts w:ascii="Times New Roman" w:hAnsi="Times New Roman" w:cs="Times New Roman"/>
          <w:color w:val="auto"/>
        </w:rPr>
      </w:pPr>
      <w:r>
        <w:rPr>
          <w:rFonts w:ascii="Times New Roman" w:hAnsi="Times New Roman" w:cs="Times New Roman"/>
          <w:color w:val="auto"/>
        </w:rPr>
        <w:t>本项目是一座综合医院，每日接触各种病人，是首当其冲的接触各种传染病或结核病人的场所，因而不可避免的会在医院的污水中存在各种细菌、病毒和寄生虫卵。</w:t>
      </w:r>
    </w:p>
    <w:p>
      <w:pPr>
        <w:spacing w:line="520" w:lineRule="exact"/>
        <w:rPr>
          <w:rFonts w:ascii="Times New Roman" w:hAnsi="Times New Roman" w:cs="Times New Roman"/>
          <w:color w:val="auto"/>
        </w:rPr>
      </w:pPr>
      <w:r>
        <w:rPr>
          <w:rFonts w:ascii="Times New Roman" w:hAnsi="Times New Roman" w:cs="Times New Roman"/>
          <w:color w:val="auto"/>
        </w:rPr>
        <w:t>病原细菌有沙门氏菌、痢疾志贺氏菌、霍乱菌、结核分技杆菌、布鲁氏菌属以及炭疽杆菌等。其中病原性细菌介水传播的有痢疾、伤寒、霍乱、结核杆菌等。病原性细菌具有适应环境能力强的特点，可以根据外界环境的变化而使其自身发生变异。当医院污水消毒达不到要求时，便可使病原性细菌通过水体造成传播疾病的危险。病原性细菌在水中的存活天数见表</w:t>
      </w:r>
      <w:r>
        <w:rPr>
          <w:rFonts w:hint="eastAsia" w:ascii="Times New Roman" w:hAnsi="Times New Roman" w:cs="Times New Roman"/>
          <w:color w:val="auto"/>
        </w:rPr>
        <w:t>5.3-5</w:t>
      </w:r>
      <w:r>
        <w:rPr>
          <w:rFonts w:ascii="Times New Roman" w:hAnsi="Times New Roman" w:cs="Times New Roman"/>
          <w:color w:val="auto"/>
        </w:rPr>
        <w:t>。</w:t>
      </w:r>
    </w:p>
    <w:p>
      <w:pPr>
        <w:spacing w:line="52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eastAsia" w:ascii="Times New Roman" w:hAnsi="Times New Roman" w:cs="Times New Roman"/>
          <w:b/>
          <w:bCs/>
          <w:color w:val="auto"/>
          <w:sz w:val="21"/>
          <w:szCs w:val="21"/>
        </w:rPr>
        <w:t>5.3-5</w:t>
      </w:r>
      <w:r>
        <w:rPr>
          <w:rFonts w:ascii="Times New Roman" w:hAnsi="Times New Roman" w:cs="Times New Roman"/>
          <w:b/>
          <w:bCs/>
          <w:color w:val="auto"/>
          <w:sz w:val="21"/>
          <w:szCs w:val="21"/>
        </w:rPr>
        <w:t xml:space="preserve">   病原细菌在水中存活天数一览表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49"/>
        <w:gridCol w:w="920"/>
        <w:gridCol w:w="899"/>
        <w:gridCol w:w="1110"/>
        <w:gridCol w:w="1251"/>
        <w:gridCol w:w="1213"/>
        <w:gridCol w:w="11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blHeader/>
        </w:trPr>
        <w:tc>
          <w:tcPr>
            <w:tcW w:w="1051"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菌种</w:t>
            </w:r>
          </w:p>
        </w:tc>
        <w:tc>
          <w:tcPr>
            <w:tcW w:w="55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蒸馏水</w:t>
            </w:r>
          </w:p>
        </w:tc>
        <w:tc>
          <w:tcPr>
            <w:tcW w:w="540"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无菌水</w:t>
            </w:r>
          </w:p>
        </w:tc>
        <w:tc>
          <w:tcPr>
            <w:tcW w:w="667"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污染水</w:t>
            </w:r>
          </w:p>
        </w:tc>
        <w:tc>
          <w:tcPr>
            <w:tcW w:w="752"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自来水</w:t>
            </w:r>
          </w:p>
        </w:tc>
        <w:tc>
          <w:tcPr>
            <w:tcW w:w="729"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河水</w:t>
            </w:r>
          </w:p>
        </w:tc>
        <w:tc>
          <w:tcPr>
            <w:tcW w:w="704"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井水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大肠杆菌</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21-72</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8-365</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2-262</w:t>
            </w: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21-183</w:t>
            </w: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伤寒杆菌</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3-81</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6-383</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2-42</w:t>
            </w: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2-93</w:t>
            </w: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4-183</w:t>
            </w: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甲副伤寒杆菌</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73-88</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22-55</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乙副伤寒杆菌</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27-150</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29-167</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2-42</w:t>
            </w: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27-37</w:t>
            </w: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痢疾杆菌</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3-39</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2-72</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2月4日</w:t>
            </w: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15-27</w:t>
            </w: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12-92</w:t>
            </w: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霍乱杆菌</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0.5-214</w:t>
            </w: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3-392</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0.5-213</w:t>
            </w: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4月28日</w:t>
            </w: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0.5-92</w:t>
            </w: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布氏杆菌</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6-168</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7-77</w:t>
            </w: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5-85</w:t>
            </w: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51"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钩端螺旋体</w:t>
            </w:r>
          </w:p>
        </w:tc>
        <w:tc>
          <w:tcPr>
            <w:tcW w:w="553" w:type="pct"/>
            <w:vAlign w:val="center"/>
          </w:tcPr>
          <w:p>
            <w:pPr>
              <w:spacing w:line="240" w:lineRule="auto"/>
              <w:ind w:firstLine="0" w:firstLineChars="0"/>
              <w:jc w:val="center"/>
              <w:rPr>
                <w:rFonts w:ascii="Times New Roman" w:hAnsi="Times New Roman" w:cs="Times New Roman"/>
                <w:color w:val="auto"/>
                <w:sz w:val="21"/>
                <w:szCs w:val="21"/>
              </w:rPr>
            </w:pPr>
          </w:p>
        </w:tc>
        <w:tc>
          <w:tcPr>
            <w:tcW w:w="540"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16</w:t>
            </w:r>
          </w:p>
        </w:tc>
        <w:tc>
          <w:tcPr>
            <w:tcW w:w="66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8-10 周</w:t>
            </w:r>
          </w:p>
        </w:tc>
        <w:tc>
          <w:tcPr>
            <w:tcW w:w="752" w:type="pct"/>
            <w:vAlign w:val="center"/>
          </w:tcPr>
          <w:p>
            <w:pPr>
              <w:spacing w:line="240" w:lineRule="auto"/>
              <w:ind w:firstLine="0" w:firstLineChars="0"/>
              <w:jc w:val="center"/>
              <w:rPr>
                <w:rFonts w:ascii="Times New Roman" w:hAnsi="Times New Roman" w:cs="Times New Roman"/>
                <w:color w:val="auto"/>
                <w:sz w:val="21"/>
                <w:szCs w:val="21"/>
              </w:rPr>
            </w:pPr>
          </w:p>
        </w:tc>
        <w:tc>
          <w:tcPr>
            <w:tcW w:w="7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150 天以内</w:t>
            </w:r>
          </w:p>
        </w:tc>
        <w:tc>
          <w:tcPr>
            <w:tcW w:w="70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7-75</w:t>
            </w:r>
          </w:p>
        </w:tc>
      </w:tr>
    </w:tbl>
    <w:p>
      <w:pPr>
        <w:spacing w:line="520" w:lineRule="exact"/>
        <w:rPr>
          <w:rFonts w:ascii="Times New Roman" w:hAnsi="Times New Roman" w:cs="Times New Roman"/>
          <w:color w:val="auto"/>
        </w:rPr>
      </w:pPr>
      <w:r>
        <w:rPr>
          <w:rFonts w:ascii="Times New Roman" w:hAnsi="Times New Roman" w:cs="Times New Roman"/>
          <w:color w:val="auto"/>
        </w:rPr>
        <w:t>研究资料表明，痢疾杆菌在外界生存的期限有很大的差异，少则几天，长者达数月之久。霍乱和霍乱弧菌在室温条件下的烘便中数即死亡，在阴沟或泥土中可生存3-4d，在蔬菜或水果上可生存3-5d，在污染的潮湿衣服上可生存数周，在海水中可以生存2个月。结核杆菌在外界环境中的抵抗力则更强，由于其菌体内含有脂类，所以不论是在干燥的痰内、空气中，其传染力可达8-10d。在污水中的存活时间长达11-14个月。肠道病毒是指经肠道传播疾病的一种病毒。包括肝炎病毒、脊髓灰质炎病毒、柯萨奇病毒、ECHO病毒、REO病毒等。这此病毒都能介水传播。通过流行病学调查和细菌学检验证明，国内外历次大的传染病曝发流行几乎都与水源污染、饮用或接触被污染的水有关。带病菌的污水流入海水中还可能使海里的生物带菌，并通过食物链最终危害到人类自身的健康。医疗废水病原细菌、病毒若排入水体对水环境的影响较大。</w:t>
      </w:r>
    </w:p>
    <w:p>
      <w:pPr>
        <w:spacing w:line="520" w:lineRule="exact"/>
        <w:rPr>
          <w:rFonts w:ascii="Times New Roman" w:hAnsi="Times New Roman" w:cs="Times New Roman"/>
          <w:color w:val="auto"/>
        </w:rPr>
      </w:pPr>
      <w:r>
        <w:rPr>
          <w:rFonts w:ascii="Times New Roman" w:hAnsi="Times New Roman" w:cs="Times New Roman"/>
          <w:color w:val="auto"/>
        </w:rPr>
        <w:t>（3）污水处理站事故防范应急措施</w:t>
      </w:r>
    </w:p>
    <w:p>
      <w:pPr>
        <w:spacing w:line="520" w:lineRule="exact"/>
        <w:rPr>
          <w:rFonts w:ascii="Times New Roman" w:hAnsi="Times New Roman" w:cs="Times New Roman"/>
          <w:color w:val="auto"/>
        </w:rPr>
      </w:pPr>
      <w:r>
        <w:rPr>
          <w:rFonts w:ascii="Times New Roman" w:hAnsi="Times New Roman" w:cs="Times New Roman"/>
          <w:color w:val="auto"/>
        </w:rPr>
        <w:t>1）新建的污水处理系统出现故障，不能正常运行，立即启用应急设备（事故水池），保障污水能够得到及时处理并及时对出现故障的设备进行维修，确保污水做到达标排放，不污染地表水体。</w:t>
      </w:r>
    </w:p>
    <w:p>
      <w:pPr>
        <w:spacing w:line="520" w:lineRule="exact"/>
        <w:rPr>
          <w:rFonts w:ascii="Times New Roman" w:hAnsi="Times New Roman" w:cs="Times New Roman"/>
          <w:color w:val="auto"/>
        </w:rPr>
      </w:pPr>
      <w:r>
        <w:rPr>
          <w:rFonts w:ascii="Times New Roman" w:hAnsi="Times New Roman" w:cs="Times New Roman"/>
          <w:color w:val="auto"/>
        </w:rPr>
        <w:t>2）污水处理系统消毒设备出现故障，应立即启用备用的应急消毒剂，采用人工添加消毒剂的方式对污水进行消毒处理，做到达标排放。</w:t>
      </w:r>
    </w:p>
    <w:p>
      <w:pPr>
        <w:spacing w:line="520" w:lineRule="exact"/>
        <w:rPr>
          <w:rFonts w:ascii="Times New Roman" w:hAnsi="Times New Roman" w:cs="Times New Roman"/>
          <w:color w:val="auto"/>
        </w:rPr>
      </w:pPr>
      <w:r>
        <w:rPr>
          <w:rFonts w:ascii="Times New Roman" w:hAnsi="Times New Roman" w:cs="Times New Roman"/>
          <w:color w:val="auto"/>
        </w:rPr>
        <w:t>3）医院备有应急电源，在系统停电情况下，应立即启用应急电源，优先保证污水处理系统的用电，使其正常运转。</w:t>
      </w:r>
    </w:p>
    <w:p>
      <w:pPr>
        <w:spacing w:line="520" w:lineRule="exact"/>
        <w:rPr>
          <w:rFonts w:ascii="Times New Roman" w:hAnsi="Times New Roman" w:cs="Times New Roman"/>
          <w:color w:val="auto"/>
        </w:rPr>
      </w:pPr>
      <w:r>
        <w:rPr>
          <w:rFonts w:ascii="Times New Roman" w:hAnsi="Times New Roman" w:cs="Times New Roman"/>
          <w:color w:val="auto"/>
        </w:rPr>
        <w:t>4）废水一旦出现泄露，需立即关闭水闸，减少废水泄露量。</w:t>
      </w:r>
    </w:p>
    <w:p>
      <w:pPr>
        <w:spacing w:line="520" w:lineRule="exact"/>
        <w:rPr>
          <w:rFonts w:ascii="Times New Roman" w:hAnsi="Times New Roman" w:cs="Times New Roman"/>
          <w:color w:val="auto"/>
        </w:rPr>
      </w:pPr>
      <w:r>
        <w:rPr>
          <w:rFonts w:ascii="Times New Roman" w:hAnsi="Times New Roman" w:cs="Times New Roman"/>
          <w:color w:val="auto"/>
        </w:rPr>
        <w:t>5）针对医疗废水事故排放所产生的风险，按照《医院污水处理工程技术规范》（HJ2029-2013），非传染病医院污水处理工程应急事故池容积不小于日排放量的30%，本项目污水处理站收集处理全院区的污水属于非传染病医院污水，且本项目医疗废水最大排放量为309.2m</w:t>
      </w:r>
      <w:r>
        <w:rPr>
          <w:rFonts w:hint="eastAsia" w:ascii="Times New Roman" w:hAnsi="Times New Roman" w:cs="Times New Roman"/>
          <w:color w:val="auto"/>
          <w:vertAlign w:val="superscript"/>
          <w:lang w:val="en-US" w:eastAsia="zh-CN"/>
        </w:rPr>
        <w:t>3</w:t>
      </w:r>
      <w:r>
        <w:rPr>
          <w:rFonts w:ascii="Times New Roman" w:hAnsi="Times New Roman" w:cs="Times New Roman"/>
          <w:color w:val="auto"/>
        </w:rPr>
        <w:t>/d，建议事故应急贮水容积设计应不小于</w:t>
      </w:r>
      <w:r>
        <w:rPr>
          <w:rFonts w:hint="eastAsia" w:ascii="Times New Roman" w:hAnsi="Times New Roman" w:cs="Times New Roman"/>
          <w:color w:val="auto"/>
          <w:lang w:val="en-US" w:eastAsia="zh-CN"/>
        </w:rPr>
        <w:t>6</w:t>
      </w:r>
      <w:r>
        <w:rPr>
          <w:rFonts w:ascii="Times New Roman" w:hAnsi="Times New Roman" w:cs="Times New Roman"/>
          <w:color w:val="auto"/>
        </w:rPr>
        <w:t>00m</w:t>
      </w:r>
      <w:r>
        <w:rPr>
          <w:rFonts w:hint="eastAsia" w:ascii="Times New Roman" w:hAnsi="Times New Roman" w:cs="Times New Roman"/>
          <w:color w:val="auto"/>
          <w:vertAlign w:val="superscript"/>
          <w:lang w:val="en-US" w:eastAsia="zh-CN"/>
        </w:rPr>
        <w:t>3</w:t>
      </w:r>
      <w:r>
        <w:rPr>
          <w:rFonts w:ascii="Times New Roman" w:hAnsi="Times New Roman" w:cs="Times New Roman"/>
          <w:color w:val="auto"/>
        </w:rPr>
        <w:t>，本项目事故应急池设置于项目污水处理站旁，一旦污水处理系统发生异常，造成事故排放时，立即将事故废水引入应急池暂存，并对污水处理系统进行事故排除。等污水处理系统正常运行时将应急池污水重新引入污水处理系统处理达标后排放，防止事故污水对周边水环境的影响。</w:t>
      </w:r>
    </w:p>
    <w:p>
      <w:pPr>
        <w:pStyle w:val="10"/>
        <w:rPr>
          <w:rFonts w:cs="Times New Roman"/>
          <w:color w:val="auto"/>
        </w:rPr>
      </w:pPr>
      <w:r>
        <w:rPr>
          <w:rFonts w:hint="eastAsia" w:cs="Times New Roman"/>
          <w:color w:val="auto"/>
        </w:rPr>
        <w:t>5</w:t>
      </w:r>
      <w:r>
        <w:rPr>
          <w:rFonts w:cs="Times New Roman"/>
          <w:color w:val="auto"/>
        </w:rPr>
        <w:t>.3.5.5 医疗废物在收集、贮存、运送过程中的风险分析</w:t>
      </w:r>
    </w:p>
    <w:p>
      <w:pPr>
        <w:spacing w:line="520" w:lineRule="exact"/>
        <w:rPr>
          <w:rFonts w:ascii="Times New Roman" w:hAnsi="Times New Roman" w:cs="Times New Roman"/>
          <w:color w:val="auto"/>
        </w:rPr>
      </w:pPr>
      <w:r>
        <w:rPr>
          <w:rFonts w:ascii="Times New Roman" w:hAnsi="Times New Roman" w:cs="Times New Roman"/>
          <w:color w:val="auto"/>
        </w:rPr>
        <w:t>（1）医疗废物未经处理产生的危害影响</w:t>
      </w:r>
    </w:p>
    <w:p>
      <w:pPr>
        <w:spacing w:line="520" w:lineRule="exact"/>
        <w:rPr>
          <w:rFonts w:ascii="Times New Roman" w:hAnsi="Times New Roman" w:cs="Times New Roman"/>
          <w:color w:val="auto"/>
        </w:rPr>
      </w:pPr>
      <w:r>
        <w:rPr>
          <w:rFonts w:ascii="Times New Roman" w:hAnsi="Times New Roman" w:cs="Times New Roman"/>
          <w:color w:val="auto"/>
        </w:rPr>
        <w:t>医疗垃圾中可能存在传染性病菌、病毒、化学污染物等有害物质，由于医疗垃圾具有空间污染、急性传染和潜伏性污染等特征，其病毒、病菌的危害性是普通生活垃圾的几十、几百甚至上千倍，且基本没有回收再利用的价值。在国外，医疗垃圾被视为“顶级危险”和“致命杀手”。据检测，医疗垃圾中存在着大量的病菌、病毒等，如乙肝表面抗原阳性率在未经浓缩的样品中为7.42％，医疗垃圾的阳性率则高达8.9％。有关资料证实，医疗垃圾引起的交叉感染占社会交叉感染率的20％。在我国，也早已将其列为头号危险废物，且我国明文规定，医疗垃圾必须采用“焚烧法”处理，以确保杀菌和避免环境污染。</w:t>
      </w:r>
    </w:p>
    <w:p>
      <w:pPr>
        <w:spacing w:line="520" w:lineRule="exact"/>
        <w:rPr>
          <w:rFonts w:ascii="Times New Roman" w:hAnsi="Times New Roman" w:cs="Times New Roman"/>
          <w:color w:val="auto"/>
        </w:rPr>
      </w:pPr>
      <w:r>
        <w:rPr>
          <w:rFonts w:ascii="Times New Roman" w:hAnsi="Times New Roman" w:cs="Times New Roman"/>
          <w:color w:val="auto"/>
        </w:rPr>
        <w:t>医疗垃圾残留及衍生的大量病菌是十分有害有毒的物质，如果不经分类收集等有效处理的话，很容易引起各种疾病的传播和蔓延。例如，如果项目医疗垃圾和生活垃圾混合一起的话，则可能会将还有血肉、病毒细菌的医疗垃圾经非法收集回收加工后成为人们需要的日常生活用品，如：纱布、绷带、带血棉球制成棉被、医疗废弃石膏做成豆腐等。将极大地危害人们身心健康，成为疫病流行的源头，后果是不可想象的。</w:t>
      </w:r>
    </w:p>
    <w:p>
      <w:pPr>
        <w:spacing w:line="520" w:lineRule="exact"/>
        <w:rPr>
          <w:rFonts w:ascii="Times New Roman" w:hAnsi="Times New Roman" w:cs="Times New Roman"/>
          <w:color w:val="auto"/>
        </w:rPr>
      </w:pPr>
      <w:r>
        <w:rPr>
          <w:rFonts w:ascii="Times New Roman" w:hAnsi="Times New Roman" w:cs="Times New Roman"/>
          <w:color w:val="auto"/>
        </w:rPr>
        <w:t>（2）医疗废物的防范措施</w:t>
      </w:r>
    </w:p>
    <w:p>
      <w:pPr>
        <w:spacing w:line="520" w:lineRule="exact"/>
        <w:rPr>
          <w:rFonts w:ascii="Times New Roman" w:hAnsi="Times New Roman" w:cs="Times New Roman"/>
          <w:color w:val="auto"/>
        </w:rPr>
      </w:pPr>
      <w:r>
        <w:rPr>
          <w:rFonts w:ascii="Times New Roman" w:hAnsi="Times New Roman" w:cs="Times New Roman"/>
          <w:color w:val="auto"/>
        </w:rPr>
        <w:t>本项目建成运营后预计共产生医疗废物87.6t/a。必须经科学地分类收集、贮存运送后交由有资质单位处理。</w:t>
      </w:r>
    </w:p>
    <w:p>
      <w:pPr>
        <w:spacing w:line="520" w:lineRule="exact"/>
        <w:rPr>
          <w:rFonts w:ascii="Times New Roman" w:hAnsi="Times New Roman" w:cs="Times New Roman"/>
          <w:color w:val="auto"/>
        </w:rPr>
      </w:pPr>
      <w:r>
        <w:rPr>
          <w:rFonts w:ascii="Times New Roman" w:hAnsi="Times New Roman" w:cs="Times New Roman"/>
          <w:color w:val="auto"/>
        </w:rPr>
        <w:t>鉴于医疗垃圾的极大危害性，本项目在收集、贮存、运送医疗废物的过程中存在着一定的风险。为保证项目产生的医疗垃圾得到有效处置，使其风险减少到最小程度，而不会对周围环境造成不良影响，应具体采取如下的措施进行防范。</w:t>
      </w:r>
    </w:p>
    <w:p>
      <w:pPr>
        <w:spacing w:line="520" w:lineRule="exact"/>
        <w:rPr>
          <w:rFonts w:ascii="Times New Roman" w:hAnsi="Times New Roman" w:cs="Times New Roman"/>
          <w:color w:val="auto"/>
        </w:rPr>
      </w:pPr>
      <w:r>
        <w:rPr>
          <w:rFonts w:ascii="Times New Roman" w:hAnsi="Times New Roman" w:cs="Times New Roman"/>
          <w:color w:val="auto"/>
        </w:rPr>
        <w:t>1）应对项目产生的医疗垃圾进行科学的分类收集</w:t>
      </w:r>
    </w:p>
    <w:p>
      <w:pPr>
        <w:spacing w:line="520" w:lineRule="exact"/>
        <w:rPr>
          <w:rFonts w:ascii="Times New Roman" w:hAnsi="Times New Roman" w:cs="Times New Roman"/>
          <w:color w:val="auto"/>
        </w:rPr>
      </w:pPr>
      <w:r>
        <w:rPr>
          <w:rFonts w:ascii="Times New Roman" w:hAnsi="Times New Roman" w:cs="Times New Roman"/>
          <w:color w:val="auto"/>
        </w:rPr>
        <w:t>科学的分类是消除污染、无害化处置的保证，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要求：</w:t>
      </w:r>
    </w:p>
    <w:p>
      <w:pPr>
        <w:spacing w:line="520" w:lineRule="exact"/>
        <w:rPr>
          <w:rFonts w:ascii="Times New Roman" w:hAnsi="Times New Roman" w:cs="Times New Roman"/>
          <w:color w:val="auto"/>
        </w:rPr>
      </w:pPr>
      <w:r>
        <w:rPr>
          <w:rFonts w:ascii="Times New Roman" w:hAnsi="Times New Roman" w:cs="Times New Roman"/>
          <w:color w:val="auto"/>
        </w:rPr>
        <w:t>①包装袋在正常使用情况下，不应出现渗漏、破裂或穿孔；</w:t>
      </w:r>
    </w:p>
    <w:p>
      <w:pPr>
        <w:spacing w:line="520" w:lineRule="exact"/>
        <w:rPr>
          <w:rFonts w:ascii="Times New Roman" w:hAnsi="Times New Roman" w:cs="Times New Roman"/>
          <w:color w:val="auto"/>
        </w:rPr>
      </w:pPr>
      <w:r>
        <w:rPr>
          <w:rFonts w:ascii="Times New Roman" w:hAnsi="Times New Roman" w:cs="Times New Roman"/>
          <w:color w:val="auto"/>
        </w:rPr>
        <w:t>②采用高温热处置技术处置医疗废物时，包装袋不应使用聚氯乙烯材料；</w:t>
      </w:r>
    </w:p>
    <w:p>
      <w:pPr>
        <w:spacing w:line="520" w:lineRule="exact"/>
        <w:rPr>
          <w:rFonts w:ascii="Times New Roman" w:hAnsi="Times New Roman" w:cs="Times New Roman"/>
          <w:color w:val="auto"/>
        </w:rPr>
      </w:pPr>
      <w:r>
        <w:rPr>
          <w:rFonts w:ascii="Times New Roman" w:hAnsi="Times New Roman" w:cs="Times New Roman"/>
          <w:color w:val="auto"/>
        </w:rPr>
        <w:t>③包装袋大小适中，便于操作，配合周转箱（桶）运输；</w:t>
      </w:r>
    </w:p>
    <w:p>
      <w:pPr>
        <w:spacing w:line="520" w:lineRule="exact"/>
        <w:rPr>
          <w:rFonts w:ascii="Times New Roman" w:hAnsi="Times New Roman" w:cs="Times New Roman"/>
          <w:color w:val="auto"/>
        </w:rPr>
      </w:pPr>
      <w:r>
        <w:rPr>
          <w:rFonts w:ascii="Times New Roman" w:hAnsi="Times New Roman" w:cs="Times New Roman"/>
          <w:color w:val="auto"/>
        </w:rPr>
        <w:t>④包装袋的颜色为淡黄，包装袋的明显处应印有警示标志和警告语。而盛装医疗废物的周转箱（桶）应符合下列要求：</w:t>
      </w:r>
    </w:p>
    <w:p>
      <w:pPr>
        <w:numPr>
          <w:ilvl w:val="0"/>
          <w:numId w:val="8"/>
        </w:numPr>
        <w:spacing w:line="520" w:lineRule="exact"/>
        <w:rPr>
          <w:rFonts w:ascii="Times New Roman" w:hAnsi="Times New Roman" w:cs="Times New Roman"/>
          <w:color w:val="auto"/>
        </w:rPr>
      </w:pPr>
      <w:r>
        <w:rPr>
          <w:rFonts w:ascii="Times New Roman" w:hAnsi="Times New Roman" w:cs="Times New Roman"/>
          <w:color w:val="auto"/>
        </w:rPr>
        <w:t>周转箱（桶）整体应了液体渗漏，应便于清洗和消毒；</w:t>
      </w:r>
    </w:p>
    <w:p>
      <w:pPr>
        <w:numPr>
          <w:ilvl w:val="0"/>
          <w:numId w:val="8"/>
        </w:numPr>
        <w:spacing w:line="520" w:lineRule="exact"/>
        <w:rPr>
          <w:rFonts w:ascii="Times New Roman" w:hAnsi="Times New Roman" w:cs="Times New Roman"/>
          <w:color w:val="auto"/>
        </w:rPr>
      </w:pPr>
      <w:r>
        <w:rPr>
          <w:rFonts w:ascii="Times New Roman" w:hAnsi="Times New Roman" w:cs="Times New Roman"/>
          <w:color w:val="auto"/>
        </w:rPr>
        <w:t>周转箱（桶）整体应淡黄，箱体侧面或桶身明显处应印有警示标志和警告语；</w:t>
      </w:r>
    </w:p>
    <w:p>
      <w:pPr>
        <w:numPr>
          <w:ilvl w:val="0"/>
          <w:numId w:val="8"/>
        </w:numPr>
        <w:spacing w:line="520" w:lineRule="exact"/>
        <w:rPr>
          <w:rFonts w:ascii="Times New Roman" w:hAnsi="Times New Roman" w:cs="Times New Roman"/>
          <w:color w:val="auto"/>
        </w:rPr>
      </w:pPr>
      <w:r>
        <w:rPr>
          <w:rFonts w:ascii="Times New Roman" w:hAnsi="Times New Roman" w:cs="Times New Roman"/>
          <w:color w:val="auto"/>
        </w:rPr>
        <w:t>周转箱整体装配密闭，箱体与箱盖能牢固扣紧，扣紧后不分离；</w:t>
      </w:r>
    </w:p>
    <w:p>
      <w:pPr>
        <w:numPr>
          <w:ilvl w:val="0"/>
          <w:numId w:val="8"/>
        </w:numPr>
        <w:spacing w:line="520" w:lineRule="exact"/>
        <w:rPr>
          <w:rFonts w:ascii="Times New Roman" w:hAnsi="Times New Roman" w:cs="Times New Roman"/>
          <w:color w:val="auto"/>
        </w:rPr>
      </w:pPr>
      <w:r>
        <w:rPr>
          <w:rFonts w:ascii="Times New Roman" w:hAnsi="Times New Roman" w:cs="Times New Roman"/>
          <w:color w:val="auto"/>
        </w:rPr>
        <w:t>推荐尺寸长×宽×高为600×400×300（或400）mm。</w:t>
      </w:r>
    </w:p>
    <w:p>
      <w:pPr>
        <w:spacing w:line="520" w:lineRule="exact"/>
        <w:rPr>
          <w:rFonts w:ascii="Times New Roman" w:hAnsi="Times New Roman" w:cs="Times New Roman"/>
          <w:color w:val="auto"/>
        </w:rPr>
      </w:pPr>
      <w:r>
        <w:rPr>
          <w:rFonts w:ascii="Times New Roman" w:hAnsi="Times New Roman" w:cs="Times New Roman"/>
          <w:color w:val="auto"/>
        </w:rPr>
        <w:t>项目产生的医疗废物中病原体的标本等高危险废物，由检验科、病理科等产生部门首先在产生地点进行压力蒸汽灭菌或者化学消毒处理，然后按感染性废物收集处理；化学性废物中批量的废化学试剂、废消毒剂应当由药剂科交由专门机构处置；批量的含有汞的体温计、血压计等医疗器具报废时，应当由设备科交由专门机构处置。</w:t>
      </w:r>
    </w:p>
    <w:p>
      <w:pPr>
        <w:spacing w:line="520" w:lineRule="exact"/>
        <w:rPr>
          <w:rFonts w:ascii="Times New Roman" w:hAnsi="Times New Roman" w:cs="Times New Roman"/>
          <w:color w:val="auto"/>
        </w:rPr>
      </w:pPr>
      <w:r>
        <w:rPr>
          <w:rFonts w:ascii="Times New Roman" w:hAnsi="Times New Roman" w:cs="Times New Roman"/>
          <w:color w:val="auto"/>
        </w:rPr>
        <w:t>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所有锐利物都必须单独存放，并统一按医学废物处理。收集锐利物日包装容器必须</w:t>
      </w:r>
    </w:p>
    <w:p>
      <w:pPr>
        <w:spacing w:line="520" w:lineRule="exact"/>
        <w:rPr>
          <w:rFonts w:ascii="Times New Roman" w:hAnsi="Times New Roman" w:cs="Times New Roman"/>
          <w:color w:val="auto"/>
        </w:rPr>
      </w:pPr>
      <w:r>
        <w:rPr>
          <w:rFonts w:ascii="Times New Roman" w:hAnsi="Times New Roman" w:cs="Times New Roman"/>
          <w:color w:val="auto"/>
        </w:rPr>
        <w:t>使用硬质、防漏、防刺破材料。针或刀应保存在有明显标记、防泄漏、防刺破的容器内。处理含有锐利物品的感染性废料时应使用防刺破手套。</w:t>
      </w:r>
    </w:p>
    <w:p>
      <w:pPr>
        <w:spacing w:line="520" w:lineRule="exact"/>
        <w:rPr>
          <w:rFonts w:ascii="Times New Roman" w:hAnsi="Times New Roman" w:cs="Times New Roman"/>
          <w:color w:val="auto"/>
        </w:rPr>
      </w:pPr>
      <w:r>
        <w:rPr>
          <w:rFonts w:ascii="Times New Roman" w:hAnsi="Times New Roman" w:cs="Times New Roman"/>
          <w:color w:val="auto"/>
        </w:rPr>
        <w:t>另外，有害化学废物不能与一般废物、无害化学废物或感染性废物相混合。有害化学废物在产生后应分别收集、运输、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皱的包装材料包装易碎的玻璃和塑料制品，在包装中同时加入吸附性材料。</w:t>
      </w:r>
    </w:p>
    <w:p>
      <w:pPr>
        <w:spacing w:line="520" w:lineRule="exact"/>
        <w:rPr>
          <w:rFonts w:ascii="Times New Roman" w:hAnsi="Times New Roman" w:cs="Times New Roman"/>
          <w:color w:val="auto"/>
        </w:rPr>
      </w:pPr>
      <w:r>
        <w:rPr>
          <w:rFonts w:ascii="Times New Roman" w:hAnsi="Times New Roman" w:cs="Times New Roman"/>
          <w:color w:val="auto"/>
        </w:rPr>
        <w:t>2）医疗垃圾的贮存和运送</w:t>
      </w:r>
    </w:p>
    <w:p>
      <w:pPr>
        <w:spacing w:line="520" w:lineRule="exact"/>
        <w:rPr>
          <w:rFonts w:ascii="Times New Roman" w:hAnsi="Times New Roman" w:cs="Times New Roman"/>
          <w:color w:val="auto"/>
        </w:rPr>
      </w:pPr>
      <w:r>
        <w:rPr>
          <w:rFonts w:ascii="Times New Roman" w:hAnsi="Times New Roman" w:cs="Times New Roman"/>
          <w:color w:val="auto"/>
        </w:rPr>
        <w:t>本项目应当建立医疗废物暂时贮存设施、设备，不得露天存放医疗废物；医疗废物暂时贮存的时间不得超过1天，应得到及时、有效地处理。因为在医疗废物储存过程中，会有恶臭产生。恶臭强度和垃圾中有机物腐烂程度有很大关系，其中主要污染物为硫化氢、氨等。臭味有害于人体健康，恶臭对人的大脑皮层是一种恶性刺激，长期呆在恶臭环境里，会使人产生恶心、头晕、疲劳、食欲不振等症状。恶臭环境还会使某些疾病恶化。</w:t>
      </w:r>
    </w:p>
    <w:p>
      <w:pPr>
        <w:spacing w:line="520" w:lineRule="exact"/>
        <w:rPr>
          <w:rFonts w:ascii="Times New Roman" w:hAnsi="Times New Roman" w:cs="Times New Roman"/>
          <w:color w:val="auto"/>
        </w:rPr>
      </w:pPr>
      <w:r>
        <w:rPr>
          <w:rFonts w:ascii="Times New Roman" w:hAnsi="Times New Roman" w:cs="Times New Roman"/>
          <w:color w:val="auto"/>
        </w:rPr>
        <w:t>医疗卫生机构建立的医疗废物暂时贮存设施、设备应当达到以下要求：</w:t>
      </w:r>
    </w:p>
    <w:p>
      <w:pPr>
        <w:spacing w:line="520" w:lineRule="exact"/>
        <w:rPr>
          <w:rFonts w:ascii="Times New Roman" w:hAnsi="Times New Roman" w:cs="Times New Roman"/>
          <w:color w:val="auto"/>
        </w:rPr>
      </w:pPr>
      <w:r>
        <w:rPr>
          <w:rFonts w:ascii="Times New Roman" w:hAnsi="Times New Roman" w:cs="Times New Roman"/>
          <w:color w:val="auto"/>
        </w:rPr>
        <w:t>①远离医疗区、食品加工区、人员活动区和生活垃圾存放场所，方便医疗废物运送人员及运送工具、车辆的出入；该项目医疗废物贮存场所应设在门诊综合楼负一层，符合上述要求；</w:t>
      </w:r>
    </w:p>
    <w:p>
      <w:pPr>
        <w:spacing w:line="520" w:lineRule="exact"/>
        <w:rPr>
          <w:rFonts w:ascii="Times New Roman" w:hAnsi="Times New Roman" w:cs="Times New Roman"/>
          <w:color w:val="auto"/>
          <w:spacing w:val="-6"/>
          <w:sz w:val="24"/>
        </w:rPr>
      </w:pPr>
      <w:r>
        <w:rPr>
          <w:rFonts w:ascii="Times New Roman" w:hAnsi="Times New Roman" w:cs="Times New Roman"/>
          <w:color w:val="auto"/>
          <w:spacing w:val="-6"/>
          <w:sz w:val="24"/>
        </w:rPr>
        <w:t>②有严密的封闭措施，设专（兼）职人员管理，防止非工作人员接触医疗废物；</w:t>
      </w:r>
    </w:p>
    <w:p>
      <w:pPr>
        <w:spacing w:line="520" w:lineRule="exact"/>
        <w:rPr>
          <w:rFonts w:ascii="Times New Roman" w:hAnsi="Times New Roman" w:cs="Times New Roman"/>
          <w:color w:val="auto"/>
        </w:rPr>
      </w:pPr>
      <w:r>
        <w:rPr>
          <w:rFonts w:ascii="Times New Roman" w:hAnsi="Times New Roman" w:cs="Times New Roman"/>
          <w:color w:val="auto"/>
        </w:rPr>
        <w:t>③有防鼠、防蚊蝇、防蟑螂的安全措施；防止渗漏和雨水冲刷；易于清洁和消毒；避免阳光直射；</w:t>
      </w:r>
    </w:p>
    <w:p>
      <w:pPr>
        <w:spacing w:line="520" w:lineRule="exact"/>
        <w:rPr>
          <w:rFonts w:ascii="Times New Roman" w:hAnsi="Times New Roman" w:cs="Times New Roman"/>
          <w:color w:val="auto"/>
        </w:rPr>
      </w:pPr>
      <w:r>
        <w:rPr>
          <w:rFonts w:ascii="Times New Roman" w:hAnsi="Times New Roman" w:cs="Times New Roman"/>
          <w:color w:val="auto"/>
        </w:rPr>
        <w:t>④设有明显的医疗废物警示标识和“禁止吸烟、饮食”的警示标识；</w:t>
      </w:r>
    </w:p>
    <w:p>
      <w:pPr>
        <w:spacing w:line="520" w:lineRule="exact"/>
        <w:rPr>
          <w:rFonts w:ascii="Times New Roman" w:hAnsi="Times New Roman" w:cs="Times New Roman"/>
          <w:color w:val="auto"/>
        </w:rPr>
      </w:pPr>
      <w:r>
        <w:rPr>
          <w:rFonts w:ascii="Times New Roman" w:hAnsi="Times New Roman" w:cs="Times New Roman"/>
          <w:color w:val="auto"/>
        </w:rPr>
        <w:t>⑤暂时贮存病理性废物，应当具备低温贮存或者防腐条件。</w:t>
      </w:r>
    </w:p>
    <w:p>
      <w:pPr>
        <w:spacing w:line="520" w:lineRule="exact"/>
        <w:rPr>
          <w:rFonts w:ascii="Times New Roman" w:hAnsi="Times New Roman" w:cs="Times New Roman"/>
          <w:color w:val="auto"/>
        </w:rPr>
      </w:pPr>
      <w:r>
        <w:rPr>
          <w:rFonts w:ascii="Times New Roman" w:hAnsi="Times New Roman" w:cs="Times New Roman"/>
          <w:color w:val="auto"/>
        </w:rPr>
        <w:t>对于感染性废料和锐利废物，其贮存地应有“生物危险”标志和进入管理限制，且应位于产生废物地点附近。同时感染性废物和锐利废物的贮存应满足以下要求：</w:t>
      </w:r>
    </w:p>
    <w:p>
      <w:pPr>
        <w:numPr>
          <w:ilvl w:val="0"/>
          <w:numId w:val="9"/>
        </w:numPr>
        <w:spacing w:line="520" w:lineRule="exact"/>
        <w:rPr>
          <w:rFonts w:ascii="Times New Roman" w:hAnsi="Times New Roman" w:cs="Times New Roman"/>
          <w:color w:val="auto"/>
        </w:rPr>
      </w:pPr>
      <w:r>
        <w:rPr>
          <w:rFonts w:ascii="Times New Roman" w:hAnsi="Times New Roman" w:cs="Times New Roman"/>
          <w:color w:val="auto"/>
        </w:rPr>
        <w:t>保证包装内容物不暴露于空气和受潮；</w:t>
      </w:r>
    </w:p>
    <w:p>
      <w:pPr>
        <w:numPr>
          <w:ilvl w:val="0"/>
          <w:numId w:val="9"/>
        </w:numPr>
        <w:spacing w:line="520" w:lineRule="exact"/>
        <w:rPr>
          <w:rFonts w:ascii="Times New Roman" w:hAnsi="Times New Roman" w:cs="Times New Roman"/>
          <w:color w:val="auto"/>
        </w:rPr>
      </w:pPr>
      <w:r>
        <w:rPr>
          <w:rFonts w:ascii="Times New Roman" w:hAnsi="Times New Roman" w:cs="Times New Roman"/>
          <w:color w:val="auto"/>
        </w:rPr>
        <w:t>保存温度及时间应使保存物无腐败发生，必要时，可用低温保存，以防微生物生长和产生异味；</w:t>
      </w:r>
    </w:p>
    <w:p>
      <w:pPr>
        <w:numPr>
          <w:ilvl w:val="0"/>
          <w:numId w:val="9"/>
        </w:numPr>
        <w:spacing w:line="520" w:lineRule="exact"/>
        <w:rPr>
          <w:rFonts w:ascii="Times New Roman" w:hAnsi="Times New Roman" w:cs="Times New Roman"/>
          <w:color w:val="auto"/>
        </w:rPr>
      </w:pPr>
      <w:r>
        <w:rPr>
          <w:rFonts w:ascii="Times New Roman" w:hAnsi="Times New Roman" w:cs="Times New Roman"/>
          <w:color w:val="auto"/>
        </w:rPr>
        <w:t>贮存地及包装应确保内容物不成为鼠类或其它生物的食物来源；</w:t>
      </w:r>
    </w:p>
    <w:p>
      <w:pPr>
        <w:numPr>
          <w:ilvl w:val="0"/>
          <w:numId w:val="9"/>
        </w:numPr>
        <w:spacing w:line="520" w:lineRule="exact"/>
        <w:rPr>
          <w:rFonts w:ascii="Times New Roman" w:hAnsi="Times New Roman" w:cs="Times New Roman"/>
          <w:color w:val="auto"/>
        </w:rPr>
      </w:pPr>
      <w:r>
        <w:rPr>
          <w:rFonts w:ascii="Times New Roman" w:hAnsi="Times New Roman" w:cs="Times New Roman"/>
          <w:color w:val="auto"/>
        </w:rPr>
        <w:t>贮存地不得对公众开放。</w:t>
      </w:r>
    </w:p>
    <w:p>
      <w:pPr>
        <w:spacing w:line="520" w:lineRule="exact"/>
        <w:rPr>
          <w:rFonts w:ascii="Times New Roman" w:hAnsi="Times New Roman" w:cs="Times New Roman"/>
          <w:color w:val="auto"/>
        </w:rPr>
      </w:pPr>
      <w:r>
        <w:rPr>
          <w:rFonts w:ascii="Times New Roman" w:hAnsi="Times New Roman" w:cs="Times New Roman"/>
          <w:color w:val="auto"/>
        </w:rPr>
        <w:t>医疗废物转交出去后，应当对暂时贮存地点、设施及时进行清洁和消毒处理。</w:t>
      </w:r>
    </w:p>
    <w:p>
      <w:pPr>
        <w:spacing w:line="520" w:lineRule="exact"/>
        <w:rPr>
          <w:rFonts w:ascii="Times New Roman" w:hAnsi="Times New Roman" w:cs="Times New Roman"/>
          <w:color w:val="auto"/>
        </w:rPr>
      </w:pPr>
      <w:r>
        <w:rPr>
          <w:rFonts w:ascii="Times New Roman" w:hAnsi="Times New Roman" w:cs="Times New Roman"/>
          <w:color w:val="auto"/>
        </w:rPr>
        <w:t>对于医疗固体废物，禁止将其在非收集、非暂时贮存地点倾倒、堆放；禁止将医疗废物混入其它废物和生活垃圾；禁止在内部运送过程中丢弃医疗废物。</w:t>
      </w:r>
    </w:p>
    <w:p>
      <w:pPr>
        <w:spacing w:line="520" w:lineRule="exact"/>
        <w:rPr>
          <w:rFonts w:ascii="Times New Roman" w:hAnsi="Times New Roman" w:cs="Times New Roman"/>
          <w:color w:val="auto"/>
        </w:rPr>
      </w:pPr>
      <w:r>
        <w:rPr>
          <w:rFonts w:ascii="Times New Roman" w:hAnsi="Times New Roman" w:cs="Times New Roman"/>
          <w:color w:val="auto"/>
        </w:rPr>
        <w:t>（3）医疗废物事故应急处置</w:t>
      </w:r>
    </w:p>
    <w:p>
      <w:pPr>
        <w:spacing w:line="520" w:lineRule="exact"/>
        <w:rPr>
          <w:rFonts w:ascii="Times New Roman" w:hAnsi="Times New Roman" w:cs="Times New Roman"/>
          <w:color w:val="auto"/>
        </w:rPr>
      </w:pPr>
      <w:r>
        <w:rPr>
          <w:rFonts w:ascii="Times New Roman" w:hAnsi="Times New Roman" w:cs="Times New Roman"/>
          <w:color w:val="auto"/>
        </w:rPr>
        <w:t>发生医疗废物流失、泄漏、扩散和意外事故时，应当按照以下要求及时采取紧急处理措施：确定流失、泄漏、扩散的医疗废物的类别、数量、发生时间、影响范围及严重程度；组织有关人员尽快按照应急方案，对发生医疗废物泄漏、扩散的现场进行处理；对被医疗废物污染的区域进行处理时，应当尽可能减少对病人、医务人员、其它现场人员及环境的影响；采取适当的安全处置措施，对泄漏物及受污染的区域、物品进行消毒或者其他无害化处置，必要时封锁污染区域，以防扩大污染；对感染性废物污染区域进行消毒时，消毒工作从污染最轻区域向污染最严重区域进行，对可能被污染的所有使用过的工具也应当进行消毒；工作人员应当做好卫生安全防护后进行工作。处理工作结束后，应当对事件的起因进行调查，并采取有效的防范措施预防类似事件的发生。</w:t>
      </w:r>
    </w:p>
    <w:p>
      <w:pPr>
        <w:pStyle w:val="10"/>
        <w:rPr>
          <w:rFonts w:cs="Times New Roman"/>
          <w:color w:val="auto"/>
        </w:rPr>
      </w:pPr>
      <w:r>
        <w:rPr>
          <w:rFonts w:hint="eastAsia" w:cs="Times New Roman"/>
          <w:color w:val="auto"/>
        </w:rPr>
        <w:t>5</w:t>
      </w:r>
      <w:r>
        <w:rPr>
          <w:rFonts w:cs="Times New Roman"/>
          <w:color w:val="auto"/>
        </w:rPr>
        <w:t>.3.5.6 环境风险防范措施</w:t>
      </w:r>
    </w:p>
    <w:p>
      <w:pPr>
        <w:spacing w:line="520" w:lineRule="exact"/>
        <w:rPr>
          <w:rFonts w:ascii="Times New Roman" w:hAnsi="Times New Roman" w:cs="Times New Roman"/>
          <w:color w:val="auto"/>
        </w:rPr>
      </w:pPr>
      <w:r>
        <w:rPr>
          <w:rFonts w:ascii="Times New Roman" w:hAnsi="Times New Roman" w:cs="Times New Roman"/>
          <w:color w:val="auto"/>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pPr>
        <w:spacing w:line="520" w:lineRule="exact"/>
        <w:rPr>
          <w:rFonts w:ascii="Times New Roman" w:hAnsi="Times New Roman" w:cs="Times New Roman"/>
          <w:color w:val="auto"/>
        </w:rPr>
      </w:pPr>
      <w:r>
        <w:rPr>
          <w:rFonts w:ascii="Times New Roman" w:hAnsi="Times New Roman" w:cs="Times New Roman"/>
          <w:color w:val="auto"/>
        </w:rPr>
        <w:t>（1）树立环境风险意识</w:t>
      </w:r>
    </w:p>
    <w:p>
      <w:pPr>
        <w:spacing w:line="520" w:lineRule="exact"/>
        <w:rPr>
          <w:rFonts w:ascii="Times New Roman" w:hAnsi="Times New Roman" w:cs="Times New Roman"/>
          <w:color w:val="auto"/>
        </w:rPr>
      </w:pPr>
      <w:r>
        <w:rPr>
          <w:rFonts w:ascii="Times New Roman" w:hAnsi="Times New Roman" w:cs="Times New Roman"/>
          <w:color w:val="auto"/>
        </w:rPr>
        <w:t>该项目客观上存在着一定的不安全因素，对周围环境存在着潜在的威胁。发生环境安全事故后，对周围环境有难以弥补的损害，所以在贯彻“安全第一，预防为主”的方针数量超标，一些浴场的水质不适宜游泳，同时对海产品安全也存在安全风险。同时，应树立环境风险意识，强化环境风险责任，体现出环境保护的内容。</w:t>
      </w:r>
    </w:p>
    <w:p>
      <w:pPr>
        <w:spacing w:line="520" w:lineRule="exact"/>
        <w:rPr>
          <w:rFonts w:ascii="Times New Roman" w:hAnsi="Times New Roman" w:cs="Times New Roman"/>
          <w:color w:val="auto"/>
        </w:rPr>
      </w:pPr>
      <w:r>
        <w:rPr>
          <w:rFonts w:ascii="Times New Roman" w:hAnsi="Times New Roman" w:cs="Times New Roman"/>
          <w:color w:val="auto"/>
        </w:rPr>
        <w:t>（2）实行全面环境安全管理制度</w:t>
      </w:r>
    </w:p>
    <w:p>
      <w:pPr>
        <w:spacing w:line="520" w:lineRule="exact"/>
        <w:rPr>
          <w:rFonts w:ascii="Times New Roman" w:hAnsi="Times New Roman" w:cs="Times New Roman"/>
          <w:color w:val="auto"/>
        </w:rPr>
      </w:pPr>
      <w:r>
        <w:rPr>
          <w:rFonts w:ascii="Times New Roman" w:hAnsi="Times New Roman" w:cs="Times New Roman"/>
          <w:color w:val="auto"/>
        </w:rPr>
        <w:t>项目在医疗废物运输、储存、处理等过程中均有可能发生各种事故，事故发生后均会对环境造成不同程度的污染，因此应该针对该项目开展全面、全员、全过程的系数安全管理，把环境安全工作的重点放在消除系统的潜在危险上，并从整体和全局上促进该项目各个环节的环境安全运作，并建立监察、管理、检测、信息系统和科学决策体系，实行环境安全目标管理。</w:t>
      </w:r>
    </w:p>
    <w:p>
      <w:pPr>
        <w:spacing w:line="520" w:lineRule="exact"/>
        <w:rPr>
          <w:rFonts w:ascii="Times New Roman" w:hAnsi="Times New Roman" w:cs="Times New Roman"/>
          <w:color w:val="auto"/>
        </w:rPr>
      </w:pPr>
      <w:r>
        <w:rPr>
          <w:rFonts w:ascii="Times New Roman" w:hAnsi="Times New Roman" w:cs="Times New Roman"/>
          <w:color w:val="auto"/>
        </w:rPr>
        <w:t>（3）规范并强化在运输、储存、处理过程中的环境风险预防措施</w:t>
      </w:r>
    </w:p>
    <w:p>
      <w:pPr>
        <w:spacing w:line="520" w:lineRule="exact"/>
        <w:rPr>
          <w:rFonts w:ascii="Times New Roman" w:hAnsi="Times New Roman" w:cs="Times New Roman"/>
          <w:color w:val="auto"/>
        </w:rPr>
      </w:pPr>
      <w:r>
        <w:rPr>
          <w:rFonts w:ascii="Times New Roman" w:hAnsi="Times New Roman" w:cs="Times New Roman"/>
          <w:color w:val="auto"/>
        </w:rPr>
        <w:t>为预防安全事故的发生，建设单位必须制定比较完善的环境安全管理规章制度，应从制度上对环境风险予以防范，尽管该项目的许多事故虽不一定导致环境安全事故的发生，却会产生一定的环境污染事故后果。对于这类事故的预防仍然需要制定相应的防范措施，从运输、储存、处理等各个环节予以全面考虑，并力图做到规范且可操作性强。如：医疗垃圾在收集、预处理、运输过程中因意外出现泄漏，应立即报告医院保卫部门，封闭现场，进行清理。清理干净后，需要对现场进行严格消毒，对含有毒性强的医疗垃圾泄漏，还应该立即疏散周围人群，设置警示标志及距离，并在处理过程中穿防护服。</w:t>
      </w:r>
    </w:p>
    <w:p>
      <w:pPr>
        <w:spacing w:line="520" w:lineRule="exact"/>
        <w:rPr>
          <w:rFonts w:ascii="Times New Roman" w:hAnsi="Times New Roman" w:cs="Times New Roman"/>
          <w:color w:val="auto"/>
        </w:rPr>
      </w:pPr>
      <w:r>
        <w:rPr>
          <w:rFonts w:ascii="Times New Roman" w:hAnsi="Times New Roman" w:cs="Times New Roman"/>
          <w:color w:val="auto"/>
        </w:rPr>
        <w:t>（4）加强巡回检查，防止医疗垃圾泄漏对环境的污染</w:t>
      </w:r>
    </w:p>
    <w:p>
      <w:pPr>
        <w:spacing w:line="520" w:lineRule="exact"/>
        <w:rPr>
          <w:rFonts w:ascii="Times New Roman" w:hAnsi="Times New Roman" w:cs="Times New Roman"/>
          <w:color w:val="auto"/>
        </w:rPr>
      </w:pPr>
      <w:r>
        <w:rPr>
          <w:rFonts w:ascii="Times New Roman" w:hAnsi="Times New Roman" w:cs="Times New Roman"/>
          <w:color w:val="auto"/>
        </w:rPr>
        <w:t>医疗垃圾在装卸、运输的“跑、冒、滴、漏”现象是风险来源之一，其后果在大多数情况下并不导致人员受伤或是设备受损，但外泄的危险废物对环境造成污染。因此要加强巡回检查，是发现“跑、冒、滴、漏”等事故的重要是手段。每日的巡回检查应做详细记录，发现问题应及时上报，并做到及时防范。</w:t>
      </w:r>
    </w:p>
    <w:p>
      <w:pPr>
        <w:spacing w:line="520" w:lineRule="exact"/>
        <w:rPr>
          <w:rFonts w:ascii="Times New Roman" w:hAnsi="Times New Roman" w:cs="Times New Roman"/>
          <w:color w:val="auto"/>
        </w:rPr>
      </w:pPr>
      <w:r>
        <w:rPr>
          <w:rFonts w:ascii="Times New Roman" w:hAnsi="Times New Roman" w:cs="Times New Roman"/>
          <w:color w:val="auto"/>
        </w:rPr>
        <w:t>（5）建立事故的监测报警系统</w:t>
      </w:r>
    </w:p>
    <w:p>
      <w:pPr>
        <w:spacing w:line="520" w:lineRule="exact"/>
        <w:rPr>
          <w:rFonts w:ascii="Times New Roman" w:hAnsi="Times New Roman" w:cs="Times New Roman"/>
          <w:color w:val="auto"/>
        </w:rPr>
      </w:pPr>
      <w:r>
        <w:rPr>
          <w:rFonts w:ascii="Times New Roman" w:hAnsi="Times New Roman" w:cs="Times New Roman"/>
          <w:color w:val="auto"/>
        </w:rPr>
        <w:t>建议建设单位在废水、废气处理系统的进、出口，建立事故的监测报警系统。对于废水处理系统的进口，应予以特别的重视，监测系统应确保完善可靠。污水处理站是本医院污水处理的最后过程，为了保证其正常运行，防止环境风险的发生，需对污水处理站提供双路电源和应急电源，保证污水处理站用电不会停止，重要的设备需设有备用品，并备有应急的消毒剂，避免在污水处理设备出现事故的时候所排放的污水无处理便排放，可以采用人工添加消毒剂的方式加以弥补。</w:t>
      </w:r>
    </w:p>
    <w:p>
      <w:pPr>
        <w:spacing w:line="520" w:lineRule="exact"/>
        <w:rPr>
          <w:rFonts w:ascii="Times New Roman" w:hAnsi="Times New Roman" w:cs="Times New Roman"/>
          <w:color w:val="auto"/>
        </w:rPr>
      </w:pPr>
      <w:r>
        <w:rPr>
          <w:rFonts w:ascii="Times New Roman" w:hAnsi="Times New Roman" w:cs="Times New Roman"/>
          <w:color w:val="auto"/>
        </w:rPr>
        <w:t>（6）加强资料的日常记录与管理</w:t>
      </w:r>
    </w:p>
    <w:p>
      <w:pPr>
        <w:spacing w:line="520" w:lineRule="exact"/>
        <w:rPr>
          <w:rFonts w:ascii="Times New Roman" w:hAnsi="Times New Roman" w:cs="Times New Roman"/>
          <w:color w:val="auto"/>
        </w:rPr>
      </w:pPr>
      <w:r>
        <w:rPr>
          <w:rFonts w:ascii="Times New Roman" w:hAnsi="Times New Roman" w:cs="Times New Roman"/>
          <w:color w:val="auto"/>
        </w:rPr>
        <w:t>加强对废水处理系统以及废气处理系统的各项操作参数等资料的日常记录及管理废水、废气的监测，及时发现问题并采取减缓危害的措施。</w:t>
      </w: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r>
        <w:rPr>
          <w:rFonts w:ascii="Times New Roman" w:hAnsi="Times New Roman" w:cs="Times New Roman"/>
          <w:color w:val="auto"/>
        </w:rPr>
        <w:t>（7）加强危险废物处理管理</w:t>
      </w:r>
    </w:p>
    <w:p>
      <w:pPr>
        <w:spacing w:line="520" w:lineRule="exact"/>
        <w:rPr>
          <w:rFonts w:ascii="Times New Roman" w:hAnsi="Times New Roman" w:cs="Times New Roman"/>
          <w:color w:val="auto"/>
        </w:rPr>
      </w:pPr>
      <w:r>
        <w:rPr>
          <w:rFonts w:ascii="Times New Roman" w:hAnsi="Times New Roman" w:cs="Times New Roman"/>
          <w:color w:val="auto"/>
        </w:rPr>
        <w:t>加强和完善危险废物的收集、暂存、交接等环节的管理，对危险废物的处理应设专人责任负责制，负责人在接管前应全面学习有关危险废物处理的有关法规和操作方法。做好危险废物有关资料的记录。</w:t>
      </w:r>
    </w:p>
    <w:p>
      <w:pPr>
        <w:spacing w:line="520" w:lineRule="exact"/>
        <w:rPr>
          <w:rFonts w:ascii="Times New Roman" w:hAnsi="Times New Roman" w:cs="Times New Roman"/>
          <w:color w:val="auto"/>
        </w:rPr>
      </w:pPr>
      <w:r>
        <w:rPr>
          <w:rFonts w:ascii="Times New Roman" w:hAnsi="Times New Roman" w:cs="Times New Roman"/>
          <w:color w:val="auto"/>
        </w:rPr>
        <w:t>（8）应对措施</w:t>
      </w:r>
    </w:p>
    <w:p>
      <w:pPr>
        <w:spacing w:line="520" w:lineRule="exact"/>
        <w:rPr>
          <w:rFonts w:ascii="Times New Roman" w:hAnsi="Times New Roman" w:cs="Times New Roman"/>
          <w:color w:val="auto"/>
        </w:rPr>
      </w:pPr>
      <w:r>
        <w:rPr>
          <w:rFonts w:ascii="Times New Roman" w:hAnsi="Times New Roman" w:cs="Times New Roman"/>
          <w:color w:val="auto"/>
        </w:rPr>
        <w:t>事故发生的可能性总是存在的，为减少事故发生后造成的损失，尤其是减少对环境造成严重的污染，建设单位除一方面要落实已制定的各种安全管理制度以及上述所列各项风险减缓措施，另一方面，建设单位还应对发生各类风险事故后采取必要的事故应急措施，建议建设单位对以下几方面予以着重考虑：</w:t>
      </w:r>
    </w:p>
    <w:p>
      <w:pPr>
        <w:spacing w:line="520" w:lineRule="exact"/>
        <w:rPr>
          <w:rFonts w:ascii="Times New Roman" w:hAnsi="Times New Roman" w:cs="Times New Roman"/>
          <w:color w:val="auto"/>
        </w:rPr>
      </w:pPr>
      <w:r>
        <w:rPr>
          <w:rFonts w:ascii="Times New Roman" w:hAnsi="Times New Roman" w:cs="Times New Roman"/>
          <w:color w:val="auto"/>
        </w:rPr>
        <w:t>①制定全面、周密的风险救援计划，以应付可能发生的各种事故，保证发生事故后能够做到有章可循。</w:t>
      </w:r>
    </w:p>
    <w:p>
      <w:pPr>
        <w:spacing w:line="520" w:lineRule="exact"/>
        <w:rPr>
          <w:rFonts w:ascii="Times New Roman" w:hAnsi="Times New Roman" w:cs="Times New Roman"/>
          <w:color w:val="auto"/>
        </w:rPr>
      </w:pPr>
      <w:r>
        <w:rPr>
          <w:rFonts w:ascii="Times New Roman" w:hAnsi="Times New Roman" w:cs="Times New Roman"/>
          <w:color w:val="auto"/>
        </w:rPr>
        <w:t>②设立专门的安全环保机构，平时负责日常的安全环保管理工作，确保各项安全、环保措施的执行与落实，做好事故的预防工作；事故期间，则负责落实风险救援计划各项措施，确保应急救援工作的展开。</w:t>
      </w:r>
    </w:p>
    <w:p>
      <w:pPr>
        <w:spacing w:line="520" w:lineRule="exact"/>
        <w:rPr>
          <w:rFonts w:ascii="Times New Roman" w:hAnsi="Times New Roman" w:cs="Times New Roman"/>
          <w:color w:val="auto"/>
        </w:rPr>
      </w:pPr>
      <w:r>
        <w:rPr>
          <w:rFonts w:ascii="Times New Roman" w:hAnsi="Times New Roman" w:cs="Times New Roman"/>
          <w:color w:val="auto"/>
        </w:rPr>
        <w:t>③制订污水处理站、医疗垃圾收集、预处理、运输、处理、重点实验室、化学品库事故应急预案；建立医院应急管理、报警体系；制订传染病流行期间和爆发期间的环境紧急预案（包括空气、污水、医疗垃圾的应急消毒预案，紧急安全预案，临近社区防范措施等）。</w:t>
      </w:r>
    </w:p>
    <w:p>
      <w:pPr>
        <w:spacing w:line="520" w:lineRule="exact"/>
        <w:rPr>
          <w:rFonts w:ascii="Times New Roman" w:hAnsi="Times New Roman" w:cs="Times New Roman"/>
          <w:color w:val="auto"/>
        </w:rPr>
      </w:pPr>
      <w:r>
        <w:rPr>
          <w:rFonts w:ascii="Times New Roman" w:hAnsi="Times New Roman" w:cs="Times New Roman"/>
          <w:color w:val="auto"/>
        </w:rPr>
        <w:t>④危险废物运输车辆上配备必要的防中毒、消防、通讯及其它的应急设施，确保发生事故后能具有一定的自救手段和通讯联络能力。</w:t>
      </w:r>
    </w:p>
    <w:p>
      <w:pPr>
        <w:spacing w:line="520" w:lineRule="exact"/>
        <w:ind w:firstLine="456"/>
        <w:rPr>
          <w:rFonts w:ascii="Times New Roman" w:hAnsi="Times New Roman" w:cs="Times New Roman"/>
          <w:color w:val="auto"/>
          <w:spacing w:val="-6"/>
        </w:rPr>
      </w:pPr>
      <w:r>
        <w:rPr>
          <w:rFonts w:ascii="Times New Roman" w:hAnsi="Times New Roman" w:cs="Times New Roman"/>
          <w:color w:val="auto"/>
          <w:spacing w:val="-6"/>
        </w:rPr>
        <w:t>⑤发生事故后，应进行事故后果评价，并将有关情况通报给上级环保主管部门。</w:t>
      </w:r>
    </w:p>
    <w:p>
      <w:pPr>
        <w:spacing w:line="520" w:lineRule="exact"/>
        <w:rPr>
          <w:rFonts w:ascii="Times New Roman" w:hAnsi="Times New Roman" w:cs="Times New Roman"/>
          <w:color w:val="auto"/>
        </w:rPr>
      </w:pPr>
      <w:r>
        <w:rPr>
          <w:rFonts w:ascii="Times New Roman" w:hAnsi="Times New Roman" w:cs="Times New Roman"/>
          <w:color w:val="auto"/>
        </w:rPr>
        <w:t>⑥定期举行应急培训活动，对该项目相关人员进行事故应急救援培训，提高事故发生后的应急处理能力；对新上岗的工作人员、实习人员、进行岗前安全、环保培训，重点部门的人员定期轮训；在对所有参与医疗废物管理处理的人员进行知识培训后，还对其进行了责任分配制度，确保医院所产生的医疗固废在任意一个环节都能责任到人，确保不出现意外。</w:t>
      </w:r>
    </w:p>
    <w:p>
      <w:pPr>
        <w:pStyle w:val="9"/>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.3.6 风险评价结论</w:t>
      </w:r>
    </w:p>
    <w:p>
      <w:pPr>
        <w:spacing w:line="520" w:lineRule="exact"/>
        <w:rPr>
          <w:rFonts w:ascii="Times New Roman" w:hAnsi="Times New Roman" w:cs="Times New Roman"/>
          <w:color w:val="auto"/>
        </w:rPr>
      </w:pPr>
      <w:r>
        <w:rPr>
          <w:rFonts w:ascii="Times New Roman" w:hAnsi="Times New Roman" w:cs="Times New Roman"/>
          <w:color w:val="auto"/>
        </w:rPr>
        <w:t>本项目存在的风险源有：化学品（包括柴油、氧气等）使用及存储过程中存在的风险；带有致病性微生物病人存在着致病微生物（细菌、病毒）产生环境风险的潜在可能；医疗废水处理设施事故状态下的排污；医疗废物在收集、贮存、运送过程中的存在的风险。</w:t>
      </w:r>
    </w:p>
    <w:p>
      <w:pPr>
        <w:spacing w:line="520" w:lineRule="exact"/>
        <w:rPr>
          <w:rFonts w:ascii="Times New Roman" w:hAnsi="Times New Roman" w:cs="Times New Roman"/>
          <w:color w:val="auto"/>
        </w:rPr>
      </w:pPr>
      <w:r>
        <w:rPr>
          <w:rFonts w:ascii="Times New Roman" w:hAnsi="Times New Roman" w:cs="Times New Roman"/>
          <w:color w:val="auto"/>
        </w:rPr>
        <w:t>落实各项风险防范措施后，本项目可能发生的环境风险事故概率较小，事故后果影响较小；本项目建成后建设单位应编制和落实环境应急预案。</w:t>
      </w:r>
    </w:p>
    <w:p>
      <w:pPr>
        <w:spacing w:line="520" w:lineRule="exact"/>
        <w:rPr>
          <w:rFonts w:ascii="Times New Roman" w:hAnsi="Times New Roman" w:cs="Times New Roman"/>
          <w:color w:val="auto"/>
        </w:rPr>
      </w:pPr>
      <w:r>
        <w:rPr>
          <w:rFonts w:ascii="Times New Roman" w:hAnsi="Times New Roman" w:cs="Times New Roman"/>
          <w:color w:val="auto"/>
        </w:rPr>
        <w:t>综上分析，本次评价认为项目环境风险在可控可防范围内</w:t>
      </w:r>
    </w:p>
    <w:p>
      <w:pPr>
        <w:pStyle w:val="9"/>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.3.7 环境风险简单分析内容表</w:t>
      </w:r>
    </w:p>
    <w:p>
      <w:pPr>
        <w:spacing w:line="52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eastAsia" w:ascii="Times New Roman" w:hAnsi="Times New Roman" w:cs="Times New Roman"/>
          <w:b/>
          <w:bCs/>
          <w:color w:val="auto"/>
          <w:sz w:val="21"/>
          <w:szCs w:val="21"/>
        </w:rPr>
        <w:t>5.3-6</w:t>
      </w:r>
      <w:r>
        <w:rPr>
          <w:rFonts w:ascii="Times New Roman" w:hAnsi="Times New Roman" w:cs="Times New Roman"/>
          <w:b/>
          <w:bCs/>
          <w:color w:val="auto"/>
          <w:sz w:val="21"/>
          <w:szCs w:val="21"/>
        </w:rPr>
        <w:t xml:space="preserve">   建设项目环境风险简单分析内容表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1068"/>
        <w:gridCol w:w="1319"/>
        <w:gridCol w:w="1157"/>
        <w:gridCol w:w="11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664" w:type="dxa"/>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建设项目名称</w:t>
            </w:r>
          </w:p>
        </w:tc>
        <w:tc>
          <w:tcPr>
            <w:tcW w:w="5858" w:type="dxa"/>
            <w:gridSpan w:val="5"/>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吉木萨尔县人民医院新院区建设项目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建设地点</w:t>
            </w:r>
          </w:p>
        </w:tc>
        <w:tc>
          <w:tcPr>
            <w:tcW w:w="1068"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（新疆）省</w:t>
            </w:r>
          </w:p>
        </w:tc>
        <w:tc>
          <w:tcPr>
            <w:tcW w:w="131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（/）市</w:t>
            </w:r>
          </w:p>
        </w:tc>
        <w:tc>
          <w:tcPr>
            <w:tcW w:w="115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（/）区</w:t>
            </w:r>
          </w:p>
        </w:tc>
        <w:tc>
          <w:tcPr>
            <w:tcW w:w="1156"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（吉木萨尔）县</w:t>
            </w:r>
          </w:p>
        </w:tc>
        <w:tc>
          <w:tcPr>
            <w:tcW w:w="1158"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地理坐标</w:t>
            </w:r>
          </w:p>
        </w:tc>
        <w:tc>
          <w:tcPr>
            <w:tcW w:w="1068"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经度</w:t>
            </w:r>
          </w:p>
        </w:tc>
        <w:tc>
          <w:tcPr>
            <w:tcW w:w="1319"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89.19249°</w:t>
            </w:r>
          </w:p>
        </w:tc>
        <w:tc>
          <w:tcPr>
            <w:tcW w:w="1157"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纬度</w:t>
            </w:r>
          </w:p>
        </w:tc>
        <w:tc>
          <w:tcPr>
            <w:tcW w:w="2314" w:type="dxa"/>
            <w:gridSpan w:val="2"/>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43.98154°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主要危险物质及分布</w:t>
            </w:r>
          </w:p>
        </w:tc>
        <w:tc>
          <w:tcPr>
            <w:tcW w:w="5858" w:type="dxa"/>
            <w:gridSpan w:val="5"/>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环境影响途径及危害后果（大气、地表水、地下水等）</w:t>
            </w:r>
          </w:p>
        </w:tc>
        <w:tc>
          <w:tcPr>
            <w:tcW w:w="5858" w:type="dxa"/>
            <w:gridSpan w:val="5"/>
            <w:vAlign w:val="center"/>
          </w:tcPr>
          <w:p>
            <w:pPr>
              <w:spacing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致病微生物环境风险；项目医疗废水事故排放风险；医疗固废收集、贮存、运送过程中的风险；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4" w:type="dxa"/>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风险防范措施要求</w:t>
            </w:r>
          </w:p>
        </w:tc>
        <w:tc>
          <w:tcPr>
            <w:tcW w:w="5858" w:type="dxa"/>
            <w:gridSpan w:val="5"/>
            <w:vAlign w:val="center"/>
          </w:tcPr>
          <w:p>
            <w:pPr>
              <w:spacing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建设事故池，加强收集、贮存、运送医疗废物的过程风险管理等；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pPr>
              <w:spacing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填表说明（列出项目相关信息及评价说明）：</w:t>
            </w:r>
          </w:p>
          <w:p>
            <w:pPr>
              <w:spacing w:line="240" w:lineRule="auto"/>
              <w:ind w:firstLine="420"/>
              <w:rPr>
                <w:rFonts w:ascii="Times New Roman" w:hAnsi="Times New Roman" w:cs="Times New Roman"/>
                <w:color w:val="auto"/>
                <w:highlight w:val="yellow"/>
              </w:rPr>
            </w:pPr>
            <w:r>
              <w:rPr>
                <w:rFonts w:ascii="Times New Roman" w:hAnsi="Times New Roman" w:cs="Times New Roman"/>
                <w:color w:val="auto"/>
                <w:sz w:val="21"/>
                <w:szCs w:val="21"/>
              </w:rPr>
              <w:t>本项目风险评价根据《建设项目环境风险评价技术导则》（HJ169-2018）进行分析。全厂环境风险潜势为</w:t>
            </w:r>
            <w:r>
              <w:rPr>
                <w:rFonts w:ascii="Times New Roman" w:hAnsi="Times New Roman" w:eastAsia="仿宋" w:cs="Times New Roman"/>
                <w:color w:val="auto"/>
                <w:sz w:val="21"/>
                <w:szCs w:val="21"/>
              </w:rPr>
              <w:t>Ⅰ</w:t>
            </w:r>
            <w:r>
              <w:rPr>
                <w:rFonts w:ascii="Times New Roman" w:hAnsi="Times New Roman" w:cs="Times New Roman"/>
                <w:color w:val="auto"/>
                <w:sz w:val="21"/>
                <w:szCs w:val="21"/>
              </w:rPr>
              <w:t>，评价等级为简单分析。在落实了环评提出的风险防范措施后，环境风险可控，不会对周围环境造成较大风险。</w:t>
            </w:r>
          </w:p>
        </w:tc>
      </w:tr>
    </w:tbl>
    <w:p>
      <w:pPr>
        <w:pStyle w:val="8"/>
        <w:rPr>
          <w:rFonts w:ascii="Times New Roman" w:hAnsi="Times New Roman" w:cs="Times New Roman"/>
          <w:color w:val="auto"/>
        </w:rPr>
      </w:pPr>
      <w:r>
        <w:rPr>
          <w:rFonts w:hint="eastAsia" w:ascii="Times New Roman" w:hAnsi="Times New Roman" w:cs="Times New Roman"/>
          <w:color w:val="auto"/>
        </w:rPr>
        <w:t>5.4</w:t>
      </w:r>
      <w:r>
        <w:rPr>
          <w:rFonts w:ascii="Times New Roman" w:hAnsi="Times New Roman" w:cs="Times New Roman"/>
          <w:color w:val="auto"/>
        </w:rPr>
        <w:t xml:space="preserve"> 外环境对本项目的影响</w:t>
      </w:r>
    </w:p>
    <w:p>
      <w:pPr>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本项目属医院建设项目，需考虑外界环境对</w:t>
      </w:r>
      <w:r>
        <w:rPr>
          <w:rFonts w:hint="eastAsia" w:ascii="Times New Roman" w:hAnsi="Times New Roman" w:cs="Times New Roman"/>
          <w:color w:val="auto"/>
          <w:kern w:val="0"/>
          <w:szCs w:val="28"/>
        </w:rPr>
        <w:t>本</w:t>
      </w:r>
      <w:r>
        <w:rPr>
          <w:rFonts w:ascii="Times New Roman" w:hAnsi="Times New Roman" w:cs="Times New Roman"/>
          <w:color w:val="auto"/>
          <w:kern w:val="0"/>
          <w:szCs w:val="28"/>
        </w:rPr>
        <w:t>项目自身建设的影响，经现场踏勘可知，</w:t>
      </w:r>
      <w:r>
        <w:rPr>
          <w:rFonts w:hint="eastAsia" w:ascii="Times New Roman" w:hAnsi="Times New Roman" w:cs="Times New Roman"/>
          <w:color w:val="auto"/>
          <w:kern w:val="0"/>
          <w:szCs w:val="28"/>
        </w:rPr>
        <w:t>项目南侧为停车场。</w:t>
      </w:r>
      <w:r>
        <w:rPr>
          <w:rFonts w:ascii="Times New Roman" w:hAnsi="Times New Roman" w:cs="Times New Roman"/>
          <w:color w:val="auto"/>
          <w:kern w:val="0"/>
          <w:szCs w:val="28"/>
        </w:rPr>
        <w:t>由此，外界环境对本项目的影响主要从交通噪声和大气污染两个方面分析。</w:t>
      </w:r>
    </w:p>
    <w:p>
      <w:pPr>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highlight w:val="none"/>
        </w:rPr>
        <w:t>根据噪声现状监测结果可知，项目南侧监测点昼夜间环境噪声值符合《声环境质量标准》（GB3096-2008）中</w:t>
      </w:r>
      <w:r>
        <w:rPr>
          <w:rFonts w:hint="eastAsia" w:ascii="Times New Roman" w:hAnsi="Times New Roman" w:cs="Times New Roman"/>
          <w:color w:val="auto"/>
          <w:kern w:val="0"/>
          <w:szCs w:val="28"/>
          <w:highlight w:val="none"/>
        </w:rPr>
        <w:t>1</w:t>
      </w:r>
      <w:r>
        <w:rPr>
          <w:rFonts w:ascii="Times New Roman" w:hAnsi="Times New Roman" w:cs="Times New Roman"/>
          <w:color w:val="auto"/>
          <w:kern w:val="0"/>
          <w:szCs w:val="28"/>
          <w:highlight w:val="none"/>
        </w:rPr>
        <w:t>类标准要求，为</w:t>
      </w:r>
      <w:r>
        <w:rPr>
          <w:rFonts w:hint="eastAsia" w:ascii="Times New Roman" w:hAnsi="Times New Roman" w:cs="Times New Roman"/>
          <w:color w:val="auto"/>
          <w:kern w:val="0"/>
          <w:szCs w:val="28"/>
          <w:highlight w:val="none"/>
          <w:lang w:val="en-US" w:eastAsia="zh-CN"/>
        </w:rPr>
        <w:t>47</w:t>
      </w:r>
      <w:r>
        <w:rPr>
          <w:rFonts w:ascii="Times New Roman" w:hAnsi="Times New Roman" w:cs="Times New Roman"/>
          <w:color w:val="auto"/>
          <w:kern w:val="0"/>
          <w:szCs w:val="28"/>
          <w:highlight w:val="none"/>
        </w:rPr>
        <w:t>dB（昼间）、</w:t>
      </w:r>
      <w:r>
        <w:rPr>
          <w:rFonts w:hint="eastAsia" w:ascii="Times New Roman" w:hAnsi="Times New Roman" w:cs="Times New Roman"/>
          <w:color w:val="auto"/>
          <w:kern w:val="0"/>
          <w:szCs w:val="28"/>
          <w:highlight w:val="none"/>
          <w:lang w:val="en-US" w:eastAsia="zh-CN"/>
        </w:rPr>
        <w:t>40</w:t>
      </w:r>
      <w:r>
        <w:rPr>
          <w:rFonts w:ascii="Times New Roman" w:hAnsi="Times New Roman" w:cs="Times New Roman"/>
          <w:color w:val="auto"/>
          <w:kern w:val="0"/>
          <w:szCs w:val="28"/>
          <w:highlight w:val="none"/>
        </w:rPr>
        <w:t>dB（夜间），项目门诊大楼距离路红线约50m（无障碍物）、住院部距离路红线约50m（无障碍物），满足《声环境质量标准》（GB3096-2008）中</w:t>
      </w:r>
      <w:r>
        <w:rPr>
          <w:rFonts w:hint="eastAsia" w:ascii="Times New Roman" w:hAnsi="Times New Roman" w:cs="Times New Roman"/>
          <w:color w:val="auto"/>
          <w:kern w:val="0"/>
          <w:szCs w:val="28"/>
          <w:highlight w:val="none"/>
        </w:rPr>
        <w:t>1</w:t>
      </w:r>
      <w:r>
        <w:rPr>
          <w:rFonts w:ascii="Times New Roman" w:hAnsi="Times New Roman" w:cs="Times New Roman"/>
          <w:color w:val="auto"/>
          <w:kern w:val="0"/>
          <w:szCs w:val="28"/>
          <w:highlight w:val="none"/>
        </w:rPr>
        <w:t>类标准要求。</w:t>
      </w:r>
      <w:r>
        <w:rPr>
          <w:rFonts w:ascii="Times New Roman" w:hAnsi="Times New Roman" w:cs="Times New Roman"/>
          <w:color w:val="auto"/>
          <w:kern w:val="0"/>
          <w:szCs w:val="28"/>
        </w:rPr>
        <w:t>则外部交通噪声对工程区域内的影响较小，不会对医院人群正常休养、工作等产生明显的不利影响。</w:t>
      </w:r>
    </w:p>
    <w:p>
      <w:pPr>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本项目周边分布有道路，汽车尾气及扬尘会对本项目产生一定的影响。由于汽车尾气的排放与交通车辆型号相关，无法对交通汽车尾气进行定量分析，本项目只对交通汽车尾气对本项目的环境影响进行定性分析，汽车尾气污染物主要是CO、HC和NOx，同时也会产生道路扬尘，对本项目医院将产生一定影响。为减少汽车尾气和道路扬尘对项目的影响，建议医院加强临路一侧绿化，设置并种植对废气有较强的吸收能力的植物，医院内实施立体种植、并设立绿化隔离带以达到净化空气、屏障噪声、美化环境的目的。通过采取以上措施，项目周边道路汽车尾气、扬尘对项目医院的影响较小。</w:t>
      </w:r>
    </w:p>
    <w:p>
      <w:pPr>
        <w:spacing w:line="520" w:lineRule="exact"/>
        <w:rPr>
          <w:rFonts w:ascii="Times New Roman" w:hAnsi="Times New Roman" w:cs="Times New Roman"/>
          <w:color w:val="auto"/>
          <w:kern w:val="0"/>
          <w:szCs w:val="28"/>
        </w:rPr>
      </w:pPr>
    </w:p>
    <w:p>
      <w:pPr>
        <w:spacing w:line="520" w:lineRule="exact"/>
        <w:rPr>
          <w:rFonts w:ascii="Times New Roman" w:hAnsi="Times New Roman" w:cs="Times New Roman"/>
          <w:color w:val="auto"/>
          <w:kern w:val="0"/>
          <w:szCs w:val="28"/>
        </w:rPr>
      </w:pPr>
    </w:p>
    <w:p>
      <w:pPr>
        <w:spacing w:line="520" w:lineRule="exact"/>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p>
      <w:pPr>
        <w:pStyle w:val="7"/>
        <w:jc w:val="center"/>
        <w:rPr>
          <w:rFonts w:ascii="Times New Roman" w:hAnsi="Times New Roman" w:cs="Times New Roman"/>
          <w:color w:val="auto"/>
        </w:rPr>
      </w:pPr>
      <w:bookmarkStart w:id="384" w:name="_Toc520"/>
      <w:bookmarkStart w:id="385" w:name="_Toc26957"/>
      <w:bookmarkStart w:id="386" w:name="_Toc8588_WPSOffice_Level1"/>
      <w:r>
        <w:rPr>
          <w:rFonts w:hint="eastAsia" w:ascii="Times New Roman" w:hAnsi="Times New Roman" w:cs="Times New Roman"/>
          <w:color w:val="auto"/>
        </w:rPr>
        <w:t>6</w:t>
      </w:r>
      <w:r>
        <w:rPr>
          <w:rFonts w:ascii="Times New Roman" w:hAnsi="Times New Roman" w:cs="Times New Roman"/>
          <w:color w:val="auto"/>
        </w:rPr>
        <w:t xml:space="preserve"> 环境保护措施及可行性论证</w:t>
      </w:r>
      <w:bookmarkEnd w:id="384"/>
      <w:bookmarkEnd w:id="385"/>
      <w:bookmarkEnd w:id="386"/>
    </w:p>
    <w:p>
      <w:pPr>
        <w:pStyle w:val="8"/>
        <w:rPr>
          <w:rFonts w:ascii="Times New Roman" w:hAnsi="Times New Roman" w:cs="Times New Roman"/>
          <w:color w:val="auto"/>
        </w:rPr>
      </w:pPr>
      <w:bookmarkStart w:id="387" w:name="_Toc17868"/>
      <w:bookmarkStart w:id="388" w:name="_Toc11745_WPSOffice_Level2"/>
      <w:bookmarkStart w:id="389" w:name="_Toc31964"/>
      <w:r>
        <w:rPr>
          <w:rFonts w:hint="eastAsia" w:ascii="Times New Roman" w:hAnsi="Times New Roman" w:cs="Times New Roman"/>
          <w:color w:val="auto"/>
        </w:rPr>
        <w:t>6</w:t>
      </w:r>
      <w:r>
        <w:rPr>
          <w:rFonts w:ascii="Times New Roman" w:hAnsi="Times New Roman" w:cs="Times New Roman"/>
          <w:color w:val="auto"/>
        </w:rPr>
        <w:t>.1</w:t>
      </w:r>
      <w:bookmarkStart w:id="390" w:name="_Toc501940740"/>
      <w:bookmarkStart w:id="391" w:name="_Toc483293659"/>
      <w:bookmarkStart w:id="392" w:name="_Toc504733749"/>
      <w:r>
        <w:rPr>
          <w:rFonts w:ascii="Times New Roman" w:hAnsi="Times New Roman" w:cs="Times New Roman"/>
          <w:color w:val="auto"/>
        </w:rPr>
        <w:t xml:space="preserve"> 施工期环境保护措施</w:t>
      </w:r>
      <w:bookmarkEnd w:id="387"/>
      <w:bookmarkEnd w:id="388"/>
      <w:bookmarkEnd w:id="389"/>
      <w:bookmarkEnd w:id="390"/>
      <w:bookmarkEnd w:id="391"/>
      <w:bookmarkEnd w:id="392"/>
    </w:p>
    <w:p>
      <w:pPr>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由施工期环境影响分析可知，虽然施工期的环境影响基本上都是短期的、局部的，但若不采取有效的污染防治措施，也会对周围环境造成一定的影响。因此，建设单位必须制定切实有效的污染防治措施，尽量减小对周围环境的影响范围和程度，并必须在施工合同中明确有关内容，对施工单位提出具体要求，同时建设单位和当地环境保护管理部门要对施工过程中的污染防治措施落实情况进行监督和指导，发现问题及时纠正，确保污染防治措施得到充分的落实。</w:t>
      </w:r>
    </w:p>
    <w:p>
      <w:pPr>
        <w:pStyle w:val="9"/>
        <w:rPr>
          <w:rFonts w:ascii="Times New Roman" w:hAnsi="Times New Roman" w:cs="Times New Roman"/>
          <w:color w:val="auto"/>
        </w:rPr>
      </w:pPr>
      <w:bookmarkStart w:id="393" w:name="_Toc280779967"/>
      <w:bookmarkStart w:id="394" w:name="_Toc21069"/>
      <w:bookmarkStart w:id="395" w:name="_Toc501940741"/>
      <w:bookmarkStart w:id="396" w:name="_Toc199748702"/>
      <w:bookmarkStart w:id="397" w:name="_Toc278226090"/>
      <w:bookmarkStart w:id="398" w:name="_Toc199747721"/>
      <w:bookmarkStart w:id="399" w:name="_Toc504733750"/>
      <w:r>
        <w:rPr>
          <w:rFonts w:hint="eastAsia" w:ascii="Times New Roman" w:hAnsi="Times New Roman" w:cs="Times New Roman"/>
          <w:color w:val="auto"/>
        </w:rPr>
        <w:t>6</w:t>
      </w:r>
      <w:r>
        <w:rPr>
          <w:rFonts w:ascii="Times New Roman" w:hAnsi="Times New Roman" w:cs="Times New Roman"/>
          <w:color w:val="auto"/>
        </w:rPr>
        <w:t>.1.1 施工大气污染防治措施</w:t>
      </w:r>
      <w:bookmarkEnd w:id="393"/>
      <w:bookmarkEnd w:id="394"/>
      <w:bookmarkEnd w:id="395"/>
      <w:bookmarkEnd w:id="396"/>
      <w:bookmarkEnd w:id="397"/>
      <w:bookmarkEnd w:id="398"/>
      <w:bookmarkEnd w:id="399"/>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（1）施工时尽量减少占地，即在满足施工要求的前提下，施工场地要尽量小，并在施工现场设置围档或部分围档，以减少施工扬尘的扩散范围，减轻扬尘对周围居民的影响。</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2）施工现场只存放用于回填的土方量。干燥季节要覆盖防尘网，适时地对现场存放的土方洒水，保持其表面潮湿，以避免产生扬尘。散装水泥、沙子和石灰等易产生扬尘的建筑材料不得随意露天堆放，要有专门的堆棚，并在堆棚周围设置围档，以免产生扬尘，对周围环境造成影响。</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3）产生扬尘的机械设备要设置在远离居民区的地方，以减轻扬尘对人体健康的影响。混凝土搅拌机应设在专门的棚内，散落在地上的水泥等建筑材料要经常清理。环评建议，除十分必要外尽可能使用商品混凝土，不在施工区加工混凝土。</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（4）运输建筑材料的车辆必须用篷布盖严，不得沿路抛洒，散落在地上的沙子和水泥要经常清理。运输车辆进入施工场地应低速行驶或限速行驶，减少扬尘产生量。</w:t>
      </w:r>
    </w:p>
    <w:p>
      <w:pPr>
        <w:pStyle w:val="9"/>
        <w:rPr>
          <w:rFonts w:ascii="Times New Roman" w:hAnsi="Times New Roman" w:cs="Times New Roman"/>
          <w:color w:val="auto"/>
        </w:rPr>
      </w:pPr>
      <w:bookmarkStart w:id="400" w:name="_Toc280779969"/>
      <w:bookmarkStart w:id="401" w:name="_Toc199747723"/>
      <w:bookmarkStart w:id="402" w:name="_Toc278226092"/>
      <w:bookmarkStart w:id="403" w:name="_Toc11858"/>
      <w:bookmarkStart w:id="404" w:name="_Toc504733752"/>
      <w:bookmarkStart w:id="405" w:name="_Toc199748704"/>
      <w:bookmarkStart w:id="406" w:name="_Toc501940743"/>
      <w:bookmarkStart w:id="407" w:name="_Toc278226091"/>
      <w:bookmarkStart w:id="408" w:name="_Toc501940742"/>
      <w:bookmarkStart w:id="409" w:name="_Toc504733751"/>
      <w:bookmarkStart w:id="410" w:name="_Toc199747722"/>
      <w:bookmarkStart w:id="411" w:name="_Toc280779968"/>
      <w:bookmarkStart w:id="412" w:name="_Toc199748703"/>
      <w:r>
        <w:rPr>
          <w:rFonts w:hint="eastAsia" w:ascii="Times New Roman" w:hAnsi="Times New Roman" w:cs="Times New Roman"/>
          <w:color w:val="auto"/>
        </w:rPr>
        <w:t>6</w:t>
      </w:r>
      <w:r>
        <w:rPr>
          <w:rFonts w:ascii="Times New Roman" w:hAnsi="Times New Roman" w:cs="Times New Roman"/>
          <w:color w:val="auto"/>
        </w:rPr>
        <w:t>.1.2 施工期水污染防治措施</w:t>
      </w:r>
      <w:bookmarkEnd w:id="400"/>
      <w:bookmarkEnd w:id="401"/>
      <w:bookmarkEnd w:id="402"/>
      <w:bookmarkEnd w:id="403"/>
      <w:bookmarkEnd w:id="404"/>
      <w:bookmarkEnd w:id="405"/>
      <w:bookmarkEnd w:id="406"/>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（1）施工期工地一切废物都要按指定地点堆放并及时组织清除，避免因暴雨径流而被冲入下水道流入附近水体。</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（2）施工现场破土、堆土较多，应及时清除土方到准予堆放点，禁止随意倾倒。</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3）施工现场要严格规定排水去向，对建筑施工中产生的土建泥浆水、车辆冲洗水以及外排淤水等在施工前期设计好排水沟和沉淀池，将建筑泥浆水和冲洗水经沉淀分离后的上清液回用，沉淀泥浆固化后应定期及时清运至建筑垃圾堆放场地。</w:t>
      </w:r>
    </w:p>
    <w:p>
      <w:pPr>
        <w:pStyle w:val="9"/>
        <w:rPr>
          <w:rFonts w:ascii="Times New Roman" w:hAnsi="Times New Roman" w:cs="Times New Roman"/>
          <w:color w:val="auto"/>
        </w:rPr>
      </w:pPr>
      <w:bookmarkStart w:id="413" w:name="_Toc15067"/>
      <w:r>
        <w:rPr>
          <w:rFonts w:hint="eastAsia" w:ascii="Times New Roman" w:hAnsi="Times New Roman" w:cs="Times New Roman"/>
          <w:color w:val="auto"/>
        </w:rPr>
        <w:t>6</w:t>
      </w:r>
      <w:r>
        <w:rPr>
          <w:rFonts w:ascii="Times New Roman" w:hAnsi="Times New Roman" w:cs="Times New Roman"/>
          <w:color w:val="auto"/>
        </w:rPr>
        <w:t>.1.3 施工期噪声防治措施</w:t>
      </w:r>
      <w:bookmarkEnd w:id="407"/>
      <w:bookmarkEnd w:id="408"/>
      <w:bookmarkEnd w:id="409"/>
      <w:bookmarkEnd w:id="410"/>
      <w:bookmarkEnd w:id="411"/>
      <w:bookmarkEnd w:id="412"/>
      <w:bookmarkEnd w:id="413"/>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（1）施工机械应尽量选用低噪设备，从源头上对噪声进行控制。</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（2）施工单位要及时对机械设备进行修理、维护和保养，使机械设备保持良好的状态，减轻因设备运行状态不佳而造成的噪声污染。</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（3合理安排施工时间，避开休息工作时间段，以防止施工噪声的扰民问题，尽可能地集中会产生较大噪声的机械进行作业，优化施工时间，以便缩短噪声污染的时间，减小施工噪声的影响范围和程度。</w:t>
      </w:r>
    </w:p>
    <w:p>
      <w:pPr>
        <w:pStyle w:val="9"/>
        <w:rPr>
          <w:rFonts w:ascii="Times New Roman" w:hAnsi="Times New Roman" w:cs="Times New Roman"/>
          <w:color w:val="auto"/>
        </w:rPr>
      </w:pPr>
      <w:bookmarkStart w:id="414" w:name="_Toc504733753"/>
      <w:bookmarkStart w:id="415" w:name="_Toc278226093"/>
      <w:bookmarkStart w:id="416" w:name="_Toc280779970"/>
      <w:bookmarkStart w:id="417" w:name="_Toc501940744"/>
      <w:bookmarkStart w:id="418" w:name="_Toc994"/>
      <w:r>
        <w:rPr>
          <w:rFonts w:hint="eastAsia" w:ascii="Times New Roman" w:hAnsi="Times New Roman" w:cs="Times New Roman"/>
          <w:color w:val="auto"/>
        </w:rPr>
        <w:t>6</w:t>
      </w:r>
      <w:r>
        <w:rPr>
          <w:rFonts w:ascii="Times New Roman" w:hAnsi="Times New Roman" w:cs="Times New Roman"/>
          <w:color w:val="auto"/>
        </w:rPr>
        <w:t>.1.4 施工期固体废物防治措施</w:t>
      </w:r>
      <w:bookmarkEnd w:id="414"/>
      <w:bookmarkEnd w:id="415"/>
      <w:bookmarkEnd w:id="416"/>
      <w:bookmarkEnd w:id="417"/>
      <w:bookmarkEnd w:id="418"/>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为减缓固体废物对环境的影响，需采取下列措施：</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（1）多余土石方送吉木萨尔县建筑垃圾堆场。</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（2）建筑废料应实行分类堆放，对于可回收的建筑废料，应予以单独存放，用于建设过程中废物利用或外售。</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（3）临时堆土在工业园管委会指定地点堆放，并做好先挡后弃的预防措施。</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（4）生活垃圾统一收集，再由吉木萨尔县环卫部门统一外运处理。</w:t>
      </w:r>
    </w:p>
    <w:p>
      <w:pPr>
        <w:pStyle w:val="9"/>
        <w:rPr>
          <w:rFonts w:ascii="Times New Roman" w:hAnsi="Times New Roman" w:cs="Times New Roman"/>
          <w:color w:val="auto"/>
        </w:rPr>
      </w:pPr>
      <w:bookmarkStart w:id="419" w:name="_Toc199748705"/>
      <w:bookmarkStart w:id="420" w:name="_Toc278226094"/>
      <w:bookmarkStart w:id="421" w:name="_Toc11154"/>
      <w:bookmarkStart w:id="422" w:name="_Toc504733754"/>
      <w:bookmarkStart w:id="423" w:name="_Toc280779971"/>
      <w:bookmarkStart w:id="424" w:name="_Toc501940745"/>
      <w:bookmarkStart w:id="425" w:name="_Toc199747724"/>
      <w:r>
        <w:rPr>
          <w:rFonts w:hint="eastAsia" w:ascii="Times New Roman" w:hAnsi="Times New Roman" w:cs="Times New Roman"/>
          <w:color w:val="auto"/>
        </w:rPr>
        <w:t>6</w:t>
      </w:r>
      <w:r>
        <w:rPr>
          <w:rFonts w:ascii="Times New Roman" w:hAnsi="Times New Roman" w:cs="Times New Roman"/>
          <w:color w:val="auto"/>
        </w:rPr>
        <w:t>.1.5 生态环境影响防治措施</w:t>
      </w:r>
      <w:bookmarkEnd w:id="419"/>
      <w:bookmarkEnd w:id="420"/>
      <w:bookmarkEnd w:id="421"/>
      <w:bookmarkEnd w:id="422"/>
      <w:bookmarkEnd w:id="423"/>
      <w:bookmarkEnd w:id="424"/>
      <w:bookmarkEnd w:id="425"/>
    </w:p>
    <w:p>
      <w:pPr>
        <w:spacing w:line="520" w:lineRule="exact"/>
        <w:rPr>
          <w:rFonts w:ascii="Times New Roman" w:hAnsi="Times New Roman" w:cs="Times New Roman"/>
          <w:color w:val="auto"/>
        </w:rPr>
      </w:pPr>
      <w:r>
        <w:rPr>
          <w:rFonts w:ascii="Times New Roman" w:hAnsi="Times New Roman" w:cs="Times New Roman"/>
          <w:color w:val="auto"/>
        </w:rPr>
        <w:t>生态保护措施：</w:t>
      </w:r>
    </w:p>
    <w:p>
      <w:pPr>
        <w:spacing w:line="520" w:lineRule="exact"/>
        <w:rPr>
          <w:rFonts w:ascii="Times New Roman" w:hAnsi="Times New Roman" w:cs="Times New Roman"/>
          <w:color w:val="auto"/>
        </w:rPr>
      </w:pPr>
      <w:r>
        <w:rPr>
          <w:rFonts w:ascii="Times New Roman" w:hAnsi="Times New Roman" w:cs="Times New Roman"/>
          <w:color w:val="auto"/>
        </w:rPr>
        <w:t>（1）工程利用料、临时堆渣在堆放和运输过程中均应采取防护措施，防止扬尘和散溢，造成水土流失；</w:t>
      </w:r>
    </w:p>
    <w:p>
      <w:pPr>
        <w:spacing w:line="520" w:lineRule="exact"/>
        <w:rPr>
          <w:rFonts w:ascii="Times New Roman" w:hAnsi="Times New Roman" w:cs="Times New Roman"/>
          <w:color w:val="auto"/>
        </w:rPr>
      </w:pPr>
      <w:r>
        <w:rPr>
          <w:rFonts w:ascii="Times New Roman" w:hAnsi="Times New Roman" w:cs="Times New Roman"/>
          <w:color w:val="auto"/>
        </w:rPr>
        <w:t>（2）加强施工管理，划定施工区界限，严禁机械和人员越界施工，减少原地表和植被的破坏；</w:t>
      </w:r>
    </w:p>
    <w:p>
      <w:pPr>
        <w:spacing w:line="520" w:lineRule="exact"/>
        <w:rPr>
          <w:rFonts w:ascii="Times New Roman" w:hAnsi="Times New Roman" w:cs="Times New Roman"/>
          <w:color w:val="auto"/>
        </w:rPr>
      </w:pPr>
      <w:r>
        <w:rPr>
          <w:rFonts w:ascii="Times New Roman" w:hAnsi="Times New Roman" w:cs="Times New Roman"/>
          <w:color w:val="auto"/>
        </w:rPr>
        <w:t>（3）施工生产生活营地内各种建设材料拉运、堆放频繁，对于易产生流失的砂砾石、土方等集中堆放，并进行遮挡防护；</w:t>
      </w:r>
    </w:p>
    <w:p>
      <w:pPr>
        <w:spacing w:line="520" w:lineRule="exact"/>
        <w:rPr>
          <w:rFonts w:ascii="Times New Roman" w:hAnsi="Times New Roman" w:cs="Times New Roman"/>
          <w:color w:val="auto"/>
        </w:rPr>
      </w:pPr>
      <w:r>
        <w:rPr>
          <w:rFonts w:ascii="Times New Roman" w:hAnsi="Times New Roman" w:cs="Times New Roman"/>
          <w:color w:val="auto"/>
        </w:rPr>
        <w:t>（4）根据施工实际需求合理划定场内道路区作业带的施工范围，禁止施工机械的越界扰动：</w:t>
      </w:r>
    </w:p>
    <w:p>
      <w:pPr>
        <w:snapToGrid w:val="0"/>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（5）拟建工程建设过程中，将弃渣、建筑垃圾等堆放在专门堆场内，减少水土流失。</w:t>
      </w:r>
    </w:p>
    <w:p>
      <w:pPr>
        <w:spacing w:line="520" w:lineRule="exact"/>
        <w:rPr>
          <w:rFonts w:ascii="Times New Roman" w:hAnsi="Times New Roman" w:cs="Times New Roman"/>
          <w:color w:val="auto"/>
          <w:kern w:val="0"/>
        </w:rPr>
      </w:pPr>
      <w:r>
        <w:rPr>
          <w:rFonts w:ascii="Times New Roman" w:hAnsi="Times New Roman" w:cs="Times New Roman"/>
          <w:color w:val="auto"/>
          <w:kern w:val="0"/>
          <w:szCs w:val="28"/>
        </w:rPr>
        <w:t>（6）施工结束后，对临时施工迹地进行土地平整和植被恢复。及时开展厂区内、外的绿化工程，可通过灌草片带、厂区林网等组成。整个厂区通过乔木、绿篱、草坪等的合理布局，使其产生空间层次变化，更重要的是绿色植物在各功能区可起到防风、降尘，减少噪声等作用。</w:t>
      </w:r>
    </w:p>
    <w:p>
      <w:pPr>
        <w:pStyle w:val="9"/>
        <w:rPr>
          <w:rFonts w:ascii="Times New Roman" w:hAnsi="Times New Roman" w:cs="Times New Roman"/>
          <w:color w:val="auto"/>
        </w:rPr>
      </w:pPr>
      <w:bookmarkStart w:id="426" w:name="_Toc242956536"/>
      <w:bookmarkStart w:id="427" w:name="_Toc251742156"/>
      <w:bookmarkStart w:id="428" w:name="_Toc264398370"/>
      <w:bookmarkStart w:id="429" w:name="_Toc272672751"/>
      <w:bookmarkStart w:id="430" w:name="_Toc280779974"/>
      <w:bookmarkStart w:id="431" w:name="_Toc441980232"/>
      <w:bookmarkStart w:id="432" w:name="_Toc501940746"/>
      <w:bookmarkStart w:id="433" w:name="_Toc40"/>
      <w:bookmarkStart w:id="434" w:name="_Toc504733755"/>
      <w:bookmarkStart w:id="435" w:name="_Toc443261262"/>
      <w:bookmarkStart w:id="436" w:name="_Toc264398767"/>
      <w:bookmarkStart w:id="437" w:name="_Toc264399221"/>
      <w:bookmarkStart w:id="438" w:name="_Toc446946294"/>
      <w:r>
        <w:rPr>
          <w:rFonts w:hint="eastAsia" w:ascii="Times New Roman" w:hAnsi="Times New Roman" w:cs="Times New Roman"/>
          <w:color w:val="auto"/>
        </w:rPr>
        <w:t>6</w:t>
      </w:r>
      <w:r>
        <w:rPr>
          <w:rFonts w:ascii="Times New Roman" w:hAnsi="Times New Roman" w:cs="Times New Roman"/>
          <w:color w:val="auto"/>
        </w:rPr>
        <w:t>.1.6 施工期环境管理</w:t>
      </w:r>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520" w:lineRule="exact"/>
        <w:rPr>
          <w:rFonts w:ascii="Times New Roman" w:hAnsi="Times New Roman" w:cs="Times New Roman"/>
          <w:color w:val="auto"/>
          <w:kern w:val="0"/>
          <w:szCs w:val="28"/>
        </w:rPr>
      </w:pPr>
      <w:r>
        <w:rPr>
          <w:rFonts w:ascii="Times New Roman" w:hAnsi="Times New Roman" w:cs="Times New Roman"/>
          <w:color w:val="auto"/>
          <w:kern w:val="0"/>
          <w:szCs w:val="28"/>
        </w:rPr>
        <w:t>建设单位与施工单位共同负责建设阶段的环境保护管理。施工单位在环境管理、污染控制及防治措施实施中起关键作用，施工单位应负责建设阶段环境影响减缓措施的落实，并与当地群众进行沟通和协商，在施工单元树立公告牌，公布具体的施工活动和施工时间。建设单位应定期对施工单位进行督促和检查，尽可能降低或减轻施工活动对周围环境产生的不利影响。</w:t>
      </w:r>
    </w:p>
    <w:p>
      <w:pPr>
        <w:pStyle w:val="8"/>
        <w:rPr>
          <w:rFonts w:ascii="Times New Roman" w:hAnsi="Times New Roman" w:cs="Times New Roman"/>
          <w:color w:val="auto"/>
        </w:rPr>
      </w:pPr>
      <w:bookmarkStart w:id="439" w:name="_Toc18020_WPSOffice_Level2"/>
      <w:bookmarkStart w:id="440" w:name="_Toc27591"/>
      <w:bookmarkStart w:id="441" w:name="_Toc25516"/>
      <w:r>
        <w:rPr>
          <w:rFonts w:hint="eastAsia" w:ascii="Times New Roman" w:hAnsi="Times New Roman" w:cs="Times New Roman"/>
          <w:color w:val="auto"/>
        </w:rPr>
        <w:t>6</w:t>
      </w:r>
      <w:r>
        <w:rPr>
          <w:rFonts w:ascii="Times New Roman" w:hAnsi="Times New Roman" w:cs="Times New Roman"/>
          <w:color w:val="auto"/>
        </w:rPr>
        <w:t>.2 运营期环境保护措施及可行性论证</w:t>
      </w:r>
      <w:bookmarkEnd w:id="439"/>
      <w:bookmarkEnd w:id="440"/>
      <w:bookmarkEnd w:id="441"/>
    </w:p>
    <w:p>
      <w:pPr>
        <w:pStyle w:val="9"/>
        <w:rPr>
          <w:rFonts w:ascii="Times New Roman" w:hAnsi="Times New Roman" w:cs="Times New Roman"/>
          <w:color w:val="auto"/>
        </w:rPr>
      </w:pPr>
      <w:bookmarkStart w:id="442" w:name="_Toc2237"/>
      <w:r>
        <w:rPr>
          <w:rFonts w:hint="eastAsia" w:ascii="Times New Roman" w:hAnsi="Times New Roman" w:cs="Times New Roman"/>
          <w:color w:val="auto"/>
        </w:rPr>
        <w:t>6</w:t>
      </w:r>
      <w:r>
        <w:rPr>
          <w:rFonts w:ascii="Times New Roman" w:hAnsi="Times New Roman" w:cs="Times New Roman"/>
          <w:color w:val="auto"/>
        </w:rPr>
        <w:t>.2.1 运营期大气防治措施及可行性论证</w:t>
      </w:r>
      <w:bookmarkEnd w:id="442"/>
    </w:p>
    <w:p>
      <w:pPr>
        <w:spacing w:line="520" w:lineRule="exact"/>
        <w:rPr>
          <w:rFonts w:ascii="Times New Roman" w:hAnsi="Times New Roman" w:cs="Times New Roman"/>
          <w:color w:val="auto"/>
        </w:rPr>
      </w:pPr>
      <w:r>
        <w:rPr>
          <w:rFonts w:ascii="Times New Roman" w:hAnsi="Times New Roman" w:cs="Times New Roman"/>
          <w:color w:val="auto"/>
        </w:rPr>
        <w:t>（1）污水处理站恶臭</w:t>
      </w:r>
    </w:p>
    <w:p>
      <w:pPr>
        <w:spacing w:line="520" w:lineRule="exact"/>
        <w:rPr>
          <w:rFonts w:ascii="Times New Roman" w:hAnsi="Times New Roman" w:cs="Times New Roman"/>
          <w:color w:val="auto"/>
        </w:rPr>
      </w:pPr>
      <w:r>
        <w:rPr>
          <w:rFonts w:ascii="Times New Roman" w:hAnsi="Times New Roman" w:cs="Times New Roman"/>
          <w:color w:val="auto"/>
        </w:rPr>
        <w:t>①废水处理池设置盖板密封，盖板上预留进出气口，恶臭气体收集后经污水处理站房内等离职装置除臭处理，</w:t>
      </w:r>
      <w:r>
        <w:rPr>
          <w:rFonts w:hint="eastAsia" w:ascii="Times New Roman" w:hAnsi="Times New Roman" w:cs="Times New Roman"/>
          <w:color w:val="auto"/>
        </w:rPr>
        <w:t>满足</w:t>
      </w:r>
      <w:r>
        <w:rPr>
          <w:rFonts w:ascii="Times New Roman" w:hAnsi="Times New Roman" w:cs="Times New Roman"/>
          <w:color w:val="auto"/>
        </w:rPr>
        <w:t>《医疗机构水污染排放标准》（GB18466-2005）</w:t>
      </w:r>
      <w:r>
        <w:rPr>
          <w:rFonts w:hint="eastAsia" w:ascii="Times New Roman" w:hAnsi="Times New Roman" w:cs="Times New Roman"/>
          <w:color w:val="auto"/>
        </w:rPr>
        <w:t>表3标准限值后，通过1根15m高的排气筒排放</w:t>
      </w:r>
      <w:r>
        <w:rPr>
          <w:rFonts w:ascii="Times New Roman" w:hAnsi="Times New Roman" w:cs="Times New Roman"/>
          <w:color w:val="auto"/>
        </w:rPr>
        <w:t>，排放口设置在医院东侧，排口朝向东侧。理措施可行。</w:t>
      </w:r>
    </w:p>
    <w:p>
      <w:pPr>
        <w:spacing w:line="520" w:lineRule="exact"/>
        <w:rPr>
          <w:rFonts w:ascii="Times New Roman" w:hAnsi="Times New Roman" w:cs="Times New Roman"/>
          <w:color w:val="auto"/>
        </w:rPr>
      </w:pPr>
      <w:r>
        <w:rPr>
          <w:rFonts w:ascii="Times New Roman" w:hAnsi="Times New Roman" w:cs="Times New Roman"/>
          <w:color w:val="auto"/>
        </w:rPr>
        <w:t>等离子除臭装置原理：离子除臭设备是由离子发生器、离子传送管、控制系统组成、用来除臭、清除异味的空气净化设备。离子除臭设备的主要原理是在高压电场作用下，产生大量的正、负氧离子，具有很强的氧化性。能在极短的时间内氧化、分解甲硫醇、氨、硫化氢、醚类、胺类等污染臭气因子，打开有机挥发性气体的化学键，最终生成二氧化碳和水等稳定无害的小分子，从而达到净化空气的目的。</w:t>
      </w:r>
    </w:p>
    <w:p>
      <w:pPr>
        <w:spacing w:line="520" w:lineRule="exact"/>
        <w:rPr>
          <w:rFonts w:ascii="Times New Roman" w:hAnsi="Times New Roman" w:cs="Times New Roman"/>
          <w:color w:val="auto"/>
        </w:rPr>
      </w:pPr>
      <w:r>
        <w:rPr>
          <w:rFonts w:ascii="Times New Roman" w:hAnsi="Times New Roman" w:cs="Times New Roman"/>
          <w:color w:val="auto"/>
        </w:rPr>
        <w:t>②污水管设计流速应足够大，尽量避免产生死区</w:t>
      </w:r>
    </w:p>
    <w:p>
      <w:pPr>
        <w:spacing w:line="520" w:lineRule="exact"/>
        <w:rPr>
          <w:rFonts w:ascii="Times New Roman" w:hAnsi="Times New Roman" w:cs="Times New Roman"/>
          <w:color w:val="auto"/>
        </w:rPr>
      </w:pPr>
      <w:r>
        <w:rPr>
          <w:rFonts w:ascii="Times New Roman" w:hAnsi="Times New Roman" w:cs="Times New Roman"/>
          <w:color w:val="auto"/>
        </w:rPr>
        <w:t>通过上述防治措施后，恶臭能得到有效控制，并</w:t>
      </w:r>
      <w:r>
        <w:rPr>
          <w:rFonts w:hint="eastAsia" w:ascii="Times New Roman" w:hAnsi="Times New Roman" w:cs="Times New Roman"/>
          <w:color w:val="auto"/>
          <w:lang w:val="en-US" w:eastAsia="zh-CN"/>
        </w:rPr>
        <w:t>满足</w:t>
      </w:r>
      <w:r>
        <w:rPr>
          <w:rFonts w:ascii="Times New Roman" w:hAnsi="Times New Roman" w:cs="Times New Roman"/>
          <w:color w:val="auto"/>
        </w:rPr>
        <w:t>《医疗机构水污染排放标准》（GB18466-2005）</w:t>
      </w:r>
      <w:r>
        <w:rPr>
          <w:rFonts w:hint="eastAsia" w:ascii="Times New Roman" w:hAnsi="Times New Roman" w:cs="Times New Roman"/>
          <w:color w:val="auto"/>
          <w:lang w:val="en-US" w:eastAsia="zh-CN"/>
        </w:rPr>
        <w:t>表3排放限值和《恶臭污染物排放标准》（GB14554-93）表2污染物排放标准</w:t>
      </w:r>
      <w:r>
        <w:rPr>
          <w:rFonts w:ascii="Times New Roman" w:hAnsi="Times New Roman" w:cs="Times New Roman"/>
          <w:color w:val="auto"/>
        </w:rPr>
        <w:t>中关于废气排放要求的规定，不会对周围环境空气产生明显的影响，治理措施可行。</w:t>
      </w:r>
    </w:p>
    <w:p>
      <w:pPr>
        <w:spacing w:line="520" w:lineRule="exact"/>
        <w:rPr>
          <w:rFonts w:ascii="Times New Roman" w:hAnsi="Times New Roman" w:cs="Times New Roman"/>
          <w:color w:val="auto"/>
        </w:rPr>
      </w:pPr>
      <w:r>
        <w:rPr>
          <w:rFonts w:ascii="Times New Roman" w:hAnsi="Times New Roman" w:cs="Times New Roman"/>
          <w:color w:val="auto"/>
        </w:rPr>
        <w:t>（2）食堂油烟</w:t>
      </w:r>
    </w:p>
    <w:p>
      <w:pPr>
        <w:spacing w:line="520" w:lineRule="exact"/>
        <w:rPr>
          <w:rFonts w:ascii="Times New Roman" w:hAnsi="Times New Roman" w:cs="Times New Roman"/>
          <w:color w:val="auto"/>
        </w:rPr>
      </w:pPr>
      <w:r>
        <w:rPr>
          <w:rFonts w:ascii="Times New Roman" w:hAnsi="Times New Roman" w:cs="Times New Roman"/>
          <w:color w:val="auto"/>
        </w:rPr>
        <w:t>医院食堂安装有油烟净化设施，油烟排放浓度可以达到《饮食业油烟排放标准》（GB18483-2001）中规定的限值。项目医院食堂厨房油烟净化后经厨房油烟排放管道于厨房楼顶高空排放。食堂厨房的油烟净化装置、油烟排风机及油烟排放管道的安装及其他相关要求均满足《饮食业环境保护技术规范》</w:t>
      </w:r>
      <w:r>
        <w:rPr>
          <w:rFonts w:hint="eastAsia" w:ascii="Times New Roman" w:hAnsi="Times New Roman" w:cs="Times New Roman"/>
          <w:color w:val="auto"/>
        </w:rPr>
        <w:t>（</w:t>
      </w:r>
      <w:r>
        <w:rPr>
          <w:rFonts w:ascii="Times New Roman" w:hAnsi="Times New Roman" w:cs="Times New Roman"/>
          <w:color w:val="auto"/>
        </w:rPr>
        <w:t>HJ554-2010</w:t>
      </w:r>
      <w:r>
        <w:rPr>
          <w:rFonts w:hint="eastAsia" w:ascii="Times New Roman" w:hAnsi="Times New Roman" w:cs="Times New Roman"/>
          <w:color w:val="auto"/>
        </w:rPr>
        <w:t>）</w:t>
      </w:r>
      <w:r>
        <w:rPr>
          <w:rFonts w:ascii="Times New Roman" w:hAnsi="Times New Roman" w:cs="Times New Roman"/>
          <w:color w:val="auto"/>
        </w:rPr>
        <w:t>中的相关规定，对大气环境影响很小，治理措施可行。</w:t>
      </w:r>
    </w:p>
    <w:p>
      <w:pPr>
        <w:spacing w:line="520" w:lineRule="exact"/>
        <w:rPr>
          <w:rFonts w:ascii="Times New Roman" w:hAnsi="Times New Roman" w:cs="Times New Roman"/>
          <w:color w:val="auto"/>
        </w:rPr>
      </w:pPr>
      <w:r>
        <w:rPr>
          <w:rFonts w:ascii="Times New Roman" w:hAnsi="Times New Roman" w:cs="Times New Roman"/>
          <w:color w:val="auto"/>
        </w:rPr>
        <w:t>（3）汽车尾气</w:t>
      </w:r>
    </w:p>
    <w:p>
      <w:pPr>
        <w:spacing w:line="520" w:lineRule="exact"/>
        <w:rPr>
          <w:rFonts w:ascii="Times New Roman" w:hAnsi="Times New Roman" w:cs="Times New Roman"/>
          <w:color w:val="auto"/>
        </w:rPr>
      </w:pPr>
      <w:r>
        <w:rPr>
          <w:rFonts w:ascii="Times New Roman" w:hAnsi="Times New Roman" w:cs="Times New Roman"/>
          <w:color w:val="auto"/>
        </w:rPr>
        <w:t>医院地面停车位周边设置绿化，种植树木，采取绿化措施减轻影响，加强道路管理及路面养护。保持路面清洁，加强道路洒水降尘措施，以减小扬尘污染。地下车库汽车尾气经排气系统引至地面绿化带多个风亭高于地面1.5m处排放，属无组织排放，将排放口设置在绿化带中，不仅避免了废气对过往行人的近距离影响，有利于污染物的扩散，同时利用发挥植物对废气污染物的净化作用，故车库汽车尾气对周边大气环境影响符合环保要求，处理方式可行。</w:t>
      </w:r>
    </w:p>
    <w:p>
      <w:pPr>
        <w:pStyle w:val="9"/>
        <w:rPr>
          <w:rFonts w:ascii="Times New Roman" w:hAnsi="Times New Roman" w:cs="Times New Roman"/>
          <w:color w:val="auto"/>
        </w:rPr>
      </w:pPr>
      <w:bookmarkStart w:id="443" w:name="_Toc4192"/>
      <w:r>
        <w:rPr>
          <w:rFonts w:hint="eastAsia" w:ascii="Times New Roman" w:hAnsi="Times New Roman" w:cs="Times New Roman"/>
          <w:color w:val="auto"/>
        </w:rPr>
        <w:t>6</w:t>
      </w:r>
      <w:r>
        <w:rPr>
          <w:rFonts w:ascii="Times New Roman" w:hAnsi="Times New Roman" w:cs="Times New Roman"/>
          <w:color w:val="auto"/>
        </w:rPr>
        <w:t>.2.2运营期水防治措施及可行性论证</w:t>
      </w:r>
      <w:bookmarkEnd w:id="443"/>
    </w:p>
    <w:p>
      <w:pPr>
        <w:pStyle w:val="10"/>
        <w:rPr>
          <w:rFonts w:cs="Times New Roman"/>
          <w:color w:val="auto"/>
        </w:rPr>
      </w:pPr>
      <w:r>
        <w:rPr>
          <w:rFonts w:hint="eastAsia" w:cs="Times New Roman"/>
          <w:color w:val="auto"/>
        </w:rPr>
        <w:t>6</w:t>
      </w:r>
      <w:r>
        <w:rPr>
          <w:rFonts w:cs="Times New Roman"/>
          <w:color w:val="auto"/>
        </w:rPr>
        <w:t>.2.2.1 废水处理方案比选</w:t>
      </w:r>
    </w:p>
    <w:p>
      <w:pPr>
        <w:spacing w:line="520" w:lineRule="exact"/>
        <w:rPr>
          <w:rFonts w:ascii="Times New Roman" w:hAnsi="Times New Roman" w:cs="Times New Roman"/>
          <w:color w:val="auto"/>
        </w:rPr>
      </w:pPr>
      <w:r>
        <w:rPr>
          <w:rFonts w:ascii="Times New Roman" w:hAnsi="Times New Roman" w:cs="Times New Roman"/>
          <w:color w:val="auto"/>
        </w:rPr>
        <w:t>医院各部门的功能、设施和人员组成情况不同，产生污水的主要部门和设施有：病房、门诊等排水；医院行政管理和医务人员排放的生活污水；检验室排放的特殊性质废水等。医院污水较一般生活污水排放情况复杂，且废水成分也较为复杂。</w:t>
      </w:r>
    </w:p>
    <w:p>
      <w:pPr>
        <w:spacing w:line="520" w:lineRule="exact"/>
        <w:rPr>
          <w:rFonts w:ascii="Times New Roman" w:hAnsi="Times New Roman" w:cs="Times New Roman"/>
          <w:color w:val="auto"/>
        </w:rPr>
      </w:pPr>
      <w:r>
        <w:rPr>
          <w:rFonts w:ascii="Times New Roman" w:hAnsi="Times New Roman" w:cs="Times New Roman"/>
          <w:color w:val="auto"/>
        </w:rPr>
        <w:t>总平面布置应根据处理工艺流程和各构筑物的功能要求，综合考虑地形、地质条件、周围环境、建构筑物及个设施相互间平面空间关系等因素，在满足国家现行相关技术规范基础上，确定废水治理工程总体布置，应根据需要设置存放材料、药剂、污泥、废渣等场所。</w:t>
      </w:r>
    </w:p>
    <w:p>
      <w:pPr>
        <w:spacing w:line="520" w:lineRule="exact"/>
        <w:rPr>
          <w:rFonts w:ascii="Times New Roman" w:hAnsi="Times New Roman" w:cs="Times New Roman"/>
          <w:color w:val="auto"/>
        </w:rPr>
      </w:pPr>
      <w:r>
        <w:rPr>
          <w:rFonts w:ascii="Times New Roman" w:hAnsi="Times New Roman" w:cs="Times New Roman"/>
          <w:color w:val="auto"/>
        </w:rPr>
        <w:t>根据上表中所列举的医院各部门排水水质特征，结合对现有医院及其他同类型医院的废水调研可知，医院废水水质特征是：</w:t>
      </w:r>
    </w:p>
    <w:p>
      <w:pPr>
        <w:spacing w:line="520" w:lineRule="exact"/>
        <w:rPr>
          <w:rFonts w:ascii="Times New Roman" w:hAnsi="Times New Roman" w:cs="Times New Roman"/>
          <w:color w:val="auto"/>
        </w:rPr>
      </w:pPr>
      <w:r>
        <w:rPr>
          <w:rFonts w:ascii="Times New Roman" w:hAnsi="Times New Roman" w:cs="Times New Roman"/>
          <w:color w:val="auto"/>
        </w:rPr>
        <w:t>①含有大量的病原体——病菌、病毒和寄生虫卵等；</w:t>
      </w:r>
    </w:p>
    <w:p>
      <w:pPr>
        <w:spacing w:line="520" w:lineRule="exact"/>
        <w:rPr>
          <w:rFonts w:ascii="Times New Roman" w:hAnsi="Times New Roman" w:cs="Times New Roman"/>
          <w:color w:val="auto"/>
        </w:rPr>
      </w:pPr>
      <w:r>
        <w:rPr>
          <w:rFonts w:ascii="Times New Roman" w:hAnsi="Times New Roman" w:cs="Times New Roman"/>
          <w:color w:val="auto"/>
        </w:rPr>
        <w:t>②含有消毒剂、药剂、试剂等多种化学物质，废水中主要污染因子为COD、BOD</w:t>
      </w:r>
      <w:r>
        <w:rPr>
          <w:rFonts w:ascii="Times New Roman" w:hAnsi="Times New Roman" w:cs="Times New Roman"/>
          <w:color w:val="auto"/>
          <w:vertAlign w:val="subscript"/>
        </w:rPr>
        <w:t>5</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-N、SS、粪大肠菌群等。</w:t>
      </w:r>
    </w:p>
    <w:p>
      <w:pPr>
        <w:spacing w:line="520" w:lineRule="exact"/>
        <w:rPr>
          <w:rFonts w:ascii="Times New Roman" w:hAnsi="Times New Roman" w:cs="Times New Roman"/>
          <w:color w:val="auto"/>
        </w:rPr>
      </w:pPr>
      <w:r>
        <w:rPr>
          <w:rFonts w:ascii="Times New Roman" w:hAnsi="Times New Roman" w:cs="Times New Roman"/>
          <w:color w:val="auto"/>
        </w:rPr>
        <w:t>故应严格落实各类废水的分质预处理措施。</w:t>
      </w:r>
    </w:p>
    <w:p>
      <w:pPr>
        <w:pStyle w:val="10"/>
        <w:rPr>
          <w:rFonts w:cs="Times New Roman"/>
          <w:color w:val="auto"/>
        </w:rPr>
      </w:pPr>
      <w:r>
        <w:rPr>
          <w:rFonts w:hint="eastAsia" w:cs="Times New Roman"/>
          <w:color w:val="auto"/>
        </w:rPr>
        <w:t>6</w:t>
      </w:r>
      <w:r>
        <w:rPr>
          <w:rFonts w:cs="Times New Roman"/>
          <w:color w:val="auto"/>
        </w:rPr>
        <w:t>.2.2.2 废水处理工艺</w:t>
      </w:r>
    </w:p>
    <w:p>
      <w:pPr>
        <w:spacing w:line="520" w:lineRule="exact"/>
        <w:rPr>
          <w:rFonts w:ascii="Times New Roman" w:hAnsi="Times New Roman" w:cs="Times New Roman"/>
          <w:color w:val="auto"/>
        </w:rPr>
      </w:pPr>
      <w:r>
        <w:rPr>
          <w:rFonts w:ascii="Times New Roman" w:hAnsi="Times New Roman" w:cs="Times New Roman"/>
          <w:color w:val="auto"/>
        </w:rPr>
        <w:t>（1）医院污水处理的原则</w:t>
      </w:r>
    </w:p>
    <w:p>
      <w:pPr>
        <w:spacing w:line="520" w:lineRule="exact"/>
        <w:rPr>
          <w:rFonts w:ascii="Times New Roman" w:hAnsi="Times New Roman" w:cs="Times New Roman"/>
          <w:color w:val="auto"/>
        </w:rPr>
      </w:pPr>
      <w:r>
        <w:rPr>
          <w:rFonts w:ascii="Times New Roman" w:hAnsi="Times New Roman" w:cs="Times New Roman"/>
          <w:color w:val="auto"/>
        </w:rPr>
        <w:t>参照《医院污水处理技术指南》，根据医院污水的水质特点，对其的处理有以下原则：</w:t>
      </w:r>
    </w:p>
    <w:p>
      <w:pPr>
        <w:spacing w:line="520" w:lineRule="exact"/>
        <w:rPr>
          <w:rFonts w:ascii="Times New Roman" w:hAnsi="Times New Roman" w:cs="Times New Roman"/>
          <w:color w:val="auto"/>
        </w:rPr>
      </w:pPr>
      <w:r>
        <w:rPr>
          <w:rFonts w:ascii="Times New Roman" w:hAnsi="Times New Roman" w:cs="Times New Roman"/>
          <w:color w:val="auto"/>
        </w:rPr>
        <w:t>①全过程控制原则。对医院污水产生、处理、排放的全过程进行控制。</w:t>
      </w:r>
    </w:p>
    <w:p>
      <w:pPr>
        <w:spacing w:line="520" w:lineRule="exact"/>
        <w:rPr>
          <w:rFonts w:ascii="Times New Roman" w:hAnsi="Times New Roman" w:cs="Times New Roman"/>
          <w:color w:val="auto"/>
        </w:rPr>
      </w:pPr>
      <w:r>
        <w:rPr>
          <w:rFonts w:ascii="Times New Roman" w:hAnsi="Times New Roman" w:cs="Times New Roman"/>
          <w:color w:val="auto"/>
        </w:rPr>
        <w:t>②减量化原则。严格医院内部卫生安全管理体系，在污水和污物发生源处进行严格控制和分离，医院内生活污水与病区污水分别收集，即源头控制、清污分流。严禁将医院的污水和污物随意弃置排入下水道。</w:t>
      </w:r>
    </w:p>
    <w:p>
      <w:pPr>
        <w:spacing w:line="520" w:lineRule="exact"/>
        <w:rPr>
          <w:rFonts w:ascii="Times New Roman" w:hAnsi="Times New Roman" w:cs="Times New Roman"/>
          <w:color w:val="auto"/>
        </w:rPr>
      </w:pPr>
      <w:r>
        <w:rPr>
          <w:rFonts w:ascii="Times New Roman" w:hAnsi="Times New Roman" w:cs="Times New Roman"/>
          <w:color w:val="auto"/>
        </w:rPr>
        <w:t>③就地处理原则。为防止医院污水输送过程中的污染与危害，在医院必须就地处理。</w:t>
      </w:r>
    </w:p>
    <w:p>
      <w:pPr>
        <w:spacing w:line="520" w:lineRule="exact"/>
        <w:rPr>
          <w:rFonts w:ascii="Times New Roman" w:hAnsi="Times New Roman" w:cs="Times New Roman"/>
          <w:color w:val="auto"/>
        </w:rPr>
      </w:pPr>
      <w:r>
        <w:rPr>
          <w:rFonts w:ascii="Times New Roman" w:hAnsi="Times New Roman" w:cs="Times New Roman"/>
          <w:color w:val="auto"/>
        </w:rPr>
        <w:t>④分类指导原则。根据医院性质、规模、污水排放去向和地区差异对医院污水处理进行分类指导。</w:t>
      </w:r>
    </w:p>
    <w:p>
      <w:pPr>
        <w:spacing w:line="520" w:lineRule="exact"/>
        <w:rPr>
          <w:rFonts w:ascii="Times New Roman" w:hAnsi="Times New Roman" w:cs="Times New Roman"/>
          <w:color w:val="auto"/>
        </w:rPr>
      </w:pPr>
      <w:r>
        <w:rPr>
          <w:rFonts w:ascii="Times New Roman" w:hAnsi="Times New Roman" w:cs="Times New Roman"/>
          <w:color w:val="auto"/>
        </w:rPr>
        <w:t>⑤达标与风险控制相结合原则。全面考虑综合性医院和传染病医院污水达标排放的基本要求，同时加强风险控制意识，从工艺技术、工程建设和监督管理等方面提高应对突发性事件的能力。</w:t>
      </w:r>
    </w:p>
    <w:p>
      <w:pPr>
        <w:spacing w:line="520" w:lineRule="exact"/>
        <w:rPr>
          <w:rFonts w:ascii="Times New Roman" w:hAnsi="Times New Roman" w:cs="Times New Roman"/>
          <w:color w:val="auto"/>
        </w:rPr>
      </w:pPr>
      <w:r>
        <w:rPr>
          <w:rFonts w:ascii="Times New Roman" w:hAnsi="Times New Roman" w:cs="Times New Roman"/>
          <w:color w:val="auto"/>
        </w:rPr>
        <w:t>⑥生态安全原则。有效去除污水中有毒有害物质，减少处理过程中消毒副产物产生和控制出水中过高余氯，保护生态环境安全。</w:t>
      </w:r>
    </w:p>
    <w:p>
      <w:pPr>
        <w:spacing w:line="520" w:lineRule="exact"/>
        <w:rPr>
          <w:rFonts w:ascii="Times New Roman" w:hAnsi="Times New Roman" w:cs="Times New Roman"/>
          <w:color w:val="auto"/>
        </w:rPr>
      </w:pPr>
      <w:r>
        <w:rPr>
          <w:rFonts w:ascii="Times New Roman" w:hAnsi="Times New Roman" w:cs="Times New Roman"/>
          <w:color w:val="auto"/>
        </w:rPr>
        <w:t>（2）工艺确定</w:t>
      </w:r>
    </w:p>
    <w:p>
      <w:pPr>
        <w:spacing w:line="520" w:lineRule="exact"/>
        <w:rPr>
          <w:rFonts w:ascii="Times New Roman" w:hAnsi="Times New Roman" w:cs="Times New Roman"/>
          <w:color w:val="auto"/>
        </w:rPr>
      </w:pPr>
      <w:r>
        <w:rPr>
          <w:rFonts w:ascii="Times New Roman" w:hAnsi="Times New Roman" w:cs="Times New Roman"/>
          <w:color w:val="auto"/>
        </w:rPr>
        <w:t>①污水处理站工艺流程</w:t>
      </w:r>
    </w:p>
    <w:p>
      <w:pPr>
        <w:spacing w:line="520" w:lineRule="exact"/>
        <w:rPr>
          <w:rFonts w:ascii="Times New Roman" w:hAnsi="Times New Roman" w:cs="Times New Roman"/>
          <w:color w:val="auto"/>
        </w:rPr>
      </w:pPr>
      <w:r>
        <w:rPr>
          <w:rFonts w:ascii="Times New Roman" w:hAnsi="Times New Roman" w:cs="Times New Roman"/>
          <w:color w:val="auto"/>
        </w:rPr>
        <w:t>本项目传染废水先进预消毒池投加消毒剂（二氧化氯）进行消毒，后进入脱氯池消除前端消毒产生的余氯，脱氯后的废水混合非传染废水经格栅截留去除较大粒径的悬浮物和漂浮物后进入集水井，之后进入调节池，均化水质，然后由泵提升至水解酸化池，进行酸化水解和硝化反硝化，降低有机物浓度，去除部分氨氮，然后入流生物接触氧化池进行好氧生化反应，在此绝大部分有机污染物通过生物氧化、吸附得以降解，经过二沉池沉淀的废水流至消毒池，为保证理想的消毒效果，投加消毒剂（二氧化氯）进行消毒处理后达标排放，产生的污泥定期消毒清运。</w:t>
      </w:r>
    </w:p>
    <w:p>
      <w:pPr>
        <w:spacing w:line="520" w:lineRule="exact"/>
        <w:rPr>
          <w:rFonts w:ascii="Times New Roman" w:hAnsi="Times New Roman" w:cs="Times New Roman"/>
          <w:color w:val="auto"/>
        </w:rPr>
      </w:pPr>
      <w:r>
        <w:rPr>
          <w:rFonts w:ascii="Times New Roman" w:hAnsi="Times New Roman" w:cs="Times New Roman"/>
          <w:color w:val="auto"/>
        </w:rPr>
        <w:t>1）工程废水处理工艺：</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860290" cy="2529205"/>
            <wp:effectExtent l="9525" t="9525" r="26035" b="13970"/>
            <wp:docPr id="128" name="图片 128" descr="污水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污水处理工艺流程图"/>
                    <pic:cNvPicPr>
                      <a:picLocks noChangeAspect="1"/>
                    </pic:cNvPicPr>
                  </pic:nvPicPr>
                  <pic:blipFill>
                    <a:blip r:embed="rId29"/>
                    <a:srcRect t="11823" r="2710" b="5320"/>
                    <a:stretch>
                      <a:fillRect/>
                    </a:stretch>
                  </pic:blipFill>
                  <pic:spPr>
                    <a:xfrm>
                      <a:off x="0" y="0"/>
                      <a:ext cx="4860290" cy="2529205"/>
                    </a:xfrm>
                    <a:prstGeom prst="rect">
                      <a:avLst/>
                    </a:prstGeom>
                    <a:ln>
                      <a:solidFill>
                        <a:schemeClr val="tx1"/>
                      </a:solidFill>
                    </a:ln>
                  </pic:spPr>
                </pic:pic>
              </a:graphicData>
            </a:graphic>
          </wp:inline>
        </w:drawing>
      </w:r>
    </w:p>
    <w:p>
      <w:pPr>
        <w:pStyle w:val="35"/>
        <w:spacing w:before="0" w:after="0" w:line="520" w:lineRule="exact"/>
        <w:rPr>
          <w:rFonts w:cs="Times New Roman"/>
          <w:color w:val="auto"/>
        </w:rPr>
      </w:pPr>
      <w:r>
        <w:rPr>
          <w:rFonts w:cs="Times New Roman"/>
          <w:color w:val="auto"/>
        </w:rPr>
        <w:t>图</w:t>
      </w:r>
      <w:r>
        <w:rPr>
          <w:rFonts w:hint="eastAsia" w:cs="Times New Roman"/>
          <w:color w:val="auto"/>
        </w:rPr>
        <w:t>6.2</w:t>
      </w:r>
      <w:r>
        <w:rPr>
          <w:rFonts w:cs="Times New Roman"/>
          <w:color w:val="auto"/>
        </w:rPr>
        <w:t>-1    医疗废水处理工艺流程图</w:t>
      </w:r>
    </w:p>
    <w:p>
      <w:pPr>
        <w:spacing w:line="520" w:lineRule="exact"/>
        <w:rPr>
          <w:rFonts w:ascii="Times New Roman" w:hAnsi="Times New Roman" w:cs="Times New Roman"/>
          <w:color w:val="auto"/>
        </w:rPr>
      </w:pPr>
      <w:r>
        <w:rPr>
          <w:rFonts w:ascii="Times New Roman" w:hAnsi="Times New Roman" w:cs="Times New Roman"/>
          <w:color w:val="auto"/>
        </w:rPr>
        <w:t>污水经格栅去除杂质后进入调节池，调节池的主要作用是调节水量、水质， 缓冲排水峰量，为后续污水处理系统提供稳定的运行条件，均衡进入后续污水处理系统的污水水质。</w:t>
      </w:r>
    </w:p>
    <w:p>
      <w:pPr>
        <w:spacing w:line="520" w:lineRule="exact"/>
        <w:rPr>
          <w:rFonts w:ascii="Times New Roman" w:hAnsi="Times New Roman" w:cs="Times New Roman"/>
          <w:color w:val="auto"/>
        </w:rPr>
      </w:pPr>
      <w:r>
        <w:rPr>
          <w:rFonts w:ascii="Times New Roman" w:hAnsi="Times New Roman" w:cs="Times New Roman"/>
          <w:color w:val="auto"/>
        </w:rPr>
        <w:t>生物接触氧化法是一种好氧生物膜污水处理方法，该系统由浸没于污水中的填料、填料表面的生物膜、曝气系统和池体构成。在有氧条件下，污水与固着在填料表面的生物膜充分接触，通过生物降解作用去除水中的有机物、营养盐等，使污水得到净化。</w:t>
      </w:r>
    </w:p>
    <w:p>
      <w:pPr>
        <w:spacing w:line="520" w:lineRule="exact"/>
        <w:rPr>
          <w:rFonts w:ascii="Times New Roman" w:hAnsi="Times New Roman" w:cs="Times New Roman"/>
          <w:color w:val="auto"/>
        </w:rPr>
      </w:pPr>
      <w:r>
        <w:rPr>
          <w:rFonts w:ascii="Times New Roman" w:hAnsi="Times New Roman" w:cs="Times New Roman"/>
          <w:color w:val="auto"/>
        </w:rPr>
        <w:t>②消毒方案比选</w:t>
      </w:r>
    </w:p>
    <w:p>
      <w:pPr>
        <w:spacing w:line="520" w:lineRule="exact"/>
        <w:rPr>
          <w:rFonts w:ascii="Times New Roman" w:hAnsi="Times New Roman" w:cs="Times New Roman"/>
          <w:color w:val="auto"/>
        </w:rPr>
      </w:pPr>
      <w:r>
        <w:rPr>
          <w:rFonts w:ascii="Times New Roman" w:hAnsi="Times New Roman" w:cs="Times New Roman"/>
          <w:color w:val="auto"/>
        </w:rPr>
        <w:t>参考《医院污水处理工程技术规范》（HJ 2029-2013），医院常用消毒方法比较详见</w:t>
      </w:r>
      <w:r>
        <w:rPr>
          <w:rFonts w:hint="eastAsia" w:ascii="Times New Roman" w:hAnsi="Times New Roman" w:cs="Times New Roman"/>
          <w:color w:val="auto"/>
        </w:rPr>
        <w:t>6.2</w:t>
      </w:r>
      <w:r>
        <w:rPr>
          <w:rFonts w:ascii="Times New Roman" w:hAnsi="Times New Roman" w:cs="Times New Roman"/>
          <w:color w:val="auto"/>
        </w:rPr>
        <w:t>-1表。</w:t>
      </w:r>
    </w:p>
    <w:p>
      <w:pPr>
        <w:pStyle w:val="35"/>
        <w:spacing w:before="0" w:after="0" w:line="520" w:lineRule="exact"/>
        <w:rPr>
          <w:rFonts w:cs="Times New Roman"/>
          <w:color w:val="auto"/>
        </w:rPr>
      </w:pPr>
      <w:r>
        <w:rPr>
          <w:rFonts w:cs="Times New Roman"/>
          <w:color w:val="auto"/>
        </w:rPr>
        <w:t>表</w:t>
      </w:r>
      <w:r>
        <w:rPr>
          <w:rFonts w:hint="eastAsia" w:cs="Times New Roman"/>
          <w:color w:val="auto"/>
        </w:rPr>
        <w:t>6.2</w:t>
      </w:r>
      <w:r>
        <w:rPr>
          <w:rFonts w:cs="Times New Roman"/>
          <w:color w:val="auto"/>
        </w:rPr>
        <w:t>-1    常用消毒方法比较一览表</w:t>
      </w:r>
    </w:p>
    <w:tbl>
      <w:tblPr>
        <w:tblStyle w:val="24"/>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0"/>
        <w:gridCol w:w="2041"/>
        <w:gridCol w:w="2070"/>
        <w:gridCol w:w="1170"/>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9"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消毒剂</w:t>
            </w:r>
          </w:p>
        </w:tc>
        <w:tc>
          <w:tcPr>
            <w:tcW w:w="1227"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优点</w:t>
            </w:r>
          </w:p>
        </w:tc>
        <w:tc>
          <w:tcPr>
            <w:tcW w:w="1244"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缺点</w:t>
            </w:r>
          </w:p>
        </w:tc>
        <w:tc>
          <w:tcPr>
            <w:tcW w:w="70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消毒效果</w:t>
            </w:r>
          </w:p>
        </w:tc>
        <w:tc>
          <w:tcPr>
            <w:tcW w:w="1295"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氯气Cl</w:t>
            </w:r>
            <w:r>
              <w:rPr>
                <w:rFonts w:ascii="Times New Roman" w:hAnsi="Times New Roman" w:cs="Times New Roman"/>
                <w:color w:val="auto"/>
                <w:sz w:val="21"/>
                <w:szCs w:val="21"/>
                <w:vertAlign w:val="subscript"/>
              </w:rPr>
              <w:t>2</w:t>
            </w:r>
          </w:p>
        </w:tc>
        <w:tc>
          <w:tcPr>
            <w:tcW w:w="122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具有持续消毒作用；工艺简单，技术成熟</w:t>
            </w:r>
          </w:p>
        </w:tc>
        <w:tc>
          <w:tcPr>
            <w:tcW w:w="124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产生具致癌、致畸作用的有机氯化物（THMs）；运行管理有一定的危险性</w:t>
            </w:r>
          </w:p>
        </w:tc>
        <w:tc>
          <w:tcPr>
            <w:tcW w:w="703"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能有效杀菌，单杀灭病毒效果较差</w:t>
            </w:r>
          </w:p>
        </w:tc>
        <w:tc>
          <w:tcPr>
            <w:tcW w:w="129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远离人口聚居区的规模较大（＞1000床）且管理水平较高的医院污水处理系统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次氯酸钠NaClO</w:t>
            </w:r>
          </w:p>
        </w:tc>
        <w:tc>
          <w:tcPr>
            <w:tcW w:w="122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无毒，运行、管理无危险性</w:t>
            </w:r>
          </w:p>
        </w:tc>
        <w:tc>
          <w:tcPr>
            <w:tcW w:w="124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产生具致癌、致畸作用的有机氯化物（THMs）；使水的pH值升高</w:t>
            </w:r>
          </w:p>
        </w:tc>
        <w:tc>
          <w:tcPr>
            <w:tcW w:w="70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29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规模＜300床的经济欠发达地区医院污水处理消毒系统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2" w:hRule="atLeast"/>
          <w:jc w:val="center"/>
        </w:trPr>
        <w:tc>
          <w:tcPr>
            <w:tcW w:w="5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二氧化氯ClO</w:t>
            </w:r>
            <w:r>
              <w:rPr>
                <w:rFonts w:ascii="Times New Roman" w:hAnsi="Times New Roman" w:cs="Times New Roman"/>
                <w:color w:val="auto"/>
                <w:sz w:val="21"/>
                <w:szCs w:val="21"/>
                <w:vertAlign w:val="subscript"/>
              </w:rPr>
              <w:t>2</w:t>
            </w:r>
          </w:p>
        </w:tc>
        <w:tc>
          <w:tcPr>
            <w:tcW w:w="122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具有强烈的氧化作用，不产生具致癌、致畸作用的有机氯化物（THMs）；投放简单方便；不受pH影响</w:t>
            </w:r>
          </w:p>
        </w:tc>
        <w:tc>
          <w:tcPr>
            <w:tcW w:w="124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运行、管理有一定的危险性；只能就地生产，就地使用；制取设备</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复杂</w:t>
            </w:r>
          </w:p>
        </w:tc>
        <w:tc>
          <w:tcPr>
            <w:tcW w:w="703" w:type="pct"/>
            <w:vMerge w:val="continue"/>
            <w:vAlign w:val="center"/>
          </w:tcPr>
          <w:p>
            <w:pPr>
              <w:spacing w:line="240" w:lineRule="auto"/>
              <w:ind w:firstLine="0" w:firstLineChars="0"/>
              <w:jc w:val="center"/>
              <w:rPr>
                <w:rFonts w:ascii="Times New Roman" w:hAnsi="Times New Roman" w:cs="Times New Roman"/>
                <w:color w:val="auto"/>
                <w:sz w:val="21"/>
                <w:szCs w:val="21"/>
              </w:rPr>
            </w:pPr>
          </w:p>
        </w:tc>
        <w:tc>
          <w:tcPr>
            <w:tcW w:w="129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适用于各种规模医院污水的消毒处理，但要求管理水平较高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5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臭氧O</w:t>
            </w:r>
            <w:r>
              <w:rPr>
                <w:rFonts w:ascii="Times New Roman" w:hAnsi="Times New Roman" w:cs="Times New Roman"/>
                <w:color w:val="auto"/>
                <w:sz w:val="21"/>
                <w:szCs w:val="21"/>
                <w:vertAlign w:val="subscript"/>
              </w:rPr>
              <w:t>3</w:t>
            </w:r>
          </w:p>
        </w:tc>
        <w:tc>
          <w:tcPr>
            <w:tcW w:w="122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有强氧化能力，接触时间短；不产生有机氯化物；不受pH影响；能增加水中溶解氧</w:t>
            </w:r>
          </w:p>
        </w:tc>
        <w:tc>
          <w:tcPr>
            <w:tcW w:w="124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运行、管理有一定的危险性；操作复杂；制取产率低；基建投资、运行成本高</w:t>
            </w:r>
          </w:p>
        </w:tc>
        <w:tc>
          <w:tcPr>
            <w:tcW w:w="70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杀菌和杀灭病毒的效果均很好</w:t>
            </w:r>
          </w:p>
        </w:tc>
        <w:tc>
          <w:tcPr>
            <w:tcW w:w="129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传染病医院污水应优先采用臭氧消毒；处理出水再说回用或排入水体会造成不良影响时应首选臭氧消毒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29"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紫外线</w:t>
            </w:r>
          </w:p>
        </w:tc>
        <w:tc>
          <w:tcPr>
            <w:tcW w:w="1227"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无有害的残余物质；无臭味；操作简单，易实现自动化；运行管理和维修费用低</w:t>
            </w:r>
          </w:p>
        </w:tc>
        <w:tc>
          <w:tcPr>
            <w:tcW w:w="124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电耗大；耗材需定期更换；对处理水的水质要求较高；无后续杀菌作用</w:t>
            </w:r>
          </w:p>
        </w:tc>
        <w:tc>
          <w:tcPr>
            <w:tcW w:w="70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效果好，但对悬浮物浓度有要求</w:t>
            </w:r>
          </w:p>
        </w:tc>
        <w:tc>
          <w:tcPr>
            <w:tcW w:w="1295"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当二级处理出水254nm紫外线透射率＜60%、悬浮物浓度＜20mg/L时，或特殊要求情况可采用紫外消毒方式</w:t>
            </w:r>
          </w:p>
        </w:tc>
      </w:tr>
    </w:tbl>
    <w:p>
      <w:pPr>
        <w:spacing w:line="520" w:lineRule="exact"/>
        <w:rPr>
          <w:rFonts w:ascii="Times New Roman" w:hAnsi="Times New Roman" w:cs="Times New Roman"/>
          <w:color w:val="auto"/>
        </w:rPr>
      </w:pPr>
      <w:r>
        <w:rPr>
          <w:rFonts w:ascii="Times New Roman" w:hAnsi="Times New Roman" w:cs="Times New Roman"/>
          <w:color w:val="auto"/>
        </w:rPr>
        <w:t>通过以上对比可知，臭氧发生器、紫外线消毒一次性投资大且运行管理复杂；投加液氯技术成熟、效果好，但且危险性大，易泄漏，一次性投资也并不比二氧化氯发生器低多少，还易与有机物生成三氯甲烷等有毒物质；次氯酸钠发生器关键部位易损坏、体积大，电耗和盐耗都较高，操作管理不便。因此，本评价建议使用经济性和技术先进性都适中的二氧化氯发生器消毒。二氧化氯具有高效氧化剂、消毒剂及漂白剂的功能。作为强氧化剂，它所氧化的产物中无有机氯化物；作为消毒剂，它具有光谱性的消毒效果。二氧化氯必须现场制备。现场制备二氧化氯的方法主要为化学法和电解法。</w:t>
      </w:r>
    </w:p>
    <w:p>
      <w:pPr>
        <w:spacing w:line="520" w:lineRule="exact"/>
        <w:rPr>
          <w:rFonts w:ascii="Times New Roman" w:hAnsi="Times New Roman" w:cs="Times New Roman"/>
          <w:color w:val="auto"/>
        </w:rPr>
      </w:pPr>
      <w:r>
        <w:rPr>
          <w:rFonts w:ascii="Times New Roman" w:hAnsi="Times New Roman" w:cs="Times New Roman"/>
          <w:color w:val="auto"/>
        </w:rPr>
        <w:t>脱氯处理：主要是利用投加药剂（硫代硫酸钠）脱除水中的余氯，确保出水余氯达标。</w:t>
      </w:r>
    </w:p>
    <w:p>
      <w:pPr>
        <w:spacing w:line="520" w:lineRule="exact"/>
        <w:rPr>
          <w:rFonts w:ascii="Times New Roman" w:hAnsi="Times New Roman" w:cs="Times New Roman"/>
          <w:color w:val="auto"/>
        </w:rPr>
      </w:pPr>
      <w:r>
        <w:rPr>
          <w:rFonts w:ascii="Times New Roman" w:hAnsi="Times New Roman" w:cs="Times New Roman"/>
          <w:color w:val="auto"/>
        </w:rPr>
        <w:t>③污水处理系统的主要配套装置</w:t>
      </w:r>
    </w:p>
    <w:p>
      <w:pPr>
        <w:spacing w:line="520" w:lineRule="exact"/>
        <w:rPr>
          <w:rFonts w:ascii="Times New Roman" w:hAnsi="Times New Roman" w:cs="Times New Roman"/>
          <w:color w:val="auto"/>
        </w:rPr>
      </w:pPr>
      <w:r>
        <w:rPr>
          <w:rFonts w:ascii="Times New Roman" w:hAnsi="Times New Roman" w:cs="Times New Roman"/>
          <w:color w:val="auto"/>
        </w:rPr>
        <w:t>A、消毒加药系统：</w:t>
      </w:r>
    </w:p>
    <w:p>
      <w:pPr>
        <w:spacing w:line="520" w:lineRule="exact"/>
        <w:rPr>
          <w:rFonts w:ascii="Times New Roman" w:hAnsi="Times New Roman" w:cs="Times New Roman"/>
          <w:color w:val="auto"/>
        </w:rPr>
      </w:pPr>
      <w:r>
        <w:rPr>
          <w:rFonts w:ascii="Times New Roman" w:hAnsi="Times New Roman" w:cs="Times New Roman"/>
          <w:color w:val="auto"/>
        </w:rPr>
        <w:t>该项目采用二氧化氯作为消毒剂，二氧化氯（ClO</w:t>
      </w:r>
      <w:r>
        <w:rPr>
          <w:rFonts w:ascii="Times New Roman" w:hAnsi="Times New Roman" w:cs="Times New Roman"/>
          <w:color w:val="auto"/>
          <w:vertAlign w:val="subscript"/>
        </w:rPr>
        <w:t>2</w:t>
      </w:r>
      <w:r>
        <w:rPr>
          <w:rFonts w:ascii="Times New Roman" w:hAnsi="Times New Roman" w:cs="Times New Roman"/>
          <w:color w:val="auto"/>
        </w:rPr>
        <w:t>）属于氧化型杀毒剂，又是一种含氯（Cl</w:t>
      </w:r>
      <w:r>
        <w:rPr>
          <w:rFonts w:ascii="Times New Roman" w:hAnsi="Times New Roman" w:cs="Times New Roman"/>
          <w:color w:val="auto"/>
          <w:vertAlign w:val="subscript"/>
        </w:rPr>
        <w:t>2</w:t>
      </w:r>
      <w:r>
        <w:rPr>
          <w:rFonts w:ascii="Times New Roman" w:hAnsi="Times New Roman" w:cs="Times New Roman"/>
          <w:color w:val="auto"/>
        </w:rPr>
        <w:t>）制剂，是世界卫生组织和粮农组织推荐的A1级广谱、高效和安全的消毒剂。二氧化氯对水中病毒例如脊髓灰质炎Ⅰ型、柯萨奇病毒B3、艾可病毒Ⅱ、腺病毒7型、单纯疱疹病毒Ⅰ型、流行性腮腺炎病毒、乙肝病毒、呼吸道病毒等都具有很好的消毒效果；同时二氧化氯也能杀死孢子和病毒，分解残留的细菌结构，是医疗废水消毒处理的最佳选择。二氧化氯作为水消毒剂具有以下明显优点：</w:t>
      </w:r>
    </w:p>
    <w:p>
      <w:pPr>
        <w:numPr>
          <w:ilvl w:val="0"/>
          <w:numId w:val="10"/>
        </w:numPr>
        <w:spacing w:line="520" w:lineRule="exact"/>
        <w:rPr>
          <w:rFonts w:ascii="Times New Roman" w:hAnsi="Times New Roman" w:cs="Times New Roman"/>
          <w:color w:val="auto"/>
        </w:rPr>
      </w:pPr>
      <w:r>
        <w:rPr>
          <w:rFonts w:ascii="Times New Roman" w:hAnsi="Times New Roman" w:cs="Times New Roman"/>
          <w:color w:val="auto"/>
        </w:rPr>
        <w:t>二氧化氯在失活病毒、隐孢子虫和贾第虫方面比氯气更有效果；</w:t>
      </w:r>
    </w:p>
    <w:p>
      <w:pPr>
        <w:numPr>
          <w:ilvl w:val="0"/>
          <w:numId w:val="10"/>
        </w:numPr>
        <w:spacing w:line="520" w:lineRule="exact"/>
        <w:rPr>
          <w:rFonts w:ascii="Times New Roman" w:hAnsi="Times New Roman" w:cs="Times New Roman"/>
          <w:color w:val="auto"/>
        </w:rPr>
      </w:pPr>
      <w:r>
        <w:rPr>
          <w:rFonts w:ascii="Times New Roman" w:hAnsi="Times New Roman" w:cs="Times New Roman"/>
          <w:color w:val="auto"/>
        </w:rPr>
        <w:t>二氧化氯不形成氯仿等有机卤代物；</w:t>
      </w:r>
    </w:p>
    <w:p>
      <w:pPr>
        <w:numPr>
          <w:ilvl w:val="0"/>
          <w:numId w:val="10"/>
        </w:numPr>
        <w:spacing w:line="520" w:lineRule="exact"/>
        <w:rPr>
          <w:rFonts w:ascii="Times New Roman" w:hAnsi="Times New Roman" w:cs="Times New Roman"/>
          <w:color w:val="auto"/>
        </w:rPr>
      </w:pPr>
      <w:r>
        <w:rPr>
          <w:rFonts w:ascii="Times New Roman" w:hAnsi="Times New Roman" w:cs="Times New Roman"/>
          <w:color w:val="auto"/>
        </w:rPr>
        <w:t>二氧化氯杀菌性几乎不受pH影响，且杀菌效果明显好于氯气；</w:t>
      </w:r>
    </w:p>
    <w:p>
      <w:pPr>
        <w:numPr>
          <w:ilvl w:val="0"/>
          <w:numId w:val="10"/>
        </w:numPr>
        <w:spacing w:line="520" w:lineRule="exact"/>
        <w:rPr>
          <w:rFonts w:ascii="Times New Roman" w:hAnsi="Times New Roman" w:cs="Times New Roman"/>
          <w:color w:val="auto"/>
        </w:rPr>
      </w:pPr>
      <w:r>
        <w:rPr>
          <w:rFonts w:ascii="Times New Roman" w:hAnsi="Times New Roman" w:cs="Times New Roman"/>
          <w:color w:val="auto"/>
        </w:rPr>
        <w:t>二氧化氯还可用于控制氧化塘中的藻类、腐败植物和酚类化合物产生的嗅和味问题；</w:t>
      </w:r>
    </w:p>
    <w:p>
      <w:pPr>
        <w:numPr>
          <w:ilvl w:val="0"/>
          <w:numId w:val="10"/>
        </w:numPr>
        <w:spacing w:line="520" w:lineRule="exact"/>
        <w:rPr>
          <w:rFonts w:ascii="Times New Roman" w:hAnsi="Times New Roman" w:cs="Times New Roman"/>
          <w:color w:val="auto"/>
        </w:rPr>
      </w:pPr>
      <w:r>
        <w:rPr>
          <w:rFonts w:ascii="Times New Roman" w:hAnsi="Times New Roman" w:cs="Times New Roman"/>
          <w:color w:val="auto"/>
        </w:rPr>
        <w:t>二氧化氯氧化铁、锰、硫化物和亚硝酸盐以及许多有机物；</w:t>
      </w:r>
    </w:p>
    <w:p>
      <w:pPr>
        <w:numPr>
          <w:ilvl w:val="0"/>
          <w:numId w:val="10"/>
        </w:numPr>
        <w:spacing w:line="520" w:lineRule="exact"/>
        <w:rPr>
          <w:rFonts w:ascii="Times New Roman" w:hAnsi="Times New Roman" w:cs="Times New Roman"/>
          <w:color w:val="auto"/>
        </w:rPr>
      </w:pPr>
      <w:r>
        <w:rPr>
          <w:rFonts w:ascii="Times New Roman" w:hAnsi="Times New Roman" w:cs="Times New Roman"/>
          <w:color w:val="auto"/>
        </w:rPr>
        <w:t>二氧化氯在水中的剩余量，将延长或保证管网水中的消毒作用；</w:t>
      </w:r>
    </w:p>
    <w:p>
      <w:pPr>
        <w:numPr>
          <w:ilvl w:val="0"/>
          <w:numId w:val="10"/>
        </w:numPr>
        <w:spacing w:line="520" w:lineRule="exact"/>
        <w:rPr>
          <w:rFonts w:ascii="Times New Roman" w:hAnsi="Times New Roman" w:cs="Times New Roman"/>
          <w:color w:val="auto"/>
        </w:rPr>
      </w:pPr>
      <w:r>
        <w:rPr>
          <w:rFonts w:ascii="Times New Roman" w:hAnsi="Times New Roman" w:cs="Times New Roman"/>
          <w:color w:val="auto"/>
        </w:rPr>
        <w:t>二氧化氯不与氨反应，也不与溴化物反应形成溴或溴酸盐。</w:t>
      </w:r>
    </w:p>
    <w:p>
      <w:pPr>
        <w:spacing w:line="520" w:lineRule="exact"/>
        <w:rPr>
          <w:rFonts w:ascii="Times New Roman" w:hAnsi="Times New Roman" w:cs="Times New Roman"/>
          <w:color w:val="auto"/>
        </w:rPr>
      </w:pPr>
      <w:r>
        <w:rPr>
          <w:rFonts w:ascii="Times New Roman" w:hAnsi="Times New Roman" w:cs="Times New Roman"/>
          <w:color w:val="auto"/>
        </w:rPr>
        <w:t>B、二氧化氯发生器工作原理及结构特征</w:t>
      </w:r>
    </w:p>
    <w:p>
      <w:pPr>
        <w:spacing w:line="520" w:lineRule="exact"/>
        <w:rPr>
          <w:rFonts w:ascii="Times New Roman" w:hAnsi="Times New Roman" w:cs="Times New Roman"/>
          <w:color w:val="auto"/>
        </w:rPr>
      </w:pPr>
      <w:r>
        <w:rPr>
          <w:rFonts w:ascii="Times New Roman" w:hAnsi="Times New Roman" w:cs="Times New Roman"/>
          <w:color w:val="auto"/>
        </w:rPr>
        <w:t>二氧化氯发生器总体结构：发生器由供料系统、反应系统、控制系统和安全系统构成：发生器外壳为PVC材料。工作原理：由计量泵将氯酸钠水溶液与盐酸溶液输入到反应器中，在一定温度和负压下进行充分反应，产出以二氧化氯为主并含量的氯气生成物，经水射器吸收与水充分混合形成消毒液后，通入被消毒水中。</w:t>
      </w:r>
    </w:p>
    <w:p>
      <w:pPr>
        <w:spacing w:line="240" w:lineRule="auto"/>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5269865" cy="2276475"/>
            <wp:effectExtent l="9525" t="9525" r="16510" b="1905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30"/>
                    <a:stretch>
                      <a:fillRect/>
                    </a:stretch>
                  </pic:blipFill>
                  <pic:spPr>
                    <a:xfrm>
                      <a:off x="0" y="0"/>
                      <a:ext cx="5269865" cy="2276475"/>
                    </a:xfrm>
                    <a:prstGeom prst="rect">
                      <a:avLst/>
                    </a:prstGeom>
                    <a:noFill/>
                    <a:ln>
                      <a:solidFill>
                        <a:schemeClr val="tx1"/>
                      </a:solidFill>
                    </a:ln>
                  </pic:spPr>
                </pic:pic>
              </a:graphicData>
            </a:graphic>
          </wp:inline>
        </w:drawing>
      </w:r>
    </w:p>
    <w:p>
      <w:pPr>
        <w:pStyle w:val="35"/>
        <w:spacing w:before="0" w:after="0" w:line="520" w:lineRule="exact"/>
        <w:rPr>
          <w:rFonts w:cs="Times New Roman"/>
          <w:color w:val="auto"/>
        </w:rPr>
      </w:pPr>
      <w:r>
        <w:rPr>
          <w:rFonts w:cs="Times New Roman"/>
          <w:color w:val="auto"/>
        </w:rPr>
        <w:t>图</w:t>
      </w:r>
      <w:r>
        <w:rPr>
          <w:rFonts w:hint="eastAsia" w:cs="Times New Roman"/>
          <w:color w:val="auto"/>
        </w:rPr>
        <w:t>6.2-2</w:t>
      </w:r>
      <w:r>
        <w:rPr>
          <w:rFonts w:cs="Times New Roman"/>
          <w:color w:val="auto"/>
        </w:rPr>
        <w:t xml:space="preserve">    二氧化氯发生器工作原理图</w:t>
      </w:r>
    </w:p>
    <w:p>
      <w:pPr>
        <w:spacing w:line="520" w:lineRule="exact"/>
        <w:rPr>
          <w:rFonts w:ascii="Times New Roman" w:hAnsi="Times New Roman" w:cs="Times New Roman"/>
          <w:color w:val="auto"/>
        </w:rPr>
      </w:pPr>
      <w:r>
        <w:rPr>
          <w:rFonts w:ascii="Times New Roman" w:hAnsi="Times New Roman" w:cs="Times New Roman"/>
          <w:color w:val="auto"/>
        </w:rPr>
        <w:t>2）处理规模</w:t>
      </w:r>
    </w:p>
    <w:p>
      <w:pPr>
        <w:spacing w:line="520" w:lineRule="exact"/>
        <w:rPr>
          <w:rFonts w:ascii="Times New Roman" w:hAnsi="Times New Roman" w:cs="Times New Roman"/>
          <w:color w:val="auto"/>
        </w:rPr>
      </w:pPr>
      <w:r>
        <w:rPr>
          <w:rFonts w:ascii="Times New Roman" w:hAnsi="Times New Roman" w:cs="Times New Roman"/>
          <w:color w:val="auto"/>
        </w:rPr>
        <w:t>《医院污水处理工程技术规范》（HJ 2029-2013）中要求“医院污水处理工程设计水量应在实测或测算的基础上留有设计裕量，设计裕量宜取实测值或测算值的10%~20%”。</w:t>
      </w:r>
    </w:p>
    <w:p>
      <w:pPr>
        <w:spacing w:line="520" w:lineRule="exact"/>
        <w:rPr>
          <w:rFonts w:ascii="Times New Roman" w:hAnsi="Times New Roman" w:cs="Times New Roman"/>
          <w:color w:val="auto"/>
        </w:rPr>
      </w:pPr>
      <w:r>
        <w:rPr>
          <w:rFonts w:ascii="Times New Roman" w:hAnsi="Times New Roman" w:cs="Times New Roman"/>
          <w:color w:val="auto"/>
        </w:rPr>
        <w:t>项目最大日排水量约309.2m</w:t>
      </w:r>
      <w:r>
        <w:rPr>
          <w:rFonts w:ascii="Times New Roman" w:hAnsi="Times New Roman" w:cs="Times New Roman"/>
          <w:color w:val="auto"/>
          <w:vertAlign w:val="superscript"/>
        </w:rPr>
        <w:t>3</w:t>
      </w:r>
      <w:r>
        <w:rPr>
          <w:rFonts w:ascii="Times New Roman" w:hAnsi="Times New Roman" w:cs="Times New Roman"/>
          <w:color w:val="auto"/>
        </w:rPr>
        <w:t>/d，其中，需经污水处理站处理的废水至少为309.2m</w:t>
      </w:r>
      <w:r>
        <w:rPr>
          <w:rFonts w:ascii="Times New Roman" w:hAnsi="Times New Roman" w:cs="Times New Roman"/>
          <w:color w:val="auto"/>
          <w:vertAlign w:val="superscript"/>
        </w:rPr>
        <w:t>3</w:t>
      </w:r>
      <w:r>
        <w:rPr>
          <w:rFonts w:ascii="Times New Roman" w:hAnsi="Times New Roman" w:cs="Times New Roman"/>
          <w:color w:val="auto"/>
        </w:rPr>
        <w:t>/d。项目污水处理站设计处理能力为480m</w:t>
      </w:r>
      <w:r>
        <w:rPr>
          <w:rFonts w:ascii="Times New Roman" w:hAnsi="Times New Roman" w:cs="Times New Roman"/>
          <w:color w:val="auto"/>
          <w:vertAlign w:val="superscript"/>
        </w:rPr>
        <w:t>3</w:t>
      </w:r>
      <w:r>
        <w:rPr>
          <w:rFonts w:ascii="Times New Roman" w:hAnsi="Times New Roman" w:cs="Times New Roman"/>
          <w:color w:val="auto"/>
        </w:rPr>
        <w:t>/d（＞309.2m</w:t>
      </w:r>
      <w:r>
        <w:rPr>
          <w:rFonts w:ascii="Times New Roman" w:hAnsi="Times New Roman" w:cs="Times New Roman"/>
          <w:color w:val="auto"/>
          <w:vertAlign w:val="superscript"/>
        </w:rPr>
        <w:t>3</w:t>
      </w:r>
      <w:r>
        <w:rPr>
          <w:rFonts w:ascii="Times New Roman" w:hAnsi="Times New Roman" w:cs="Times New Roman"/>
          <w:color w:val="auto"/>
        </w:rPr>
        <w:t>/d），满足《医院污水处理工程技术规范》（HJ 2029-2013）中相关要求，项目污水处理站设计处理能力是合理的。</w:t>
      </w:r>
    </w:p>
    <w:p>
      <w:pPr>
        <w:spacing w:line="520" w:lineRule="exact"/>
        <w:rPr>
          <w:rFonts w:ascii="Times New Roman" w:hAnsi="Times New Roman" w:cs="Times New Roman"/>
          <w:color w:val="auto"/>
        </w:rPr>
      </w:pPr>
      <w:r>
        <w:rPr>
          <w:rFonts w:ascii="Times New Roman" w:hAnsi="Times New Roman" w:cs="Times New Roman"/>
          <w:color w:val="auto"/>
        </w:rPr>
        <w:t>3）污水处理效果的分析</w:t>
      </w:r>
    </w:p>
    <w:p>
      <w:pPr>
        <w:spacing w:line="520" w:lineRule="exact"/>
        <w:rPr>
          <w:rFonts w:ascii="Times New Roman" w:hAnsi="Times New Roman" w:cs="Times New Roman"/>
          <w:color w:val="auto"/>
        </w:rPr>
      </w:pPr>
      <w:r>
        <w:rPr>
          <w:rFonts w:ascii="Times New Roman" w:hAnsi="Times New Roman" w:cs="Times New Roman"/>
          <w:color w:val="auto"/>
        </w:rPr>
        <w:t>根据污水设计单位提供参考数据，预测处理效果：COD去除率</w:t>
      </w:r>
      <w:r>
        <w:rPr>
          <w:rFonts w:hint="eastAsia" w:ascii="Times New Roman" w:hAnsi="Times New Roman" w:cs="Times New Roman"/>
          <w:color w:val="auto"/>
          <w:lang w:val="en-US" w:eastAsia="zh-CN"/>
        </w:rPr>
        <w:t>57</w:t>
      </w:r>
      <w:r>
        <w:rPr>
          <w:rFonts w:ascii="Times New Roman" w:hAnsi="Times New Roman" w:cs="Times New Roman"/>
          <w:color w:val="auto"/>
        </w:rPr>
        <w:t>%、BOD</w:t>
      </w:r>
      <w:r>
        <w:rPr>
          <w:rFonts w:ascii="Times New Roman" w:hAnsi="Times New Roman" w:cs="Times New Roman"/>
          <w:color w:val="auto"/>
          <w:vertAlign w:val="subscript"/>
        </w:rPr>
        <w:t>5</w:t>
      </w:r>
      <w:r>
        <w:rPr>
          <w:rFonts w:ascii="Times New Roman" w:hAnsi="Times New Roman" w:cs="Times New Roman"/>
          <w:color w:val="auto"/>
        </w:rPr>
        <w:t>去除率</w:t>
      </w:r>
      <w:r>
        <w:rPr>
          <w:rFonts w:hint="eastAsia" w:ascii="Times New Roman" w:hAnsi="Times New Roman" w:cs="Times New Roman"/>
          <w:color w:val="auto"/>
          <w:lang w:val="en-US" w:eastAsia="zh-CN"/>
        </w:rPr>
        <w:t>68</w:t>
      </w:r>
      <w:r>
        <w:rPr>
          <w:rFonts w:ascii="Times New Roman" w:hAnsi="Times New Roman" w:cs="Times New Roman"/>
          <w:color w:val="auto"/>
        </w:rPr>
        <w:t>%、SS去除率</w:t>
      </w:r>
      <w:r>
        <w:rPr>
          <w:rFonts w:hint="eastAsia" w:ascii="Times New Roman" w:hAnsi="Times New Roman" w:cs="Times New Roman"/>
          <w:color w:val="auto"/>
          <w:lang w:val="en-US" w:eastAsia="zh-CN"/>
        </w:rPr>
        <w:t>85</w:t>
      </w: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-N去除率50%。</w:t>
      </w:r>
    </w:p>
    <w:p>
      <w:pPr>
        <w:spacing w:line="520" w:lineRule="exact"/>
        <w:rPr>
          <w:rFonts w:ascii="Times New Roman" w:hAnsi="Times New Roman" w:cs="Times New Roman"/>
          <w:color w:val="auto"/>
        </w:rPr>
      </w:pPr>
      <w:r>
        <w:rPr>
          <w:rFonts w:ascii="Times New Roman" w:hAnsi="Times New Roman" w:cs="Times New Roman"/>
          <w:color w:val="auto"/>
        </w:rPr>
        <w:t>污水经接触氧化池处理后进入沉淀池。之后进入消毒池进行消毒处理，处理后污水满足《医疗机构水污染物排放标准》（GB18466-2005）中预处理标准后，达标排入市政污水管网，进入吉木萨尔县污水处理厂进行处理处置。</w:t>
      </w:r>
    </w:p>
    <w:p>
      <w:pPr>
        <w:spacing w:line="520" w:lineRule="exact"/>
        <w:rPr>
          <w:rFonts w:ascii="Times New Roman" w:hAnsi="Times New Roman" w:cs="Times New Roman"/>
          <w:color w:val="auto"/>
        </w:rPr>
      </w:pPr>
      <w:r>
        <w:rPr>
          <w:rFonts w:ascii="Times New Roman" w:hAnsi="Times New Roman" w:cs="Times New Roman"/>
          <w:color w:val="auto"/>
        </w:rPr>
        <w:t>该废水处理系统由专业设计单位进行具体设计，全部设备设施位于地下，可以充分利用空间，不增加占地。污水处理工艺成熟，建设单位运行管理经验丰富，经处理后废水可做到达标排放，技术可行。</w:t>
      </w:r>
    </w:p>
    <w:p>
      <w:pPr>
        <w:pStyle w:val="10"/>
        <w:rPr>
          <w:rFonts w:cs="Times New Roman"/>
          <w:color w:val="auto"/>
        </w:rPr>
      </w:pPr>
      <w:bookmarkStart w:id="444" w:name="_Toc9187"/>
      <w:r>
        <w:rPr>
          <w:rFonts w:hint="eastAsia" w:cs="Times New Roman"/>
          <w:color w:val="auto"/>
        </w:rPr>
        <w:t>6</w:t>
      </w:r>
      <w:r>
        <w:rPr>
          <w:rFonts w:cs="Times New Roman"/>
          <w:color w:val="auto"/>
        </w:rPr>
        <w:t>.2.2.3 地下水污染防治措施</w:t>
      </w:r>
    </w:p>
    <w:p>
      <w:pPr>
        <w:spacing w:line="520" w:lineRule="exact"/>
        <w:rPr>
          <w:rFonts w:ascii="Times New Roman" w:hAnsi="Times New Roman" w:cs="Times New Roman"/>
          <w:color w:val="auto"/>
        </w:rPr>
      </w:pPr>
      <w:r>
        <w:rPr>
          <w:rFonts w:ascii="Times New Roman" w:hAnsi="Times New Roman" w:cs="Times New Roman"/>
          <w:color w:val="auto"/>
        </w:rPr>
        <w:t>（1）源头控制措施</w:t>
      </w:r>
    </w:p>
    <w:p>
      <w:pPr>
        <w:spacing w:line="520" w:lineRule="exact"/>
        <w:rPr>
          <w:rFonts w:ascii="Times New Roman" w:hAnsi="Times New Roman" w:cs="Times New Roman"/>
          <w:color w:val="auto"/>
        </w:rPr>
      </w:pPr>
      <w:r>
        <w:rPr>
          <w:rFonts w:ascii="Times New Roman" w:hAnsi="Times New Roman" w:cs="Times New Roman"/>
          <w:color w:val="auto"/>
        </w:rPr>
        <w:t>本项目将对可能产生地下水污染的源采取合理的分区防治措施，以尽可能从源头上减少污染物排放；严格按照国家相关规范要求，对工艺、管道、设备、储罐围堰等构筑物采取相应的措施，以防止和降低污染物的跑、冒、滴、漏，将污染物泄漏的环境风险事故降低到最低程度；做到污染物“早发现、早处理”，以减少由于埋地管道泄漏而可能造成的地下水污染。</w:t>
      </w:r>
    </w:p>
    <w:p>
      <w:pPr>
        <w:spacing w:line="520" w:lineRule="exact"/>
        <w:rPr>
          <w:rFonts w:ascii="Times New Roman" w:hAnsi="Times New Roman" w:cs="Times New Roman"/>
          <w:color w:val="auto"/>
        </w:rPr>
      </w:pPr>
      <w:r>
        <w:rPr>
          <w:rFonts w:ascii="Times New Roman" w:hAnsi="Times New Roman" w:cs="Times New Roman"/>
          <w:color w:val="auto"/>
        </w:rPr>
        <w:t>（2）分区控制措施</w:t>
      </w:r>
    </w:p>
    <w:p>
      <w:pPr>
        <w:spacing w:line="520" w:lineRule="exact"/>
        <w:rPr>
          <w:rFonts w:ascii="Times New Roman" w:hAnsi="Times New Roman" w:cs="Times New Roman"/>
          <w:color w:val="auto"/>
        </w:rPr>
      </w:pPr>
      <w:r>
        <w:rPr>
          <w:rFonts w:ascii="Times New Roman" w:hAnsi="Times New Roman" w:cs="Times New Roman"/>
          <w:color w:val="auto"/>
        </w:rPr>
        <w:t>为防止生产过程中跑、冒、滴、漏的物料腐蚀地面，污染物入渗污染地下水，应对院区进行分区防渗处理。具体如下：</w:t>
      </w:r>
    </w:p>
    <w:p>
      <w:pPr>
        <w:spacing w:line="520" w:lineRule="exact"/>
        <w:rPr>
          <w:rFonts w:ascii="Times New Roman" w:hAnsi="Times New Roman" w:cs="Times New Roman"/>
          <w:color w:val="auto"/>
        </w:rPr>
      </w:pPr>
      <w:r>
        <w:rPr>
          <w:rFonts w:ascii="Times New Roman" w:hAnsi="Times New Roman" w:cs="Times New Roman"/>
          <w:color w:val="auto"/>
        </w:rPr>
        <w:t>①院区分为污染区和非污染区，污染区包括污水处理站、医疗废物临时暂存场所，其它区域为非污染区；</w:t>
      </w:r>
    </w:p>
    <w:p>
      <w:pPr>
        <w:spacing w:line="520" w:lineRule="exact"/>
        <w:rPr>
          <w:rFonts w:ascii="Times New Roman" w:hAnsi="Times New Roman" w:cs="Times New Roman"/>
          <w:color w:val="auto"/>
        </w:rPr>
      </w:pPr>
      <w:r>
        <w:rPr>
          <w:rFonts w:ascii="Times New Roman" w:hAnsi="Times New Roman" w:cs="Times New Roman"/>
          <w:color w:val="auto"/>
        </w:rPr>
        <w:t>②根据污染区通过各种途径可能进入地下水环境的各种有毒有害原辅材料、产品的泄漏量及其他各类污染物的性质、产生和排放量，将污染区进一步分为一般污染防治区、重点污染防治区；</w:t>
      </w:r>
    </w:p>
    <w:p>
      <w:pPr>
        <w:spacing w:line="520" w:lineRule="exact"/>
        <w:rPr>
          <w:rFonts w:ascii="Times New Roman" w:hAnsi="Times New Roman" w:cs="Times New Roman"/>
          <w:color w:val="auto"/>
        </w:rPr>
      </w:pPr>
      <w:r>
        <w:rPr>
          <w:rFonts w:ascii="Times New Roman" w:hAnsi="Times New Roman" w:cs="Times New Roman"/>
          <w:color w:val="auto"/>
        </w:rPr>
        <w:t>③非污染区不进行防渗处理，污染区按照不同分区要求分别设计防渗方案；</w:t>
      </w:r>
    </w:p>
    <w:p>
      <w:pPr>
        <w:spacing w:line="520" w:lineRule="exact"/>
        <w:rPr>
          <w:rFonts w:ascii="Times New Roman" w:hAnsi="Times New Roman" w:cs="Times New Roman"/>
          <w:color w:val="auto"/>
        </w:rPr>
      </w:pPr>
      <w:r>
        <w:rPr>
          <w:rFonts w:ascii="Times New Roman" w:hAnsi="Times New Roman" w:cs="Times New Roman"/>
          <w:color w:val="auto"/>
        </w:rPr>
        <w:t>④重点污染防治区参照《危险废物安全填埋处置工程建设技术要求》（国家</w:t>
      </w:r>
      <w:r>
        <w:rPr>
          <w:rFonts w:ascii="Times New Roman" w:hAnsi="Times New Roman" w:cs="Times New Roman"/>
          <w:color w:val="auto"/>
          <w:spacing w:val="-6"/>
        </w:rPr>
        <w:t>环保局2004.4.30颁布试行）和《危险废物填埋污染控制标准》制定防渗设计方案；</w:t>
      </w:r>
    </w:p>
    <w:p>
      <w:pPr>
        <w:spacing w:line="520" w:lineRule="exact"/>
        <w:rPr>
          <w:rFonts w:ascii="Times New Roman" w:hAnsi="Times New Roman" w:cs="Times New Roman"/>
          <w:color w:val="auto"/>
        </w:rPr>
      </w:pPr>
      <w:r>
        <w:rPr>
          <w:rFonts w:ascii="Times New Roman" w:hAnsi="Times New Roman" w:cs="Times New Roman"/>
          <w:color w:val="auto"/>
        </w:rPr>
        <w:t>⑤一般污染防治区参照《一般工业固体废物贮存、处置场污染控制标准》（GB18599－2001）制定防渗设计方案。</w:t>
      </w:r>
    </w:p>
    <w:p>
      <w:pPr>
        <w:spacing w:line="520" w:lineRule="exact"/>
        <w:rPr>
          <w:rFonts w:ascii="Times New Roman" w:hAnsi="Times New Roman" w:cs="Times New Roman"/>
          <w:color w:val="auto"/>
        </w:rPr>
      </w:pPr>
      <w:r>
        <w:rPr>
          <w:rFonts w:ascii="Times New Roman" w:hAnsi="Times New Roman" w:cs="Times New Roman"/>
          <w:color w:val="auto"/>
        </w:rPr>
        <w:t>⑥按照国家环保总局环函〔2006〕176号文关于“在设计上实现厂内污水管线地上化”要求，输送含有污染物的管道尽可能地上敷设，全部采用经防腐、防渗处理的无缝钢管，减少由于埋地管道泄漏而造成的地下水污染。</w:t>
      </w:r>
    </w:p>
    <w:p>
      <w:pPr>
        <w:spacing w:line="520" w:lineRule="exact"/>
        <w:rPr>
          <w:rFonts w:ascii="Times New Roman" w:hAnsi="Times New Roman" w:cs="Times New Roman"/>
          <w:color w:val="auto"/>
        </w:rPr>
      </w:pPr>
      <w:r>
        <w:rPr>
          <w:rFonts w:ascii="Times New Roman" w:hAnsi="Times New Roman" w:cs="Times New Roman"/>
          <w:color w:val="auto"/>
        </w:rPr>
        <w:t>根据项目各功能单元是否可能对地下水造成污染及其风险程度，将项目所在区域划分为重点污染防治区、一般污染防治区和非污染防治区。重点污染防治区是可能会对地下水造成污染，风险程度较高或污染物浓度较高，需要重点防治或者需要重点保护的区域，一般污染防治区是可能会对地下水造成污染，但危害性或风险程度相对较低的区域，非污染防治区为不会对地下水造成污染的区域。项目院区重点污染防治区主要包括污水站、事故池等区域。一般污染防治区主要包括医院行政办公区、餐厅等区域。</w:t>
      </w:r>
    </w:p>
    <w:p>
      <w:pPr>
        <w:pStyle w:val="35"/>
        <w:spacing w:before="0" w:after="0" w:line="520" w:lineRule="exact"/>
        <w:rPr>
          <w:rFonts w:cs="Times New Roman"/>
          <w:color w:val="auto"/>
        </w:rPr>
      </w:pPr>
      <w:r>
        <w:rPr>
          <w:rFonts w:cs="Times New Roman"/>
          <w:color w:val="auto"/>
        </w:rPr>
        <w:t>表</w:t>
      </w:r>
      <w:r>
        <w:rPr>
          <w:rFonts w:hint="eastAsia" w:cs="Times New Roman"/>
          <w:color w:val="auto"/>
        </w:rPr>
        <w:t>6.2</w:t>
      </w:r>
      <w:r>
        <w:rPr>
          <w:rFonts w:cs="Times New Roman"/>
          <w:color w:val="auto"/>
        </w:rPr>
        <w:t>-</w:t>
      </w:r>
      <w:r>
        <w:rPr>
          <w:rFonts w:hint="eastAsia" w:cs="Times New Roman"/>
          <w:color w:val="auto"/>
        </w:rPr>
        <w:t>2</w:t>
      </w:r>
      <w:r>
        <w:rPr>
          <w:rFonts w:cs="Times New Roman"/>
          <w:color w:val="auto"/>
        </w:rPr>
        <w:t xml:space="preserve">    院区分区防渗措施一览表</w:t>
      </w:r>
    </w:p>
    <w:tbl>
      <w:tblPr>
        <w:tblStyle w:val="24"/>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18"/>
        <w:gridCol w:w="1936"/>
        <w:gridCol w:w="48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2"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名称</w:t>
            </w:r>
          </w:p>
        </w:tc>
        <w:tc>
          <w:tcPr>
            <w:tcW w:w="1163"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范围</w:t>
            </w:r>
          </w:p>
        </w:tc>
        <w:tc>
          <w:tcPr>
            <w:tcW w:w="2924" w:type="pct"/>
            <w:vAlign w:val="center"/>
          </w:tcPr>
          <w:p>
            <w:pPr>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防渗要求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2"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重点防渗区</w:t>
            </w:r>
          </w:p>
        </w:tc>
        <w:tc>
          <w:tcPr>
            <w:tcW w:w="11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污水处理站</w:t>
            </w:r>
          </w:p>
        </w:tc>
        <w:tc>
          <w:tcPr>
            <w:tcW w:w="2924"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混凝土防渗，渗透系数≤10</w:t>
            </w:r>
            <w:r>
              <w:rPr>
                <w:rFonts w:ascii="Times New Roman" w:hAnsi="Times New Roman" w:cs="Times New Roman"/>
                <w:color w:val="auto"/>
                <w:sz w:val="21"/>
                <w:szCs w:val="21"/>
                <w:vertAlign w:val="superscript"/>
              </w:rPr>
              <w:t>-10</w:t>
            </w:r>
            <w:r>
              <w:rPr>
                <w:rFonts w:ascii="Times New Roman" w:hAnsi="Times New Roman" w:cs="Times New Roman"/>
                <w:color w:val="auto"/>
                <w:sz w:val="21"/>
                <w:szCs w:val="21"/>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2"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11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污水管线</w:t>
            </w:r>
          </w:p>
        </w:tc>
        <w:tc>
          <w:tcPr>
            <w:tcW w:w="2924"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2"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一般防渗区</w:t>
            </w:r>
          </w:p>
        </w:tc>
        <w:tc>
          <w:tcPr>
            <w:tcW w:w="11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行政办公区</w:t>
            </w:r>
          </w:p>
        </w:tc>
        <w:tc>
          <w:tcPr>
            <w:tcW w:w="2924" w:type="pct"/>
            <w:vMerge w:val="restar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防渗层等效黏土Mb≥1.5m，K数≤10</w:t>
            </w:r>
            <w:r>
              <w:rPr>
                <w:rFonts w:ascii="Times New Roman" w:hAnsi="Times New Roman" w:cs="Times New Roman"/>
                <w:color w:val="auto"/>
                <w:sz w:val="21"/>
                <w:szCs w:val="21"/>
                <w:vertAlign w:val="superscript"/>
              </w:rPr>
              <w:t>-7</w:t>
            </w:r>
            <w:r>
              <w:rPr>
                <w:rFonts w:ascii="Times New Roman" w:hAnsi="Times New Roman" w:cs="Times New Roman"/>
                <w:color w:val="auto"/>
                <w:sz w:val="21"/>
                <w:szCs w:val="21"/>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2"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c>
          <w:tcPr>
            <w:tcW w:w="11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食堂</w:t>
            </w:r>
          </w:p>
        </w:tc>
        <w:tc>
          <w:tcPr>
            <w:tcW w:w="2924" w:type="pct"/>
            <w:vMerge w:val="continue"/>
            <w:tcBorders>
              <w:top w:val="nil"/>
            </w:tcBorders>
            <w:vAlign w:val="center"/>
          </w:tcPr>
          <w:p>
            <w:pPr>
              <w:spacing w:line="240" w:lineRule="auto"/>
              <w:ind w:firstLine="0" w:firstLineChars="0"/>
              <w:jc w:val="center"/>
              <w:rPr>
                <w:rFonts w:ascii="Times New Roman" w:hAnsi="Times New Roman"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2"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非污染防治区</w:t>
            </w:r>
          </w:p>
        </w:tc>
        <w:tc>
          <w:tcPr>
            <w:tcW w:w="1163"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生产院区其他区域</w:t>
            </w:r>
          </w:p>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（除绿化用地外）</w:t>
            </w:r>
          </w:p>
        </w:tc>
        <w:tc>
          <w:tcPr>
            <w:tcW w:w="2924" w:type="pct"/>
            <w:vAlign w:val="center"/>
          </w:tcPr>
          <w:p>
            <w:pPr>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spacing w:line="520" w:lineRule="exact"/>
        <w:rPr>
          <w:rFonts w:ascii="Times New Roman" w:hAnsi="Times New Roman" w:cs="Times New Roman"/>
          <w:color w:val="auto"/>
        </w:rPr>
      </w:pPr>
      <w:r>
        <w:rPr>
          <w:rFonts w:ascii="Times New Roman" w:hAnsi="Times New Roman" w:cs="Times New Roman"/>
          <w:color w:val="auto"/>
        </w:rPr>
        <w:t>（3）地下水风险防范措施</w:t>
      </w:r>
    </w:p>
    <w:p>
      <w:pPr>
        <w:spacing w:line="520" w:lineRule="exact"/>
        <w:rPr>
          <w:rFonts w:ascii="Times New Roman" w:hAnsi="Times New Roman" w:cs="Times New Roman"/>
          <w:color w:val="auto"/>
        </w:rPr>
      </w:pPr>
      <w:r>
        <w:rPr>
          <w:rFonts w:ascii="Times New Roman" w:hAnsi="Times New Roman" w:cs="Times New Roman"/>
          <w:color w:val="auto"/>
        </w:rPr>
        <w:t>①加强源头控制</w:t>
      </w:r>
      <w:r>
        <w:rPr>
          <w:rFonts w:hint="eastAsia" w:ascii="Times New Roman" w:hAnsi="Times New Roman" w:cs="Times New Roman"/>
          <w:color w:val="auto"/>
          <w:lang w:eastAsia="zh-CN"/>
        </w:rPr>
        <w:t>。</w:t>
      </w:r>
      <w:r>
        <w:rPr>
          <w:rFonts w:ascii="Times New Roman" w:hAnsi="Times New Roman" w:cs="Times New Roman"/>
          <w:color w:val="auto"/>
        </w:rPr>
        <w:t>院区各类废物做到循环利用的具体方案，减少污染排放量；工艺、管道设备、污水储存及处理构筑物采取有效的污染控制措施，将污染物跑冒滴漏降到最低限。</w:t>
      </w:r>
    </w:p>
    <w:p>
      <w:pPr>
        <w:spacing w:line="520" w:lineRule="exact"/>
        <w:rPr>
          <w:rFonts w:ascii="Times New Roman" w:hAnsi="Times New Roman" w:cs="Times New Roman"/>
          <w:color w:val="auto"/>
        </w:rPr>
      </w:pPr>
      <w:r>
        <w:rPr>
          <w:rFonts w:ascii="Times New Roman" w:hAnsi="Times New Roman" w:cs="Times New Roman"/>
          <w:color w:val="auto"/>
        </w:rPr>
        <w:t>②按照《环境影响评价技术导则 地下水环境》（HJ610-2016）的要求做好分区防控，一般情况下应以水平防渗为主，对难以采取水平防渗的场地，可采用垂直防渗为主，局部水平防渗为辅的防控措施。</w:t>
      </w:r>
    </w:p>
    <w:p>
      <w:pPr>
        <w:spacing w:line="520" w:lineRule="exact"/>
        <w:rPr>
          <w:rFonts w:ascii="Times New Roman" w:hAnsi="Times New Roman" w:cs="Times New Roman"/>
          <w:color w:val="auto"/>
        </w:rPr>
      </w:pPr>
      <w:r>
        <w:rPr>
          <w:rFonts w:ascii="Times New Roman" w:hAnsi="Times New Roman" w:cs="Times New Roman"/>
          <w:color w:val="auto"/>
        </w:rPr>
        <w:t>③建立地下水环境监测管理体系，包括制定地下水环境影响跟踪计划、建立地下水环境影响跟踪监测制度、配备先进的监测仪器和设备，以便及时发现问题，采取措施。建设单位作为跟踪监测报告编制的责任主体，应制定地下水环境跟踪监测与信息公开计划，定期公开相关信息。</w:t>
      </w:r>
    </w:p>
    <w:p>
      <w:pPr>
        <w:spacing w:line="520" w:lineRule="exact"/>
        <w:rPr>
          <w:rFonts w:ascii="Times New Roman" w:hAnsi="Times New Roman" w:cs="Times New Roman"/>
          <w:color w:val="auto"/>
        </w:rPr>
      </w:pPr>
      <w:r>
        <w:rPr>
          <w:rFonts w:ascii="Times New Roman" w:hAnsi="Times New Roman" w:cs="Times New Roman"/>
          <w:color w:val="auto"/>
        </w:rPr>
        <w:t>④制定地下水污染应急响应预案，明确污染状况下应采取的控制污染源、切断污染途径等措施。</w:t>
      </w:r>
    </w:p>
    <w:p>
      <w:pPr>
        <w:spacing w:line="520" w:lineRule="exact"/>
        <w:rPr>
          <w:rFonts w:ascii="Times New Roman" w:hAnsi="Times New Roman" w:cs="Times New Roman"/>
          <w:color w:val="auto"/>
        </w:rPr>
      </w:pPr>
      <w:r>
        <w:rPr>
          <w:rFonts w:ascii="Times New Roman" w:hAnsi="Times New Roman" w:cs="Times New Roman"/>
          <w:color w:val="auto"/>
        </w:rPr>
        <w:t>⑤加强环境管理。加强院区巡检，对跑冒滴漏做到及时发现、及时控制；做好院区危废堆场等地面防渗的管理，防渗层破裂后及时补救、更换。</w:t>
      </w:r>
    </w:p>
    <w:p>
      <w:pPr>
        <w:spacing w:line="520" w:lineRule="exact"/>
        <w:rPr>
          <w:rFonts w:ascii="Times New Roman" w:hAnsi="Times New Roman" w:cs="Times New Roman"/>
          <w:color w:val="auto"/>
        </w:rPr>
      </w:pPr>
      <w:r>
        <w:rPr>
          <w:rFonts w:ascii="Times New Roman" w:hAnsi="Times New Roman" w:cs="Times New Roman"/>
          <w:color w:val="auto"/>
        </w:rPr>
        <w:t>（4）风险管理措施</w:t>
      </w:r>
    </w:p>
    <w:p>
      <w:pPr>
        <w:spacing w:line="520" w:lineRule="exact"/>
        <w:rPr>
          <w:rFonts w:ascii="Times New Roman" w:hAnsi="Times New Roman" w:cs="Times New Roman"/>
          <w:color w:val="auto"/>
        </w:rPr>
      </w:pPr>
      <w:r>
        <w:rPr>
          <w:rFonts w:ascii="Times New Roman" w:hAnsi="Times New Roman" w:cs="Times New Roman"/>
          <w:color w:val="auto"/>
        </w:rPr>
        <w:t>为使环境风险减小到最低限度，必须加强劳动安全卫生管理，制定完备、有限的安全防范措施，尽可能降低项目环境风险事故发生的概率。</w:t>
      </w:r>
    </w:p>
    <w:p>
      <w:pPr>
        <w:spacing w:line="520" w:lineRule="exact"/>
        <w:rPr>
          <w:rFonts w:ascii="Times New Roman" w:hAnsi="Times New Roman" w:cs="Times New Roman"/>
          <w:color w:val="auto"/>
        </w:rPr>
      </w:pPr>
      <w:r>
        <w:rPr>
          <w:rFonts w:ascii="Times New Roman" w:hAnsi="Times New Roman" w:cs="Times New Roman"/>
          <w:color w:val="auto"/>
        </w:rPr>
        <w:t>1）操作过程中的安全防范措施</w:t>
      </w:r>
    </w:p>
    <w:p>
      <w:pPr>
        <w:spacing w:line="520" w:lineRule="exact"/>
        <w:rPr>
          <w:rFonts w:ascii="Times New Roman" w:hAnsi="Times New Roman" w:cs="Times New Roman"/>
          <w:color w:val="auto"/>
        </w:rPr>
      </w:pPr>
      <w:r>
        <w:rPr>
          <w:rFonts w:ascii="Times New Roman" w:hAnsi="Times New Roman" w:cs="Times New Roman"/>
          <w:color w:val="auto"/>
        </w:rPr>
        <w:t>生产操作过程中，必须加强安全管理，提高事故防范措施。突发性污染事故，特别是有毒化学品的重大事故将对事故现场人员的生命和健康造成严重危害，此外还将造成直接或间接的巨大经济损失，以及造成社会不安定因素，同时对生态环境也会造成严重的破坏。因此，做好突发性环境污染事故的预防，提高对突发性污染事故的应急处理和处置能力，对单位具有重要的意义。</w:t>
      </w:r>
    </w:p>
    <w:p>
      <w:pPr>
        <w:spacing w:line="520" w:lineRule="exact"/>
        <w:rPr>
          <w:rFonts w:ascii="Times New Roman" w:hAnsi="Times New Roman" w:cs="Times New Roman"/>
          <w:color w:val="auto"/>
        </w:rPr>
      </w:pPr>
      <w:r>
        <w:rPr>
          <w:rFonts w:ascii="Times New Roman" w:hAnsi="Times New Roman" w:cs="Times New Roman"/>
          <w:color w:val="auto"/>
        </w:rPr>
        <w:t>①严格把好工程设计、施工关</w:t>
      </w:r>
    </w:p>
    <w:p>
      <w:pPr>
        <w:spacing w:line="520" w:lineRule="exact"/>
        <w:rPr>
          <w:rFonts w:ascii="Times New Roman" w:hAnsi="Times New Roman" w:cs="Times New Roman"/>
          <w:color w:val="auto"/>
        </w:rPr>
      </w:pPr>
      <w:r>
        <w:rPr>
          <w:rFonts w:ascii="Times New Roman" w:hAnsi="Times New Roman" w:cs="Times New Roman"/>
          <w:color w:val="auto"/>
        </w:rPr>
        <w:t>工程设计包括工艺设计和总图设计。只有设计合理，才能从根本上改善劳动条件，消除事故重大隐患。严格注意施工质量和设备安排，调试的质量，严格竣工验收审查。</w:t>
      </w:r>
    </w:p>
    <w:p>
      <w:pPr>
        <w:spacing w:line="520" w:lineRule="exact"/>
        <w:rPr>
          <w:rFonts w:ascii="Times New Roman" w:hAnsi="Times New Roman" w:cs="Times New Roman"/>
          <w:color w:val="auto"/>
        </w:rPr>
      </w:pPr>
      <w:r>
        <w:rPr>
          <w:rFonts w:ascii="Times New Roman" w:hAnsi="Times New Roman" w:cs="Times New Roman"/>
          <w:color w:val="auto"/>
        </w:rPr>
        <w:t>在工艺设计中应注意对特别危险及毒害严重的作业选用自动化和机械化操作或遥感操作，并注意屏蔽。对选用的设备应符合有关《生产设备安全卫生设计总则》的要求，并注意考虑职业危害治理和配套安全设施。在总图设计中应注意合理进行功能分区，并有一定的防护带和绿化带，严格符合安全规范的要求。</w:t>
      </w:r>
    </w:p>
    <w:p>
      <w:pPr>
        <w:spacing w:line="520" w:lineRule="exact"/>
        <w:rPr>
          <w:rFonts w:ascii="Times New Roman" w:hAnsi="Times New Roman" w:cs="Times New Roman"/>
          <w:color w:val="auto"/>
        </w:rPr>
      </w:pPr>
      <w:r>
        <w:rPr>
          <w:rFonts w:ascii="Times New Roman" w:hAnsi="Times New Roman" w:cs="Times New Roman"/>
          <w:color w:val="auto"/>
        </w:rPr>
        <w:t>针对本项目特点，本评价建议在设计、施工、营运阶段应考虑下列安全防范措施，以避免事故的发生。</w:t>
      </w:r>
    </w:p>
    <w:p>
      <w:pPr>
        <w:spacing w:line="520" w:lineRule="exact"/>
        <w:rPr>
          <w:rFonts w:ascii="Times New Roman" w:hAnsi="Times New Roman" w:cs="Times New Roman"/>
          <w:color w:val="auto"/>
        </w:rPr>
      </w:pPr>
      <w:r>
        <w:rPr>
          <w:rFonts w:ascii="Times New Roman" w:hAnsi="Times New Roman" w:cs="Times New Roman"/>
          <w:color w:val="auto"/>
        </w:rPr>
        <w:t>a.设计中严格执行国家、行业有关劳动安全卫生的法规和标准规范。</w:t>
      </w:r>
    </w:p>
    <w:p>
      <w:pPr>
        <w:spacing w:line="520" w:lineRule="exact"/>
        <w:rPr>
          <w:rFonts w:ascii="Times New Roman" w:hAnsi="Times New Roman" w:cs="Times New Roman"/>
          <w:color w:val="auto"/>
        </w:rPr>
      </w:pPr>
      <w:r>
        <w:rPr>
          <w:rFonts w:ascii="Times New Roman" w:hAnsi="Times New Roman" w:cs="Times New Roman"/>
          <w:color w:val="auto"/>
        </w:rPr>
        <w:t>b.厂房内设备布置严格执行国家有关防火防爆的规范、规定，设备之间保证有足够的安全距离，并按要求设计消防通道。</w:t>
      </w:r>
    </w:p>
    <w:p>
      <w:pPr>
        <w:spacing w:line="520" w:lineRule="exact"/>
        <w:rPr>
          <w:rFonts w:ascii="Times New Roman" w:hAnsi="Times New Roman" w:cs="Times New Roman"/>
          <w:color w:val="auto"/>
        </w:rPr>
      </w:pPr>
      <w:r>
        <w:rPr>
          <w:rFonts w:ascii="Times New Roman" w:hAnsi="Times New Roman" w:cs="Times New Roman"/>
          <w:color w:val="auto"/>
        </w:rPr>
        <w:t>c.尽量采用技术先进和安全可靠的设备，并按国家有关规定存车间内设置必要的安全卫生设施。</w:t>
      </w:r>
    </w:p>
    <w:p>
      <w:pPr>
        <w:spacing w:line="520" w:lineRule="exact"/>
        <w:rPr>
          <w:rFonts w:ascii="Times New Roman" w:hAnsi="Times New Roman" w:cs="Times New Roman"/>
          <w:color w:val="auto"/>
        </w:rPr>
      </w:pPr>
      <w:r>
        <w:rPr>
          <w:rFonts w:ascii="Times New Roman" w:hAnsi="Times New Roman" w:cs="Times New Roman"/>
          <w:color w:val="auto"/>
        </w:rPr>
        <w:t>d.设备、管道、管件等均采用可靠的密封技术，使储存和反应过程都在密闭的情况下进行，防止易燃易爆及有毒有害物料泄漏。</w:t>
      </w:r>
    </w:p>
    <w:p>
      <w:pPr>
        <w:spacing w:line="520" w:lineRule="exact"/>
        <w:rPr>
          <w:rFonts w:ascii="Times New Roman" w:hAnsi="Times New Roman" w:cs="Times New Roman"/>
          <w:color w:val="auto"/>
        </w:rPr>
      </w:pPr>
      <w:r>
        <w:rPr>
          <w:rFonts w:ascii="Times New Roman" w:hAnsi="Times New Roman" w:cs="Times New Roman"/>
          <w:color w:val="auto"/>
        </w:rPr>
        <w:t>e.仓库必须采取妥善的防雷措施，以防止直接雷击和雷电感应。为防止直接雷击，一般在库房周围须装设避雷针，仓库各部分必须完全位于避雷针的保护范围以内。</w:t>
      </w:r>
    </w:p>
    <w:p>
      <w:pPr>
        <w:spacing w:line="520" w:lineRule="exact"/>
        <w:rPr>
          <w:rFonts w:ascii="Times New Roman" w:hAnsi="Times New Roman" w:cs="Times New Roman"/>
          <w:color w:val="auto"/>
        </w:rPr>
      </w:pPr>
      <w:r>
        <w:rPr>
          <w:rFonts w:ascii="Times New Roman" w:hAnsi="Times New Roman" w:cs="Times New Roman"/>
          <w:color w:val="auto"/>
        </w:rPr>
        <w:t>f.对爆炸、火灾危害场所内可能产生静电危害的物体采取工业静电防范处理措施。</w:t>
      </w:r>
    </w:p>
    <w:p>
      <w:pPr>
        <w:spacing w:line="520" w:lineRule="exact"/>
        <w:rPr>
          <w:rFonts w:ascii="Times New Roman" w:hAnsi="Times New Roman" w:cs="Times New Roman"/>
          <w:color w:val="auto"/>
        </w:rPr>
      </w:pPr>
      <w:r>
        <w:rPr>
          <w:rFonts w:ascii="Times New Roman" w:hAnsi="Times New Roman" w:cs="Times New Roman"/>
          <w:color w:val="auto"/>
        </w:rPr>
        <w:t>g.在中央控制室和消防值班室设有火警专线电话，以确保紧急情况下通讯畅通。</w:t>
      </w:r>
    </w:p>
    <w:p>
      <w:pPr>
        <w:spacing w:line="520" w:lineRule="exact"/>
        <w:rPr>
          <w:rFonts w:ascii="Times New Roman" w:hAnsi="Times New Roman" w:cs="Times New Roman"/>
          <w:color w:val="auto"/>
        </w:rPr>
      </w:pPr>
      <w:r>
        <w:rPr>
          <w:rFonts w:ascii="Times New Roman" w:hAnsi="Times New Roman" w:cs="Times New Roman"/>
          <w:color w:val="auto"/>
        </w:rPr>
        <w:t>h.在生产岗位设置事故柜和急救器材、救生器防护面罩、护目镜、胶皮手套、耳塞等防护、急救用具、用品。在装置易发生毒物污染的部位，设置急救冲洗设备、洗眼器和安全淋浴喷头等设施。</w:t>
      </w:r>
    </w:p>
    <w:p>
      <w:pPr>
        <w:spacing w:line="520" w:lineRule="exact"/>
        <w:rPr>
          <w:rFonts w:ascii="Times New Roman" w:hAnsi="Times New Roman" w:cs="Times New Roman"/>
          <w:color w:val="auto"/>
        </w:rPr>
      </w:pPr>
      <w:r>
        <w:rPr>
          <w:rFonts w:ascii="Times New Roman" w:hAnsi="Times New Roman" w:cs="Times New Roman"/>
          <w:color w:val="auto"/>
        </w:rPr>
        <w:t>②提高认识、完善制度、严格检查</w:t>
      </w:r>
    </w:p>
    <w:p>
      <w:pPr>
        <w:spacing w:line="520" w:lineRule="exact"/>
        <w:rPr>
          <w:rFonts w:ascii="Times New Roman" w:hAnsi="Times New Roman" w:cs="Times New Roman"/>
          <w:color w:val="auto"/>
        </w:rPr>
      </w:pPr>
      <w:r>
        <w:rPr>
          <w:rFonts w:ascii="Times New Roman" w:hAnsi="Times New Roman" w:cs="Times New Roman"/>
          <w:color w:val="auto"/>
        </w:rPr>
        <w:t>单位领导应该提高对突发性事故的警觉和认识，作到警钟常鸣。建议单位建立安全与环保科，并由单位领导直接领导，全权负责。主要负责检查和监督全厂的安全生产和环保设施的正常运转情况。对安全和环保应建立严格的防范措施， 制定严格的管理规章制度，列出潜在危险的过程、设备等清单，严格执行设备检验和报废制度。</w:t>
      </w:r>
    </w:p>
    <w:p>
      <w:pPr>
        <w:spacing w:line="520" w:lineRule="exact"/>
        <w:rPr>
          <w:rFonts w:ascii="Times New Roman" w:hAnsi="Times New Roman" w:cs="Times New Roman"/>
          <w:color w:val="auto"/>
        </w:rPr>
      </w:pPr>
      <w:r>
        <w:rPr>
          <w:rFonts w:ascii="Times New Roman" w:hAnsi="Times New Roman" w:cs="Times New Roman"/>
          <w:color w:val="auto"/>
        </w:rPr>
        <w:t>③加强技术培训，提高职工安全意识</w:t>
      </w:r>
    </w:p>
    <w:p>
      <w:pPr>
        <w:spacing w:line="520" w:lineRule="exact"/>
        <w:rPr>
          <w:rFonts w:ascii="Times New Roman" w:hAnsi="Times New Roman" w:cs="Times New Roman"/>
          <w:color w:val="auto"/>
        </w:rPr>
      </w:pPr>
      <w:r>
        <w:rPr>
          <w:rFonts w:ascii="Times New Roman" w:hAnsi="Times New Roman" w:cs="Times New Roman"/>
          <w:color w:val="auto"/>
        </w:rPr>
        <w:t>职工安全生产的经验不足，一定程度上会增加事故发生的概率，因此加强对操作工人的安全生产和环境保护教育和管理，特别是危险岗位的操作工，必须按规定经过安全操作的技术培训，取得合格证后才能单独上岗。严格按规范操作， 任何人不得擅自改变工艺条件。</w:t>
      </w: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r>
        <w:rPr>
          <w:rFonts w:ascii="Times New Roman" w:hAnsi="Times New Roman" w:cs="Times New Roman"/>
          <w:color w:val="auto"/>
        </w:rPr>
        <w:t>④提高事故应急处理的能力</w:t>
      </w:r>
    </w:p>
    <w:p>
      <w:pPr>
        <w:spacing w:line="520" w:lineRule="exact"/>
        <w:rPr>
          <w:rFonts w:ascii="Times New Roman" w:hAnsi="Times New Roman" w:cs="Times New Roman"/>
          <w:color w:val="auto"/>
        </w:rPr>
      </w:pPr>
      <w:r>
        <w:rPr>
          <w:rFonts w:ascii="Times New Roman" w:hAnsi="Times New Roman" w:cs="Times New Roman"/>
          <w:color w:val="auto"/>
        </w:rPr>
        <w:t>单位对具有高危害设备设置保险措施，对危险车间可设置消防装置等必备设施，并辅以适当的通讯工具，定期进行安全环保宣传教育以及紧急事故模拟演习， 提高事故应变能力。</w:t>
      </w:r>
    </w:p>
    <w:p>
      <w:pPr>
        <w:spacing w:line="520" w:lineRule="exact"/>
        <w:rPr>
          <w:rFonts w:ascii="Times New Roman" w:hAnsi="Times New Roman" w:cs="Times New Roman"/>
          <w:color w:val="auto"/>
        </w:rPr>
      </w:pPr>
      <w:r>
        <w:rPr>
          <w:rFonts w:ascii="Times New Roman" w:hAnsi="Times New Roman" w:cs="Times New Roman"/>
          <w:color w:val="auto"/>
        </w:rPr>
        <w:t>2）存贮过程中的安全防范措施</w:t>
      </w:r>
    </w:p>
    <w:p>
      <w:pPr>
        <w:spacing w:line="520" w:lineRule="exact"/>
        <w:rPr>
          <w:rFonts w:ascii="Times New Roman" w:hAnsi="Times New Roman" w:cs="Times New Roman"/>
          <w:color w:val="auto"/>
        </w:rPr>
      </w:pPr>
      <w:r>
        <w:rPr>
          <w:rFonts w:ascii="Times New Roman" w:hAnsi="Times New Roman" w:cs="Times New Roman"/>
          <w:color w:val="auto"/>
        </w:rPr>
        <w:t>①在装卸物品物料前，要预先做好准备工作，了解物品性质，检查装卸搬运的工具是否牢固，不牢固的应子以更换或修理。如工具上曾被易燃物等污染的， 必须清洗后方可使用。</w:t>
      </w:r>
    </w:p>
    <w:p>
      <w:pPr>
        <w:spacing w:line="520" w:lineRule="exact"/>
        <w:rPr>
          <w:rFonts w:ascii="Times New Roman" w:hAnsi="Times New Roman" w:cs="Times New Roman"/>
          <w:color w:val="auto"/>
        </w:rPr>
      </w:pPr>
      <w:r>
        <w:rPr>
          <w:rFonts w:ascii="Times New Roman" w:hAnsi="Times New Roman" w:cs="Times New Roman"/>
          <w:color w:val="auto"/>
        </w:rPr>
        <w:t>②操作人员应根据不同物资的危险特性，分别穿戴相应的防护用具。防护用具包括工作服、橡皮围裙、橡皮袖罩、橡皮手套、长筒胶靴、滤毒口罩、纱口罩、纱手套和护目镜等。操作前应由专人检查用具是否妥善，穿戴是否合适。操作后应进行清洗或消毒，放在专用的箱柜中保管。</w:t>
      </w:r>
    </w:p>
    <w:p>
      <w:pPr>
        <w:spacing w:line="520" w:lineRule="exact"/>
        <w:rPr>
          <w:rFonts w:ascii="Times New Roman" w:hAnsi="Times New Roman" w:cs="Times New Roman"/>
          <w:color w:val="auto"/>
        </w:rPr>
      </w:pPr>
      <w:r>
        <w:rPr>
          <w:rFonts w:ascii="Times New Roman" w:hAnsi="Times New Roman" w:cs="Times New Roman"/>
          <w:color w:val="auto"/>
        </w:rPr>
        <w:t>③晚间作业应用防爆式或封闭式的安全照明。雨、雪、冰封时作业，应有防滑措施。</w:t>
      </w:r>
    </w:p>
    <w:p>
      <w:pPr>
        <w:spacing w:line="520" w:lineRule="exact"/>
        <w:rPr>
          <w:rFonts w:ascii="Times New Roman" w:hAnsi="Times New Roman" w:cs="Times New Roman"/>
          <w:color w:val="auto"/>
        </w:rPr>
      </w:pPr>
      <w:r>
        <w:rPr>
          <w:rFonts w:ascii="Times New Roman" w:hAnsi="Times New Roman" w:cs="Times New Roman"/>
          <w:color w:val="auto"/>
        </w:rPr>
        <w:t>④尽量减少人体与物品包装的接触，工作完毕后以肥皂和水清洗手脸和淋浴后方可进食饮水。对防护用具和使用工具，须经仔细洗刷。</w:t>
      </w:r>
    </w:p>
    <w:p>
      <w:pPr>
        <w:pStyle w:val="9"/>
        <w:rPr>
          <w:rFonts w:ascii="Times New Roman" w:hAnsi="Times New Roman" w:cs="Times New Roman"/>
          <w:color w:val="auto"/>
        </w:rPr>
      </w:pPr>
      <w:r>
        <w:rPr>
          <w:rFonts w:hint="eastAsia" w:ascii="Times New Roman" w:hAnsi="Times New Roman" w:cs="Times New Roman"/>
          <w:color w:val="auto"/>
        </w:rPr>
        <w:t>6</w:t>
      </w:r>
      <w:r>
        <w:rPr>
          <w:rFonts w:ascii="Times New Roman" w:hAnsi="Times New Roman" w:cs="Times New Roman"/>
          <w:color w:val="auto"/>
        </w:rPr>
        <w:t>.2.3</w:t>
      </w:r>
      <w:r>
        <w:rPr>
          <w:rFonts w:hint="eastAsia" w:ascii="Times New Roman" w:hAnsi="Times New Roman" w:cs="Times New Roman"/>
          <w:color w:val="auto"/>
        </w:rPr>
        <w:t xml:space="preserve"> </w:t>
      </w:r>
      <w:r>
        <w:rPr>
          <w:rFonts w:ascii="Times New Roman" w:hAnsi="Times New Roman" w:cs="Times New Roman"/>
          <w:color w:val="auto"/>
        </w:rPr>
        <w:t>运营期噪声防治措施及可行性论证</w:t>
      </w:r>
      <w:bookmarkEnd w:id="444"/>
    </w:p>
    <w:p>
      <w:pPr>
        <w:spacing w:line="520" w:lineRule="exact"/>
        <w:rPr>
          <w:rFonts w:ascii="Times New Roman" w:hAnsi="Times New Roman" w:cs="Times New Roman"/>
          <w:color w:val="auto"/>
        </w:rPr>
      </w:pPr>
      <w:r>
        <w:rPr>
          <w:rFonts w:ascii="Times New Roman" w:hAnsi="Times New Roman" w:cs="Times New Roman"/>
          <w:color w:val="auto"/>
        </w:rPr>
        <w:t>医院作为特殊环境保护目标，一方面，其运营时水泵、空调外机等设备，将排放一定强度噪声，造成周围及其自身环境影响；另一方面，医院患者正常诊疗、休息又要求保持相对安静的环境。</w:t>
      </w:r>
    </w:p>
    <w:p>
      <w:pPr>
        <w:spacing w:line="520" w:lineRule="exact"/>
        <w:rPr>
          <w:rFonts w:ascii="Times New Roman" w:hAnsi="Times New Roman" w:cs="Times New Roman"/>
          <w:color w:val="auto"/>
        </w:rPr>
      </w:pPr>
      <w:r>
        <w:rPr>
          <w:rFonts w:ascii="Times New Roman" w:hAnsi="Times New Roman" w:cs="Times New Roman"/>
          <w:color w:val="auto"/>
        </w:rPr>
        <w:t>由工程分析可知，该项目噪声主要来源于水泵等设备运转时产生的噪声，为防止噪声源对周围环境及医院内部声环境产生影响，本评价就主要噪声源治理提出以下防治措施：</w:t>
      </w:r>
    </w:p>
    <w:p>
      <w:pPr>
        <w:spacing w:line="520" w:lineRule="exact"/>
        <w:rPr>
          <w:rFonts w:ascii="Times New Roman" w:hAnsi="Times New Roman" w:cs="Times New Roman"/>
          <w:color w:val="auto"/>
        </w:rPr>
      </w:pPr>
      <w:r>
        <w:rPr>
          <w:rFonts w:ascii="Times New Roman" w:hAnsi="Times New Roman" w:cs="Times New Roman"/>
          <w:color w:val="auto"/>
        </w:rPr>
        <w:t>（1）为减轻设备噪声对环境的影响，对噪声较大的设备，建议在设计和设备的采购阶段，选用先进的低噪声设备，从而从声源上降低设备本身的噪声；</w:t>
      </w:r>
    </w:p>
    <w:p>
      <w:pPr>
        <w:spacing w:line="520" w:lineRule="exact"/>
        <w:rPr>
          <w:rFonts w:ascii="Times New Roman" w:hAnsi="Times New Roman" w:cs="Times New Roman"/>
          <w:color w:val="auto"/>
        </w:rPr>
      </w:pPr>
      <w:r>
        <w:rPr>
          <w:rFonts w:ascii="Times New Roman" w:hAnsi="Times New Roman" w:cs="Times New Roman"/>
          <w:color w:val="auto"/>
        </w:rPr>
        <w:t>（2）合理布局高噪声设备，安装要尽量远离病房及院界；</w:t>
      </w:r>
    </w:p>
    <w:p>
      <w:pPr>
        <w:spacing w:line="520" w:lineRule="exact"/>
        <w:rPr>
          <w:rFonts w:ascii="Times New Roman" w:hAnsi="Times New Roman" w:cs="Times New Roman"/>
          <w:color w:val="auto"/>
        </w:rPr>
      </w:pPr>
      <w:r>
        <w:rPr>
          <w:rFonts w:ascii="Times New Roman" w:hAnsi="Times New Roman" w:cs="Times New Roman"/>
          <w:color w:val="auto"/>
        </w:rPr>
        <w:t>（3）对主要噪声源采取一定的隔声降噪措施，采取有效减振和消声等措施，同时提高医院门窗的密封性，尽量降低噪声源强；</w:t>
      </w:r>
    </w:p>
    <w:p>
      <w:pPr>
        <w:spacing w:line="520" w:lineRule="exact"/>
        <w:rPr>
          <w:rFonts w:ascii="Times New Roman" w:hAnsi="Times New Roman" w:cs="Times New Roman"/>
          <w:color w:val="auto"/>
        </w:rPr>
      </w:pPr>
      <w:r>
        <w:rPr>
          <w:rFonts w:ascii="Times New Roman" w:hAnsi="Times New Roman" w:cs="Times New Roman"/>
          <w:color w:val="auto"/>
        </w:rPr>
        <w:t>（4）为降低医院周围交通噪声和医院就医人群活动噪声对医院内部声环境的影响，要求医院内部布局合理，并采取绿化等措施；</w:t>
      </w:r>
    </w:p>
    <w:p>
      <w:pPr>
        <w:spacing w:line="520" w:lineRule="exact"/>
        <w:rPr>
          <w:rFonts w:ascii="Times New Roman" w:hAnsi="Times New Roman" w:cs="Times New Roman"/>
          <w:color w:val="auto"/>
        </w:rPr>
      </w:pPr>
      <w:r>
        <w:rPr>
          <w:rFonts w:ascii="Times New Roman" w:hAnsi="Times New Roman" w:cs="Times New Roman"/>
          <w:color w:val="auto"/>
        </w:rPr>
        <w:t>（5）医院对求诊病人进行正确的督导，严格限制探访时间，禁止大声喧哗，确保医院噪声强度在正常的范围内。</w:t>
      </w:r>
    </w:p>
    <w:p>
      <w:pPr>
        <w:spacing w:line="520" w:lineRule="exact"/>
        <w:rPr>
          <w:rFonts w:ascii="Times New Roman" w:hAnsi="Times New Roman" w:cs="Times New Roman"/>
          <w:color w:val="auto"/>
        </w:rPr>
      </w:pPr>
      <w:r>
        <w:rPr>
          <w:rFonts w:ascii="Times New Roman" w:hAnsi="Times New Roman" w:cs="Times New Roman"/>
          <w:color w:val="auto"/>
        </w:rPr>
        <w:t>对各类噪声源采取上述噪声防治措施后，估计可降低噪声源强15～25dB（A），不会降低周围现状声环境质量。</w:t>
      </w:r>
    </w:p>
    <w:p>
      <w:pPr>
        <w:pStyle w:val="9"/>
        <w:rPr>
          <w:rFonts w:ascii="Times New Roman" w:hAnsi="Times New Roman" w:cs="Times New Roman"/>
          <w:color w:val="auto"/>
        </w:rPr>
      </w:pPr>
      <w:bookmarkStart w:id="445" w:name="_Toc32072"/>
      <w:r>
        <w:rPr>
          <w:rFonts w:hint="eastAsia" w:ascii="Times New Roman" w:hAnsi="Times New Roman" w:cs="Times New Roman"/>
          <w:color w:val="auto"/>
        </w:rPr>
        <w:t>6</w:t>
      </w:r>
      <w:r>
        <w:rPr>
          <w:rFonts w:ascii="Times New Roman" w:hAnsi="Times New Roman" w:cs="Times New Roman"/>
          <w:color w:val="auto"/>
        </w:rPr>
        <w:t>.2.4</w:t>
      </w:r>
      <w:r>
        <w:rPr>
          <w:rFonts w:hint="eastAsia" w:ascii="Times New Roman" w:hAnsi="Times New Roman" w:cs="Times New Roman"/>
          <w:color w:val="auto"/>
        </w:rPr>
        <w:t xml:space="preserve"> </w:t>
      </w:r>
      <w:r>
        <w:rPr>
          <w:rFonts w:ascii="Times New Roman" w:hAnsi="Times New Roman" w:cs="Times New Roman"/>
          <w:color w:val="auto"/>
        </w:rPr>
        <w:t>运营期固废防治措施及可行性论证</w:t>
      </w:r>
      <w:bookmarkEnd w:id="445"/>
    </w:p>
    <w:p>
      <w:pPr>
        <w:spacing w:line="520" w:lineRule="exact"/>
        <w:ind w:firstLine="456"/>
        <w:rPr>
          <w:rFonts w:ascii="Times New Roman" w:hAnsi="Times New Roman" w:cs="Times New Roman"/>
          <w:color w:val="auto"/>
        </w:rPr>
      </w:pPr>
      <w:r>
        <w:rPr>
          <w:rFonts w:ascii="Times New Roman" w:hAnsi="Times New Roman" w:cs="Times New Roman"/>
          <w:color w:val="auto"/>
          <w:spacing w:val="-6"/>
        </w:rPr>
        <w:t>本项目固体废物来源主要包括医疗废物、污水处理设施污泥和非病区生活垃圾。</w:t>
      </w:r>
    </w:p>
    <w:p>
      <w:pPr>
        <w:spacing w:line="520" w:lineRule="exact"/>
        <w:rPr>
          <w:rFonts w:ascii="Times New Roman" w:hAnsi="Times New Roman" w:cs="Times New Roman"/>
          <w:color w:val="auto"/>
        </w:rPr>
      </w:pPr>
      <w:r>
        <w:rPr>
          <w:rFonts w:ascii="Times New Roman" w:hAnsi="Times New Roman" w:cs="Times New Roman"/>
          <w:color w:val="auto"/>
        </w:rPr>
        <w:t>（1）医疗废物</w:t>
      </w:r>
    </w:p>
    <w:p>
      <w:pPr>
        <w:spacing w:line="520" w:lineRule="exact"/>
        <w:rPr>
          <w:rFonts w:ascii="Times New Roman" w:hAnsi="Times New Roman" w:cs="Times New Roman"/>
          <w:color w:val="auto"/>
        </w:rPr>
      </w:pPr>
      <w:r>
        <w:rPr>
          <w:rFonts w:ascii="Times New Roman" w:hAnsi="Times New Roman" w:cs="Times New Roman"/>
          <w:color w:val="auto"/>
        </w:rPr>
        <w:t>处理过程包括分类及收集、院内运送、临时贮存和最终处置等过程：</w:t>
      </w:r>
    </w:p>
    <w:p>
      <w:pPr>
        <w:spacing w:line="520" w:lineRule="exact"/>
        <w:rPr>
          <w:rFonts w:ascii="Times New Roman" w:hAnsi="Times New Roman" w:cs="Times New Roman"/>
          <w:color w:val="auto"/>
        </w:rPr>
      </w:pPr>
      <w:r>
        <w:rPr>
          <w:rFonts w:ascii="Times New Roman" w:hAnsi="Times New Roman" w:cs="Times New Roman"/>
          <w:color w:val="auto"/>
        </w:rPr>
        <w:t>分类及收集→院内输送→临时存放→运输→最终处置</w:t>
      </w:r>
    </w:p>
    <w:p>
      <w:pPr>
        <w:spacing w:line="520" w:lineRule="exact"/>
        <w:rPr>
          <w:rFonts w:ascii="Times New Roman" w:hAnsi="Times New Roman" w:cs="Times New Roman"/>
          <w:color w:val="auto"/>
        </w:rPr>
      </w:pPr>
      <w:r>
        <w:rPr>
          <w:rFonts w:ascii="Times New Roman" w:hAnsi="Times New Roman" w:cs="Times New Roman"/>
          <w:color w:val="auto"/>
        </w:rPr>
        <w:t>按照《医疗卫生机构医疗废物管理办法》（中华人民共和国卫生部令第36号）、《医疗废物管理条例》，《医疗废物集中处置技术规范（试行）》、《医疗废物专用包装物、容器标准和警示标识规范》、《医疗废物转运车技术要求（试行）》（GB19217-2003）等相关规范，本次环评要求对项目医疗废物的处理过程中的不同环节提出如下措施：</w:t>
      </w:r>
    </w:p>
    <w:p>
      <w:pPr>
        <w:spacing w:line="520" w:lineRule="exact"/>
        <w:rPr>
          <w:rFonts w:ascii="Times New Roman" w:hAnsi="Times New Roman" w:cs="Times New Roman"/>
          <w:color w:val="auto"/>
        </w:rPr>
      </w:pPr>
      <w:r>
        <w:rPr>
          <w:rFonts w:ascii="Times New Roman" w:hAnsi="Times New Roman" w:cs="Times New Roman"/>
          <w:color w:val="auto"/>
        </w:rPr>
        <w:t>1）分类及收集</w:t>
      </w:r>
    </w:p>
    <w:p>
      <w:pPr>
        <w:spacing w:line="520" w:lineRule="exact"/>
        <w:rPr>
          <w:rFonts w:ascii="Times New Roman" w:hAnsi="Times New Roman" w:cs="Times New Roman"/>
          <w:color w:val="auto"/>
        </w:rPr>
      </w:pPr>
      <w:r>
        <w:rPr>
          <w:rFonts w:ascii="Times New Roman" w:hAnsi="Times New Roman" w:cs="Times New Roman"/>
          <w:color w:val="auto"/>
        </w:rPr>
        <w:t>①严格区分医疗废物和生活垃圾，对医疗废物必须按照卫生部和国家环境保护总局制定的《医疗废物分类目录》进行分类收集，并及时浸泡、消毒；</w:t>
      </w:r>
    </w:p>
    <w:p>
      <w:pPr>
        <w:spacing w:line="520" w:lineRule="exact"/>
        <w:rPr>
          <w:rFonts w:ascii="Times New Roman" w:hAnsi="Times New Roman" w:cs="Times New Roman"/>
          <w:color w:val="auto"/>
        </w:rPr>
      </w:pPr>
      <w:r>
        <w:rPr>
          <w:rFonts w:ascii="Times New Roman" w:hAnsi="Times New Roman" w:cs="Times New Roman"/>
          <w:color w:val="auto"/>
        </w:rPr>
        <w:t>②根据医疗废物的类别，将医疗废物分置于符合《医疗废物专用包装物、容器的标准和警示标识的规定》的包装物或者容器内。专用医疗废物袋颜色为黄色，印有盛装医疗废物的文字说明和医疗废物警示标识，装满3/4后就应由专人密封清运至医院内的医疗垃圾垃圾收集点。废物袋口可用带子扎紧，禁止使用订书机之类的简易封口方式。</w:t>
      </w:r>
    </w:p>
    <w:p>
      <w:pPr>
        <w:spacing w:line="520" w:lineRule="exact"/>
        <w:rPr>
          <w:rFonts w:ascii="Times New Roman" w:hAnsi="Times New Roman" w:cs="Times New Roman"/>
          <w:color w:val="auto"/>
        </w:rPr>
      </w:pPr>
      <w:r>
        <w:rPr>
          <w:rFonts w:ascii="Times New Roman" w:hAnsi="Times New Roman" w:cs="Times New Roman"/>
          <w:color w:val="auto"/>
        </w:rPr>
        <w:t>③在盛装医疗废物前，应当对医疗废物包装物或者容器进行认真检查，确保无破损、渗漏和其它缺陷；</w:t>
      </w:r>
    </w:p>
    <w:p>
      <w:pPr>
        <w:spacing w:line="520" w:lineRule="exact"/>
        <w:ind w:firstLine="456"/>
        <w:rPr>
          <w:rFonts w:ascii="Times New Roman" w:hAnsi="Times New Roman" w:cs="Times New Roman"/>
          <w:color w:val="auto"/>
        </w:rPr>
      </w:pPr>
      <w:r>
        <w:rPr>
          <w:rFonts w:ascii="Times New Roman" w:hAnsi="Times New Roman" w:cs="Times New Roman"/>
          <w:color w:val="auto"/>
          <w:spacing w:val="-6"/>
        </w:rPr>
        <w:t>④容器要求有盖，并做好明显的标识，防止转运人员被锐器划伤引起疾病感染。</w:t>
      </w:r>
    </w:p>
    <w:p>
      <w:pPr>
        <w:spacing w:line="520" w:lineRule="exact"/>
        <w:rPr>
          <w:rFonts w:ascii="Times New Roman" w:hAnsi="Times New Roman" w:cs="Times New Roman"/>
          <w:color w:val="auto"/>
        </w:rPr>
      </w:pPr>
      <w:r>
        <w:rPr>
          <w:rFonts w:ascii="Times New Roman" w:hAnsi="Times New Roman" w:cs="Times New Roman"/>
          <w:color w:val="auto"/>
        </w:rPr>
        <w:t>⑤感染性废物、病理性废物、损伤性废物、药物性废物及化学性废物不能混合收集。少量的药物性废物可以混入感染性废物，但应当在标签上注明。</w:t>
      </w:r>
    </w:p>
    <w:p>
      <w:pPr>
        <w:spacing w:line="520" w:lineRule="exact"/>
        <w:rPr>
          <w:rFonts w:ascii="Times New Roman" w:hAnsi="Times New Roman" w:cs="Times New Roman"/>
          <w:color w:val="auto"/>
        </w:rPr>
      </w:pPr>
      <w:r>
        <w:rPr>
          <w:rFonts w:ascii="Times New Roman" w:hAnsi="Times New Roman" w:cs="Times New Roman"/>
          <w:color w:val="auto"/>
        </w:rPr>
        <w:t>2）院内运输</w:t>
      </w:r>
    </w:p>
    <w:p>
      <w:pPr>
        <w:spacing w:line="520" w:lineRule="exact"/>
        <w:rPr>
          <w:rFonts w:ascii="Times New Roman" w:hAnsi="Times New Roman" w:cs="Times New Roman"/>
          <w:color w:val="auto"/>
        </w:rPr>
      </w:pPr>
      <w:r>
        <w:rPr>
          <w:rFonts w:ascii="Times New Roman" w:hAnsi="Times New Roman" w:cs="Times New Roman"/>
          <w:color w:val="auto"/>
        </w:rPr>
        <w:t>项目应对医疗废物收集后，按照相关规范将医疗废物运送至医院内医疗垃圾收集点，期间：</w:t>
      </w:r>
    </w:p>
    <w:p>
      <w:pPr>
        <w:spacing w:line="520" w:lineRule="exact"/>
        <w:rPr>
          <w:rFonts w:ascii="Times New Roman" w:hAnsi="Times New Roman" w:cs="Times New Roman"/>
          <w:color w:val="auto"/>
        </w:rPr>
      </w:pPr>
      <w:r>
        <w:rPr>
          <w:rFonts w:ascii="Times New Roman" w:hAnsi="Times New Roman" w:cs="Times New Roman"/>
          <w:color w:val="auto"/>
        </w:rPr>
        <w:t>①应在病区与医疗垃圾收集点之间设计规定转运路径，以缩短废物通过的路线，同时严格按照规定时间运送废物，避免人员高峰期运送。</w:t>
      </w:r>
    </w:p>
    <w:p>
      <w:pPr>
        <w:spacing w:line="520" w:lineRule="exact"/>
        <w:rPr>
          <w:rFonts w:ascii="Times New Roman" w:hAnsi="Times New Roman" w:cs="Times New Roman"/>
          <w:color w:val="auto"/>
        </w:rPr>
      </w:pPr>
      <w:r>
        <w:rPr>
          <w:rFonts w:ascii="Times New Roman" w:hAnsi="Times New Roman" w:cs="Times New Roman"/>
          <w:color w:val="auto"/>
        </w:rPr>
        <w:t>②运送人员在运送医疗废物前，应当检查包装物或者容器的标识、标签及封口是否符合要求，以防运送过程中废物泄露。</w:t>
      </w:r>
    </w:p>
    <w:p>
      <w:pPr>
        <w:spacing w:line="520" w:lineRule="exact"/>
        <w:rPr>
          <w:rFonts w:ascii="Times New Roman" w:hAnsi="Times New Roman" w:cs="Times New Roman"/>
          <w:color w:val="auto"/>
        </w:rPr>
      </w:pPr>
      <w:r>
        <w:rPr>
          <w:rFonts w:ascii="Times New Roman" w:hAnsi="Times New Roman" w:cs="Times New Roman"/>
          <w:color w:val="auto"/>
        </w:rPr>
        <w:t>③运送人员在运送医疗废物时，运送医疗废物应当使用防渗漏、防遗撒、无锐利边角、易于装卸和清洁的专用运送工具，防止医疗废物直接接触身体。同时每天运送工作结束后，应当对运送工具及时进行清洁和消毒。</w:t>
      </w:r>
    </w:p>
    <w:p>
      <w:pPr>
        <w:spacing w:line="520" w:lineRule="exact"/>
        <w:rPr>
          <w:rFonts w:ascii="Times New Roman" w:hAnsi="Times New Roman" w:cs="Times New Roman"/>
          <w:color w:val="auto"/>
        </w:rPr>
      </w:pPr>
      <w:r>
        <w:rPr>
          <w:rFonts w:ascii="Times New Roman" w:hAnsi="Times New Roman" w:cs="Times New Roman"/>
          <w:color w:val="auto"/>
        </w:rPr>
        <w:t>3）临时贮存</w:t>
      </w:r>
    </w:p>
    <w:p>
      <w:pPr>
        <w:spacing w:line="520" w:lineRule="exact"/>
        <w:rPr>
          <w:rFonts w:ascii="Times New Roman" w:hAnsi="Times New Roman" w:cs="Times New Roman"/>
          <w:color w:val="auto"/>
        </w:rPr>
      </w:pPr>
      <w:r>
        <w:rPr>
          <w:rFonts w:ascii="Times New Roman" w:hAnsi="Times New Roman" w:cs="Times New Roman"/>
          <w:color w:val="auto"/>
        </w:rPr>
        <w:t>项目设专门的医疗废物垃圾收集点，收集点应满足如下要求：</w:t>
      </w:r>
    </w:p>
    <w:p>
      <w:pPr>
        <w:spacing w:line="520" w:lineRule="exact"/>
        <w:rPr>
          <w:rFonts w:ascii="Times New Roman" w:hAnsi="Times New Roman" w:cs="Times New Roman"/>
          <w:color w:val="auto"/>
        </w:rPr>
      </w:pPr>
      <w:r>
        <w:rPr>
          <w:rFonts w:ascii="Times New Roman" w:hAnsi="Times New Roman" w:cs="Times New Roman"/>
          <w:color w:val="auto"/>
        </w:rPr>
        <w:t>①医疗废物垃圾收集点要求有遮盖措施，树立了明确的标示牌，远离人员活动区。以方便医疗废物的装卸、装卸人员及运送车辆的出入；</w:t>
      </w:r>
    </w:p>
    <w:p>
      <w:pPr>
        <w:spacing w:line="520" w:lineRule="exact"/>
        <w:rPr>
          <w:rFonts w:ascii="Times New Roman" w:hAnsi="Times New Roman" w:cs="Times New Roman"/>
          <w:color w:val="auto"/>
        </w:rPr>
      </w:pPr>
      <w:r>
        <w:rPr>
          <w:rFonts w:ascii="Times New Roman" w:hAnsi="Times New Roman" w:cs="Times New Roman"/>
          <w:color w:val="auto"/>
        </w:rPr>
        <w:t>②应有严密的封闭措施，实施封闭管理，避免非管理人员出入；</w:t>
      </w:r>
    </w:p>
    <w:p>
      <w:pPr>
        <w:spacing w:line="520" w:lineRule="exact"/>
        <w:rPr>
          <w:rFonts w:ascii="Times New Roman" w:hAnsi="Times New Roman" w:cs="Times New Roman"/>
          <w:color w:val="auto"/>
        </w:rPr>
      </w:pPr>
      <w:r>
        <w:rPr>
          <w:rFonts w:ascii="Times New Roman" w:hAnsi="Times New Roman" w:cs="Times New Roman"/>
          <w:color w:val="auto"/>
        </w:rPr>
        <w:t>③应做好临时贮存间的防渗措施，保证地面良好的排水性能，产生的废水应采用管道直接排入医院内的污水处理站消毒、处理，禁止将产生的废水直接排入外环境；</w:t>
      </w:r>
    </w:p>
    <w:p>
      <w:pPr>
        <w:spacing w:line="520" w:lineRule="exact"/>
        <w:rPr>
          <w:rFonts w:ascii="Times New Roman" w:hAnsi="Times New Roman" w:cs="Times New Roman"/>
          <w:color w:val="auto"/>
        </w:rPr>
      </w:pPr>
      <w:r>
        <w:rPr>
          <w:rFonts w:ascii="Times New Roman" w:hAnsi="Times New Roman" w:cs="Times New Roman"/>
          <w:color w:val="auto"/>
        </w:rPr>
        <w:t>④存放地应有冲洗消毒设施，有足够的容量，至少应达到正常存放量的3倍以上，暂时贮存的时间不得超过2天；</w:t>
      </w:r>
    </w:p>
    <w:p>
      <w:pPr>
        <w:spacing w:line="520" w:lineRule="exact"/>
        <w:rPr>
          <w:rFonts w:ascii="Times New Roman" w:hAnsi="Times New Roman" w:cs="Times New Roman"/>
          <w:color w:val="auto"/>
        </w:rPr>
      </w:pPr>
      <w:r>
        <w:rPr>
          <w:rFonts w:ascii="Times New Roman" w:hAnsi="Times New Roman" w:cs="Times New Roman"/>
          <w:color w:val="auto"/>
        </w:rPr>
        <w:t>⑤医疗垃圾收集点内周转箱整体应为硬制材料，防液体渗漏，可一次性或多次重复使用，多次重复使用的周转箱（桶）应能被快速消毒或清洗，周转箱（桶）整体为黄色，外表面应印（喷）制医疗废物警示标识和文字说明。</w:t>
      </w:r>
    </w:p>
    <w:p>
      <w:pPr>
        <w:spacing w:line="520" w:lineRule="exact"/>
        <w:rPr>
          <w:rFonts w:ascii="Times New Roman" w:hAnsi="Times New Roman" w:cs="Times New Roman"/>
          <w:color w:val="auto"/>
        </w:rPr>
      </w:pPr>
      <w:r>
        <w:rPr>
          <w:rFonts w:ascii="Times New Roman" w:hAnsi="Times New Roman" w:cs="Times New Roman"/>
          <w:color w:val="auto"/>
        </w:rPr>
        <w:t>医疗废物暂存间的建设标准：</w:t>
      </w:r>
    </w:p>
    <w:p>
      <w:pPr>
        <w:spacing w:line="520" w:lineRule="exact"/>
        <w:rPr>
          <w:rFonts w:ascii="Times New Roman" w:hAnsi="Times New Roman" w:cs="Times New Roman"/>
          <w:color w:val="auto"/>
        </w:rPr>
      </w:pPr>
      <w:r>
        <w:rPr>
          <w:rFonts w:ascii="Times New Roman" w:hAnsi="Times New Roman" w:cs="Times New Roman"/>
          <w:color w:val="auto"/>
        </w:rPr>
        <w:t>①要求为专用房屋（房间），远离医疗区、人员活动区；</w:t>
      </w:r>
    </w:p>
    <w:p>
      <w:pPr>
        <w:spacing w:line="520" w:lineRule="exact"/>
        <w:rPr>
          <w:rFonts w:ascii="Times New Roman" w:hAnsi="Times New Roman" w:cs="Times New Roman"/>
          <w:color w:val="auto"/>
        </w:rPr>
      </w:pPr>
      <w:r>
        <w:rPr>
          <w:rFonts w:ascii="Times New Roman" w:hAnsi="Times New Roman" w:cs="Times New Roman"/>
          <w:color w:val="auto"/>
        </w:rPr>
        <w:t>②实行严密和封闭措施，防止渗漏、避免阳光直射，做到防鼠、防蚊蝇、防蟑螂；</w:t>
      </w:r>
    </w:p>
    <w:p>
      <w:pPr>
        <w:spacing w:line="520" w:lineRule="exact"/>
        <w:rPr>
          <w:rFonts w:ascii="Times New Roman" w:hAnsi="Times New Roman" w:cs="Times New Roman"/>
          <w:color w:val="auto"/>
        </w:rPr>
      </w:pPr>
      <w:r>
        <w:rPr>
          <w:rFonts w:ascii="Times New Roman" w:hAnsi="Times New Roman" w:cs="Times New Roman"/>
          <w:color w:val="auto"/>
        </w:rPr>
        <w:t>③暂存间要求设有“医疗废物暂存处”标识及禁止吸烟标志；室内悬挂相关工作制度；</w:t>
      </w:r>
    </w:p>
    <w:p>
      <w:pPr>
        <w:spacing w:line="520" w:lineRule="exact"/>
        <w:rPr>
          <w:rFonts w:ascii="Times New Roman" w:hAnsi="Times New Roman" w:cs="Times New Roman"/>
          <w:color w:val="auto"/>
        </w:rPr>
      </w:pPr>
      <w:r>
        <w:rPr>
          <w:rFonts w:ascii="Times New Roman" w:hAnsi="Times New Roman" w:cs="Times New Roman"/>
          <w:color w:val="auto"/>
        </w:rPr>
        <w:t>④由专人进行管理，防止非工作人员接触医疗废物及杜绝医疗废物的流失；</w:t>
      </w:r>
    </w:p>
    <w:p>
      <w:pPr>
        <w:spacing w:line="520" w:lineRule="exact"/>
        <w:rPr>
          <w:rFonts w:ascii="Times New Roman" w:hAnsi="Times New Roman" w:cs="Times New Roman"/>
          <w:color w:val="auto"/>
        </w:rPr>
      </w:pPr>
      <w:r>
        <w:rPr>
          <w:rFonts w:ascii="Times New Roman" w:hAnsi="Times New Roman" w:cs="Times New Roman"/>
          <w:color w:val="auto"/>
        </w:rPr>
        <w:t>⑤配备“医疗废物暂存箱”等容器。</w:t>
      </w:r>
    </w:p>
    <w:p>
      <w:pPr>
        <w:spacing w:line="520" w:lineRule="exact"/>
        <w:rPr>
          <w:rFonts w:ascii="Times New Roman" w:hAnsi="Times New Roman" w:cs="Times New Roman"/>
          <w:color w:val="auto"/>
        </w:rPr>
      </w:pPr>
      <w:r>
        <w:rPr>
          <w:rFonts w:ascii="Times New Roman" w:hAnsi="Times New Roman" w:cs="Times New Roman"/>
          <w:color w:val="auto"/>
        </w:rPr>
        <w:t>4）医疗废物交接</w:t>
      </w:r>
    </w:p>
    <w:p>
      <w:pPr>
        <w:spacing w:line="520" w:lineRule="exact"/>
        <w:rPr>
          <w:rFonts w:ascii="Times New Roman" w:hAnsi="Times New Roman" w:cs="Times New Roman"/>
          <w:color w:val="auto"/>
        </w:rPr>
      </w:pPr>
      <w:r>
        <w:rPr>
          <w:rFonts w:ascii="Times New Roman" w:hAnsi="Times New Roman" w:cs="Times New Roman"/>
          <w:color w:val="auto"/>
        </w:rPr>
        <w:t>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w:t>
      </w:r>
    </w:p>
    <w:p>
      <w:pPr>
        <w:spacing w:line="520" w:lineRule="exact"/>
        <w:rPr>
          <w:rFonts w:ascii="Times New Roman" w:hAnsi="Times New Roman" w:cs="Times New Roman"/>
          <w:color w:val="auto"/>
        </w:rPr>
      </w:pPr>
      <w:r>
        <w:rPr>
          <w:rFonts w:ascii="Times New Roman" w:hAnsi="Times New Roman" w:cs="Times New Roman"/>
          <w:color w:val="auto"/>
        </w:rPr>
        <w:t>医疗卫生机构交予处置的废物采用危险废物转移联单管理昌吉州生态环境局吉木萨尔县分局对医疗废物转移计划进行审批。转移计划批准后，医疗废物产生单位和处置单位的日常医疗废物交接可采用简化的《危险废物转移联单》（医疗废物专用）。在医疗卫生机构、处置单位及运送方式变化后，应对医疗废物转移计划进行重新审批。</w:t>
      </w:r>
    </w:p>
    <w:p>
      <w:pPr>
        <w:spacing w:line="520" w:lineRule="exact"/>
        <w:rPr>
          <w:rFonts w:ascii="Times New Roman" w:hAnsi="Times New Roman" w:cs="Times New Roman"/>
          <w:color w:val="auto"/>
        </w:rPr>
      </w:pPr>
      <w:r>
        <w:rPr>
          <w:rFonts w:ascii="Times New Roman" w:hAnsi="Times New Roman" w:cs="Times New Roman"/>
          <w:color w:val="auto"/>
        </w:rPr>
        <w:t>5）医疗废物的运输</w:t>
      </w:r>
    </w:p>
    <w:p>
      <w:pPr>
        <w:spacing w:line="520" w:lineRule="exact"/>
        <w:rPr>
          <w:rFonts w:ascii="Times New Roman" w:hAnsi="Times New Roman" w:cs="Times New Roman"/>
          <w:color w:val="auto"/>
        </w:rPr>
      </w:pPr>
      <w:r>
        <w:rPr>
          <w:rFonts w:ascii="Times New Roman" w:hAnsi="Times New Roman" w:cs="Times New Roman"/>
          <w:color w:val="auto"/>
        </w:rPr>
        <w:t>医疗废物运送应当使用专用车辆。车辆厢体应与驾驶室分离并密闭；厢体应达到气密性要求，内壁光滑干整，易于清洗消毒；厢体材料防水、耐腐蚀；厢体底部防液体渗漏，并设清洗污水的排水收集装置。运送车辆应符合《医疗废物转运车技术要求》（GBl9217-2003）要求。</w:t>
      </w:r>
    </w:p>
    <w:p>
      <w:pPr>
        <w:spacing w:line="520" w:lineRule="exact"/>
        <w:rPr>
          <w:rFonts w:ascii="Times New Roman" w:hAnsi="Times New Roman" w:cs="Times New Roman"/>
          <w:color w:val="auto"/>
        </w:rPr>
      </w:pPr>
      <w:r>
        <w:rPr>
          <w:rFonts w:ascii="Times New Roman" w:hAnsi="Times New Roman" w:cs="Times New Roman"/>
          <w:color w:val="auto"/>
        </w:rPr>
        <w:t>运送车辆应配备：本规范文本、《危险废物转移联单》（医疗废物专用）、《医疗废物运送登记卡》、运送路线图、通讯设备、医疗废物产生单位及其管理人员名单与电话号码、事故应急预案及联络单位和人员的名单、电话号码、收集医疗废物的工具、消毒器具与药品、备用的医疗废物专用袋和利器盒、备用的人员防护用品。</w:t>
      </w:r>
    </w:p>
    <w:p>
      <w:pPr>
        <w:spacing w:line="520" w:lineRule="exact"/>
        <w:rPr>
          <w:rFonts w:ascii="Times New Roman" w:hAnsi="Times New Roman" w:cs="Times New Roman"/>
          <w:color w:val="auto"/>
        </w:rPr>
      </w:pPr>
      <w:r>
        <w:rPr>
          <w:rFonts w:ascii="Times New Roman" w:hAnsi="Times New Roman" w:cs="Times New Roman"/>
          <w:color w:val="auto"/>
        </w:rPr>
        <w:t>6）最终处置</w:t>
      </w:r>
    </w:p>
    <w:p>
      <w:pPr>
        <w:spacing w:line="520" w:lineRule="exact"/>
        <w:rPr>
          <w:rFonts w:ascii="Times New Roman" w:hAnsi="Times New Roman" w:cs="Times New Roman"/>
          <w:color w:val="auto"/>
        </w:rPr>
      </w:pPr>
      <w:r>
        <w:rPr>
          <w:rFonts w:ascii="Times New Roman" w:hAnsi="Times New Roman" w:cs="Times New Roman"/>
          <w:color w:val="auto"/>
        </w:rPr>
        <w:t>医疗垃圾收最终送往有资质的单位进行处理。</w:t>
      </w:r>
    </w:p>
    <w:p>
      <w:pPr>
        <w:spacing w:line="520" w:lineRule="exact"/>
        <w:rPr>
          <w:rFonts w:ascii="Times New Roman" w:hAnsi="Times New Roman" w:cs="Times New Roman"/>
          <w:color w:val="auto"/>
        </w:rPr>
      </w:pPr>
      <w:r>
        <w:rPr>
          <w:rFonts w:ascii="Times New Roman" w:hAnsi="Times New Roman" w:cs="Times New Roman"/>
          <w:color w:val="auto"/>
        </w:rPr>
        <w:t>7）事故应急措施</w:t>
      </w:r>
    </w:p>
    <w:p>
      <w:pPr>
        <w:spacing w:line="520" w:lineRule="exact"/>
        <w:rPr>
          <w:rFonts w:ascii="Times New Roman" w:hAnsi="Times New Roman" w:cs="Times New Roman"/>
          <w:color w:val="auto"/>
        </w:rPr>
      </w:pPr>
      <w:r>
        <w:rPr>
          <w:rFonts w:ascii="Times New Roman" w:hAnsi="Times New Roman" w:cs="Times New Roman"/>
          <w:color w:val="auto"/>
        </w:rPr>
        <w:t>发生医疗废物流失、泄漏、扩散和意外事故时，应当按照以下要求及时采取紧急处理措施：确定流失、泄漏、扩散的医疗废物的类别、数量、发生时间、影响范围及严重程度；组织有关人员尽快按照应急方案，对发生医疗废物泄漏、扩散的现场进行处理；对被医疗废物污染的区域进行处理时，应当尽可能减少对病人、医务人员、其它现场人员及环境的影响；采取适当的安全处置措施，对泄漏物及受污染的区域、物品进行消毒或者其他无害化处置，必要时封锁污染区域，以防扩大污染；对感染性废物污染区域进行消毒时，消毒工作从污染最轻区域向污染最严重区域进行，对可能被污染的所有使用过的工具也应当进行消毒；工作人员应当做好卫生安全防护后进行工作。处理工作结束后，医疗卫生机构应当对事件的起因进行调查，并采取有效的防范措施预防类似事件的发生。</w:t>
      </w:r>
    </w:p>
    <w:p>
      <w:pPr>
        <w:spacing w:line="520" w:lineRule="exact"/>
        <w:ind w:firstLine="482"/>
        <w:rPr>
          <w:rFonts w:ascii="Times New Roman" w:hAnsi="Times New Roman" w:cs="Times New Roman"/>
          <w:b/>
          <w:bCs/>
          <w:color w:val="auto"/>
        </w:rPr>
      </w:pPr>
      <w:r>
        <w:rPr>
          <w:rFonts w:ascii="Times New Roman" w:hAnsi="Times New Roman" w:cs="Times New Roman"/>
          <w:b/>
          <w:bCs/>
          <w:color w:val="auto"/>
        </w:rPr>
        <w:t>注意事项：</w:t>
      </w:r>
    </w:p>
    <w:p>
      <w:pPr>
        <w:spacing w:line="520" w:lineRule="exact"/>
        <w:rPr>
          <w:rFonts w:ascii="Times New Roman" w:hAnsi="Times New Roman" w:cs="Times New Roman"/>
          <w:color w:val="auto"/>
        </w:rPr>
      </w:pPr>
      <w:r>
        <w:rPr>
          <w:rFonts w:ascii="Times New Roman" w:hAnsi="Times New Roman" w:cs="Times New Roman"/>
          <w:color w:val="auto"/>
        </w:rPr>
        <w:t>由于医疗废弃物是属于危险固废，具有高度传染性，因此在其储运过程中还应注意以下几点：</w:t>
      </w:r>
    </w:p>
    <w:p>
      <w:pPr>
        <w:spacing w:line="520" w:lineRule="exact"/>
        <w:rPr>
          <w:rFonts w:ascii="Times New Roman" w:hAnsi="Times New Roman" w:cs="Times New Roman"/>
          <w:color w:val="auto"/>
        </w:rPr>
      </w:pPr>
      <w:r>
        <w:rPr>
          <w:rFonts w:ascii="Times New Roman" w:hAnsi="Times New Roman" w:cs="Times New Roman"/>
          <w:color w:val="auto"/>
        </w:rPr>
        <w:t>Ⅰ、在病房、诊室等高危区必须采用双层废物袋或可密封处理的塑料桶。针头等锐器不应和其他废物混放，使用后要稳妥安全地放入防漏、防刺的专用锐器容器中。锐器容器要求有盖，并做好明显的标识，防止转运人员被锐器划伤引起疾病感染。</w:t>
      </w:r>
    </w:p>
    <w:p>
      <w:pPr>
        <w:spacing w:line="520" w:lineRule="exact"/>
        <w:rPr>
          <w:rFonts w:ascii="Times New Roman" w:hAnsi="Times New Roman" w:cs="Times New Roman"/>
          <w:color w:val="auto"/>
        </w:rPr>
      </w:pPr>
      <w:r>
        <w:rPr>
          <w:rFonts w:ascii="Times New Roman" w:hAnsi="Times New Roman" w:cs="Times New Roman"/>
          <w:color w:val="auto"/>
        </w:rPr>
        <w:t>Ⅱ、对医疗废物必须按照卫生部和国家环境保护总局制定的《医疗废物分类目录》进行分类收集，并及时浸泡、消毒。废物袋的颜色为黄色，印有盛装医疗废物的文字说明和医疗废物警示标识。</w:t>
      </w:r>
    </w:p>
    <w:p>
      <w:pPr>
        <w:spacing w:line="520" w:lineRule="exact"/>
        <w:rPr>
          <w:rFonts w:ascii="Times New Roman" w:hAnsi="Times New Roman" w:cs="Times New Roman"/>
          <w:color w:val="auto"/>
        </w:rPr>
      </w:pPr>
      <w:r>
        <w:rPr>
          <w:rFonts w:ascii="Times New Roman" w:hAnsi="Times New Roman" w:cs="Times New Roman"/>
          <w:color w:val="auto"/>
        </w:rPr>
        <w:t>Ⅲ、要求使用专用手推车，要装卸方便、密封良好，废物袋破裂时不至于外漏，还要易于消毒和清洁。</w:t>
      </w:r>
    </w:p>
    <w:p>
      <w:pPr>
        <w:spacing w:line="520" w:lineRule="exact"/>
        <w:rPr>
          <w:rFonts w:ascii="Times New Roman" w:hAnsi="Times New Roman" w:cs="Times New Roman"/>
          <w:color w:val="auto"/>
        </w:rPr>
      </w:pPr>
      <w:r>
        <w:rPr>
          <w:rFonts w:ascii="Times New Roman" w:hAnsi="Times New Roman" w:cs="Times New Roman"/>
          <w:color w:val="auto"/>
        </w:rPr>
        <w:t>Ⅴ、医院必须严格遵守中华人民共和国国务院令第380号《医疗废物管理条例》中的禁止性规定：禁止任何单位和个人转让、买卖医疗废物。禁止在运送过程中丢弃医疗废物；禁止在非贮存地点倾倒、堆放医疗废物或者将医疗废物混入其他废物和生活垃圾。禁止邮寄医疗废物。禁止通过铁路、航空运输医疗废物。有陆路通道的，禁止通过水路运输医疗废物；没有陆路通道必需经水路运输医疗废物的，应当经设区的市级以上人民政府环境保护行政主管部门批准，并采取严格的环境保护措施后，方可通过水路运输。禁止将医疗废物与旅客在同一运输工具上载运。禁止在饮用水源保护区的水体上运输医疗废物。</w:t>
      </w:r>
    </w:p>
    <w:p>
      <w:pPr>
        <w:spacing w:line="520" w:lineRule="exact"/>
        <w:rPr>
          <w:rFonts w:ascii="Times New Roman" w:hAnsi="Times New Roman" w:cs="Times New Roman"/>
          <w:color w:val="auto"/>
        </w:rPr>
      </w:pPr>
      <w:r>
        <w:rPr>
          <w:rFonts w:ascii="Times New Roman" w:hAnsi="Times New Roman" w:cs="Times New Roman"/>
          <w:color w:val="auto"/>
        </w:rPr>
        <w:t>（2）生活垃圾</w:t>
      </w:r>
    </w:p>
    <w:p>
      <w:pPr>
        <w:spacing w:line="520" w:lineRule="exact"/>
        <w:rPr>
          <w:rFonts w:ascii="Times New Roman" w:hAnsi="Times New Roman" w:cs="Times New Roman"/>
          <w:color w:val="auto"/>
        </w:rPr>
      </w:pPr>
      <w:r>
        <w:rPr>
          <w:rFonts w:ascii="Times New Roman" w:hAnsi="Times New Roman" w:cs="Times New Roman"/>
          <w:color w:val="auto"/>
        </w:rPr>
        <w:t>非病区生活垃圾来自办公等的生活垃圾，由环卫部门统一清运。</w:t>
      </w: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kern w:val="0"/>
        </w:rPr>
        <w:sectPr>
          <w:pgSz w:w="11906" w:h="16838"/>
          <w:pgMar w:top="1440" w:right="1800" w:bottom="1440" w:left="1800" w:header="851" w:footer="992" w:gutter="0"/>
          <w:cols w:space="425" w:num="1"/>
          <w:docGrid w:type="lines" w:linePitch="312" w:charSpace="0"/>
        </w:sectPr>
      </w:pPr>
    </w:p>
    <w:p>
      <w:pPr>
        <w:pStyle w:val="7"/>
        <w:jc w:val="center"/>
        <w:rPr>
          <w:rFonts w:ascii="Times New Roman" w:hAnsi="Times New Roman" w:cs="Times New Roman"/>
          <w:color w:val="auto"/>
        </w:rPr>
      </w:pPr>
      <w:bookmarkStart w:id="446" w:name="_Toc21995"/>
      <w:bookmarkStart w:id="447" w:name="_Toc15691"/>
      <w:bookmarkStart w:id="448" w:name="_Toc29836_WPSOffice_Level1"/>
      <w:r>
        <w:rPr>
          <w:rFonts w:hint="eastAsia" w:ascii="Times New Roman" w:hAnsi="Times New Roman" w:cs="Times New Roman"/>
          <w:color w:val="auto"/>
        </w:rPr>
        <w:t>7</w:t>
      </w:r>
      <w:r>
        <w:rPr>
          <w:rFonts w:ascii="Times New Roman" w:hAnsi="Times New Roman" w:cs="Times New Roman"/>
          <w:color w:val="auto"/>
        </w:rPr>
        <w:t xml:space="preserve"> 环境影响经济损益分析</w:t>
      </w:r>
      <w:bookmarkEnd w:id="446"/>
      <w:bookmarkEnd w:id="447"/>
      <w:bookmarkEnd w:id="448"/>
    </w:p>
    <w:p>
      <w:pPr>
        <w:spacing w:line="520" w:lineRule="exact"/>
        <w:rPr>
          <w:rFonts w:ascii="Times New Roman" w:hAnsi="Times New Roman" w:cs="Times New Roman"/>
          <w:color w:val="auto"/>
        </w:rPr>
      </w:pPr>
      <w:r>
        <w:rPr>
          <w:rFonts w:ascii="Times New Roman" w:hAnsi="Times New Roman" w:cs="Times New Roman"/>
          <w:color w:val="auto"/>
        </w:rPr>
        <w:t>一个项目的开发建设，除对国民经济的发展起着促进作用外，同时也在一定程度上影响着项目所处地区的环境变化。社会影响、经济影响、环境影响是一个系统的三要素，最终以提高人类的生活质量为目的，它们之间既互相促进，又互相制约，必须通过全面规划、综合平衡，正确地把全局利益和局部利益、长远利益和近期利益结合起来，使环境保护和经济建设协调发展，实现经济效益、环境效益和社会效益的统一。</w:t>
      </w:r>
    </w:p>
    <w:p>
      <w:pPr>
        <w:pStyle w:val="8"/>
        <w:rPr>
          <w:rFonts w:ascii="Times New Roman" w:hAnsi="Times New Roman" w:cs="Times New Roman"/>
          <w:color w:val="auto"/>
        </w:rPr>
      </w:pPr>
      <w:bookmarkStart w:id="449" w:name="_Toc20529"/>
      <w:bookmarkStart w:id="450" w:name="_Toc19352"/>
      <w:bookmarkStart w:id="451" w:name="_Toc13520"/>
      <w:bookmarkStart w:id="452" w:name="_Toc15038"/>
      <w:bookmarkStart w:id="453" w:name="_Toc14436"/>
      <w:bookmarkStart w:id="454" w:name="_Toc7381"/>
      <w:bookmarkStart w:id="455" w:name="_Toc5482_WPSOffice_Level2"/>
      <w:bookmarkStart w:id="456" w:name="_Toc13586_WPSOffice_Level2"/>
      <w:bookmarkStart w:id="457" w:name="_Toc6084"/>
      <w:bookmarkStart w:id="458" w:name="_Toc30791"/>
      <w:bookmarkStart w:id="459" w:name="_Toc31583"/>
      <w:bookmarkStart w:id="460" w:name="_Toc376168627"/>
      <w:bookmarkStart w:id="461" w:name="_Toc11582"/>
      <w:bookmarkStart w:id="462" w:name="_Toc10265"/>
      <w:bookmarkStart w:id="463" w:name="_Toc30404"/>
      <w:bookmarkStart w:id="464" w:name="_Toc13852"/>
      <w:bookmarkStart w:id="465" w:name="_Toc15425"/>
      <w:bookmarkStart w:id="466" w:name="_Toc12432"/>
      <w:r>
        <w:rPr>
          <w:rFonts w:hint="eastAsia" w:ascii="Times New Roman" w:hAnsi="Times New Roman" w:cs="Times New Roman"/>
          <w:color w:val="auto"/>
        </w:rPr>
        <w:t>7</w:t>
      </w:r>
      <w:r>
        <w:rPr>
          <w:rFonts w:ascii="Times New Roman" w:hAnsi="Times New Roman" w:cs="Times New Roman"/>
          <w:color w:val="auto"/>
        </w:rPr>
        <w:t>.1 环境效益分析</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pStyle w:val="9"/>
        <w:rPr>
          <w:rFonts w:ascii="Times New Roman" w:hAnsi="Times New Roman" w:cs="Times New Roman"/>
          <w:color w:val="auto"/>
        </w:rPr>
      </w:pPr>
      <w:bookmarkStart w:id="467" w:name="_Toc10902"/>
      <w:bookmarkStart w:id="468" w:name="_Toc29822"/>
      <w:bookmarkStart w:id="469" w:name="_Toc16025"/>
      <w:bookmarkStart w:id="470" w:name="_Toc17342"/>
      <w:bookmarkStart w:id="471" w:name="_Toc25359"/>
      <w:bookmarkStart w:id="472" w:name="_Toc28636"/>
      <w:bookmarkStart w:id="473" w:name="_Toc23756_WPSOffice_Level2"/>
      <w:bookmarkStart w:id="474" w:name="_Toc14643"/>
      <w:bookmarkStart w:id="475" w:name="_Toc435"/>
      <w:bookmarkStart w:id="476" w:name="_Toc1987"/>
      <w:bookmarkStart w:id="477" w:name="_Toc17508"/>
      <w:bookmarkStart w:id="478" w:name="_Toc376168628"/>
      <w:bookmarkStart w:id="479" w:name="_Toc27994"/>
      <w:bookmarkStart w:id="480" w:name="_Toc23942"/>
      <w:bookmarkStart w:id="481" w:name="_Toc27652"/>
      <w:bookmarkStart w:id="482" w:name="_Toc24701"/>
      <w:bookmarkStart w:id="483" w:name="_Toc20339_WPSOffice_Level2"/>
      <w:bookmarkStart w:id="484" w:name="_Toc196139275"/>
      <w:bookmarkStart w:id="485" w:name="_Toc255059133"/>
      <w:r>
        <w:rPr>
          <w:rFonts w:hint="eastAsia" w:ascii="Times New Roman" w:hAnsi="Times New Roman" w:cs="Times New Roman"/>
          <w:color w:val="auto"/>
        </w:rPr>
        <w:t>7</w:t>
      </w:r>
      <w:r>
        <w:rPr>
          <w:rFonts w:ascii="Times New Roman" w:hAnsi="Times New Roman" w:cs="Times New Roman"/>
          <w:color w:val="auto"/>
        </w:rPr>
        <w:t>.</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Start w:id="486" w:name="_Toc27099"/>
      <w:r>
        <w:rPr>
          <w:rFonts w:ascii="Times New Roman" w:hAnsi="Times New Roman" w:cs="Times New Roman"/>
          <w:color w:val="auto"/>
        </w:rPr>
        <w:t>1.1 环保投资估算</w:t>
      </w:r>
      <w:bookmarkEnd w:id="482"/>
      <w:bookmarkEnd w:id="483"/>
      <w:bookmarkEnd w:id="486"/>
    </w:p>
    <w:p>
      <w:pPr>
        <w:spacing w:line="520" w:lineRule="exact"/>
        <w:rPr>
          <w:rFonts w:ascii="Times New Roman" w:hAnsi="Times New Roman" w:cs="Times New Roman"/>
          <w:color w:val="auto"/>
        </w:rPr>
      </w:pPr>
      <w:r>
        <w:rPr>
          <w:rFonts w:hint="eastAsia" w:ascii="Times New Roman" w:hAnsi="Times New Roman" w:cs="Times New Roman"/>
          <w:color w:val="auto"/>
          <w:lang w:val="en-US" w:eastAsia="zh-CN"/>
        </w:rPr>
        <w:t>本</w:t>
      </w:r>
      <w:r>
        <w:rPr>
          <w:rFonts w:ascii="Times New Roman" w:hAnsi="Times New Roman" w:cs="Times New Roman"/>
          <w:color w:val="auto"/>
        </w:rPr>
        <w:t>项目的环境保护投资主要由废气、废水、固废、噪声治理等组成，合计约201万元，约占总投资的0.41</w:t>
      </w:r>
      <w:r>
        <w:rPr>
          <w:rFonts w:ascii="Times New Roman" w:hAnsi="Times New Roman" w:eastAsia="Times New Roman" w:cs="Times New Roman"/>
          <w:color w:val="auto"/>
        </w:rPr>
        <w:t>%</w:t>
      </w:r>
      <w:r>
        <w:rPr>
          <w:rFonts w:ascii="Times New Roman" w:hAnsi="Times New Roman" w:cs="Times New Roman"/>
          <w:color w:val="auto"/>
        </w:rPr>
        <w:t>，费用估算见表</w:t>
      </w:r>
      <w:r>
        <w:rPr>
          <w:rFonts w:hint="eastAsia" w:ascii="Times New Roman" w:hAnsi="Times New Roman" w:cs="Times New Roman"/>
          <w:color w:val="auto"/>
        </w:rPr>
        <w:t>7.1</w:t>
      </w:r>
      <w:r>
        <w:rPr>
          <w:rFonts w:ascii="Times New Roman" w:hAnsi="Times New Roman" w:cs="Times New Roman"/>
          <w:color w:val="auto"/>
        </w:rPr>
        <w:t>-1所示。</w:t>
      </w:r>
    </w:p>
    <w:p>
      <w:pPr>
        <w:pStyle w:val="35"/>
        <w:spacing w:before="0" w:after="0" w:line="520" w:lineRule="exact"/>
        <w:rPr>
          <w:rFonts w:cs="Times New Roman"/>
          <w:color w:val="auto"/>
        </w:rPr>
      </w:pPr>
      <w:r>
        <w:rPr>
          <w:rFonts w:cs="Times New Roman"/>
          <w:color w:val="auto"/>
        </w:rPr>
        <w:t>表</w:t>
      </w:r>
      <w:r>
        <w:rPr>
          <w:rFonts w:hint="eastAsia" w:cs="Times New Roman"/>
          <w:color w:val="auto"/>
        </w:rPr>
        <w:t>7.1</w:t>
      </w:r>
      <w:r>
        <w:rPr>
          <w:rFonts w:cs="Times New Roman"/>
          <w:color w:val="auto"/>
        </w:rPr>
        <w:t>-1    污染物治理措施及投资一览表</w:t>
      </w:r>
    </w:p>
    <w:tbl>
      <w:tblPr>
        <w:tblStyle w:val="24"/>
        <w:tblW w:w="5046"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51"/>
        <w:gridCol w:w="1296"/>
        <w:gridCol w:w="4913"/>
        <w:gridCol w:w="143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时段</w:t>
            </w: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项目</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主要内容</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投资（万元）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施工期</w:t>
            </w: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废气治理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施工场界设置屏障、围挡、施工道路硬化、施工场地保洁、洒水降尘</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废水治理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沉淀池</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噪声治理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机械设备加装隔声、离敏感点较近的设备设置临时 隔声墙、控制运输车辆的鸣笛</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固废治理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垃圾桶、清运生活垃圾</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运营期</w:t>
            </w: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废气治理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引风机+等离子除臭装置，经15m排气筒排放</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废水治理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污水处理站</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150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噪声治理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机械设备加装减振垫、设备间设置吸声、隔声措施 来降噪等</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固废治理</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固废分类收集及包装、运输、垃圾清运、医疗垃圾暂存间等</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其它</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废水水质监控分析仪器</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47"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合计</w:t>
            </w:r>
          </w:p>
        </w:tc>
        <w:tc>
          <w:tcPr>
            <w:tcW w:w="772"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w:t>
            </w:r>
          </w:p>
        </w:tc>
        <w:tc>
          <w:tcPr>
            <w:tcW w:w="2926"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w:t>
            </w:r>
          </w:p>
        </w:tc>
        <w:tc>
          <w:tcPr>
            <w:tcW w:w="85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201</w:t>
            </w:r>
          </w:p>
        </w:tc>
      </w:tr>
    </w:tbl>
    <w:p>
      <w:pPr>
        <w:pStyle w:val="9"/>
        <w:rPr>
          <w:rFonts w:ascii="Times New Roman" w:hAnsi="Times New Roman" w:cs="Times New Roman"/>
          <w:color w:val="auto"/>
        </w:rPr>
      </w:pPr>
      <w:r>
        <w:rPr>
          <w:rFonts w:hint="eastAsia" w:ascii="Times New Roman" w:hAnsi="Times New Roman" w:cs="Times New Roman"/>
          <w:color w:val="auto"/>
        </w:rPr>
        <w:t>7</w:t>
      </w:r>
      <w:r>
        <w:rPr>
          <w:rFonts w:ascii="Times New Roman" w:hAnsi="Times New Roman" w:cs="Times New Roman"/>
          <w:color w:val="auto"/>
        </w:rPr>
        <w:t>.1.2 环境损益分析</w:t>
      </w:r>
    </w:p>
    <w:p>
      <w:pPr>
        <w:spacing w:line="520" w:lineRule="exact"/>
        <w:rPr>
          <w:rFonts w:ascii="Times New Roman" w:hAnsi="Times New Roman" w:cs="Times New Roman"/>
          <w:color w:val="auto"/>
        </w:rPr>
      </w:pPr>
      <w:r>
        <w:rPr>
          <w:rFonts w:ascii="Times New Roman" w:hAnsi="Times New Roman" w:cs="Times New Roman"/>
          <w:color w:val="auto"/>
        </w:rPr>
        <w:t>（1）环境正效益</w:t>
      </w:r>
    </w:p>
    <w:p>
      <w:pPr>
        <w:spacing w:line="520" w:lineRule="exact"/>
        <w:rPr>
          <w:rFonts w:ascii="Times New Roman" w:hAnsi="Times New Roman" w:cs="Times New Roman"/>
          <w:color w:val="auto"/>
        </w:rPr>
      </w:pPr>
      <w:r>
        <w:rPr>
          <w:rFonts w:ascii="Times New Roman" w:hAnsi="Times New Roman" w:cs="Times New Roman"/>
          <w:color w:val="auto"/>
        </w:rPr>
        <w:t>项目拟扩建污水处理装置，减少了项目水污染物的排放量。将医疗垃圾与生活垃圾分类收集，生活垃圾可由相关部门定期统一清运处理，医疗废物与栅渣污泥按规定收集消毒后，交有资质单位处理。采取污染防治措施后，环境质量可满足相关环境标准，向着有利的方向发展。</w:t>
      </w:r>
    </w:p>
    <w:p>
      <w:pPr>
        <w:spacing w:line="520" w:lineRule="exact"/>
        <w:rPr>
          <w:rFonts w:ascii="Times New Roman" w:hAnsi="Times New Roman" w:cs="Times New Roman"/>
          <w:color w:val="auto"/>
        </w:rPr>
      </w:pPr>
      <w:r>
        <w:rPr>
          <w:rFonts w:ascii="Times New Roman" w:hAnsi="Times New Roman" w:cs="Times New Roman"/>
          <w:color w:val="auto"/>
        </w:rPr>
        <w:t>（2）环境负效益</w:t>
      </w:r>
    </w:p>
    <w:p>
      <w:pPr>
        <w:spacing w:line="520" w:lineRule="exact"/>
        <w:rPr>
          <w:rFonts w:ascii="Times New Roman" w:hAnsi="Times New Roman" w:cs="Times New Roman"/>
          <w:color w:val="auto"/>
        </w:rPr>
      </w:pPr>
      <w:r>
        <w:rPr>
          <w:rFonts w:ascii="Times New Roman" w:hAnsi="Times New Roman" w:cs="Times New Roman"/>
          <w:color w:val="auto"/>
        </w:rPr>
        <w:t>施工期施工粉尘、施工机械的噪声会对该区域的声环境和大气环境质量产生阶段性的不利影响建设项目的营运将导致废水和固废排放量的增加，但经过处置后对区域环境质量无明显影响，环境可以接受。</w:t>
      </w:r>
    </w:p>
    <w:p>
      <w:pPr>
        <w:spacing w:line="520" w:lineRule="exact"/>
        <w:rPr>
          <w:rFonts w:ascii="Times New Roman" w:hAnsi="Times New Roman" w:cs="Times New Roman"/>
          <w:color w:val="auto"/>
        </w:rPr>
      </w:pPr>
      <w:r>
        <w:rPr>
          <w:rFonts w:ascii="Times New Roman" w:hAnsi="Times New Roman" w:cs="Times New Roman"/>
          <w:color w:val="auto"/>
        </w:rPr>
        <w:t>从总体上看，项目建成后，环境正效益远大于环境负效益。</w:t>
      </w:r>
    </w:p>
    <w:bookmarkEnd w:id="484"/>
    <w:bookmarkEnd w:id="485"/>
    <w:p>
      <w:pPr>
        <w:pStyle w:val="8"/>
        <w:rPr>
          <w:rFonts w:ascii="Times New Roman" w:hAnsi="Times New Roman" w:cs="Times New Roman"/>
          <w:color w:val="auto"/>
        </w:rPr>
      </w:pPr>
      <w:bookmarkStart w:id="487" w:name="_Toc20061_WPSOffice_Level2"/>
      <w:bookmarkStart w:id="488" w:name="_Toc8865"/>
      <w:bookmarkStart w:id="489" w:name="_Toc5582"/>
      <w:r>
        <w:rPr>
          <w:rFonts w:hint="eastAsia" w:ascii="Times New Roman" w:hAnsi="Times New Roman" w:cs="Times New Roman"/>
          <w:color w:val="auto"/>
        </w:rPr>
        <w:t>7</w:t>
      </w:r>
      <w:r>
        <w:rPr>
          <w:rFonts w:ascii="Times New Roman" w:hAnsi="Times New Roman" w:cs="Times New Roman"/>
          <w:color w:val="auto"/>
        </w:rPr>
        <w:t>.2 社会效益分析</w:t>
      </w:r>
      <w:bookmarkEnd w:id="487"/>
      <w:bookmarkEnd w:id="488"/>
      <w:bookmarkEnd w:id="489"/>
    </w:p>
    <w:p>
      <w:pPr>
        <w:spacing w:line="520" w:lineRule="exact"/>
        <w:rPr>
          <w:rFonts w:ascii="Times New Roman" w:hAnsi="Times New Roman" w:cs="Times New Roman"/>
          <w:color w:val="auto"/>
        </w:rPr>
      </w:pPr>
      <w:r>
        <w:rPr>
          <w:rFonts w:ascii="Times New Roman" w:hAnsi="Times New Roman" w:cs="Times New Roman"/>
          <w:color w:val="auto"/>
        </w:rPr>
        <w:t>（1）对项目所在地居民生活水平和生活质量的影响</w:t>
      </w:r>
    </w:p>
    <w:p>
      <w:pPr>
        <w:spacing w:line="520" w:lineRule="exact"/>
        <w:rPr>
          <w:rFonts w:ascii="Times New Roman" w:hAnsi="Times New Roman" w:cs="Times New Roman"/>
          <w:color w:val="auto"/>
        </w:rPr>
      </w:pPr>
      <w:r>
        <w:rPr>
          <w:rFonts w:ascii="Times New Roman" w:hAnsi="Times New Roman" w:cs="Times New Roman"/>
          <w:color w:val="auto"/>
        </w:rPr>
        <w:t>医疗卫生事业是促进中华民族健康，增强民族素质的基础。做好医疗卫生工作，使广大人民群众按时科学就医是改善人民群众生存环境首先需要解决的问题。是提高人民群众生活质量的具体要求。</w:t>
      </w:r>
    </w:p>
    <w:p>
      <w:pPr>
        <w:spacing w:line="520" w:lineRule="exact"/>
        <w:rPr>
          <w:rFonts w:ascii="Times New Roman" w:hAnsi="Times New Roman" w:cs="Times New Roman"/>
          <w:color w:val="auto"/>
        </w:rPr>
      </w:pPr>
      <w:r>
        <w:rPr>
          <w:rFonts w:ascii="Times New Roman" w:hAnsi="Times New Roman" w:cs="Times New Roman"/>
          <w:color w:val="auto"/>
        </w:rPr>
        <w:t>本项目建设完成后，使得医院以优秀的服务质量、精湛的医疗技术、先进的医疗设备，良好的医疗环境向当地各族人民群众提供了提供满意的服务，大大改善了当地人民群众的医疗条件，从根本上提高了他们的生活质量。</w:t>
      </w:r>
    </w:p>
    <w:p>
      <w:pPr>
        <w:spacing w:line="520" w:lineRule="exact"/>
        <w:rPr>
          <w:rFonts w:ascii="Times New Roman" w:hAnsi="Times New Roman" w:cs="Times New Roman"/>
          <w:color w:val="auto"/>
        </w:rPr>
      </w:pPr>
      <w:r>
        <w:rPr>
          <w:rFonts w:ascii="Times New Roman" w:hAnsi="Times New Roman" w:cs="Times New Roman"/>
          <w:color w:val="auto"/>
        </w:rPr>
        <w:t>（2）对项目所在地居民收入的影响</w:t>
      </w:r>
    </w:p>
    <w:p>
      <w:pPr>
        <w:spacing w:line="520" w:lineRule="exact"/>
        <w:rPr>
          <w:rFonts w:ascii="Times New Roman" w:hAnsi="Times New Roman" w:cs="Times New Roman"/>
          <w:color w:val="auto"/>
        </w:rPr>
      </w:pPr>
      <w:r>
        <w:rPr>
          <w:rFonts w:ascii="Times New Roman" w:hAnsi="Times New Roman" w:cs="Times New Roman"/>
          <w:color w:val="auto"/>
        </w:rPr>
        <w:t>完善的医疗保健设施在社会进步和社会经济的发展中起到十分重要的作用。在国家大力抓经济建设的同时，也加大了对医疗保健设施建设、社会保险的投入。本项目的建设不仅使吉木萨尔县各族人民群众可以享受到优质的医疗保健服务，且在项目建设过程中需要大量的人力物力资源，在一定程度上带动当地的经济发展和社会发展。</w:t>
      </w:r>
    </w:p>
    <w:p>
      <w:pPr>
        <w:spacing w:line="520" w:lineRule="exact"/>
        <w:rPr>
          <w:rFonts w:ascii="Times New Roman" w:hAnsi="Times New Roman" w:cs="Times New Roman"/>
          <w:color w:val="auto"/>
        </w:rPr>
      </w:pPr>
      <w:r>
        <w:rPr>
          <w:rFonts w:ascii="Times New Roman" w:hAnsi="Times New Roman" w:cs="Times New Roman"/>
          <w:color w:val="auto"/>
        </w:rPr>
        <w:t>（3）对弱势群体的影响</w:t>
      </w:r>
    </w:p>
    <w:p>
      <w:pPr>
        <w:spacing w:line="520" w:lineRule="exact"/>
        <w:rPr>
          <w:rFonts w:ascii="Times New Roman" w:hAnsi="Times New Roman" w:cs="Times New Roman"/>
          <w:color w:val="auto"/>
        </w:rPr>
      </w:pPr>
      <w:r>
        <w:rPr>
          <w:rFonts w:ascii="Times New Roman" w:hAnsi="Times New Roman" w:cs="Times New Roman"/>
          <w:color w:val="auto"/>
        </w:rPr>
        <w:t>对于部分无经济能力的弱势群体，疾病更是他们的头等大敌，这些人一旦遭遇疾病就束手无策，一方面没有经济来源，无法就医治疗；另一方面弱势群体保健意识极差，对待疾病能拖则拖，错过最佳治疗时期。医院以“救死扶伤”为宗旨，无论是对弱势群体还是对其他群体都是本着“一视同仁、医者父母心”的态度，尽着一个医疗工作者的职责。本次项目的建设在改善该院医疗设施条件的基础上，也给该院工作人员更好的发挥作用，接待更多的病患提供了场所。由此，将会有更多的弱势群体的生命健康得到应有的关注，解决了他们的后顾之忧，进而保障了社会的稳定和团结。</w:t>
      </w:r>
    </w:p>
    <w:p>
      <w:pPr>
        <w:spacing w:line="520" w:lineRule="exact"/>
        <w:rPr>
          <w:rFonts w:ascii="Times New Roman" w:hAnsi="Times New Roman" w:cs="Times New Roman"/>
          <w:color w:val="auto"/>
        </w:rPr>
      </w:pPr>
      <w:r>
        <w:rPr>
          <w:rFonts w:ascii="Times New Roman" w:hAnsi="Times New Roman" w:cs="Times New Roman"/>
          <w:color w:val="auto"/>
        </w:rPr>
        <w:t>（4）对项目区医疗卫生事业的影响</w:t>
      </w:r>
    </w:p>
    <w:p>
      <w:pPr>
        <w:spacing w:line="520" w:lineRule="exact"/>
        <w:rPr>
          <w:rFonts w:ascii="Times New Roman" w:hAnsi="Times New Roman" w:cs="Times New Roman"/>
          <w:color w:val="auto"/>
        </w:rPr>
      </w:pPr>
      <w:r>
        <w:rPr>
          <w:rFonts w:ascii="Times New Roman" w:hAnsi="Times New Roman" w:cs="Times New Roman"/>
          <w:color w:val="auto"/>
        </w:rPr>
        <w:t>本项目的实施对本区域内的社会稳定、经济发展及人民群众的身心健康产生较大的影响。项目建成后一大批高、精、新的医疗设备能发挥优势，环境优雅、设施完善的医疗保健条件能更好地为广大患者服务。</w:t>
      </w:r>
    </w:p>
    <w:p>
      <w:pPr>
        <w:spacing w:line="520" w:lineRule="exact"/>
        <w:rPr>
          <w:rFonts w:ascii="Times New Roman" w:hAnsi="Times New Roman" w:cs="Times New Roman"/>
          <w:color w:val="auto"/>
        </w:rPr>
      </w:pPr>
      <w:r>
        <w:rPr>
          <w:rFonts w:ascii="Times New Roman" w:hAnsi="Times New Roman" w:cs="Times New Roman"/>
          <w:color w:val="auto"/>
        </w:rPr>
        <w:t>项目建成后，其他同行业也将加强人性化的服务，使医疗保健市场在服务意识上和经济意识上的竞争增强，既使医疗机构提高了服务意识，消除了患者的恐惧心理，又杜绝了医疗市场乱收费现象的发生，使周围人民群众的就医环境得到了极大的改善。</w:t>
      </w:r>
    </w:p>
    <w:p>
      <w:pPr>
        <w:pStyle w:val="8"/>
        <w:rPr>
          <w:rFonts w:ascii="Times New Roman" w:hAnsi="Times New Roman" w:cs="Times New Roman"/>
          <w:color w:val="auto"/>
        </w:rPr>
      </w:pPr>
      <w:bookmarkStart w:id="490" w:name="_TOC_250011"/>
      <w:bookmarkEnd w:id="490"/>
      <w:bookmarkStart w:id="491" w:name="_Toc449_WPSOffice_Level2"/>
      <w:bookmarkStart w:id="492" w:name="_Toc16303"/>
      <w:bookmarkStart w:id="493" w:name="_Toc23871"/>
      <w:r>
        <w:rPr>
          <w:rFonts w:hint="eastAsia" w:ascii="Times New Roman" w:hAnsi="Times New Roman" w:cs="Times New Roman"/>
          <w:color w:val="auto"/>
        </w:rPr>
        <w:t>7</w:t>
      </w:r>
      <w:r>
        <w:rPr>
          <w:rFonts w:ascii="Times New Roman" w:hAnsi="Times New Roman" w:cs="Times New Roman"/>
          <w:color w:val="auto"/>
        </w:rPr>
        <w:t>.3 经济效益分析</w:t>
      </w:r>
      <w:bookmarkEnd w:id="491"/>
      <w:bookmarkEnd w:id="492"/>
      <w:bookmarkEnd w:id="493"/>
    </w:p>
    <w:p>
      <w:pPr>
        <w:spacing w:line="520" w:lineRule="exact"/>
        <w:rPr>
          <w:rFonts w:ascii="Times New Roman" w:hAnsi="Times New Roman" w:cs="Times New Roman"/>
          <w:color w:val="auto"/>
        </w:rPr>
      </w:pPr>
      <w:r>
        <w:rPr>
          <w:rFonts w:ascii="Times New Roman" w:hAnsi="Times New Roman" w:cs="Times New Roman"/>
          <w:color w:val="auto"/>
        </w:rPr>
        <w:t>本项目投入总资金49000万元，项目建设所需的大部分装修建筑材料和设备将由本地区供应，这将给建筑装修业和设备制造业带来一定的发展机遇。项目建成投入运营后，包括工资、燃料费、水电费和维修费等在内的经营费用每年为数百万元，这将直接促进区域经济的发展。</w:t>
      </w:r>
    </w:p>
    <w:p>
      <w:pPr>
        <w:spacing w:line="520" w:lineRule="exact"/>
        <w:rPr>
          <w:rFonts w:ascii="Times New Roman" w:hAnsi="Times New Roman" w:cs="Times New Roman"/>
          <w:color w:val="auto"/>
        </w:rPr>
      </w:pPr>
      <w:r>
        <w:rPr>
          <w:rFonts w:ascii="Times New Roman" w:hAnsi="Times New Roman" w:cs="Times New Roman"/>
          <w:color w:val="auto"/>
        </w:rPr>
        <w:t>根据设计，项目建成后门诊的接待能力将达到1000人次/d，其中有一部分患者是从各乡镇来就医，因此地方可从其它产业如交通、餐饮、住宿和邮电服务等方面的潜在消费中获取一定的收入，以此增加地方财政收入。</w:t>
      </w:r>
    </w:p>
    <w:p>
      <w:pPr>
        <w:spacing w:line="520" w:lineRule="exact"/>
        <w:rPr>
          <w:rFonts w:ascii="Times New Roman" w:hAnsi="Times New Roman" w:cs="Times New Roman"/>
          <w:color w:val="auto"/>
          <w:highlight w:val="yellow"/>
        </w:rPr>
      </w:pPr>
      <w:r>
        <w:rPr>
          <w:rFonts w:ascii="Times New Roman" w:hAnsi="Times New Roman" w:cs="Times New Roman"/>
          <w:color w:val="auto"/>
        </w:rPr>
        <w:t>总之，本项目建设完成后改善了医院的基础设施条件，为项目区周边人民提供良好的医疗条件。从根本上处理了医疗污水，生态效益显著，与此同时，还增加了医院的收入。实现了经济、社会、生态效益同丰收。</w:t>
      </w: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p>
      <w:pPr>
        <w:pStyle w:val="7"/>
        <w:jc w:val="center"/>
        <w:rPr>
          <w:rFonts w:ascii="Times New Roman" w:hAnsi="Times New Roman" w:cs="Times New Roman"/>
          <w:color w:val="auto"/>
        </w:rPr>
      </w:pPr>
      <w:bookmarkStart w:id="494" w:name="_Toc29082_WPSOffice_Level1"/>
      <w:bookmarkStart w:id="495" w:name="_Toc4155"/>
      <w:bookmarkStart w:id="496" w:name="_Toc26500_WPSOffice_Level1"/>
      <w:bookmarkStart w:id="497" w:name="_Toc20206"/>
      <w:bookmarkStart w:id="498" w:name="_Toc12099"/>
      <w:bookmarkStart w:id="499" w:name="_Toc31252"/>
      <w:bookmarkStart w:id="500" w:name="_Toc30321"/>
      <w:bookmarkStart w:id="501" w:name="_Toc1273"/>
      <w:bookmarkStart w:id="502" w:name="_Toc10472"/>
      <w:bookmarkStart w:id="503" w:name="_Toc2675"/>
      <w:bookmarkStart w:id="504" w:name="_Toc4624"/>
      <w:bookmarkStart w:id="505" w:name="_Toc15830"/>
      <w:bookmarkStart w:id="506" w:name="_Toc2962"/>
      <w:r>
        <w:rPr>
          <w:rFonts w:hint="eastAsia" w:ascii="Times New Roman" w:hAnsi="Times New Roman" w:cs="Times New Roman"/>
          <w:color w:val="auto"/>
        </w:rPr>
        <w:t>8</w:t>
      </w:r>
      <w:r>
        <w:rPr>
          <w:rFonts w:ascii="Times New Roman" w:hAnsi="Times New Roman" w:cs="Times New Roman"/>
          <w:color w:val="auto"/>
        </w:rPr>
        <w:t xml:space="preserve"> 环境管理与监测计划</w:t>
      </w:r>
      <w:bookmarkEnd w:id="494"/>
      <w:bookmarkEnd w:id="495"/>
      <w:bookmarkEnd w:id="496"/>
      <w:bookmarkEnd w:id="497"/>
      <w:bookmarkEnd w:id="498"/>
      <w:bookmarkEnd w:id="499"/>
      <w:bookmarkEnd w:id="500"/>
      <w:bookmarkEnd w:id="501"/>
      <w:bookmarkEnd w:id="502"/>
      <w:bookmarkEnd w:id="503"/>
      <w:bookmarkEnd w:id="504"/>
      <w:bookmarkEnd w:id="505"/>
      <w:bookmarkEnd w:id="506"/>
    </w:p>
    <w:p>
      <w:pPr>
        <w:widowControl/>
        <w:spacing w:line="520" w:lineRule="exact"/>
        <w:jc w:val="left"/>
        <w:rPr>
          <w:rFonts w:ascii="Times New Roman" w:hAnsi="Times New Roman" w:cs="Times New Roman"/>
          <w:color w:val="auto"/>
        </w:rPr>
      </w:pPr>
      <w:bookmarkStart w:id="507" w:name="_Toc30929"/>
      <w:bookmarkStart w:id="508" w:name="_Toc28653"/>
      <w:bookmarkStart w:id="509" w:name="_Toc18379"/>
      <w:bookmarkStart w:id="510" w:name="_Toc16676"/>
      <w:bookmarkStart w:id="511" w:name="_Toc4324_WPSOffice_Level2"/>
      <w:bookmarkStart w:id="512" w:name="_Toc6216"/>
      <w:bookmarkStart w:id="513" w:name="_Toc4256"/>
      <w:bookmarkStart w:id="514" w:name="_Toc28336"/>
      <w:bookmarkStart w:id="515" w:name="_Toc14530"/>
      <w:bookmarkStart w:id="516" w:name="_Toc20965"/>
      <w:bookmarkStart w:id="517" w:name="_Toc11216"/>
      <w:bookmarkStart w:id="518" w:name="_Toc29875_WPSOffice_Level2"/>
      <w:bookmarkStart w:id="519" w:name="_Toc31553"/>
      <w:bookmarkStart w:id="520" w:name="_Toc323"/>
      <w:bookmarkStart w:id="521" w:name="_Toc26173"/>
      <w:bookmarkStart w:id="522" w:name="_Toc6550"/>
      <w:bookmarkStart w:id="523" w:name="_Toc30074"/>
      <w:bookmarkStart w:id="524" w:name="_Toc3437"/>
      <w:r>
        <w:rPr>
          <w:rFonts w:ascii="Times New Roman" w:hAnsi="Times New Roman" w:cs="Times New Roman"/>
          <w:color w:val="auto"/>
        </w:rPr>
        <w:t>环境管理是按照国家、省和市有关环境保护法规，进行环境管理，接受地方主管环保部门的监督，制定环保规划和目标，环境管理是环境保护工作的重要内容之一，也是单位管理的重要组成部分，利用行政、经济、技术、法律、教育等手段，对单位生产、经营发展、环境保护的关系进行协调，以达到环境效益与经济效益、社会效益相统一，实现可持续发展目标。</w:t>
      </w:r>
    </w:p>
    <w:p>
      <w:pPr>
        <w:widowControl/>
        <w:spacing w:line="520" w:lineRule="exact"/>
        <w:jc w:val="left"/>
        <w:rPr>
          <w:rFonts w:ascii="Times New Roman" w:hAnsi="Times New Roman" w:cs="Times New Roman"/>
          <w:color w:val="auto"/>
          <w:spacing w:val="-6"/>
        </w:rPr>
      </w:pPr>
      <w:r>
        <w:rPr>
          <w:rFonts w:ascii="Times New Roman" w:hAnsi="Times New Roman" w:cs="Times New Roman"/>
          <w:color w:val="auto"/>
        </w:rPr>
        <w:t>实践证明：大量的环境问题是由于缺乏对环境的单位管理造成的，如果没有健全的环境管理制度，很难保证建设项目不对环境造成污染，所以本环评要求医院要建立完善的环境管理和监控体系，将其列入医院的议事日程，对生产过程中产生的或可能发生的环境问题进行深入细致的研究，制定合理的污染治理方案，</w:t>
      </w:r>
      <w:r>
        <w:rPr>
          <w:rFonts w:ascii="Times New Roman" w:hAnsi="Times New Roman" w:cs="Times New Roman"/>
          <w:color w:val="auto"/>
          <w:spacing w:val="-6"/>
        </w:rPr>
        <w:t>使环保措施落到实处并真正发挥效用，将环境风险降到最低，达到环境保护的目的。</w:t>
      </w:r>
    </w:p>
    <w:p>
      <w:pPr>
        <w:pStyle w:val="8"/>
        <w:rPr>
          <w:rFonts w:ascii="Times New Roman" w:hAnsi="Times New Roman" w:cs="Times New Roman"/>
          <w:color w:val="auto"/>
        </w:rPr>
      </w:pPr>
      <w:bookmarkStart w:id="525" w:name="_Toc32683"/>
      <w:r>
        <w:rPr>
          <w:rFonts w:hint="eastAsia" w:ascii="Times New Roman" w:hAnsi="Times New Roman" w:cs="Times New Roman"/>
          <w:color w:val="auto"/>
        </w:rPr>
        <w:t>8</w:t>
      </w:r>
      <w:r>
        <w:rPr>
          <w:rFonts w:ascii="Times New Roman" w:hAnsi="Times New Roman" w:cs="Times New Roman"/>
          <w:color w:val="auto"/>
        </w:rPr>
        <w:t>.1环境管理</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widowControl/>
        <w:spacing w:line="520" w:lineRule="exact"/>
        <w:jc w:val="left"/>
        <w:rPr>
          <w:rFonts w:ascii="Times New Roman" w:hAnsi="Times New Roman" w:cs="Times New Roman"/>
          <w:color w:val="auto"/>
        </w:rPr>
      </w:pPr>
      <w:r>
        <w:rPr>
          <w:rFonts w:ascii="Times New Roman" w:hAnsi="Times New Roman" w:cs="Times New Roman"/>
          <w:color w:val="auto"/>
        </w:rPr>
        <w:t>本项目运营后，在运营过程中应遵守环境保护管理的有关规定，针对本项目特点，应注意以下基本原则：</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认真落实环境保护的各项措施，保证环境功效，加强全体职工的环境保护意识，使专业管理和群众监护相结合；控制污染要以预防为主，管制结合，综合治理，以取得最好的环境效益。</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建立环境保护的专门科室，设专职环境管理工作人员，实施环境管理工作，另外应建立必要的环境管理制度，设计的内容应包括：</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（1）实施对污染源的调查，弄清和掌握污染状况，建立污染源档案，并在污水排放口建立标准化监测井以定期开展环境监测；</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（2）根据国家有关标准，制定环保设施运行指标、制度及职责、做好环境统计及运行记录；</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根据环保、卫生等有关部门要求，做好运营期的环境管理。</w:t>
      </w:r>
    </w:p>
    <w:p>
      <w:pPr>
        <w:pStyle w:val="9"/>
        <w:rPr>
          <w:rFonts w:ascii="Times New Roman" w:hAnsi="Times New Roman" w:cs="Times New Roman"/>
          <w:color w:val="auto"/>
        </w:rPr>
      </w:pPr>
      <w:bookmarkStart w:id="526" w:name="_Toc32057"/>
      <w:bookmarkStart w:id="527" w:name="_Toc29560"/>
      <w:bookmarkStart w:id="528" w:name="_Toc15325"/>
      <w:bookmarkStart w:id="529" w:name="_Toc24245"/>
      <w:r>
        <w:rPr>
          <w:rFonts w:hint="eastAsia" w:ascii="Times New Roman" w:hAnsi="Times New Roman" w:cs="Times New Roman"/>
          <w:color w:val="auto"/>
        </w:rPr>
        <w:t>8</w:t>
      </w:r>
      <w:r>
        <w:rPr>
          <w:rFonts w:ascii="Times New Roman" w:hAnsi="Times New Roman" w:cs="Times New Roman"/>
          <w:color w:val="auto"/>
        </w:rPr>
        <w:t>.1.1环境管理机构</w:t>
      </w:r>
      <w:bookmarkEnd w:id="526"/>
      <w:bookmarkEnd w:id="527"/>
      <w:bookmarkEnd w:id="528"/>
      <w:bookmarkEnd w:id="529"/>
    </w:p>
    <w:p>
      <w:pPr>
        <w:widowControl/>
        <w:spacing w:line="520" w:lineRule="exact"/>
        <w:jc w:val="left"/>
        <w:rPr>
          <w:rFonts w:ascii="Times New Roman" w:hAnsi="Times New Roman" w:cs="Times New Roman"/>
          <w:color w:val="auto"/>
        </w:rPr>
      </w:pPr>
      <w:r>
        <w:rPr>
          <w:rFonts w:ascii="Times New Roman" w:hAnsi="Times New Roman" w:cs="Times New Roman"/>
          <w:color w:val="auto"/>
        </w:rPr>
        <w:t>根据本项目的工程特点及严格的环境保护要求，环境管理应作为医院的重要管理内容，因此，该医院应由一名主管副院长负责，下设环境管理科室和专职环境保护管理人员，实施整个工作过程的环境管理工作。</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医院应成立专职的环境管理机构，设立环保科室，并确定一名主管领导，组织开展医院的日常环境管理工作，具体负责医院环境保护的日常管理和监督以及事故应急处理等工作，并保持同上级环保部门的联系，定时汇报情况，形成上下贯通的环境管理机构和网络，对出现的环境问题作出及时的反映和反馈。</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院内的环保机构应负责以下事项：</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（1）制定医院环境管理规章制度，负责环境管理体系的建立和保持；</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（2）组织对医院环境质量情况进行监测，统计整理有关环境监测资料并上报地方环保部门；</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（3）对医院“三废”排放、污染防治、环保设施的运行、维修等环境管理和各项环保制度的落实情况进行监督管理；</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（4）负责医院的环境影响申报、“三同时”验收和排污申报登记等工作；</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负责制定化学品、药品、医疗垃圾储、运设备的应急处置方案，开展环保管理教育和培训；负责处理各类污染事故，组织抢救和善后处理。</w:t>
      </w:r>
    </w:p>
    <w:p>
      <w:pPr>
        <w:pStyle w:val="9"/>
        <w:rPr>
          <w:rFonts w:ascii="Times New Roman" w:hAnsi="Times New Roman" w:cs="Times New Roman"/>
          <w:color w:val="auto"/>
        </w:rPr>
      </w:pPr>
      <w:bookmarkStart w:id="530" w:name="_Toc10760"/>
      <w:bookmarkStart w:id="531" w:name="_Toc17501"/>
      <w:bookmarkStart w:id="532" w:name="_Toc23808"/>
      <w:r>
        <w:rPr>
          <w:rFonts w:hint="eastAsia" w:ascii="Times New Roman" w:hAnsi="Times New Roman" w:cs="Times New Roman"/>
          <w:color w:val="auto"/>
        </w:rPr>
        <w:t>8</w:t>
      </w:r>
      <w:r>
        <w:rPr>
          <w:rFonts w:ascii="Times New Roman" w:hAnsi="Times New Roman" w:cs="Times New Roman"/>
          <w:color w:val="auto"/>
        </w:rPr>
        <w:t xml:space="preserve">.1.2 </w:t>
      </w:r>
      <w:bookmarkEnd w:id="530"/>
      <w:bookmarkEnd w:id="531"/>
      <w:bookmarkEnd w:id="532"/>
      <w:r>
        <w:rPr>
          <w:rFonts w:ascii="Times New Roman" w:hAnsi="Times New Roman" w:cs="Times New Roman"/>
          <w:color w:val="auto"/>
        </w:rPr>
        <w:t>项目运营期环境管理</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项目运营期应采取积极的环境影响减缓措施，加强环境管理，对项目运行产出的污染物进行合理处理与处置，具体如下：</w:t>
      </w:r>
    </w:p>
    <w:p>
      <w:pPr>
        <w:widowControl/>
        <w:numPr>
          <w:ilvl w:val="0"/>
          <w:numId w:val="11"/>
        </w:numPr>
        <w:spacing w:line="520" w:lineRule="exact"/>
        <w:jc w:val="left"/>
        <w:rPr>
          <w:rFonts w:ascii="Times New Roman" w:hAnsi="Times New Roman" w:cs="Times New Roman"/>
          <w:color w:val="auto"/>
        </w:rPr>
      </w:pPr>
      <w:r>
        <w:rPr>
          <w:rFonts w:ascii="Times New Roman" w:hAnsi="Times New Roman" w:cs="Times New Roman"/>
          <w:color w:val="auto"/>
        </w:rPr>
        <w:t>搞好环境教育，组织贯彻实施国家及地方的有关环保方针、政策法令、条例的要求，依据此法进行管理、生产、申报并接受监督，并努力提高全院职工的环保意识。</w:t>
      </w:r>
    </w:p>
    <w:p>
      <w:pPr>
        <w:widowControl/>
        <w:numPr>
          <w:ilvl w:val="0"/>
          <w:numId w:val="11"/>
        </w:numPr>
        <w:spacing w:line="520" w:lineRule="exact"/>
        <w:jc w:val="left"/>
        <w:rPr>
          <w:rFonts w:ascii="Times New Roman" w:hAnsi="Times New Roman" w:cs="Times New Roman"/>
          <w:color w:val="auto"/>
        </w:rPr>
      </w:pPr>
      <w:r>
        <w:rPr>
          <w:rFonts w:ascii="Times New Roman" w:hAnsi="Times New Roman" w:cs="Times New Roman"/>
          <w:color w:val="auto"/>
        </w:rPr>
        <w:t>组织制定医院的环保管理制度、年度实施计划和长远环保规划，并监督贯彻执行。</w:t>
      </w:r>
    </w:p>
    <w:p>
      <w:pPr>
        <w:widowControl/>
        <w:numPr>
          <w:ilvl w:val="0"/>
          <w:numId w:val="11"/>
        </w:numPr>
        <w:spacing w:line="520" w:lineRule="exact"/>
        <w:jc w:val="left"/>
        <w:rPr>
          <w:rFonts w:ascii="Times New Roman" w:hAnsi="Times New Roman" w:cs="Times New Roman"/>
          <w:color w:val="auto"/>
        </w:rPr>
      </w:pPr>
      <w:r>
        <w:rPr>
          <w:rFonts w:ascii="Times New Roman" w:hAnsi="Times New Roman" w:cs="Times New Roman"/>
          <w:color w:val="auto"/>
        </w:rPr>
        <w:t>提出可能造成的环境污染事故防范、应急措施。</w:t>
      </w:r>
    </w:p>
    <w:p>
      <w:pPr>
        <w:widowControl/>
        <w:numPr>
          <w:ilvl w:val="0"/>
          <w:numId w:val="11"/>
        </w:numPr>
        <w:spacing w:line="520" w:lineRule="exact"/>
        <w:jc w:val="left"/>
        <w:rPr>
          <w:rFonts w:ascii="Times New Roman" w:hAnsi="Times New Roman" w:cs="Times New Roman"/>
          <w:color w:val="auto"/>
        </w:rPr>
      </w:pPr>
      <w:r>
        <w:rPr>
          <w:rFonts w:ascii="Times New Roman" w:hAnsi="Times New Roman" w:cs="Times New Roman"/>
          <w:color w:val="auto"/>
        </w:rPr>
        <w:t>污水处理设备的日常维护应纳入医院正常的设备维护管理工作，应根据工艺要求，定期对构筑物、设备、电气及自控仪表进行检查维护，确保处理设施稳定运行。</w:t>
      </w:r>
    </w:p>
    <w:p>
      <w:pPr>
        <w:widowControl/>
        <w:numPr>
          <w:ilvl w:val="0"/>
          <w:numId w:val="11"/>
        </w:numPr>
        <w:spacing w:line="520" w:lineRule="exact"/>
        <w:jc w:val="left"/>
        <w:rPr>
          <w:rFonts w:ascii="Times New Roman" w:hAnsi="Times New Roman" w:cs="Times New Roman"/>
          <w:color w:val="auto"/>
        </w:rPr>
      </w:pPr>
      <w:r>
        <w:rPr>
          <w:rFonts w:ascii="Times New Roman" w:hAnsi="Times New Roman" w:cs="Times New Roman"/>
          <w:color w:val="auto"/>
        </w:rPr>
        <w:t>每季度对全院的各环保设施运行情况全面检查一次，对医院污水等处理效果应定期监测。</w:t>
      </w:r>
    </w:p>
    <w:p>
      <w:pPr>
        <w:widowControl/>
        <w:numPr>
          <w:ilvl w:val="0"/>
          <w:numId w:val="11"/>
        </w:numPr>
        <w:spacing w:line="520" w:lineRule="exact"/>
        <w:jc w:val="left"/>
        <w:rPr>
          <w:rFonts w:ascii="Times New Roman" w:hAnsi="Times New Roman" w:cs="Times New Roman"/>
          <w:color w:val="auto"/>
        </w:rPr>
      </w:pPr>
      <w:r>
        <w:rPr>
          <w:rFonts w:ascii="Times New Roman" w:hAnsi="Times New Roman" w:cs="Times New Roman"/>
          <w:color w:val="auto"/>
        </w:rPr>
        <w:t>做好医疗废弃物的分类收集、处置，属于国家《危险废物名录》管理中的废物，全部纳入到合法、有效的处理途径中。</w:t>
      </w:r>
    </w:p>
    <w:p>
      <w:pPr>
        <w:widowControl/>
        <w:numPr>
          <w:ilvl w:val="0"/>
          <w:numId w:val="11"/>
        </w:numPr>
        <w:spacing w:line="520" w:lineRule="exact"/>
        <w:jc w:val="left"/>
        <w:rPr>
          <w:rFonts w:ascii="Times New Roman" w:hAnsi="Times New Roman" w:cs="Times New Roman"/>
          <w:color w:val="auto"/>
        </w:rPr>
      </w:pPr>
      <w:r>
        <w:rPr>
          <w:rFonts w:ascii="Times New Roman" w:hAnsi="Times New Roman" w:cs="Times New Roman"/>
          <w:color w:val="auto"/>
        </w:rPr>
        <w:t>努力建立健全的环境管理系统，以达到ISO14001的要求。</w:t>
      </w:r>
    </w:p>
    <w:p>
      <w:pPr>
        <w:pStyle w:val="8"/>
        <w:keepNext w:val="0"/>
        <w:keepLines w:val="0"/>
        <w:spacing w:line="360" w:lineRule="auto"/>
        <w:rPr>
          <w:rFonts w:ascii="Times New Roman" w:hAnsi="Times New Roman" w:cs="Times New Roman"/>
          <w:color w:val="auto"/>
        </w:rPr>
      </w:pPr>
      <w:bookmarkStart w:id="533" w:name="_Toc13703"/>
      <w:bookmarkStart w:id="534" w:name="_Toc21157"/>
      <w:bookmarkStart w:id="535" w:name="_Toc6540"/>
      <w:bookmarkStart w:id="536" w:name="_Toc15724"/>
      <w:bookmarkStart w:id="537" w:name="_Toc20015"/>
      <w:bookmarkStart w:id="538" w:name="_Toc13911"/>
      <w:bookmarkStart w:id="539" w:name="_Toc7459"/>
      <w:bookmarkStart w:id="540" w:name="_Toc18602_WPSOffice_Level2"/>
      <w:bookmarkStart w:id="541" w:name="_Toc24943_WPSOffice_Level2"/>
      <w:bookmarkStart w:id="542" w:name="_Toc3690"/>
      <w:bookmarkStart w:id="543" w:name="_Toc28762"/>
      <w:bookmarkStart w:id="544" w:name="_Toc26814"/>
      <w:bookmarkStart w:id="545" w:name="_Toc29126"/>
      <w:bookmarkStart w:id="546" w:name="_Toc5570"/>
      <w:bookmarkStart w:id="547" w:name="_Toc28514"/>
      <w:bookmarkStart w:id="548" w:name="_Toc3202"/>
      <w:bookmarkStart w:id="549" w:name="_Toc16089"/>
      <w:bookmarkStart w:id="550" w:name="_Toc26511"/>
      <w:bookmarkStart w:id="551" w:name="_Toc22954"/>
      <w:r>
        <w:rPr>
          <w:rFonts w:hint="eastAsia" w:ascii="Times New Roman" w:hAnsi="Times New Roman" w:cs="Times New Roman"/>
          <w:color w:val="auto"/>
        </w:rPr>
        <w:t>8</w:t>
      </w:r>
      <w:r>
        <w:rPr>
          <w:rFonts w:ascii="Times New Roman" w:hAnsi="Times New Roman" w:cs="Times New Roman"/>
          <w:color w:val="auto"/>
        </w:rPr>
        <w:t>.2环境监测</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9"/>
        <w:keepNext w:val="0"/>
        <w:keepLines w:val="0"/>
        <w:rPr>
          <w:rFonts w:ascii="Times New Roman" w:hAnsi="Times New Roman" w:cs="Times New Roman"/>
          <w:color w:val="auto"/>
        </w:rPr>
      </w:pPr>
      <w:bookmarkStart w:id="552" w:name="_Toc31991"/>
      <w:bookmarkStart w:id="553" w:name="_Toc18641"/>
      <w:bookmarkStart w:id="554" w:name="_Toc3698"/>
      <w:r>
        <w:rPr>
          <w:rFonts w:hint="eastAsia" w:ascii="Times New Roman" w:hAnsi="Times New Roman" w:cs="Times New Roman"/>
          <w:color w:val="auto"/>
        </w:rPr>
        <w:t>8</w:t>
      </w:r>
      <w:r>
        <w:rPr>
          <w:rFonts w:ascii="Times New Roman" w:hAnsi="Times New Roman" w:cs="Times New Roman"/>
          <w:color w:val="auto"/>
        </w:rPr>
        <w:t>.2.1 环境监测的意义</w:t>
      </w:r>
      <w:bookmarkEnd w:id="552"/>
      <w:bookmarkEnd w:id="553"/>
      <w:bookmarkEnd w:id="554"/>
    </w:p>
    <w:p>
      <w:pPr>
        <w:spacing w:line="520" w:lineRule="exact"/>
        <w:jc w:val="left"/>
        <w:rPr>
          <w:rFonts w:ascii="Times New Roman" w:hAnsi="Times New Roman" w:cs="Times New Roman"/>
          <w:color w:val="auto"/>
        </w:rPr>
      </w:pPr>
      <w:r>
        <w:rPr>
          <w:rFonts w:ascii="Times New Roman" w:hAnsi="Times New Roman" w:cs="Times New Roman"/>
          <w:color w:val="auto"/>
        </w:rPr>
        <w:t>环境监测（包括污染源监测）是单位环境保护的重要组成部分，也是单位的一项规范化制度。通过环境监测，进行数据整理分析，建立监测档案，可为污染源治理，掌握污染物排放变化规律提供依据，为上级环保部门进行区域环境规划、管理执法提供依据。同时，环境监测也是单位实现污染物总量控制，做到清洁生产的重要保证手段之一。</w:t>
      </w:r>
    </w:p>
    <w:p>
      <w:pPr>
        <w:pStyle w:val="9"/>
        <w:keepNext w:val="0"/>
        <w:keepLines w:val="0"/>
        <w:rPr>
          <w:rFonts w:ascii="Times New Roman" w:hAnsi="Times New Roman" w:cs="Times New Roman"/>
          <w:color w:val="auto"/>
        </w:rPr>
      </w:pPr>
      <w:bookmarkStart w:id="555" w:name="_Toc10592"/>
      <w:bookmarkStart w:id="556" w:name="_Toc2324"/>
      <w:bookmarkStart w:id="557" w:name="_Toc3651"/>
      <w:r>
        <w:rPr>
          <w:rFonts w:hint="eastAsia" w:ascii="Times New Roman" w:hAnsi="Times New Roman" w:cs="Times New Roman"/>
          <w:color w:val="auto"/>
        </w:rPr>
        <w:t>8</w:t>
      </w:r>
      <w:r>
        <w:rPr>
          <w:rFonts w:ascii="Times New Roman" w:hAnsi="Times New Roman" w:cs="Times New Roman"/>
          <w:color w:val="auto"/>
        </w:rPr>
        <w:t>.2.2 环境监测</w:t>
      </w:r>
      <w:bookmarkEnd w:id="555"/>
      <w:bookmarkEnd w:id="556"/>
      <w:r>
        <w:rPr>
          <w:rFonts w:ascii="Times New Roman" w:hAnsi="Times New Roman" w:cs="Times New Roman"/>
          <w:color w:val="auto"/>
        </w:rPr>
        <w:t>工作</w:t>
      </w:r>
      <w:bookmarkEnd w:id="557"/>
    </w:p>
    <w:p>
      <w:pPr>
        <w:spacing w:line="520" w:lineRule="exact"/>
        <w:jc w:val="left"/>
        <w:rPr>
          <w:rFonts w:ascii="Times New Roman" w:hAnsi="Times New Roman" w:cs="Times New Roman"/>
          <w:color w:val="auto"/>
        </w:rPr>
      </w:pPr>
      <w:r>
        <w:rPr>
          <w:rFonts w:ascii="Times New Roman" w:hAnsi="Times New Roman" w:cs="Times New Roman"/>
          <w:color w:val="auto"/>
        </w:rPr>
        <w:t>本项目运行后，应委托当地有资质的环境监测机构对污染源及周围环境质量定期进行监测。受委托的监测单位应协助医院做好以下工作：</w:t>
      </w:r>
    </w:p>
    <w:p>
      <w:pPr>
        <w:spacing w:line="520" w:lineRule="exact"/>
        <w:jc w:val="left"/>
        <w:rPr>
          <w:rFonts w:ascii="Times New Roman" w:hAnsi="Times New Roman" w:cs="Times New Roman"/>
          <w:color w:val="auto"/>
        </w:rPr>
      </w:pPr>
      <w:r>
        <w:rPr>
          <w:rFonts w:ascii="Times New Roman" w:hAnsi="Times New Roman" w:cs="Times New Roman"/>
          <w:color w:val="auto"/>
        </w:rPr>
        <w:t>（1）为本单位建立污染源档案，对排放的污染源及污染物状况进行日常例行监测，如有污染因子超标，书面要求现场单位查找原因并改正，确保单位能够按照国家和地方法规标准达标排放；</w:t>
      </w:r>
    </w:p>
    <w:p>
      <w:pPr>
        <w:spacing w:line="520" w:lineRule="exact"/>
        <w:jc w:val="left"/>
        <w:rPr>
          <w:rFonts w:ascii="Times New Roman" w:hAnsi="Times New Roman" w:cs="Times New Roman"/>
          <w:color w:val="auto"/>
        </w:rPr>
      </w:pPr>
      <w:r>
        <w:rPr>
          <w:rFonts w:ascii="Times New Roman" w:hAnsi="Times New Roman" w:cs="Times New Roman"/>
          <w:color w:val="auto"/>
        </w:rPr>
        <w:t>（2）参加单位环保设施竣工验收监测和负责污染事故监测及报告；</w:t>
      </w:r>
    </w:p>
    <w:p>
      <w:pPr>
        <w:spacing w:line="520" w:lineRule="exact"/>
        <w:jc w:val="left"/>
        <w:rPr>
          <w:rFonts w:ascii="Times New Roman" w:hAnsi="Times New Roman" w:cs="Times New Roman"/>
          <w:color w:val="auto"/>
        </w:rPr>
      </w:pPr>
      <w:r>
        <w:rPr>
          <w:rFonts w:ascii="Times New Roman" w:hAnsi="Times New Roman" w:cs="Times New Roman"/>
          <w:color w:val="auto"/>
        </w:rPr>
        <w:t>（3）根据国家和地方颁布的环境质量标准、废气排放标准，制定本单位的监测计划和工作方案；</w:t>
      </w:r>
    </w:p>
    <w:p>
      <w:pPr>
        <w:spacing w:line="520" w:lineRule="exact"/>
        <w:jc w:val="left"/>
        <w:rPr>
          <w:rFonts w:ascii="Times New Roman" w:hAnsi="Times New Roman" w:cs="Times New Roman"/>
          <w:color w:val="auto"/>
        </w:rPr>
      </w:pPr>
      <w:r>
        <w:rPr>
          <w:rFonts w:ascii="Times New Roman" w:hAnsi="Times New Roman" w:cs="Times New Roman"/>
          <w:color w:val="auto"/>
        </w:rPr>
        <w:t>（4）定期向生态环境行政主管部门及其它有关部门报送环境监测数据。</w:t>
      </w:r>
    </w:p>
    <w:p>
      <w:pPr>
        <w:pStyle w:val="9"/>
        <w:keepNext w:val="0"/>
        <w:keepLines w:val="0"/>
        <w:rPr>
          <w:rFonts w:ascii="Times New Roman" w:hAnsi="Times New Roman" w:cs="Times New Roman"/>
          <w:color w:val="auto"/>
        </w:rPr>
      </w:pPr>
      <w:bookmarkStart w:id="558" w:name="_Toc8960"/>
      <w:bookmarkStart w:id="559" w:name="_Toc10126"/>
      <w:bookmarkStart w:id="560" w:name="_Toc18037"/>
      <w:r>
        <w:rPr>
          <w:rFonts w:hint="eastAsia" w:ascii="Times New Roman" w:hAnsi="Times New Roman" w:cs="Times New Roman"/>
          <w:color w:val="auto"/>
        </w:rPr>
        <w:t>8</w:t>
      </w:r>
      <w:r>
        <w:rPr>
          <w:rFonts w:ascii="Times New Roman" w:hAnsi="Times New Roman" w:cs="Times New Roman"/>
          <w:color w:val="auto"/>
        </w:rPr>
        <w:t>.2.3 环境监测</w:t>
      </w:r>
      <w:bookmarkEnd w:id="558"/>
      <w:bookmarkEnd w:id="559"/>
      <w:r>
        <w:rPr>
          <w:rFonts w:ascii="Times New Roman" w:hAnsi="Times New Roman" w:cs="Times New Roman"/>
          <w:color w:val="auto"/>
        </w:rPr>
        <w:t>计划</w:t>
      </w:r>
      <w:bookmarkEnd w:id="560"/>
    </w:p>
    <w:p>
      <w:pPr>
        <w:spacing w:line="520" w:lineRule="exact"/>
        <w:rPr>
          <w:rFonts w:ascii="Times New Roman" w:hAnsi="Times New Roman" w:cs="Times New Roman"/>
          <w:color w:val="auto"/>
        </w:rPr>
      </w:pPr>
      <w:r>
        <w:rPr>
          <w:rFonts w:ascii="Times New Roman" w:hAnsi="Times New Roman" w:cs="Times New Roman"/>
          <w:color w:val="auto"/>
        </w:rPr>
        <w:t>根据</w:t>
      </w:r>
      <w:r>
        <w:rPr>
          <w:rFonts w:hint="eastAsia" w:ascii="Times New Roman" w:hAnsi="Times New Roman" w:cs="Times New Roman"/>
          <w:color w:val="auto"/>
          <w:lang w:eastAsia="zh-CN"/>
        </w:rPr>
        <w:t>《排污许可证申请与核发技术规范</w:t>
      </w:r>
      <w:r>
        <w:rPr>
          <w:rFonts w:hint="eastAsia" w:ascii="Times New Roman" w:hAnsi="Times New Roman" w:cs="Times New Roman"/>
          <w:color w:val="auto"/>
          <w:lang w:val="en-US" w:eastAsia="zh-CN"/>
        </w:rPr>
        <w:t xml:space="preserve"> 医疗机构》（HJ 1105—2020），结合本项目</w:t>
      </w:r>
      <w:r>
        <w:rPr>
          <w:rFonts w:ascii="Times New Roman" w:hAnsi="Times New Roman" w:cs="Times New Roman"/>
          <w:color w:val="auto"/>
        </w:rPr>
        <w:t>污染物的排放特征，依据国家颁布的环境质量标准，污染物排放标准及地方环保部门的要求，制定拟建工程的监测计划和工作方案，监测工作可委托有资质的检（监）测机构承担。本项目污染物监测计划详见表</w:t>
      </w:r>
      <w:r>
        <w:rPr>
          <w:rFonts w:hint="eastAsia" w:ascii="Times New Roman" w:hAnsi="Times New Roman" w:cs="Times New Roman"/>
          <w:color w:val="auto"/>
        </w:rPr>
        <w:t>8.2</w:t>
      </w:r>
      <w:r>
        <w:rPr>
          <w:rFonts w:ascii="Times New Roman" w:hAnsi="Times New Roman" w:cs="Times New Roman"/>
          <w:color w:val="auto"/>
        </w:rPr>
        <w:t>-1。</w:t>
      </w:r>
    </w:p>
    <w:p>
      <w:pPr>
        <w:pStyle w:val="35"/>
        <w:spacing w:before="0" w:after="0" w:line="520" w:lineRule="exact"/>
        <w:rPr>
          <w:rFonts w:cs="Times New Roman"/>
          <w:color w:val="auto"/>
        </w:rPr>
      </w:pPr>
      <w:r>
        <w:rPr>
          <w:rFonts w:cs="Times New Roman"/>
          <w:color w:val="auto"/>
        </w:rPr>
        <w:t>表</w:t>
      </w:r>
      <w:r>
        <w:rPr>
          <w:rFonts w:hint="eastAsia" w:cs="Times New Roman"/>
          <w:color w:val="auto"/>
        </w:rPr>
        <w:t>8.2</w:t>
      </w:r>
      <w:r>
        <w:rPr>
          <w:rFonts w:cs="Times New Roman"/>
          <w:color w:val="auto"/>
        </w:rPr>
        <w:t>-1   污染物排放监控计划</w:t>
      </w:r>
    </w:p>
    <w:tbl>
      <w:tblPr>
        <w:tblStyle w:val="24"/>
        <w:tblW w:w="511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73"/>
        <w:gridCol w:w="2058"/>
        <w:gridCol w:w="4279"/>
        <w:gridCol w:w="14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污染源</w:t>
            </w:r>
          </w:p>
        </w:tc>
        <w:tc>
          <w:tcPr>
            <w:tcW w:w="120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监测对象</w:t>
            </w:r>
          </w:p>
        </w:tc>
        <w:tc>
          <w:tcPr>
            <w:tcW w:w="251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监测项目</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b/>
                <w:bCs/>
                <w:color w:val="auto"/>
              </w:rPr>
            </w:pPr>
            <w:r>
              <w:rPr>
                <w:rFonts w:ascii="Times New Roman" w:hAnsi="Times New Roman" w:cs="Times New Roman"/>
                <w:b/>
                <w:bCs/>
                <w:color w:val="auto"/>
              </w:rPr>
              <w:t>监测频率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vMerge w:val="restart"/>
            <w:tcBorders>
              <w:top w:val="single" w:color="auto" w:sz="4" w:space="0"/>
              <w:left w:val="single" w:color="auto" w:sz="4" w:space="0"/>
              <w:right w:val="single" w:color="auto" w:sz="4" w:space="0"/>
            </w:tcBorders>
            <w:vAlign w:val="center"/>
          </w:tcPr>
          <w:p>
            <w:pPr>
              <w:pStyle w:val="36"/>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废水</w:t>
            </w:r>
          </w:p>
        </w:tc>
        <w:tc>
          <w:tcPr>
            <w:tcW w:w="1209" w:type="pct"/>
            <w:vMerge w:val="restart"/>
            <w:tcBorders>
              <w:top w:val="single" w:color="auto" w:sz="4" w:space="0"/>
              <w:left w:val="single" w:color="auto" w:sz="4" w:space="0"/>
              <w:right w:val="single" w:color="auto" w:sz="4" w:space="0"/>
            </w:tcBorders>
            <w:vAlign w:val="center"/>
          </w:tcPr>
          <w:p>
            <w:pPr>
              <w:pStyle w:val="36"/>
              <w:ind w:firstLine="0" w:firstLineChars="0"/>
              <w:rPr>
                <w:rFonts w:ascii="Times New Roman" w:hAnsi="Times New Roman" w:eastAsia="宋体" w:cs="Times New Roman"/>
                <w:color w:val="auto"/>
                <w:kern w:val="2"/>
                <w:sz w:val="21"/>
                <w:szCs w:val="24"/>
                <w:lang w:val="en-US" w:eastAsia="zh-CN" w:bidi="ar-SA"/>
              </w:rPr>
            </w:pPr>
            <w:r>
              <w:rPr>
                <w:rFonts w:ascii="Times New Roman" w:hAnsi="Times New Roman" w:cs="Times New Roman"/>
                <w:color w:val="auto"/>
              </w:rPr>
              <w:t>污水处理站出水口</w:t>
            </w:r>
          </w:p>
        </w:tc>
        <w:tc>
          <w:tcPr>
            <w:tcW w:w="2513" w:type="pc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流量</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自动监测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vMerge w:val="continue"/>
            <w:tcBorders>
              <w:left w:val="single" w:color="auto" w:sz="4" w:space="0"/>
              <w:right w:val="single" w:color="auto" w:sz="4" w:space="0"/>
            </w:tcBorders>
            <w:vAlign w:val="center"/>
          </w:tcPr>
          <w:p>
            <w:pPr>
              <w:pStyle w:val="36"/>
              <w:rPr>
                <w:rFonts w:hint="eastAsia" w:ascii="Times New Roman" w:hAnsi="Times New Roman" w:cs="Times New Roman"/>
                <w:color w:val="auto"/>
                <w:lang w:val="en-US" w:eastAsia="zh-CN"/>
              </w:rPr>
            </w:pPr>
          </w:p>
        </w:tc>
        <w:tc>
          <w:tcPr>
            <w:tcW w:w="1209" w:type="pct"/>
            <w:vMerge w:val="continue"/>
            <w:tcBorders>
              <w:left w:val="single" w:color="auto" w:sz="4" w:space="0"/>
              <w:right w:val="single" w:color="auto" w:sz="4" w:space="0"/>
            </w:tcBorders>
            <w:vAlign w:val="center"/>
          </w:tcPr>
          <w:p>
            <w:pPr>
              <w:pStyle w:val="36"/>
              <w:ind w:firstLine="0" w:firstLineChars="0"/>
              <w:rPr>
                <w:rFonts w:ascii="Times New Roman" w:hAnsi="Times New Roman" w:cs="Times New Roman"/>
                <w:color w:val="auto"/>
              </w:rPr>
            </w:pPr>
          </w:p>
        </w:tc>
        <w:tc>
          <w:tcPr>
            <w:tcW w:w="2513" w:type="pc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pH</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12小时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vMerge w:val="continue"/>
            <w:tcBorders>
              <w:left w:val="single" w:color="auto" w:sz="4" w:space="0"/>
              <w:right w:val="single" w:color="auto" w:sz="4" w:space="0"/>
            </w:tcBorders>
            <w:vAlign w:val="center"/>
          </w:tcPr>
          <w:p>
            <w:pPr>
              <w:pStyle w:val="36"/>
              <w:rPr>
                <w:rFonts w:hint="eastAsia" w:ascii="Times New Roman" w:hAnsi="Times New Roman" w:cs="Times New Roman"/>
                <w:color w:val="auto"/>
                <w:lang w:val="en-US" w:eastAsia="zh-CN"/>
              </w:rPr>
            </w:pPr>
          </w:p>
        </w:tc>
        <w:tc>
          <w:tcPr>
            <w:tcW w:w="1209" w:type="pct"/>
            <w:vMerge w:val="continue"/>
            <w:tcBorders>
              <w:left w:val="single" w:color="auto" w:sz="4" w:space="0"/>
              <w:right w:val="single" w:color="auto" w:sz="4" w:space="0"/>
            </w:tcBorders>
            <w:vAlign w:val="center"/>
          </w:tcPr>
          <w:p>
            <w:pPr>
              <w:pStyle w:val="36"/>
              <w:ind w:firstLine="0" w:firstLineChars="0"/>
              <w:rPr>
                <w:rFonts w:ascii="Times New Roman" w:hAnsi="Times New Roman" w:cs="Times New Roman"/>
                <w:color w:val="auto"/>
              </w:rPr>
            </w:pPr>
          </w:p>
        </w:tc>
        <w:tc>
          <w:tcPr>
            <w:tcW w:w="2513" w:type="pc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ascii="Times New Roman" w:hAnsi="Times New Roman" w:cs="Times New Roman"/>
                <w:color w:val="auto"/>
              </w:rPr>
            </w:pPr>
            <w:r>
              <w:rPr>
                <w:rFonts w:hint="eastAsia" w:ascii="Times New Roman" w:hAnsi="Times New Roman" w:cs="Times New Roman"/>
                <w:color w:val="auto"/>
              </w:rPr>
              <w:t>化学需氧量、悬浮物</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vMerge w:val="continue"/>
            <w:tcBorders>
              <w:left w:val="single" w:color="auto" w:sz="4" w:space="0"/>
              <w:right w:val="single" w:color="auto" w:sz="4" w:space="0"/>
            </w:tcBorders>
            <w:vAlign w:val="center"/>
          </w:tcPr>
          <w:p>
            <w:pPr>
              <w:pStyle w:val="36"/>
              <w:rPr>
                <w:rFonts w:hint="eastAsia" w:ascii="Times New Roman" w:hAnsi="Times New Roman" w:cs="Times New Roman"/>
                <w:color w:val="auto"/>
                <w:lang w:val="en-US" w:eastAsia="zh-CN"/>
              </w:rPr>
            </w:pPr>
          </w:p>
        </w:tc>
        <w:tc>
          <w:tcPr>
            <w:tcW w:w="1209" w:type="pct"/>
            <w:vMerge w:val="continue"/>
            <w:tcBorders>
              <w:left w:val="single" w:color="auto" w:sz="4" w:space="0"/>
              <w:right w:val="single" w:color="auto" w:sz="4" w:space="0"/>
            </w:tcBorders>
            <w:vAlign w:val="center"/>
          </w:tcPr>
          <w:p>
            <w:pPr>
              <w:pStyle w:val="36"/>
              <w:ind w:firstLine="0" w:firstLineChars="0"/>
              <w:rPr>
                <w:rFonts w:ascii="Times New Roman" w:hAnsi="Times New Roman" w:cs="Times New Roman"/>
                <w:color w:val="auto"/>
              </w:rPr>
            </w:pPr>
          </w:p>
        </w:tc>
        <w:tc>
          <w:tcPr>
            <w:tcW w:w="2513" w:type="pc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ascii="Times New Roman" w:hAnsi="Times New Roman" w:cs="Times New Roman"/>
                <w:color w:val="auto"/>
              </w:rPr>
            </w:pPr>
            <w:r>
              <w:rPr>
                <w:rFonts w:hint="eastAsia" w:ascii="Times New Roman" w:hAnsi="Times New Roman" w:cs="Times New Roman"/>
                <w:color w:val="auto"/>
              </w:rPr>
              <w:t>粪大肠菌群数</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vMerge w:val="continue"/>
            <w:tcBorders>
              <w:left w:val="single" w:color="auto" w:sz="4" w:space="0"/>
              <w:bottom w:val="single" w:color="auto" w:sz="4" w:space="0"/>
              <w:right w:val="single" w:color="auto" w:sz="4" w:space="0"/>
            </w:tcBorders>
            <w:vAlign w:val="center"/>
          </w:tcPr>
          <w:p>
            <w:pPr>
              <w:pStyle w:val="36"/>
              <w:rPr>
                <w:rFonts w:hint="eastAsia" w:ascii="Times New Roman" w:hAnsi="Times New Roman" w:cs="Times New Roman"/>
                <w:color w:val="auto"/>
                <w:lang w:val="en-US" w:eastAsia="zh-CN"/>
              </w:rPr>
            </w:pPr>
          </w:p>
        </w:tc>
        <w:tc>
          <w:tcPr>
            <w:tcW w:w="1209" w:type="pct"/>
            <w:vMerge w:val="continue"/>
            <w:tcBorders>
              <w:left w:val="single" w:color="auto" w:sz="4" w:space="0"/>
              <w:bottom w:val="single" w:color="auto" w:sz="4" w:space="0"/>
              <w:right w:val="single" w:color="auto" w:sz="4" w:space="0"/>
            </w:tcBorders>
            <w:vAlign w:val="center"/>
          </w:tcPr>
          <w:p>
            <w:pPr>
              <w:pStyle w:val="36"/>
              <w:ind w:firstLine="0" w:firstLineChars="0"/>
              <w:rPr>
                <w:rFonts w:ascii="Times New Roman" w:hAnsi="Times New Roman" w:cs="Times New Roman"/>
                <w:color w:val="auto"/>
              </w:rPr>
            </w:pPr>
          </w:p>
        </w:tc>
        <w:tc>
          <w:tcPr>
            <w:tcW w:w="2513" w:type="pc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ascii="Times New Roman" w:hAnsi="Times New Roman" w:cs="Times New Roman"/>
                <w:color w:val="auto"/>
              </w:rPr>
            </w:pPr>
            <w:r>
              <w:rPr>
                <w:rFonts w:hint="eastAsia" w:ascii="Times New Roman" w:hAnsi="Times New Roman" w:cs="Times New Roman"/>
                <w:color w:val="auto"/>
              </w:rPr>
              <w:t>结核杆菌、五日生化需氧量、石油类、挥发酚、动植物油、阴离子表面活性剂、总氰化物</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季度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vMerge w:val="restar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废气</w:t>
            </w:r>
          </w:p>
        </w:tc>
        <w:tc>
          <w:tcPr>
            <w:tcW w:w="120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厂界</w:t>
            </w:r>
          </w:p>
        </w:tc>
        <w:tc>
          <w:tcPr>
            <w:tcW w:w="2513" w:type="pct"/>
            <w:tcBorders>
              <w:top w:val="single" w:color="auto" w:sz="4" w:space="0"/>
              <w:left w:val="single" w:color="auto" w:sz="4" w:space="0"/>
              <w:bottom w:val="single" w:color="auto" w:sz="4" w:space="0"/>
              <w:right w:val="single" w:color="auto" w:sz="4" w:space="0"/>
            </w:tcBorders>
            <w:vAlign w:val="center"/>
          </w:tcPr>
          <w:p>
            <w:pPr>
              <w:pStyle w:val="36"/>
              <w:rPr>
                <w:rFonts w:hint="eastAsia" w:ascii="Times New Roman" w:hAnsi="Times New Roman" w:eastAsia="宋体" w:cs="Times New Roman"/>
                <w:color w:val="auto"/>
                <w:lang w:eastAsia="zh-CN"/>
              </w:rPr>
            </w:pP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、H</w:t>
            </w:r>
            <w:r>
              <w:rPr>
                <w:rFonts w:ascii="Times New Roman" w:hAnsi="Times New Roman" w:cs="Times New Roman"/>
                <w:color w:val="auto"/>
                <w:vertAlign w:val="subscript"/>
              </w:rPr>
              <w:t>2</w:t>
            </w:r>
            <w:r>
              <w:rPr>
                <w:rFonts w:ascii="Times New Roman" w:hAnsi="Times New Roman" w:cs="Times New Roman"/>
                <w:color w:val="auto"/>
              </w:rPr>
              <w:t>S</w:t>
            </w:r>
            <w:r>
              <w:rPr>
                <w:rFonts w:hint="eastAsia" w:ascii="Times New Roman" w:hAnsi="Times New Roman" w:cs="Times New Roman"/>
                <w:color w:val="auto"/>
                <w:lang w:eastAsia="zh-CN"/>
              </w:rPr>
              <w:t>、臭气浓度、氯气、甲烷</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季度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vMerge w:val="continue"/>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p>
        </w:tc>
        <w:tc>
          <w:tcPr>
            <w:tcW w:w="120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污水处理站废气排口</w:t>
            </w:r>
          </w:p>
        </w:tc>
        <w:tc>
          <w:tcPr>
            <w:tcW w:w="2513" w:type="pct"/>
            <w:tcBorders>
              <w:top w:val="single" w:color="auto" w:sz="4" w:space="0"/>
              <w:left w:val="single" w:color="auto" w:sz="4" w:space="0"/>
              <w:bottom w:val="single" w:color="auto" w:sz="4" w:space="0"/>
              <w:right w:val="single" w:color="auto" w:sz="4" w:space="0"/>
            </w:tcBorders>
            <w:vAlign w:val="center"/>
          </w:tcPr>
          <w:p>
            <w:pPr>
              <w:pStyle w:val="36"/>
              <w:rPr>
                <w:rFonts w:hint="default" w:ascii="Times New Roman" w:hAnsi="Times New Roman" w:eastAsia="宋体" w:cs="Times New Roman"/>
                <w:color w:val="auto"/>
                <w:lang w:val="en-US" w:eastAsia="zh-CN"/>
              </w:rPr>
            </w:pPr>
            <w:r>
              <w:rPr>
                <w:rFonts w:ascii="Times New Roman" w:hAnsi="Times New Roman" w:cs="Times New Roman"/>
                <w:color w:val="auto"/>
              </w:rPr>
              <w:t>NH</w:t>
            </w:r>
            <w:r>
              <w:rPr>
                <w:rFonts w:ascii="Times New Roman" w:hAnsi="Times New Roman" w:cs="Times New Roman"/>
                <w:color w:val="auto"/>
                <w:vertAlign w:val="subscript"/>
              </w:rPr>
              <w:t>3</w:t>
            </w:r>
            <w:r>
              <w:rPr>
                <w:rFonts w:ascii="Times New Roman" w:hAnsi="Times New Roman" w:cs="Times New Roman"/>
                <w:color w:val="auto"/>
              </w:rPr>
              <w:t>、H</w:t>
            </w:r>
            <w:r>
              <w:rPr>
                <w:rFonts w:ascii="Times New Roman" w:hAnsi="Times New Roman" w:cs="Times New Roman"/>
                <w:color w:val="auto"/>
                <w:vertAlign w:val="subscript"/>
              </w:rPr>
              <w:t>2</w:t>
            </w:r>
            <w:r>
              <w:rPr>
                <w:rFonts w:ascii="Times New Roman" w:hAnsi="Times New Roman" w:cs="Times New Roman"/>
                <w:color w:val="auto"/>
              </w:rPr>
              <w:t>S</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臭气浓度</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hint="eastAsia" w:ascii="Times New Roman" w:hAnsi="Times New Roman" w:cs="Times New Roman"/>
                <w:color w:val="auto"/>
                <w:lang w:val="en-US" w:eastAsia="zh-CN"/>
              </w:rPr>
              <w:t>季度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trPr>
        <w:tc>
          <w:tcPr>
            <w:tcW w:w="454"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噪声</w:t>
            </w:r>
          </w:p>
        </w:tc>
        <w:tc>
          <w:tcPr>
            <w:tcW w:w="1209"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厂界</w:t>
            </w:r>
          </w:p>
        </w:tc>
        <w:tc>
          <w:tcPr>
            <w:tcW w:w="251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等效A声级</w:t>
            </w:r>
          </w:p>
        </w:tc>
        <w:tc>
          <w:tcPr>
            <w:tcW w:w="823" w:type="pct"/>
            <w:tcBorders>
              <w:top w:val="single" w:color="auto" w:sz="4" w:space="0"/>
              <w:left w:val="single" w:color="auto" w:sz="4" w:space="0"/>
              <w:bottom w:val="single" w:color="auto" w:sz="4" w:space="0"/>
              <w:right w:val="single" w:color="auto" w:sz="4" w:space="0"/>
            </w:tcBorders>
            <w:vAlign w:val="center"/>
          </w:tcPr>
          <w:p>
            <w:pPr>
              <w:pStyle w:val="36"/>
              <w:rPr>
                <w:rFonts w:ascii="Times New Roman" w:hAnsi="Times New Roman" w:cs="Times New Roman"/>
                <w:color w:val="auto"/>
              </w:rPr>
            </w:pPr>
            <w:r>
              <w:rPr>
                <w:rFonts w:ascii="Times New Roman" w:hAnsi="Times New Roman" w:cs="Times New Roman"/>
                <w:color w:val="auto"/>
              </w:rPr>
              <w:t>半年一次</w:t>
            </w:r>
          </w:p>
        </w:tc>
      </w:tr>
    </w:tbl>
    <w:p>
      <w:pPr>
        <w:spacing w:line="520" w:lineRule="exact"/>
        <w:rPr>
          <w:rFonts w:ascii="Times New Roman" w:hAnsi="Times New Roman" w:cs="Times New Roman"/>
          <w:color w:val="auto"/>
        </w:rPr>
      </w:pPr>
      <w:r>
        <w:rPr>
          <w:rFonts w:ascii="Times New Roman" w:hAnsi="Times New Roman" w:cs="Times New Roman"/>
          <w:color w:val="auto"/>
        </w:rPr>
        <w:t>上述各监测项目的监测计划应严格按照国家有关监测技术规范执行。本项目建成投产验收时污染监测和正常运营期间定期污染监测工作可委托相应环境监测部门定期进行，并将监测结果上报昌吉州生态环境局吉木萨尔县分局。</w:t>
      </w:r>
    </w:p>
    <w:p>
      <w:pPr>
        <w:pStyle w:val="9"/>
        <w:rPr>
          <w:rFonts w:ascii="Times New Roman" w:hAnsi="Times New Roman" w:cs="Times New Roman"/>
          <w:color w:val="auto"/>
        </w:rPr>
      </w:pPr>
      <w:bookmarkStart w:id="561" w:name="_Toc25885"/>
      <w:bookmarkStart w:id="562" w:name="_Toc6155"/>
      <w:bookmarkStart w:id="563" w:name="_Toc20749"/>
      <w:bookmarkStart w:id="564" w:name="_Toc10558"/>
      <w:bookmarkStart w:id="565" w:name="_Toc31364"/>
      <w:bookmarkStart w:id="566" w:name="_Toc27928"/>
      <w:bookmarkStart w:id="567" w:name="_Toc11544"/>
      <w:bookmarkStart w:id="568" w:name="_Toc16556"/>
      <w:bookmarkStart w:id="569" w:name="_Toc17288"/>
      <w:bookmarkStart w:id="570" w:name="_Toc26460"/>
      <w:bookmarkStart w:id="571" w:name="_Toc27707"/>
      <w:bookmarkStart w:id="572" w:name="_Toc9564_WPSOffice_Level2"/>
      <w:bookmarkStart w:id="573" w:name="_Toc10583"/>
      <w:bookmarkStart w:id="574" w:name="_Toc31152"/>
      <w:bookmarkStart w:id="575" w:name="_Toc3400"/>
      <w:bookmarkStart w:id="576" w:name="_Toc30509"/>
      <w:bookmarkStart w:id="577" w:name="_Toc21778"/>
      <w:r>
        <w:rPr>
          <w:rFonts w:hint="eastAsia" w:ascii="Times New Roman" w:hAnsi="Times New Roman" w:cs="Times New Roman"/>
          <w:color w:val="auto"/>
        </w:rPr>
        <w:t>8</w:t>
      </w:r>
      <w:r>
        <w:rPr>
          <w:rFonts w:ascii="Times New Roman" w:hAnsi="Times New Roman" w:cs="Times New Roman"/>
          <w:color w:val="auto"/>
        </w:rPr>
        <w:t>.2.4 污染物排放口规范化</w:t>
      </w:r>
      <w:bookmarkEnd w:id="561"/>
    </w:p>
    <w:p>
      <w:pPr>
        <w:widowControl/>
        <w:spacing w:line="520" w:lineRule="exact"/>
        <w:rPr>
          <w:rFonts w:ascii="Times New Roman" w:hAnsi="Times New Roman" w:cs="Times New Roman"/>
          <w:color w:val="auto"/>
        </w:rPr>
      </w:pPr>
      <w:r>
        <w:rPr>
          <w:rFonts w:ascii="Times New Roman" w:hAnsi="Times New Roman" w:cs="Times New Roman"/>
          <w:color w:val="auto"/>
        </w:rPr>
        <w:t>本项目应按《环境保护图形标志—排放口（源）》（GB15562.1-1995）规定的图形，在各气、危废、声排污口（源）挂牌标识，做到各排污口（源）的环</w:t>
      </w:r>
      <w:r>
        <w:rPr>
          <w:rFonts w:ascii="Times New Roman" w:hAnsi="Times New Roman" w:cs="Times New Roman"/>
          <w:color w:val="auto"/>
          <w:spacing w:val="-6"/>
        </w:rPr>
        <w:t>保标志明显，便于单位管理和公众监督。环境保护图形标志具体设置图形祥见表</w:t>
      </w:r>
      <w:r>
        <w:rPr>
          <w:rFonts w:hint="eastAsia" w:ascii="Times New Roman" w:hAnsi="Times New Roman" w:cs="Times New Roman"/>
          <w:color w:val="auto"/>
          <w:spacing w:val="-6"/>
        </w:rPr>
        <w:t>8.2</w:t>
      </w:r>
      <w:r>
        <w:rPr>
          <w:rFonts w:ascii="Times New Roman" w:hAnsi="Times New Roman" w:cs="Times New Roman"/>
          <w:color w:val="auto"/>
          <w:spacing w:val="-6"/>
        </w:rPr>
        <w:t>-2。</w:t>
      </w:r>
    </w:p>
    <w:p>
      <w:pPr>
        <w:pStyle w:val="35"/>
        <w:spacing w:line="520" w:lineRule="exact"/>
        <w:rPr>
          <w:rFonts w:cs="Times New Roman"/>
          <w:color w:val="auto"/>
        </w:rPr>
      </w:pPr>
      <w:r>
        <w:rPr>
          <w:rFonts w:cs="Times New Roman"/>
          <w:color w:val="auto"/>
        </w:rPr>
        <w:t>表</w:t>
      </w:r>
      <w:r>
        <w:rPr>
          <w:rFonts w:hint="eastAsia" w:cs="Times New Roman"/>
          <w:color w:val="auto"/>
        </w:rPr>
        <w:t>8.2</w:t>
      </w:r>
      <w:r>
        <w:rPr>
          <w:rFonts w:cs="Times New Roman"/>
          <w:color w:val="auto"/>
        </w:rPr>
        <w:t>-2   环境保护图形标志设置图形表</w:t>
      </w:r>
    </w:p>
    <w:p>
      <w:pPr>
        <w:widowControl/>
        <w:ind w:firstLine="0" w:firstLineChars="0"/>
        <w:rPr>
          <w:rFonts w:ascii="Times New Roman" w:hAnsi="Times New Roman" w:cs="Times New Roman"/>
          <w:color w:val="auto"/>
        </w:rPr>
      </w:pPr>
      <w:r>
        <w:rPr>
          <w:rFonts w:ascii="Times New Roman" w:hAnsi="Times New Roman" w:cs="Times New Roman"/>
          <w:color w:val="auto"/>
        </w:rPr>
        <w:drawing>
          <wp:inline distT="0" distB="0" distL="114300" distR="114300">
            <wp:extent cx="5426075" cy="1612900"/>
            <wp:effectExtent l="0" t="0" r="3175" b="6350"/>
            <wp:docPr id="11" name="图片 4" descr="QQ截图2015062922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QQ截图20150629221827"/>
                    <pic:cNvPicPr>
                      <a:picLocks noChangeAspect="1"/>
                    </pic:cNvPicPr>
                  </pic:nvPicPr>
                  <pic:blipFill>
                    <a:blip r:embed="rId31"/>
                    <a:srcRect l="1059" t="1802" r="595"/>
                    <a:stretch>
                      <a:fillRect/>
                    </a:stretch>
                  </pic:blipFill>
                  <pic:spPr>
                    <a:xfrm>
                      <a:off x="0" y="0"/>
                      <a:ext cx="5426075" cy="1612900"/>
                    </a:xfrm>
                    <a:prstGeom prst="rect">
                      <a:avLst/>
                    </a:prstGeom>
                    <a:noFill/>
                    <a:ln>
                      <a:noFill/>
                    </a:ln>
                  </pic:spPr>
                </pic:pic>
              </a:graphicData>
            </a:graphic>
          </wp:inline>
        </w:drawing>
      </w:r>
    </w:p>
    <w:p>
      <w:pPr>
        <w:spacing w:line="520" w:lineRule="exact"/>
        <w:rPr>
          <w:rFonts w:ascii="Times New Roman" w:hAnsi="Times New Roman" w:cs="Times New Roman"/>
          <w:color w:val="auto"/>
        </w:rPr>
      </w:pPr>
      <w:r>
        <w:rPr>
          <w:rFonts w:ascii="Times New Roman" w:hAnsi="Times New Roman" w:cs="Times New Roman"/>
          <w:color w:val="auto"/>
        </w:rPr>
        <w:t>污染物排放口的环保图形标志牌应设置在靠近采样点的醒目位置处，标志牌设置高度为其上缘距地面约2m。</w:t>
      </w:r>
    </w:p>
    <w:p>
      <w:pPr>
        <w:spacing w:line="520" w:lineRule="exact"/>
        <w:rPr>
          <w:rFonts w:ascii="Times New Roman" w:hAnsi="Times New Roman" w:cs="Times New Roman"/>
          <w:color w:val="auto"/>
        </w:rPr>
      </w:pPr>
      <w:r>
        <w:rPr>
          <w:rFonts w:ascii="Times New Roman" w:hAnsi="Times New Roman" w:cs="Times New Roman"/>
          <w:color w:val="auto"/>
        </w:rPr>
        <w:t>重点排污单位的污染物排放口或固体废物贮存处置场地以设置立式标志牌为主，一般排污单位的污染物排放口或固体废物贮存处置场地可以根据情况设置立式或平面固定式标志牌。一般污染物排放口或固体废物贮存堆放场地设置提示性环境保护图形标志牌。</w:t>
      </w:r>
    </w:p>
    <w:p>
      <w:pPr>
        <w:widowControl/>
        <w:ind w:firstLine="0" w:firstLineChars="0"/>
        <w:jc w:val="left"/>
        <w:rPr>
          <w:rFonts w:ascii="Times New Roman" w:hAnsi="Times New Roman" w:cs="Times New Roman"/>
          <w:b/>
          <w:color w:val="auto"/>
          <w:kern w:val="0"/>
          <w:sz w:val="28"/>
          <w:szCs w:val="28"/>
        </w:rPr>
      </w:pPr>
      <w:r>
        <w:rPr>
          <w:rFonts w:hint="eastAsia" w:ascii="Times New Roman" w:hAnsi="Times New Roman" w:cs="Times New Roman"/>
          <w:b/>
          <w:color w:val="auto"/>
          <w:kern w:val="0"/>
          <w:sz w:val="28"/>
          <w:szCs w:val="28"/>
        </w:rPr>
        <w:t>8</w:t>
      </w:r>
      <w:r>
        <w:rPr>
          <w:rFonts w:ascii="Times New Roman" w:hAnsi="Times New Roman" w:cs="Times New Roman"/>
          <w:b/>
          <w:color w:val="auto"/>
          <w:kern w:val="0"/>
          <w:sz w:val="28"/>
          <w:szCs w:val="28"/>
        </w:rPr>
        <w:t>.2.5污染物排放信息</w:t>
      </w:r>
    </w:p>
    <w:p>
      <w:pPr>
        <w:widowControl/>
        <w:spacing w:line="520" w:lineRule="exact"/>
        <w:jc w:val="left"/>
        <w:rPr>
          <w:rFonts w:ascii="Times New Roman" w:hAnsi="Times New Roman" w:cs="Times New Roman"/>
          <w:color w:val="auto"/>
        </w:rPr>
      </w:pPr>
      <w:r>
        <w:rPr>
          <w:rFonts w:ascii="Times New Roman" w:hAnsi="Times New Roman" w:cs="Times New Roman"/>
          <w:color w:val="auto"/>
        </w:rPr>
        <w:t>本项目污染物排放信息见表</w:t>
      </w:r>
      <w:r>
        <w:rPr>
          <w:rFonts w:hint="eastAsia" w:ascii="Times New Roman" w:hAnsi="Times New Roman" w:cs="Times New Roman"/>
          <w:color w:val="auto"/>
        </w:rPr>
        <w:t>8.2</w:t>
      </w:r>
      <w:r>
        <w:rPr>
          <w:rFonts w:ascii="Times New Roman" w:hAnsi="Times New Roman" w:cs="Times New Roman"/>
          <w:color w:val="auto"/>
        </w:rPr>
        <w:t>-3。排放口信息按照根据国家标准《环境保护图形标志排放口（源）》和国家环保总局《排污口规范化整治要求（试行）》的文件要求进行设置，本项目废气经</w:t>
      </w:r>
      <w:r>
        <w:rPr>
          <w:rFonts w:ascii="Times New Roman" w:hAnsi="Times New Roman" w:cs="Times New Roman"/>
          <w:color w:val="auto"/>
          <w:lang w:val="zh-CN"/>
        </w:rPr>
        <w:t>光氧催化废气处理一体机处理后</w:t>
      </w:r>
      <w:r>
        <w:rPr>
          <w:rFonts w:ascii="Times New Roman" w:hAnsi="Times New Roman" w:cs="Times New Roman"/>
          <w:color w:val="auto"/>
        </w:rPr>
        <w:t>集中排放，生产废水经二级沉淀后全部回用不外排，生活废水中食堂废水经隔油池处理后与其他生活废水一起排入下水管网。</w:t>
      </w:r>
    </w:p>
    <w:p>
      <w:pPr>
        <w:pStyle w:val="35"/>
        <w:spacing w:before="0" w:after="0" w:line="520" w:lineRule="exact"/>
        <w:rPr>
          <w:rFonts w:cs="Times New Roman"/>
          <w:color w:val="auto"/>
        </w:rPr>
      </w:pPr>
      <w:r>
        <w:rPr>
          <w:rFonts w:cs="Times New Roman"/>
          <w:color w:val="auto"/>
        </w:rPr>
        <w:t>表</w:t>
      </w:r>
      <w:r>
        <w:rPr>
          <w:rFonts w:hint="eastAsia" w:cs="Times New Roman"/>
          <w:color w:val="auto"/>
        </w:rPr>
        <w:t>8.2</w:t>
      </w:r>
      <w:r>
        <w:rPr>
          <w:rFonts w:cs="Times New Roman"/>
          <w:color w:val="auto"/>
        </w:rPr>
        <w:t>-3   污染物排放清单</w:t>
      </w:r>
    </w:p>
    <w:tbl>
      <w:tblPr>
        <w:tblStyle w:val="24"/>
        <w:tblW w:w="50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6"/>
        <w:gridCol w:w="440"/>
        <w:gridCol w:w="786"/>
        <w:gridCol w:w="571"/>
        <w:gridCol w:w="550"/>
        <w:gridCol w:w="2872"/>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352" w:type="pct"/>
            <w:vAlign w:val="center"/>
          </w:tcPr>
          <w:p>
            <w:pPr>
              <w:pStyle w:val="36"/>
              <w:rPr>
                <w:rFonts w:ascii="Times New Roman" w:hAnsi="Times New Roman" w:cs="Times New Roman"/>
                <w:b/>
                <w:bCs/>
                <w:color w:val="auto"/>
              </w:rPr>
            </w:pPr>
            <w:bookmarkStart w:id="578" w:name="_Toc10457"/>
            <w:bookmarkStart w:id="579" w:name="_Toc12116_WPSOffice_Level2"/>
            <w:r>
              <w:rPr>
                <w:rFonts w:ascii="Times New Roman" w:hAnsi="Times New Roman" w:cs="Times New Roman"/>
                <w:b/>
                <w:bCs/>
                <w:color w:val="auto"/>
              </w:rPr>
              <w:t>类别</w:t>
            </w:r>
          </w:p>
        </w:tc>
        <w:tc>
          <w:tcPr>
            <w:tcW w:w="724" w:type="pct"/>
            <w:gridSpan w:val="2"/>
            <w:vAlign w:val="center"/>
          </w:tcPr>
          <w:p>
            <w:pPr>
              <w:pStyle w:val="36"/>
              <w:rPr>
                <w:rFonts w:ascii="Times New Roman" w:hAnsi="Times New Roman" w:cs="Times New Roman"/>
                <w:b/>
                <w:bCs/>
                <w:color w:val="auto"/>
              </w:rPr>
            </w:pPr>
            <w:r>
              <w:rPr>
                <w:rFonts w:ascii="Times New Roman" w:hAnsi="Times New Roman" w:cs="Times New Roman"/>
                <w:b/>
                <w:bCs/>
                <w:color w:val="auto"/>
              </w:rPr>
              <w:t>污染源</w:t>
            </w:r>
          </w:p>
        </w:tc>
        <w:tc>
          <w:tcPr>
            <w:tcW w:w="662" w:type="pct"/>
            <w:gridSpan w:val="2"/>
            <w:vAlign w:val="center"/>
          </w:tcPr>
          <w:p>
            <w:pPr>
              <w:pStyle w:val="36"/>
              <w:rPr>
                <w:rFonts w:ascii="Times New Roman" w:hAnsi="Times New Roman" w:cs="Times New Roman"/>
                <w:b/>
                <w:bCs/>
                <w:color w:val="auto"/>
              </w:rPr>
            </w:pPr>
            <w:r>
              <w:rPr>
                <w:rFonts w:ascii="Times New Roman" w:hAnsi="Times New Roman" w:cs="Times New Roman"/>
                <w:b/>
                <w:bCs/>
                <w:color w:val="auto"/>
              </w:rPr>
              <w:t>污染物</w:t>
            </w:r>
          </w:p>
        </w:tc>
        <w:tc>
          <w:tcPr>
            <w:tcW w:w="1696" w:type="pct"/>
            <w:vAlign w:val="center"/>
          </w:tcPr>
          <w:p>
            <w:pPr>
              <w:pStyle w:val="36"/>
              <w:rPr>
                <w:rFonts w:ascii="Times New Roman" w:hAnsi="Times New Roman" w:cs="Times New Roman"/>
                <w:b/>
                <w:bCs/>
                <w:color w:val="auto"/>
              </w:rPr>
            </w:pPr>
            <w:r>
              <w:rPr>
                <w:rFonts w:ascii="Times New Roman" w:hAnsi="Times New Roman" w:cs="Times New Roman"/>
                <w:b/>
                <w:bCs/>
                <w:color w:val="auto"/>
              </w:rPr>
              <w:t>主要措施及运行参数</w:t>
            </w:r>
          </w:p>
        </w:tc>
        <w:tc>
          <w:tcPr>
            <w:tcW w:w="1563" w:type="pct"/>
            <w:vAlign w:val="center"/>
          </w:tcPr>
          <w:p>
            <w:pPr>
              <w:pStyle w:val="36"/>
              <w:rPr>
                <w:rFonts w:ascii="Times New Roman" w:hAnsi="Times New Roman" w:cs="Times New Roman"/>
                <w:b/>
                <w:bCs/>
                <w:color w:val="auto"/>
              </w:rPr>
            </w:pPr>
            <w:r>
              <w:rPr>
                <w:rFonts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352"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大气治理措施</w:t>
            </w:r>
          </w:p>
        </w:tc>
        <w:tc>
          <w:tcPr>
            <w:tcW w:w="260"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有组织废气</w:t>
            </w:r>
          </w:p>
        </w:tc>
        <w:tc>
          <w:tcPr>
            <w:tcW w:w="464" w:type="pct"/>
            <w:vAlign w:val="center"/>
          </w:tcPr>
          <w:p>
            <w:pPr>
              <w:pStyle w:val="36"/>
              <w:rPr>
                <w:rFonts w:ascii="Times New Roman" w:hAnsi="Times New Roman" w:cs="Times New Roman"/>
                <w:color w:val="auto"/>
              </w:rPr>
            </w:pPr>
            <w:r>
              <w:rPr>
                <w:rFonts w:ascii="Times New Roman" w:hAnsi="Times New Roman" w:cs="Times New Roman"/>
                <w:color w:val="auto"/>
              </w:rPr>
              <w:t>污水站恶臭气体</w:t>
            </w:r>
          </w:p>
        </w:tc>
        <w:tc>
          <w:tcPr>
            <w:tcW w:w="662" w:type="pct"/>
            <w:gridSpan w:val="2"/>
            <w:vAlign w:val="center"/>
          </w:tcPr>
          <w:p>
            <w:pPr>
              <w:pStyle w:val="36"/>
              <w:rPr>
                <w:rFonts w:hint="default" w:ascii="Times New Roman" w:hAnsi="Times New Roman" w:eastAsia="宋体" w:cs="Times New Roman"/>
                <w:color w:val="auto"/>
                <w:lang w:val="en-US" w:eastAsia="zh-CN"/>
              </w:rPr>
            </w:pPr>
            <w:r>
              <w:rPr>
                <w:rFonts w:ascii="Times New Roman" w:hAnsi="Times New Roman" w:cs="Times New Roman"/>
                <w:color w:val="auto"/>
              </w:rPr>
              <w:t>氨</w:t>
            </w:r>
            <w:r>
              <w:rPr>
                <w:rFonts w:hint="eastAsia" w:ascii="Times New Roman" w:hAnsi="Times New Roman" w:cs="Times New Roman"/>
                <w:color w:val="auto"/>
                <w:lang w:eastAsia="zh-CN"/>
              </w:rPr>
              <w:t>、</w:t>
            </w:r>
            <w:r>
              <w:rPr>
                <w:rFonts w:ascii="Times New Roman" w:hAnsi="Times New Roman" w:cs="Times New Roman"/>
                <w:color w:val="auto"/>
              </w:rPr>
              <w:t>硫化氢</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臭气浓度</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封闭+等离子除臭装置+15m高排气筒</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《恶臭污染物排放标准》（GB14554-93）表2中污染物排放标准值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260" w:type="pct"/>
            <w:vMerge w:val="continue"/>
            <w:vAlign w:val="center"/>
          </w:tcPr>
          <w:p>
            <w:pPr>
              <w:pStyle w:val="36"/>
              <w:rPr>
                <w:rFonts w:ascii="Times New Roman" w:hAnsi="Times New Roman" w:cs="Times New Roman"/>
                <w:color w:val="auto"/>
              </w:rPr>
            </w:pPr>
          </w:p>
        </w:tc>
        <w:tc>
          <w:tcPr>
            <w:tcW w:w="464"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备用发电机</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tc>
        <w:tc>
          <w:tcPr>
            <w:tcW w:w="1696" w:type="pct"/>
            <w:vMerge w:val="restart"/>
            <w:vAlign w:val="center"/>
          </w:tcPr>
          <w:p>
            <w:pPr>
              <w:pStyle w:val="3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加强通风，周边绿化</w:t>
            </w:r>
          </w:p>
        </w:tc>
        <w:tc>
          <w:tcPr>
            <w:tcW w:w="1563"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《大气污染物综合排放标准》（GB16297-1996）中</w:t>
            </w:r>
            <w:r>
              <w:rPr>
                <w:rFonts w:hint="eastAsia" w:ascii="Times New Roman" w:hAnsi="Times New Roman" w:cs="Times New Roman"/>
                <w:color w:val="auto"/>
              </w:rPr>
              <w:t>无组织</w:t>
            </w:r>
            <w:r>
              <w:rPr>
                <w:rFonts w:ascii="Times New Roman" w:hAnsi="Times New Roman" w:cs="Times New Roman"/>
                <w:color w:val="auto"/>
              </w:rPr>
              <w:t>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260" w:type="pct"/>
            <w:vMerge w:val="continue"/>
            <w:vAlign w:val="center"/>
          </w:tcPr>
          <w:p>
            <w:pPr>
              <w:pStyle w:val="36"/>
              <w:rPr>
                <w:rFonts w:ascii="Times New Roman" w:hAnsi="Times New Roman" w:cs="Times New Roman"/>
                <w:color w:val="auto"/>
              </w:rPr>
            </w:pPr>
          </w:p>
        </w:tc>
        <w:tc>
          <w:tcPr>
            <w:tcW w:w="464" w:type="pct"/>
            <w:vMerge w:val="continue"/>
            <w:vAlign w:val="center"/>
          </w:tcPr>
          <w:p>
            <w:pPr>
              <w:pStyle w:val="36"/>
              <w:rPr>
                <w:rFonts w:ascii="Times New Roman" w:hAnsi="Times New Roman" w:cs="Times New Roman"/>
                <w:color w:val="auto"/>
              </w:rPr>
            </w:pP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NOx</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260" w:type="pct"/>
            <w:vMerge w:val="continue"/>
            <w:vAlign w:val="center"/>
          </w:tcPr>
          <w:p>
            <w:pPr>
              <w:pStyle w:val="36"/>
              <w:rPr>
                <w:rFonts w:ascii="Times New Roman" w:hAnsi="Times New Roman" w:cs="Times New Roman"/>
                <w:color w:val="auto"/>
              </w:rPr>
            </w:pPr>
          </w:p>
        </w:tc>
        <w:tc>
          <w:tcPr>
            <w:tcW w:w="464" w:type="pct"/>
            <w:vMerge w:val="continue"/>
            <w:vAlign w:val="center"/>
          </w:tcPr>
          <w:p>
            <w:pPr>
              <w:pStyle w:val="36"/>
              <w:rPr>
                <w:rFonts w:ascii="Times New Roman" w:hAnsi="Times New Roman" w:cs="Times New Roman"/>
                <w:color w:val="auto"/>
              </w:rPr>
            </w:pP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烟尘</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restart"/>
            <w:vAlign w:val="center"/>
          </w:tcPr>
          <w:p>
            <w:pPr>
              <w:pStyle w:val="36"/>
              <w:rPr>
                <w:rFonts w:ascii="Times New Roman" w:hAnsi="Times New Roman" w:cs="Times New Roman"/>
                <w:color w:val="auto"/>
              </w:rPr>
            </w:pPr>
            <w:r>
              <w:rPr>
                <w:rFonts w:ascii="Times New Roman" w:hAnsi="Times New Roman" w:cs="Times New Roman"/>
                <w:color w:val="auto"/>
              </w:rPr>
              <w:t>无组织废气</w:t>
            </w:r>
          </w:p>
        </w:tc>
        <w:tc>
          <w:tcPr>
            <w:tcW w:w="337" w:type="pct"/>
            <w:vAlign w:val="center"/>
          </w:tcPr>
          <w:p>
            <w:pPr>
              <w:pStyle w:val="36"/>
              <w:rPr>
                <w:rFonts w:ascii="Times New Roman" w:hAnsi="Times New Roman" w:cs="Times New Roman"/>
                <w:color w:val="auto"/>
              </w:rPr>
            </w:pPr>
            <w:r>
              <w:rPr>
                <w:rFonts w:ascii="Times New Roman" w:hAnsi="Times New Roman" w:cs="Times New Roman"/>
                <w:color w:val="auto"/>
              </w:rPr>
              <w:t>污水站</w:t>
            </w:r>
          </w:p>
        </w:tc>
        <w:tc>
          <w:tcPr>
            <w:tcW w:w="324" w:type="pct"/>
            <w:vAlign w:val="center"/>
          </w:tcPr>
          <w:p>
            <w:pPr>
              <w:pStyle w:val="36"/>
              <w:rPr>
                <w:rFonts w:hint="default" w:ascii="Times New Roman" w:hAnsi="Times New Roman" w:eastAsia="宋体" w:cs="Times New Roman"/>
                <w:color w:val="auto"/>
                <w:lang w:val="en-US" w:eastAsia="zh-CN"/>
              </w:rPr>
            </w:pPr>
            <w:r>
              <w:rPr>
                <w:rFonts w:ascii="Times New Roman" w:hAnsi="Times New Roman" w:cs="Times New Roman"/>
                <w:color w:val="auto"/>
              </w:rPr>
              <w:t>氨</w:t>
            </w:r>
            <w:r>
              <w:rPr>
                <w:rFonts w:hint="eastAsia" w:ascii="Times New Roman" w:hAnsi="Times New Roman" w:cs="Times New Roman"/>
                <w:color w:val="auto"/>
                <w:lang w:eastAsia="zh-CN"/>
              </w:rPr>
              <w:t>、</w:t>
            </w:r>
            <w:r>
              <w:rPr>
                <w:rFonts w:ascii="Times New Roman" w:hAnsi="Times New Roman" w:cs="Times New Roman"/>
                <w:color w:val="auto"/>
              </w:rPr>
              <w:t>硫化氢</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臭气浓度</w:t>
            </w:r>
          </w:p>
        </w:tc>
        <w:tc>
          <w:tcPr>
            <w:tcW w:w="1696"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加强院区绿化、加强通风等</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《医疗机构水污染物排放标准》（GB18466-2005）表3中标准值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337"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地下车库</w:t>
            </w:r>
          </w:p>
        </w:tc>
        <w:tc>
          <w:tcPr>
            <w:tcW w:w="324" w:type="pct"/>
            <w:vAlign w:val="center"/>
          </w:tcPr>
          <w:p>
            <w:pPr>
              <w:pStyle w:val="36"/>
              <w:rPr>
                <w:rFonts w:ascii="Times New Roman" w:hAnsi="Times New Roman" w:cs="Times New Roman"/>
                <w:color w:val="auto"/>
              </w:rPr>
            </w:pPr>
            <w:r>
              <w:rPr>
                <w:rFonts w:ascii="Times New Roman" w:hAnsi="Times New Roman" w:cs="Times New Roman"/>
                <w:color w:val="auto"/>
              </w:rPr>
              <w:t>烟尘</w:t>
            </w:r>
          </w:p>
        </w:tc>
        <w:tc>
          <w:tcPr>
            <w:tcW w:w="1696" w:type="pct"/>
            <w:vMerge w:val="continue"/>
            <w:vAlign w:val="center"/>
          </w:tcPr>
          <w:p>
            <w:pPr>
              <w:pStyle w:val="36"/>
              <w:rPr>
                <w:rFonts w:ascii="Times New Roman" w:hAnsi="Times New Roman" w:cs="Times New Roman"/>
                <w:color w:val="auto"/>
              </w:rPr>
            </w:pPr>
          </w:p>
        </w:tc>
        <w:tc>
          <w:tcPr>
            <w:tcW w:w="1563"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《大气污染物综合排放标准》（GB16297-1996）中</w:t>
            </w:r>
            <w:r>
              <w:rPr>
                <w:rFonts w:hint="eastAsia" w:ascii="Times New Roman" w:hAnsi="Times New Roman" w:cs="Times New Roman"/>
                <w:color w:val="auto"/>
              </w:rPr>
              <w:t>无组织</w:t>
            </w:r>
            <w:r>
              <w:rPr>
                <w:rFonts w:ascii="Times New Roman" w:hAnsi="Times New Roman" w:cs="Times New Roman"/>
                <w:color w:val="auto"/>
              </w:rPr>
              <w:t>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337" w:type="pct"/>
            <w:vMerge w:val="continue"/>
            <w:vAlign w:val="center"/>
          </w:tcPr>
          <w:p>
            <w:pPr>
              <w:pStyle w:val="36"/>
              <w:rPr>
                <w:rFonts w:ascii="Times New Roman" w:hAnsi="Times New Roman" w:cs="Times New Roman"/>
                <w:color w:val="auto"/>
              </w:rPr>
            </w:pPr>
          </w:p>
        </w:tc>
        <w:tc>
          <w:tcPr>
            <w:tcW w:w="324" w:type="pct"/>
            <w:vAlign w:val="center"/>
          </w:tcPr>
          <w:p>
            <w:pPr>
              <w:pStyle w:val="36"/>
              <w:rPr>
                <w:rFonts w:ascii="Times New Roman" w:hAnsi="Times New Roman" w:cs="Times New Roman"/>
                <w:color w:val="auto"/>
              </w:rPr>
            </w:pPr>
            <w:r>
              <w:rPr>
                <w:rFonts w:ascii="Times New Roman" w:hAnsi="Times New Roman" w:cs="Times New Roman"/>
                <w:color w:val="auto"/>
              </w:rPr>
              <w:t>NOx</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337" w:type="pct"/>
            <w:vMerge w:val="continue"/>
            <w:vAlign w:val="center"/>
          </w:tcPr>
          <w:p>
            <w:pPr>
              <w:pStyle w:val="36"/>
              <w:rPr>
                <w:rFonts w:ascii="Times New Roman" w:hAnsi="Times New Roman" w:cs="Times New Roman"/>
                <w:color w:val="auto"/>
              </w:rPr>
            </w:pPr>
          </w:p>
        </w:tc>
        <w:tc>
          <w:tcPr>
            <w:tcW w:w="324" w:type="pct"/>
            <w:vAlign w:val="center"/>
          </w:tcPr>
          <w:p>
            <w:pPr>
              <w:pStyle w:val="36"/>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食堂</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食堂油烟</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油烟净化器处理后由烟囱引至屋顶排放</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Align w:val="center"/>
          </w:tcPr>
          <w:p>
            <w:pPr>
              <w:pStyle w:val="36"/>
              <w:rPr>
                <w:rFonts w:ascii="Times New Roman" w:hAnsi="Times New Roman" w:cs="Times New Roman"/>
                <w:color w:val="auto"/>
              </w:rPr>
            </w:pPr>
            <w:r>
              <w:rPr>
                <w:rFonts w:ascii="Times New Roman" w:hAnsi="Times New Roman" w:cs="Times New Roman"/>
                <w:color w:val="auto"/>
              </w:rPr>
              <w:t>废水治理措施</w:t>
            </w: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综合废水</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COD、BOD</w:t>
            </w:r>
            <w:r>
              <w:rPr>
                <w:rFonts w:ascii="Times New Roman" w:hAnsi="Times New Roman" w:cs="Times New Roman"/>
                <w:color w:val="auto"/>
                <w:vertAlign w:val="subscript"/>
              </w:rPr>
              <w:t>5</w:t>
            </w:r>
            <w:r>
              <w:rPr>
                <w:rFonts w:ascii="Times New Roman" w:hAnsi="Times New Roman" w:cs="Times New Roman"/>
                <w:color w:val="auto"/>
              </w:rPr>
              <w:t>、SS、NH</w:t>
            </w:r>
            <w:r>
              <w:rPr>
                <w:rFonts w:ascii="Times New Roman" w:hAnsi="Times New Roman" w:cs="Times New Roman"/>
                <w:color w:val="auto"/>
                <w:vertAlign w:val="subscript"/>
              </w:rPr>
              <w:t>3</w:t>
            </w:r>
            <w:r>
              <w:rPr>
                <w:rFonts w:ascii="Times New Roman" w:hAnsi="Times New Roman" w:cs="Times New Roman"/>
                <w:color w:val="auto"/>
              </w:rPr>
              <w:t>-N、粪大肠菌群</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设计处理工艺：预消毒池+生物化粪池+格栅+集水井+调节池+水解酸化池+生物接触氧化池+二沉池+消毒池。</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《医疗机构水污染物排放标准》（GB18466-2005）表2中预处理标准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Align w:val="center"/>
          </w:tcPr>
          <w:p>
            <w:pPr>
              <w:pStyle w:val="36"/>
              <w:rPr>
                <w:rFonts w:ascii="Times New Roman" w:hAnsi="Times New Roman" w:cs="Times New Roman"/>
                <w:color w:val="auto"/>
              </w:rPr>
            </w:pPr>
            <w:r>
              <w:rPr>
                <w:rFonts w:ascii="Times New Roman" w:hAnsi="Times New Roman" w:cs="Times New Roman"/>
                <w:color w:val="auto"/>
              </w:rPr>
              <w:t>噪声防治措施</w:t>
            </w: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生产设备</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噪声</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设备基础安装减震垫、厂房隔声等</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厂界噪声符合《工业企业厂界环境噪声排放标准》（GB12348-2008）1类标准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固废治理措施</w:t>
            </w:r>
          </w:p>
        </w:tc>
        <w:tc>
          <w:tcPr>
            <w:tcW w:w="724" w:type="pct"/>
            <w:gridSpan w:val="2"/>
            <w:vMerge w:val="restart"/>
            <w:vAlign w:val="center"/>
          </w:tcPr>
          <w:p>
            <w:pPr>
              <w:pStyle w:val="36"/>
              <w:rPr>
                <w:rFonts w:ascii="Times New Roman" w:hAnsi="Times New Roman" w:cs="Times New Roman"/>
                <w:color w:val="auto"/>
              </w:rPr>
            </w:pPr>
            <w:r>
              <w:rPr>
                <w:rFonts w:ascii="Times New Roman" w:hAnsi="Times New Roman" w:cs="Times New Roman"/>
                <w:color w:val="auto"/>
              </w:rPr>
              <w:t>危险废物</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医疗废物</w:t>
            </w:r>
          </w:p>
        </w:tc>
        <w:tc>
          <w:tcPr>
            <w:tcW w:w="1696"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设置一间20m</w:t>
            </w:r>
            <w:r>
              <w:rPr>
                <w:rFonts w:ascii="Times New Roman" w:hAnsi="Times New Roman" w:cs="Times New Roman"/>
                <w:color w:val="auto"/>
                <w:vertAlign w:val="superscript"/>
              </w:rPr>
              <w:t>2</w:t>
            </w:r>
            <w:r>
              <w:rPr>
                <w:rFonts w:ascii="Times New Roman" w:hAnsi="Times New Roman" w:cs="Times New Roman"/>
                <w:color w:val="auto"/>
              </w:rPr>
              <w:t>的危废暂存间</w:t>
            </w:r>
          </w:p>
        </w:tc>
        <w:tc>
          <w:tcPr>
            <w:tcW w:w="1563"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临时储存，安全处置、零排放；符合《危险废物贮存污染控制标准》（GB18597-2001）中相关要求及《医疗废物集中处置技术规范（试行）》（环发〔2003〕206号）相关规定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污泥</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生活垃圾</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生活垃圾</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厂内设有垃圾收集桶，收集后委托环卫部门清运处理</w:t>
            </w:r>
          </w:p>
        </w:tc>
        <w:tc>
          <w:tcPr>
            <w:tcW w:w="1563" w:type="pct"/>
            <w:vMerge w:val="continue"/>
            <w:vAlign w:val="center"/>
          </w:tcPr>
          <w:p>
            <w:pPr>
              <w:pStyle w:val="36"/>
              <w:rPr>
                <w:rFonts w:ascii="Times New Roman" w:hAnsi="Times New Roman" w:cs="Times New Roman"/>
                <w:color w:val="auto"/>
              </w:rPr>
            </w:pPr>
          </w:p>
        </w:tc>
      </w:tr>
    </w:tbl>
    <w:p>
      <w:pPr>
        <w:pStyle w:val="8"/>
        <w:rPr>
          <w:rFonts w:ascii="Times New Roman" w:hAnsi="Times New Roman" w:cs="Times New Roman"/>
          <w:color w:val="auto"/>
        </w:rPr>
      </w:pPr>
      <w:bookmarkStart w:id="580" w:name="_Toc28062"/>
      <w:r>
        <w:rPr>
          <w:rFonts w:hint="eastAsia" w:ascii="Times New Roman" w:hAnsi="Times New Roman" w:cs="Times New Roman"/>
          <w:color w:val="auto"/>
        </w:rPr>
        <w:t>8</w:t>
      </w:r>
      <w:r>
        <w:rPr>
          <w:rFonts w:ascii="Times New Roman" w:hAnsi="Times New Roman" w:cs="Times New Roman"/>
          <w:color w:val="auto"/>
        </w:rPr>
        <w:t>.3 竣工验收管理</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pPr>
        <w:pStyle w:val="9"/>
        <w:rPr>
          <w:rFonts w:ascii="Times New Roman" w:hAnsi="Times New Roman" w:cs="Times New Roman"/>
          <w:color w:val="auto"/>
        </w:rPr>
      </w:pPr>
      <w:bookmarkStart w:id="581" w:name="_Toc7183"/>
      <w:bookmarkStart w:id="582" w:name="_Toc24121"/>
      <w:bookmarkStart w:id="583" w:name="_Toc9404"/>
      <w:r>
        <w:rPr>
          <w:rFonts w:hint="eastAsia" w:ascii="Times New Roman" w:hAnsi="Times New Roman" w:cs="Times New Roman"/>
          <w:color w:val="auto"/>
        </w:rPr>
        <w:t>8</w:t>
      </w:r>
      <w:r>
        <w:rPr>
          <w:rFonts w:ascii="Times New Roman" w:hAnsi="Times New Roman" w:cs="Times New Roman"/>
          <w:color w:val="auto"/>
        </w:rPr>
        <w:t>.3.1 竣工验收管理及要求</w:t>
      </w:r>
      <w:bookmarkEnd w:id="581"/>
      <w:bookmarkEnd w:id="582"/>
      <w:bookmarkEnd w:id="583"/>
      <w:r>
        <w:rPr>
          <w:rFonts w:ascii="Times New Roman" w:hAnsi="Times New Roman" w:cs="Times New Roman"/>
          <w:color w:val="auto"/>
        </w:rPr>
        <w:t xml:space="preserve"> </w:t>
      </w:r>
    </w:p>
    <w:p>
      <w:pPr>
        <w:widowControl/>
        <w:spacing w:line="520" w:lineRule="exact"/>
        <w:ind w:firstLine="456"/>
        <w:rPr>
          <w:rFonts w:ascii="Times New Roman" w:hAnsi="Times New Roman" w:cs="Times New Roman"/>
          <w:color w:val="auto"/>
        </w:rPr>
      </w:pPr>
      <w:r>
        <w:rPr>
          <w:rFonts w:ascii="Times New Roman" w:hAnsi="Times New Roman" w:cs="Times New Roman"/>
          <w:color w:val="auto"/>
          <w:spacing w:val="-6"/>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pPr>
        <w:pStyle w:val="9"/>
        <w:rPr>
          <w:rFonts w:ascii="Times New Roman" w:hAnsi="Times New Roman" w:cs="Times New Roman"/>
          <w:color w:val="auto"/>
          <w:sz w:val="24"/>
        </w:rPr>
      </w:pPr>
      <w:bookmarkStart w:id="584" w:name="_Toc16632"/>
      <w:bookmarkStart w:id="585" w:name="_Toc24517"/>
      <w:bookmarkStart w:id="586" w:name="_Toc23886"/>
      <w:r>
        <w:rPr>
          <w:rFonts w:hint="eastAsia" w:ascii="Times New Roman" w:hAnsi="Times New Roman" w:cs="Times New Roman"/>
          <w:color w:val="auto"/>
        </w:rPr>
        <w:t>8</w:t>
      </w:r>
      <w:r>
        <w:rPr>
          <w:rFonts w:ascii="Times New Roman" w:hAnsi="Times New Roman" w:cs="Times New Roman"/>
          <w:color w:val="auto"/>
        </w:rPr>
        <w:t>.3.2 “三同时”验收</w:t>
      </w:r>
      <w:bookmarkEnd w:id="584"/>
      <w:bookmarkEnd w:id="585"/>
      <w:bookmarkEnd w:id="586"/>
    </w:p>
    <w:p>
      <w:pPr>
        <w:widowControl/>
        <w:spacing w:line="520" w:lineRule="exact"/>
        <w:jc w:val="left"/>
        <w:rPr>
          <w:rFonts w:ascii="Times New Roman" w:hAnsi="Times New Roman" w:cs="Times New Roman"/>
          <w:color w:val="auto"/>
        </w:rPr>
      </w:pPr>
      <w:r>
        <w:rPr>
          <w:rFonts w:ascii="Times New Roman" w:hAnsi="Times New Roman" w:cs="Times New Roman"/>
          <w:color w:val="auto"/>
        </w:rPr>
        <w:t>本项目验收内容见表</w:t>
      </w:r>
      <w:r>
        <w:rPr>
          <w:rFonts w:hint="eastAsia" w:ascii="Times New Roman" w:hAnsi="Times New Roman" w:cs="Times New Roman"/>
          <w:color w:val="auto"/>
        </w:rPr>
        <w:t>8.3-1</w:t>
      </w:r>
      <w:r>
        <w:rPr>
          <w:rFonts w:ascii="Times New Roman" w:hAnsi="Times New Roman" w:cs="Times New Roman"/>
          <w:color w:val="auto"/>
        </w:rPr>
        <w:t>。</w:t>
      </w:r>
    </w:p>
    <w:p>
      <w:pPr>
        <w:pStyle w:val="35"/>
        <w:spacing w:before="0" w:after="0" w:line="520" w:lineRule="exact"/>
        <w:rPr>
          <w:rFonts w:cs="Times New Roman"/>
          <w:color w:val="auto"/>
        </w:rPr>
      </w:pPr>
      <w:r>
        <w:rPr>
          <w:rFonts w:cs="Times New Roman"/>
          <w:color w:val="auto"/>
        </w:rPr>
        <w:t>表</w:t>
      </w:r>
      <w:r>
        <w:rPr>
          <w:rFonts w:hint="eastAsia" w:cs="Times New Roman"/>
          <w:color w:val="auto"/>
        </w:rPr>
        <w:t>8.3-1</w:t>
      </w:r>
      <w:r>
        <w:rPr>
          <w:rFonts w:cs="Times New Roman"/>
          <w:color w:val="auto"/>
        </w:rPr>
        <w:t xml:space="preserve">   环境保护“三同时”验收一览表</w:t>
      </w:r>
    </w:p>
    <w:tbl>
      <w:tblPr>
        <w:tblStyle w:val="24"/>
        <w:tblW w:w="50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6"/>
        <w:gridCol w:w="440"/>
        <w:gridCol w:w="786"/>
        <w:gridCol w:w="571"/>
        <w:gridCol w:w="550"/>
        <w:gridCol w:w="2872"/>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352" w:type="pct"/>
            <w:vAlign w:val="center"/>
          </w:tcPr>
          <w:p>
            <w:pPr>
              <w:pStyle w:val="36"/>
              <w:rPr>
                <w:rFonts w:ascii="Times New Roman" w:hAnsi="Times New Roman" w:cs="Times New Roman"/>
                <w:b/>
                <w:bCs/>
                <w:color w:val="auto"/>
              </w:rPr>
            </w:pPr>
            <w:r>
              <w:rPr>
                <w:rFonts w:ascii="Times New Roman" w:hAnsi="Times New Roman" w:cs="Times New Roman"/>
                <w:b/>
                <w:bCs/>
                <w:color w:val="auto"/>
              </w:rPr>
              <w:t>类别</w:t>
            </w:r>
          </w:p>
        </w:tc>
        <w:tc>
          <w:tcPr>
            <w:tcW w:w="724" w:type="pct"/>
            <w:gridSpan w:val="2"/>
            <w:vAlign w:val="center"/>
          </w:tcPr>
          <w:p>
            <w:pPr>
              <w:pStyle w:val="36"/>
              <w:rPr>
                <w:rFonts w:ascii="Times New Roman" w:hAnsi="Times New Roman" w:cs="Times New Roman"/>
                <w:b/>
                <w:bCs/>
                <w:color w:val="auto"/>
              </w:rPr>
            </w:pPr>
            <w:r>
              <w:rPr>
                <w:rFonts w:ascii="Times New Roman" w:hAnsi="Times New Roman" w:cs="Times New Roman"/>
                <w:b/>
                <w:bCs/>
                <w:color w:val="auto"/>
              </w:rPr>
              <w:t>污染源</w:t>
            </w:r>
          </w:p>
        </w:tc>
        <w:tc>
          <w:tcPr>
            <w:tcW w:w="662" w:type="pct"/>
            <w:gridSpan w:val="2"/>
            <w:vAlign w:val="center"/>
          </w:tcPr>
          <w:p>
            <w:pPr>
              <w:pStyle w:val="36"/>
              <w:rPr>
                <w:rFonts w:ascii="Times New Roman" w:hAnsi="Times New Roman" w:cs="Times New Roman"/>
                <w:b/>
                <w:bCs/>
                <w:color w:val="auto"/>
              </w:rPr>
            </w:pPr>
            <w:r>
              <w:rPr>
                <w:rFonts w:ascii="Times New Roman" w:hAnsi="Times New Roman" w:cs="Times New Roman"/>
                <w:b/>
                <w:bCs/>
                <w:color w:val="auto"/>
              </w:rPr>
              <w:t>污染物</w:t>
            </w:r>
          </w:p>
        </w:tc>
        <w:tc>
          <w:tcPr>
            <w:tcW w:w="1696" w:type="pct"/>
            <w:vAlign w:val="center"/>
          </w:tcPr>
          <w:p>
            <w:pPr>
              <w:pStyle w:val="36"/>
              <w:rPr>
                <w:rFonts w:ascii="Times New Roman" w:hAnsi="Times New Roman" w:cs="Times New Roman"/>
                <w:b/>
                <w:bCs/>
                <w:color w:val="auto"/>
              </w:rPr>
            </w:pPr>
            <w:r>
              <w:rPr>
                <w:rFonts w:ascii="Times New Roman" w:hAnsi="Times New Roman" w:cs="Times New Roman"/>
                <w:b/>
                <w:bCs/>
                <w:color w:val="auto"/>
              </w:rPr>
              <w:t>主要措施及运行参数</w:t>
            </w:r>
          </w:p>
        </w:tc>
        <w:tc>
          <w:tcPr>
            <w:tcW w:w="1563" w:type="pct"/>
            <w:vAlign w:val="center"/>
          </w:tcPr>
          <w:p>
            <w:pPr>
              <w:pStyle w:val="36"/>
              <w:rPr>
                <w:rFonts w:ascii="Times New Roman" w:hAnsi="Times New Roman" w:cs="Times New Roman"/>
                <w:b/>
                <w:bCs/>
                <w:color w:val="auto"/>
              </w:rPr>
            </w:pPr>
            <w:r>
              <w:rPr>
                <w:rFonts w:ascii="Times New Roman" w:hAnsi="Times New Roman" w:cs="Times New Roman"/>
                <w:b/>
                <w:bCs/>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352"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大气治理措施</w:t>
            </w:r>
          </w:p>
        </w:tc>
        <w:tc>
          <w:tcPr>
            <w:tcW w:w="260"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有组织废气</w:t>
            </w:r>
          </w:p>
        </w:tc>
        <w:tc>
          <w:tcPr>
            <w:tcW w:w="464" w:type="pct"/>
            <w:vAlign w:val="center"/>
          </w:tcPr>
          <w:p>
            <w:pPr>
              <w:pStyle w:val="36"/>
              <w:rPr>
                <w:rFonts w:ascii="Times New Roman" w:hAnsi="Times New Roman" w:cs="Times New Roman"/>
                <w:color w:val="auto"/>
              </w:rPr>
            </w:pPr>
            <w:r>
              <w:rPr>
                <w:rFonts w:ascii="Times New Roman" w:hAnsi="Times New Roman" w:cs="Times New Roman"/>
                <w:color w:val="auto"/>
              </w:rPr>
              <w:t>污水站恶臭气体</w:t>
            </w:r>
          </w:p>
        </w:tc>
        <w:tc>
          <w:tcPr>
            <w:tcW w:w="662" w:type="pct"/>
            <w:gridSpan w:val="2"/>
            <w:vAlign w:val="center"/>
          </w:tcPr>
          <w:p>
            <w:pPr>
              <w:pStyle w:val="36"/>
              <w:rPr>
                <w:rFonts w:hint="default" w:ascii="Times New Roman" w:hAnsi="Times New Roman" w:eastAsia="宋体" w:cs="Times New Roman"/>
                <w:color w:val="auto"/>
                <w:lang w:val="en-US" w:eastAsia="zh-CN"/>
              </w:rPr>
            </w:pPr>
            <w:r>
              <w:rPr>
                <w:rFonts w:ascii="Times New Roman" w:hAnsi="Times New Roman" w:cs="Times New Roman"/>
                <w:color w:val="auto"/>
              </w:rPr>
              <w:t>氨</w:t>
            </w:r>
            <w:r>
              <w:rPr>
                <w:rFonts w:hint="eastAsia" w:ascii="Times New Roman" w:hAnsi="Times New Roman" w:cs="Times New Roman"/>
                <w:color w:val="auto"/>
                <w:lang w:eastAsia="zh-CN"/>
              </w:rPr>
              <w:t>、</w:t>
            </w:r>
            <w:r>
              <w:rPr>
                <w:rFonts w:ascii="Times New Roman" w:hAnsi="Times New Roman" w:cs="Times New Roman"/>
                <w:color w:val="auto"/>
              </w:rPr>
              <w:t>硫化氢</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臭气浓度</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封闭+等离子除臭装置+15m高排气筒</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《恶臭污染物排放标准》（GB14554-93）表2中污染物排放标准值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260" w:type="pct"/>
            <w:vMerge w:val="continue"/>
            <w:vAlign w:val="center"/>
          </w:tcPr>
          <w:p>
            <w:pPr>
              <w:pStyle w:val="36"/>
              <w:rPr>
                <w:rFonts w:ascii="Times New Roman" w:hAnsi="Times New Roman" w:cs="Times New Roman"/>
                <w:color w:val="auto"/>
              </w:rPr>
            </w:pPr>
          </w:p>
        </w:tc>
        <w:tc>
          <w:tcPr>
            <w:tcW w:w="464"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备用发电机</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tc>
        <w:tc>
          <w:tcPr>
            <w:tcW w:w="1696" w:type="pct"/>
            <w:vMerge w:val="restart"/>
            <w:vAlign w:val="center"/>
          </w:tcPr>
          <w:p>
            <w:pPr>
              <w:pStyle w:val="36"/>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加强通风，周边绿化</w:t>
            </w:r>
          </w:p>
        </w:tc>
        <w:tc>
          <w:tcPr>
            <w:tcW w:w="1563"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《大气污染物综合排放标准》（GB16297-1996）中</w:t>
            </w:r>
            <w:r>
              <w:rPr>
                <w:rFonts w:hint="eastAsia" w:ascii="Times New Roman" w:hAnsi="Times New Roman" w:cs="Times New Roman"/>
                <w:color w:val="auto"/>
              </w:rPr>
              <w:t>无组织</w:t>
            </w:r>
            <w:r>
              <w:rPr>
                <w:rFonts w:ascii="Times New Roman" w:hAnsi="Times New Roman" w:cs="Times New Roman"/>
                <w:color w:val="auto"/>
              </w:rPr>
              <w:t>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260" w:type="pct"/>
            <w:vMerge w:val="continue"/>
            <w:vAlign w:val="center"/>
          </w:tcPr>
          <w:p>
            <w:pPr>
              <w:pStyle w:val="36"/>
              <w:rPr>
                <w:rFonts w:ascii="Times New Roman" w:hAnsi="Times New Roman" w:cs="Times New Roman"/>
                <w:color w:val="auto"/>
              </w:rPr>
            </w:pPr>
          </w:p>
        </w:tc>
        <w:tc>
          <w:tcPr>
            <w:tcW w:w="464" w:type="pct"/>
            <w:vMerge w:val="continue"/>
            <w:vAlign w:val="center"/>
          </w:tcPr>
          <w:p>
            <w:pPr>
              <w:pStyle w:val="36"/>
              <w:rPr>
                <w:rFonts w:ascii="Times New Roman" w:hAnsi="Times New Roman" w:cs="Times New Roman"/>
                <w:color w:val="auto"/>
              </w:rPr>
            </w:pP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NOx</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260" w:type="pct"/>
            <w:vMerge w:val="continue"/>
            <w:vAlign w:val="center"/>
          </w:tcPr>
          <w:p>
            <w:pPr>
              <w:pStyle w:val="36"/>
              <w:rPr>
                <w:rFonts w:ascii="Times New Roman" w:hAnsi="Times New Roman" w:cs="Times New Roman"/>
                <w:color w:val="auto"/>
              </w:rPr>
            </w:pPr>
          </w:p>
        </w:tc>
        <w:tc>
          <w:tcPr>
            <w:tcW w:w="464" w:type="pct"/>
            <w:vMerge w:val="continue"/>
            <w:vAlign w:val="center"/>
          </w:tcPr>
          <w:p>
            <w:pPr>
              <w:pStyle w:val="36"/>
              <w:rPr>
                <w:rFonts w:ascii="Times New Roman" w:hAnsi="Times New Roman" w:cs="Times New Roman"/>
                <w:color w:val="auto"/>
              </w:rPr>
            </w:pP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烟尘</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restart"/>
            <w:vAlign w:val="center"/>
          </w:tcPr>
          <w:p>
            <w:pPr>
              <w:pStyle w:val="36"/>
              <w:rPr>
                <w:rFonts w:ascii="Times New Roman" w:hAnsi="Times New Roman" w:cs="Times New Roman"/>
                <w:color w:val="auto"/>
              </w:rPr>
            </w:pPr>
            <w:r>
              <w:rPr>
                <w:rFonts w:ascii="Times New Roman" w:hAnsi="Times New Roman" w:cs="Times New Roman"/>
                <w:color w:val="auto"/>
              </w:rPr>
              <w:t>无组织废气</w:t>
            </w:r>
          </w:p>
        </w:tc>
        <w:tc>
          <w:tcPr>
            <w:tcW w:w="337" w:type="pct"/>
            <w:vAlign w:val="center"/>
          </w:tcPr>
          <w:p>
            <w:pPr>
              <w:pStyle w:val="36"/>
              <w:rPr>
                <w:rFonts w:ascii="Times New Roman" w:hAnsi="Times New Roman" w:cs="Times New Roman"/>
                <w:color w:val="auto"/>
              </w:rPr>
            </w:pPr>
            <w:r>
              <w:rPr>
                <w:rFonts w:ascii="Times New Roman" w:hAnsi="Times New Roman" w:cs="Times New Roman"/>
                <w:color w:val="auto"/>
              </w:rPr>
              <w:t>污水站</w:t>
            </w:r>
          </w:p>
        </w:tc>
        <w:tc>
          <w:tcPr>
            <w:tcW w:w="324" w:type="pct"/>
            <w:vAlign w:val="center"/>
          </w:tcPr>
          <w:p>
            <w:pPr>
              <w:pStyle w:val="36"/>
              <w:rPr>
                <w:rFonts w:hint="default" w:ascii="Times New Roman" w:hAnsi="Times New Roman" w:eastAsia="宋体" w:cs="Times New Roman"/>
                <w:color w:val="auto"/>
                <w:lang w:val="en-US" w:eastAsia="zh-CN"/>
              </w:rPr>
            </w:pPr>
            <w:r>
              <w:rPr>
                <w:rFonts w:ascii="Times New Roman" w:hAnsi="Times New Roman" w:cs="Times New Roman"/>
                <w:color w:val="auto"/>
              </w:rPr>
              <w:t>氨</w:t>
            </w:r>
            <w:r>
              <w:rPr>
                <w:rFonts w:hint="eastAsia" w:ascii="Times New Roman" w:hAnsi="Times New Roman" w:cs="Times New Roman"/>
                <w:color w:val="auto"/>
                <w:lang w:eastAsia="zh-CN"/>
              </w:rPr>
              <w:t>、</w:t>
            </w:r>
            <w:r>
              <w:rPr>
                <w:rFonts w:ascii="Times New Roman" w:hAnsi="Times New Roman" w:cs="Times New Roman"/>
                <w:color w:val="auto"/>
              </w:rPr>
              <w:t>硫化氢</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臭气浓度</w:t>
            </w:r>
          </w:p>
        </w:tc>
        <w:tc>
          <w:tcPr>
            <w:tcW w:w="1696"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加强院区绿化、加强通风等</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《医疗机构水污染物排放标准》（GB18466-2005）表3中标准值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337"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地下车库</w:t>
            </w:r>
          </w:p>
        </w:tc>
        <w:tc>
          <w:tcPr>
            <w:tcW w:w="324" w:type="pct"/>
            <w:vAlign w:val="center"/>
          </w:tcPr>
          <w:p>
            <w:pPr>
              <w:pStyle w:val="36"/>
              <w:rPr>
                <w:rFonts w:ascii="Times New Roman" w:hAnsi="Times New Roman" w:cs="Times New Roman"/>
                <w:color w:val="auto"/>
              </w:rPr>
            </w:pPr>
            <w:r>
              <w:rPr>
                <w:rFonts w:ascii="Times New Roman" w:hAnsi="Times New Roman" w:cs="Times New Roman"/>
                <w:color w:val="auto"/>
              </w:rPr>
              <w:t>烟尘</w:t>
            </w:r>
          </w:p>
        </w:tc>
        <w:tc>
          <w:tcPr>
            <w:tcW w:w="1696" w:type="pct"/>
            <w:vMerge w:val="continue"/>
            <w:vAlign w:val="center"/>
          </w:tcPr>
          <w:p>
            <w:pPr>
              <w:pStyle w:val="36"/>
              <w:rPr>
                <w:rFonts w:ascii="Times New Roman" w:hAnsi="Times New Roman" w:cs="Times New Roman"/>
                <w:color w:val="auto"/>
              </w:rPr>
            </w:pPr>
          </w:p>
        </w:tc>
        <w:tc>
          <w:tcPr>
            <w:tcW w:w="1563"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《大气污染物综合排放标准》（GB16297-1996）中</w:t>
            </w:r>
            <w:r>
              <w:rPr>
                <w:rFonts w:hint="eastAsia" w:ascii="Times New Roman" w:hAnsi="Times New Roman" w:cs="Times New Roman"/>
                <w:color w:val="auto"/>
              </w:rPr>
              <w:t>无组织</w:t>
            </w:r>
            <w:r>
              <w:rPr>
                <w:rFonts w:ascii="Times New Roman" w:hAnsi="Times New Roman" w:cs="Times New Roman"/>
                <w:color w:val="auto"/>
              </w:rPr>
              <w:t>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337" w:type="pct"/>
            <w:vMerge w:val="continue"/>
            <w:vAlign w:val="center"/>
          </w:tcPr>
          <w:p>
            <w:pPr>
              <w:pStyle w:val="36"/>
              <w:rPr>
                <w:rFonts w:ascii="Times New Roman" w:hAnsi="Times New Roman" w:cs="Times New Roman"/>
                <w:color w:val="auto"/>
              </w:rPr>
            </w:pPr>
          </w:p>
        </w:tc>
        <w:tc>
          <w:tcPr>
            <w:tcW w:w="324" w:type="pct"/>
            <w:vAlign w:val="center"/>
          </w:tcPr>
          <w:p>
            <w:pPr>
              <w:pStyle w:val="36"/>
              <w:rPr>
                <w:rFonts w:ascii="Times New Roman" w:hAnsi="Times New Roman" w:cs="Times New Roman"/>
                <w:color w:val="auto"/>
              </w:rPr>
            </w:pPr>
            <w:r>
              <w:rPr>
                <w:rFonts w:ascii="Times New Roman" w:hAnsi="Times New Roman" w:cs="Times New Roman"/>
                <w:color w:val="auto"/>
              </w:rPr>
              <w:t>NOx</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337" w:type="pct"/>
            <w:vMerge w:val="continue"/>
            <w:vAlign w:val="center"/>
          </w:tcPr>
          <w:p>
            <w:pPr>
              <w:pStyle w:val="36"/>
              <w:rPr>
                <w:rFonts w:ascii="Times New Roman" w:hAnsi="Times New Roman" w:cs="Times New Roman"/>
                <w:color w:val="auto"/>
              </w:rPr>
            </w:pPr>
          </w:p>
        </w:tc>
        <w:tc>
          <w:tcPr>
            <w:tcW w:w="324" w:type="pct"/>
            <w:vAlign w:val="center"/>
          </w:tcPr>
          <w:p>
            <w:pPr>
              <w:pStyle w:val="36"/>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食堂</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食堂油烟</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油烟净化器处理后由烟囱引至屋顶排放</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Align w:val="center"/>
          </w:tcPr>
          <w:p>
            <w:pPr>
              <w:pStyle w:val="36"/>
              <w:rPr>
                <w:rFonts w:ascii="Times New Roman" w:hAnsi="Times New Roman" w:cs="Times New Roman"/>
                <w:color w:val="auto"/>
              </w:rPr>
            </w:pPr>
            <w:r>
              <w:rPr>
                <w:rFonts w:ascii="Times New Roman" w:hAnsi="Times New Roman" w:cs="Times New Roman"/>
                <w:color w:val="auto"/>
              </w:rPr>
              <w:t>废水治理措施</w:t>
            </w: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综合废水</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COD、BOD</w:t>
            </w:r>
            <w:r>
              <w:rPr>
                <w:rFonts w:ascii="Times New Roman" w:hAnsi="Times New Roman" w:cs="Times New Roman"/>
                <w:color w:val="auto"/>
                <w:vertAlign w:val="subscript"/>
              </w:rPr>
              <w:t>5</w:t>
            </w:r>
            <w:r>
              <w:rPr>
                <w:rFonts w:ascii="Times New Roman" w:hAnsi="Times New Roman" w:cs="Times New Roman"/>
                <w:color w:val="auto"/>
              </w:rPr>
              <w:t>、SS、NH</w:t>
            </w:r>
            <w:r>
              <w:rPr>
                <w:rFonts w:ascii="Times New Roman" w:hAnsi="Times New Roman" w:cs="Times New Roman"/>
                <w:color w:val="auto"/>
                <w:vertAlign w:val="subscript"/>
              </w:rPr>
              <w:t>3</w:t>
            </w:r>
            <w:r>
              <w:rPr>
                <w:rFonts w:ascii="Times New Roman" w:hAnsi="Times New Roman" w:cs="Times New Roman"/>
                <w:color w:val="auto"/>
              </w:rPr>
              <w:t>-N、粪大肠菌群</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设计处理工艺：预消毒池+生物化粪池+格栅+集水井+调节池+水解酸化池+生物接触氧化池+二沉池+消毒池。</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《医疗机构水污染物排放标准》（GB18466-2005）表2中预处理标准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Align w:val="center"/>
          </w:tcPr>
          <w:p>
            <w:pPr>
              <w:pStyle w:val="36"/>
              <w:rPr>
                <w:rFonts w:ascii="Times New Roman" w:hAnsi="Times New Roman" w:cs="Times New Roman"/>
                <w:color w:val="auto"/>
              </w:rPr>
            </w:pPr>
            <w:r>
              <w:rPr>
                <w:rFonts w:ascii="Times New Roman" w:hAnsi="Times New Roman" w:cs="Times New Roman"/>
                <w:color w:val="auto"/>
              </w:rPr>
              <w:t>噪声防治措施</w:t>
            </w: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生产设备</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噪声</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设备基础安装减震垫、厂房隔声等</w:t>
            </w:r>
          </w:p>
        </w:tc>
        <w:tc>
          <w:tcPr>
            <w:tcW w:w="1563" w:type="pct"/>
            <w:vAlign w:val="center"/>
          </w:tcPr>
          <w:p>
            <w:pPr>
              <w:pStyle w:val="36"/>
              <w:rPr>
                <w:rFonts w:ascii="Times New Roman" w:hAnsi="Times New Roman" w:cs="Times New Roman"/>
                <w:color w:val="auto"/>
              </w:rPr>
            </w:pPr>
            <w:r>
              <w:rPr>
                <w:rFonts w:ascii="Times New Roman" w:hAnsi="Times New Roman" w:cs="Times New Roman"/>
                <w:color w:val="auto"/>
              </w:rPr>
              <w:t>厂界噪声符合《工业企业厂界环境噪声排放标准》（GB12348-2008）1类标准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固废治理措施</w:t>
            </w:r>
          </w:p>
        </w:tc>
        <w:tc>
          <w:tcPr>
            <w:tcW w:w="724" w:type="pct"/>
            <w:gridSpan w:val="2"/>
            <w:vMerge w:val="restart"/>
            <w:vAlign w:val="center"/>
          </w:tcPr>
          <w:p>
            <w:pPr>
              <w:pStyle w:val="36"/>
              <w:rPr>
                <w:rFonts w:ascii="Times New Roman" w:hAnsi="Times New Roman" w:cs="Times New Roman"/>
                <w:color w:val="auto"/>
              </w:rPr>
            </w:pPr>
            <w:r>
              <w:rPr>
                <w:rFonts w:ascii="Times New Roman" w:hAnsi="Times New Roman" w:cs="Times New Roman"/>
                <w:color w:val="auto"/>
              </w:rPr>
              <w:t>危险废物</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医疗废物</w:t>
            </w:r>
          </w:p>
        </w:tc>
        <w:tc>
          <w:tcPr>
            <w:tcW w:w="1696"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设置一间20m</w:t>
            </w:r>
            <w:r>
              <w:rPr>
                <w:rFonts w:ascii="Times New Roman" w:hAnsi="Times New Roman" w:cs="Times New Roman"/>
                <w:color w:val="auto"/>
                <w:vertAlign w:val="superscript"/>
              </w:rPr>
              <w:t>2</w:t>
            </w:r>
            <w:r>
              <w:rPr>
                <w:rFonts w:ascii="Times New Roman" w:hAnsi="Times New Roman" w:cs="Times New Roman"/>
                <w:color w:val="auto"/>
              </w:rPr>
              <w:t>的危废暂存间</w:t>
            </w:r>
          </w:p>
        </w:tc>
        <w:tc>
          <w:tcPr>
            <w:tcW w:w="1563" w:type="pct"/>
            <w:vMerge w:val="restart"/>
            <w:vAlign w:val="center"/>
          </w:tcPr>
          <w:p>
            <w:pPr>
              <w:pStyle w:val="36"/>
              <w:rPr>
                <w:rFonts w:ascii="Times New Roman" w:hAnsi="Times New Roman" w:cs="Times New Roman"/>
                <w:color w:val="auto"/>
              </w:rPr>
            </w:pPr>
            <w:r>
              <w:rPr>
                <w:rFonts w:ascii="Times New Roman" w:hAnsi="Times New Roman" w:cs="Times New Roman"/>
                <w:color w:val="auto"/>
              </w:rPr>
              <w:t>临时储存，安全处置、零排放；符合《危险废物贮存污染控制标准》（GB18597-2001）中相关要求及《医疗废物集中处置技术规范（试行）》（环发〔2003〕206号）相关规定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Merge w:val="continue"/>
            <w:vAlign w:val="center"/>
          </w:tcPr>
          <w:p>
            <w:pPr>
              <w:pStyle w:val="36"/>
              <w:rPr>
                <w:rFonts w:ascii="Times New Roman" w:hAnsi="Times New Roman" w:cs="Times New Roman"/>
                <w:color w:val="auto"/>
              </w:rPr>
            </w:pP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污泥</w:t>
            </w:r>
          </w:p>
        </w:tc>
        <w:tc>
          <w:tcPr>
            <w:tcW w:w="1696" w:type="pct"/>
            <w:vMerge w:val="continue"/>
            <w:vAlign w:val="center"/>
          </w:tcPr>
          <w:p>
            <w:pPr>
              <w:pStyle w:val="36"/>
              <w:rPr>
                <w:rFonts w:ascii="Times New Roman" w:hAnsi="Times New Roman" w:cs="Times New Roman"/>
                <w:color w:val="auto"/>
              </w:rPr>
            </w:pPr>
          </w:p>
        </w:tc>
        <w:tc>
          <w:tcPr>
            <w:tcW w:w="1563" w:type="pct"/>
            <w:vMerge w:val="continue"/>
            <w:vAlign w:val="center"/>
          </w:tcPr>
          <w:p>
            <w:pPr>
              <w:pStyle w:val="36"/>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52" w:type="pct"/>
            <w:vMerge w:val="continue"/>
            <w:vAlign w:val="center"/>
          </w:tcPr>
          <w:p>
            <w:pPr>
              <w:pStyle w:val="36"/>
              <w:rPr>
                <w:rFonts w:ascii="Times New Roman" w:hAnsi="Times New Roman" w:cs="Times New Roman"/>
                <w:color w:val="auto"/>
              </w:rPr>
            </w:pPr>
          </w:p>
        </w:tc>
        <w:tc>
          <w:tcPr>
            <w:tcW w:w="724" w:type="pct"/>
            <w:gridSpan w:val="2"/>
            <w:vAlign w:val="center"/>
          </w:tcPr>
          <w:p>
            <w:pPr>
              <w:pStyle w:val="36"/>
              <w:rPr>
                <w:rFonts w:ascii="Times New Roman" w:hAnsi="Times New Roman" w:cs="Times New Roman"/>
                <w:color w:val="auto"/>
              </w:rPr>
            </w:pPr>
            <w:r>
              <w:rPr>
                <w:rFonts w:ascii="Times New Roman" w:hAnsi="Times New Roman" w:cs="Times New Roman"/>
                <w:color w:val="auto"/>
              </w:rPr>
              <w:t>生活垃圾</w:t>
            </w:r>
          </w:p>
        </w:tc>
        <w:tc>
          <w:tcPr>
            <w:tcW w:w="662" w:type="pct"/>
            <w:gridSpan w:val="2"/>
            <w:vAlign w:val="center"/>
          </w:tcPr>
          <w:p>
            <w:pPr>
              <w:pStyle w:val="36"/>
              <w:rPr>
                <w:rFonts w:ascii="Times New Roman" w:hAnsi="Times New Roman" w:cs="Times New Roman"/>
                <w:color w:val="auto"/>
              </w:rPr>
            </w:pPr>
            <w:r>
              <w:rPr>
                <w:rFonts w:ascii="Times New Roman" w:hAnsi="Times New Roman" w:cs="Times New Roman"/>
                <w:color w:val="auto"/>
              </w:rPr>
              <w:t>生活垃圾</w:t>
            </w:r>
          </w:p>
        </w:tc>
        <w:tc>
          <w:tcPr>
            <w:tcW w:w="1696" w:type="pct"/>
            <w:vAlign w:val="center"/>
          </w:tcPr>
          <w:p>
            <w:pPr>
              <w:pStyle w:val="36"/>
              <w:rPr>
                <w:rFonts w:ascii="Times New Roman" w:hAnsi="Times New Roman" w:cs="Times New Roman"/>
                <w:color w:val="auto"/>
              </w:rPr>
            </w:pPr>
            <w:r>
              <w:rPr>
                <w:rFonts w:ascii="Times New Roman" w:hAnsi="Times New Roman" w:cs="Times New Roman"/>
                <w:color w:val="auto"/>
              </w:rPr>
              <w:t>厂内设有垃圾收集桶，收集后委托环卫部门清运处理</w:t>
            </w:r>
          </w:p>
        </w:tc>
        <w:tc>
          <w:tcPr>
            <w:tcW w:w="1563" w:type="pct"/>
            <w:vMerge w:val="continue"/>
            <w:vAlign w:val="center"/>
          </w:tcPr>
          <w:p>
            <w:pPr>
              <w:pStyle w:val="36"/>
              <w:rPr>
                <w:rFonts w:ascii="Times New Roman" w:hAnsi="Times New Roman" w:cs="Times New Roman"/>
                <w:color w:val="auto"/>
              </w:rPr>
            </w:pPr>
          </w:p>
        </w:tc>
      </w:tr>
    </w:tbl>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pPr>
    </w:p>
    <w:p>
      <w:pPr>
        <w:spacing w:line="520" w:lineRule="exact"/>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p>
      <w:pPr>
        <w:pStyle w:val="7"/>
        <w:jc w:val="center"/>
        <w:rPr>
          <w:rFonts w:ascii="Times New Roman" w:hAnsi="Times New Roman" w:cs="Times New Roman"/>
          <w:color w:val="auto"/>
        </w:rPr>
      </w:pPr>
      <w:bookmarkStart w:id="587" w:name="_Toc21604"/>
      <w:bookmarkStart w:id="588" w:name="_Toc31225"/>
      <w:bookmarkStart w:id="589" w:name="_Toc32181"/>
      <w:bookmarkStart w:id="590" w:name="_Toc24480"/>
      <w:bookmarkStart w:id="591" w:name="_Toc26313_WPSOffice_Level1"/>
      <w:bookmarkStart w:id="592" w:name="_Toc25643_WPSOffice_Level1"/>
      <w:bookmarkStart w:id="593" w:name="_Toc18775"/>
      <w:bookmarkStart w:id="594" w:name="_Toc4885"/>
      <w:bookmarkStart w:id="595" w:name="_Toc25942"/>
      <w:bookmarkStart w:id="596" w:name="_Toc12384"/>
      <w:bookmarkStart w:id="597" w:name="_Toc11352"/>
      <w:bookmarkStart w:id="598" w:name="_Toc13250"/>
      <w:bookmarkStart w:id="599" w:name="_Toc16591"/>
      <w:r>
        <w:rPr>
          <w:rFonts w:hint="eastAsia" w:ascii="Times New Roman" w:hAnsi="Times New Roman" w:cs="Times New Roman"/>
          <w:color w:val="auto"/>
        </w:rPr>
        <w:t>9</w:t>
      </w:r>
      <w:r>
        <w:rPr>
          <w:rFonts w:ascii="Times New Roman" w:hAnsi="Times New Roman" w:cs="Times New Roman"/>
          <w:color w:val="auto"/>
        </w:rPr>
        <w:t xml:space="preserve"> 环境影响评价结论</w:t>
      </w:r>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8"/>
        <w:rPr>
          <w:rFonts w:ascii="Times New Roman" w:hAnsi="Times New Roman" w:cs="Times New Roman"/>
          <w:color w:val="auto"/>
        </w:rPr>
      </w:pPr>
      <w:bookmarkStart w:id="600" w:name="_Toc4113"/>
      <w:bookmarkStart w:id="601" w:name="_Toc1193_WPSOffice_Level2"/>
      <w:bookmarkStart w:id="602" w:name="_Toc5307"/>
      <w:bookmarkStart w:id="603" w:name="_Toc12192"/>
      <w:bookmarkStart w:id="604" w:name="_Toc2835"/>
      <w:bookmarkStart w:id="605" w:name="_Toc12969"/>
      <w:bookmarkStart w:id="606" w:name="_Toc17980_WPSOffice_Level2"/>
      <w:bookmarkStart w:id="607" w:name="_Toc4275"/>
      <w:bookmarkStart w:id="608" w:name="_Toc17405"/>
      <w:bookmarkStart w:id="609" w:name="_Toc22460"/>
      <w:bookmarkStart w:id="610" w:name="_Toc14129"/>
      <w:bookmarkStart w:id="611" w:name="_Toc620"/>
      <w:bookmarkStart w:id="612" w:name="_Toc4114"/>
      <w:bookmarkStart w:id="613" w:name="_Toc31988"/>
      <w:r>
        <w:rPr>
          <w:rFonts w:hint="eastAsia" w:ascii="Times New Roman" w:hAnsi="Times New Roman" w:cs="Times New Roman"/>
          <w:color w:val="auto"/>
        </w:rPr>
        <w:t>9</w:t>
      </w:r>
      <w:r>
        <w:rPr>
          <w:rFonts w:ascii="Times New Roman" w:hAnsi="Times New Roman" w:cs="Times New Roman"/>
          <w:color w:val="auto"/>
        </w:rPr>
        <w:t>.1 结论</w:t>
      </w:r>
      <w:bookmarkEnd w:id="600"/>
      <w:bookmarkEnd w:id="601"/>
      <w:bookmarkEnd w:id="602"/>
      <w:bookmarkEnd w:id="603"/>
      <w:bookmarkEnd w:id="604"/>
      <w:bookmarkEnd w:id="605"/>
      <w:bookmarkEnd w:id="606"/>
      <w:bookmarkEnd w:id="607"/>
      <w:bookmarkEnd w:id="608"/>
      <w:bookmarkEnd w:id="609"/>
      <w:bookmarkEnd w:id="610"/>
      <w:bookmarkEnd w:id="611"/>
    </w:p>
    <w:p>
      <w:pPr>
        <w:pStyle w:val="9"/>
        <w:rPr>
          <w:rFonts w:ascii="Times New Roman" w:hAnsi="Times New Roman" w:cs="Times New Roman"/>
          <w:color w:val="auto"/>
        </w:rPr>
      </w:pPr>
      <w:bookmarkStart w:id="614" w:name="_Toc25457"/>
      <w:r>
        <w:rPr>
          <w:rFonts w:hint="eastAsia" w:ascii="Times New Roman" w:hAnsi="Times New Roman" w:cs="Times New Roman"/>
          <w:color w:val="auto"/>
        </w:rPr>
        <w:t>9</w:t>
      </w:r>
      <w:r>
        <w:rPr>
          <w:rFonts w:ascii="Times New Roman" w:hAnsi="Times New Roman" w:cs="Times New Roman"/>
          <w:color w:val="auto"/>
        </w:rPr>
        <w:t>.1.1 项目概况</w:t>
      </w:r>
      <w:bookmarkEnd w:id="612"/>
      <w:bookmarkEnd w:id="613"/>
      <w:bookmarkEnd w:id="614"/>
    </w:p>
    <w:p>
      <w:pPr>
        <w:tabs>
          <w:tab w:val="right" w:leader="dot" w:pos="8280"/>
        </w:tabs>
        <w:spacing w:line="520" w:lineRule="exact"/>
        <w:rPr>
          <w:rFonts w:ascii="Times New Roman" w:hAnsi="Times New Roman" w:cs="Times New Roman"/>
          <w:color w:val="auto"/>
          <w:szCs w:val="26"/>
        </w:rPr>
      </w:pPr>
      <w:bookmarkStart w:id="615" w:name="_Toc264817849"/>
      <w:bookmarkStart w:id="616" w:name="_Toc248875681"/>
      <w:bookmarkStart w:id="617" w:name="_Toc266117398"/>
      <w:bookmarkStart w:id="618" w:name="_Toc376168636"/>
      <w:bookmarkStart w:id="619" w:name="_Toc258592128"/>
      <w:r>
        <w:rPr>
          <w:rFonts w:ascii="Times New Roman" w:hAnsi="Times New Roman" w:cs="Times New Roman"/>
          <w:color w:val="auto"/>
        </w:rPr>
        <w:t>拟建位于吉木萨尔县城老城区南侧，北邻文襄路，西邻闽江路，南邻建国路，东邻准东路。项目区东侧为在建方舱医院，项目区西侧为空地，项目区南侧为</w:t>
      </w:r>
      <w:r>
        <w:rPr>
          <w:rFonts w:hint="eastAsia" w:ascii="Times New Roman" w:hAnsi="Times New Roman" w:cs="Times New Roman"/>
          <w:color w:val="auto"/>
        </w:rPr>
        <w:t>停车场</w:t>
      </w:r>
      <w:r>
        <w:rPr>
          <w:rFonts w:ascii="Times New Roman" w:hAnsi="Times New Roman" w:cs="Times New Roman"/>
          <w:color w:val="auto"/>
        </w:rPr>
        <w:t>，项目区北侧为，中心坐标：东经89°11'32.96"，北纬43°58'53.54"。</w:t>
      </w:r>
    </w:p>
    <w:p>
      <w:pPr>
        <w:spacing w:line="520" w:lineRule="exact"/>
        <w:rPr>
          <w:rFonts w:ascii="Times New Roman" w:hAnsi="Times New Roman" w:cs="Times New Roman"/>
          <w:color w:val="auto"/>
        </w:rPr>
      </w:pPr>
      <w:r>
        <w:rPr>
          <w:rFonts w:ascii="Times New Roman" w:hAnsi="Times New Roman" w:cs="Times New Roman"/>
          <w:color w:val="auto"/>
          <w:szCs w:val="28"/>
        </w:rPr>
        <w:t>项目建设内容包括门诊楼、医技楼、病房楼、感染病楼、医疗保障、后勤、行政辅助等，包含院内绿化、硬化等配套设施建设及医疗设备购置</w:t>
      </w:r>
      <w:r>
        <w:rPr>
          <w:rFonts w:ascii="Times New Roman" w:hAnsi="Times New Roman" w:cs="Times New Roman"/>
          <w:color w:val="auto"/>
        </w:rPr>
        <w:t>。项目总投资49000万元，其中环保投资201万元，占总投资的0.41</w:t>
      </w:r>
      <w:r>
        <w:rPr>
          <w:rFonts w:ascii="Times New Roman" w:hAnsi="Times New Roman" w:eastAsia="Times New Roman" w:cs="Times New Roman"/>
          <w:color w:val="auto"/>
        </w:rPr>
        <w:t>%</w:t>
      </w:r>
      <w:r>
        <w:rPr>
          <w:rFonts w:ascii="Times New Roman" w:hAnsi="Times New Roman" w:cs="Times New Roman"/>
          <w:color w:val="auto"/>
        </w:rPr>
        <w:t>。</w:t>
      </w:r>
    </w:p>
    <w:bookmarkEnd w:id="615"/>
    <w:bookmarkEnd w:id="616"/>
    <w:bookmarkEnd w:id="617"/>
    <w:bookmarkEnd w:id="618"/>
    <w:bookmarkEnd w:id="619"/>
    <w:p>
      <w:pPr>
        <w:pStyle w:val="9"/>
        <w:rPr>
          <w:rFonts w:ascii="Times New Roman" w:hAnsi="Times New Roman" w:cs="Times New Roman"/>
          <w:color w:val="auto"/>
        </w:rPr>
      </w:pPr>
      <w:bookmarkStart w:id="620" w:name="_Toc30558"/>
      <w:bookmarkStart w:id="621" w:name="_Toc20500"/>
      <w:bookmarkStart w:id="622" w:name="_Toc22260"/>
      <w:r>
        <w:rPr>
          <w:rFonts w:hint="eastAsia" w:ascii="Times New Roman" w:hAnsi="Times New Roman" w:cs="Times New Roman"/>
          <w:color w:val="auto"/>
        </w:rPr>
        <w:t>9</w:t>
      </w:r>
      <w:r>
        <w:rPr>
          <w:rFonts w:ascii="Times New Roman" w:hAnsi="Times New Roman" w:cs="Times New Roman"/>
          <w:color w:val="auto"/>
        </w:rPr>
        <w:t>.1.2 项目区环境质量现状结论</w:t>
      </w:r>
      <w:bookmarkEnd w:id="620"/>
      <w:bookmarkEnd w:id="621"/>
      <w:bookmarkEnd w:id="622"/>
    </w:p>
    <w:p>
      <w:pPr>
        <w:pStyle w:val="10"/>
        <w:rPr>
          <w:rFonts w:cs="Times New Roman"/>
          <w:color w:val="auto"/>
        </w:rPr>
      </w:pPr>
      <w:r>
        <w:rPr>
          <w:rFonts w:hint="eastAsia" w:cs="Times New Roman"/>
          <w:color w:val="auto"/>
        </w:rPr>
        <w:t>9</w:t>
      </w:r>
      <w:r>
        <w:rPr>
          <w:rFonts w:cs="Times New Roman"/>
          <w:color w:val="auto"/>
        </w:rPr>
        <w:t>.1.2.1 大气环境质量现状</w:t>
      </w:r>
    </w:p>
    <w:p>
      <w:pPr>
        <w:spacing w:line="520" w:lineRule="exact"/>
        <w:jc w:val="left"/>
        <w:rPr>
          <w:rFonts w:ascii="Times New Roman" w:hAnsi="Times New Roman" w:cs="Times New Roman"/>
          <w:color w:val="auto"/>
        </w:rPr>
      </w:pPr>
      <w:r>
        <w:rPr>
          <w:rFonts w:ascii="Times New Roman" w:hAnsi="Times New Roman" w:cs="Times New Roman"/>
          <w:color w:val="auto"/>
        </w:rPr>
        <w:t>根据《吉木萨尔县2018年环境质量公报》项目所在区域为非达标区，环境空气满足《环境空气质量标准》（GB3095-2012）二级标准。</w:t>
      </w:r>
    </w:p>
    <w:p>
      <w:pPr>
        <w:pStyle w:val="10"/>
        <w:rPr>
          <w:rFonts w:cs="Times New Roman"/>
          <w:color w:val="auto"/>
        </w:rPr>
      </w:pPr>
      <w:r>
        <w:rPr>
          <w:rFonts w:hint="eastAsia" w:cs="Times New Roman"/>
          <w:color w:val="auto"/>
        </w:rPr>
        <w:t>9</w:t>
      </w:r>
      <w:r>
        <w:rPr>
          <w:rFonts w:cs="Times New Roman"/>
          <w:color w:val="auto"/>
        </w:rPr>
        <w:t>.1.2.2 水环境质量现状</w:t>
      </w:r>
    </w:p>
    <w:p>
      <w:pPr>
        <w:tabs>
          <w:tab w:val="left" w:pos="6480"/>
        </w:tabs>
        <w:spacing w:line="520" w:lineRule="exact"/>
        <w:rPr>
          <w:rFonts w:ascii="Times New Roman" w:hAnsi="Times New Roman" w:cs="Times New Roman"/>
          <w:color w:val="auto"/>
        </w:rPr>
      </w:pPr>
      <w:r>
        <w:rPr>
          <w:rFonts w:ascii="Times New Roman" w:hAnsi="Times New Roman" w:cs="Times New Roman"/>
          <w:color w:val="auto"/>
        </w:rPr>
        <w:t>项目所在区域地下水监测结果中，各因子均符合《地下水质量标准》（GB/T14848-2017）中</w:t>
      </w:r>
      <w:r>
        <w:rPr>
          <w:rFonts w:ascii="Times New Roman" w:hAnsi="Times New Roman" w:eastAsia="仿宋" w:cs="Times New Roman"/>
          <w:color w:val="auto"/>
        </w:rPr>
        <w:t>Ⅲ</w:t>
      </w:r>
      <w:r>
        <w:rPr>
          <w:rFonts w:ascii="Times New Roman" w:hAnsi="Times New Roman" w:cs="Times New Roman"/>
          <w:color w:val="auto"/>
        </w:rPr>
        <w:t>类标准要求。</w:t>
      </w:r>
    </w:p>
    <w:p>
      <w:pPr>
        <w:pStyle w:val="10"/>
        <w:rPr>
          <w:rFonts w:cs="Times New Roman"/>
          <w:color w:val="auto"/>
        </w:rPr>
      </w:pPr>
      <w:r>
        <w:rPr>
          <w:rFonts w:hint="eastAsia" w:cs="Times New Roman"/>
          <w:color w:val="auto"/>
        </w:rPr>
        <w:t>9</w:t>
      </w:r>
      <w:r>
        <w:rPr>
          <w:rFonts w:cs="Times New Roman"/>
          <w:color w:val="auto"/>
        </w:rPr>
        <w:t>.1.2.3 声环境质量现状</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厂界四周噪声值均低于《声环境质量标准》（GB3096-2008）中的1类标准，说明项所在区域声环境质量良好。</w:t>
      </w:r>
    </w:p>
    <w:p>
      <w:pPr>
        <w:pStyle w:val="9"/>
        <w:rPr>
          <w:rFonts w:ascii="Times New Roman" w:hAnsi="Times New Roman" w:cs="Times New Roman"/>
          <w:color w:val="auto"/>
        </w:rPr>
      </w:pPr>
      <w:bookmarkStart w:id="623" w:name="_Toc22343"/>
      <w:bookmarkStart w:id="624" w:name="_Toc23969"/>
      <w:bookmarkStart w:id="625" w:name="_Toc28748"/>
      <w:r>
        <w:rPr>
          <w:rFonts w:hint="eastAsia" w:ascii="Times New Roman" w:hAnsi="Times New Roman" w:cs="Times New Roman"/>
          <w:color w:val="auto"/>
        </w:rPr>
        <w:t>9</w:t>
      </w:r>
      <w:r>
        <w:rPr>
          <w:rFonts w:ascii="Times New Roman" w:hAnsi="Times New Roman" w:cs="Times New Roman"/>
          <w:color w:val="auto"/>
        </w:rPr>
        <w:t>.1.3 环保措施分析结论</w:t>
      </w:r>
      <w:bookmarkEnd w:id="623"/>
      <w:bookmarkEnd w:id="624"/>
      <w:bookmarkEnd w:id="625"/>
    </w:p>
    <w:p>
      <w:pPr>
        <w:pStyle w:val="10"/>
        <w:rPr>
          <w:rFonts w:cs="Times New Roman"/>
          <w:color w:val="auto"/>
        </w:rPr>
      </w:pPr>
      <w:r>
        <w:rPr>
          <w:rFonts w:hint="eastAsia" w:cs="Times New Roman"/>
          <w:color w:val="auto"/>
        </w:rPr>
        <w:t>9</w:t>
      </w:r>
      <w:r>
        <w:rPr>
          <w:rFonts w:cs="Times New Roman"/>
          <w:color w:val="auto"/>
        </w:rPr>
        <w:t>.1.3.1 废气治理措施</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本项目主要废气污染物为污水处理站恶臭污染、柴油发电机尾气以及食堂油烟等。</w:t>
      </w:r>
    </w:p>
    <w:p>
      <w:pPr>
        <w:topLinePunct/>
        <w:snapToGrid w:val="0"/>
        <w:spacing w:line="520" w:lineRule="exact"/>
        <w:jc w:val="both"/>
        <w:rPr>
          <w:rFonts w:hint="default" w:ascii="Times New Roman" w:hAnsi="Times New Roman" w:eastAsia="宋体" w:cs="Times New Roman"/>
          <w:color w:val="auto"/>
          <w:lang w:val="en-US" w:eastAsia="zh-CN"/>
        </w:rPr>
      </w:pPr>
      <w:r>
        <w:rPr>
          <w:rFonts w:ascii="Times New Roman" w:hAnsi="Times New Roman" w:cs="Times New Roman"/>
          <w:color w:val="auto"/>
        </w:rPr>
        <w:t>污水处理站各构筑物均为地埋式，各水处理池加盖板密闭，盖板上预留进、出气口，收集后采用等离子除臭装置装置处理恶臭气体处理，</w:t>
      </w:r>
      <w:r>
        <w:rPr>
          <w:rFonts w:hint="eastAsia" w:ascii="Times New Roman" w:hAnsi="Times New Roman" w:cs="Times New Roman"/>
          <w:color w:val="auto"/>
          <w:lang w:val="en-US" w:eastAsia="zh-CN"/>
        </w:rPr>
        <w:t>达到《恶臭污染物排放标准》（GB14554-93）表2中污染物排放标准值后</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由</w:t>
      </w:r>
      <w:r>
        <w:rPr>
          <w:rFonts w:ascii="Times New Roman" w:hAnsi="Times New Roman" w:cs="Times New Roman"/>
          <w:color w:val="auto"/>
        </w:rPr>
        <w:t>1根15m高排气筒排放。</w:t>
      </w:r>
      <w:r>
        <w:rPr>
          <w:rFonts w:hint="eastAsia" w:ascii="Times New Roman" w:hAnsi="Times New Roman" w:cs="Times New Roman"/>
          <w:color w:val="auto"/>
          <w:lang w:val="en-US" w:eastAsia="zh-CN"/>
        </w:rPr>
        <w:t>污水处理站无组织废气满足《医疗机构水污染物排放标准》（GB18466-2005）表3中标准值后，以无组织形式排放。</w:t>
      </w:r>
    </w:p>
    <w:p>
      <w:pPr>
        <w:topLinePunct/>
        <w:snapToGrid w:val="0"/>
        <w:spacing w:line="520" w:lineRule="exact"/>
        <w:rPr>
          <w:rFonts w:ascii="Times New Roman" w:hAnsi="Times New Roman" w:cs="Times New Roman"/>
          <w:color w:val="auto"/>
        </w:rPr>
      </w:pPr>
      <w:r>
        <w:rPr>
          <w:rFonts w:ascii="Times New Roman" w:hAnsi="Times New Roman" w:cs="Times New Roman"/>
          <w:color w:val="auto"/>
        </w:rPr>
        <w:t>本项目营运期食堂产生的油烟经处理效率不低于85%的油烟净化器处理，则处理后的油烟浓度为1.88mg/m</w:t>
      </w:r>
      <w:r>
        <w:rPr>
          <w:rFonts w:ascii="Times New Roman" w:hAnsi="Times New Roman" w:cs="Times New Roman"/>
          <w:color w:val="auto"/>
          <w:vertAlign w:val="superscript"/>
        </w:rPr>
        <w:t>3</w:t>
      </w:r>
      <w:r>
        <w:rPr>
          <w:rFonts w:ascii="Times New Roman" w:hAnsi="Times New Roman" w:cs="Times New Roman"/>
          <w:color w:val="auto"/>
        </w:rPr>
        <w:t>&lt;2.0mg/m</w:t>
      </w:r>
      <w:r>
        <w:rPr>
          <w:rFonts w:ascii="Times New Roman" w:hAnsi="Times New Roman" w:cs="Times New Roman"/>
          <w:color w:val="auto"/>
          <w:vertAlign w:val="superscript"/>
        </w:rPr>
        <w:t>3</w:t>
      </w:r>
      <w:r>
        <w:rPr>
          <w:rFonts w:ascii="Times New Roman" w:hAnsi="Times New Roman" w:cs="Times New Roman"/>
          <w:color w:val="auto"/>
        </w:rPr>
        <w:t>，能达到《饮食业油烟排放标准》（GB18483-2001）中的标准要求，达标后由专用排烟管道引至后勤楼楼顶排放；本项目营运期柴油发电机废气</w:t>
      </w:r>
      <w:r>
        <w:rPr>
          <w:rFonts w:hint="eastAsia" w:ascii="Times New Roman" w:hAnsi="Times New Roman" w:cs="Times New Roman"/>
          <w:color w:val="auto"/>
        </w:rPr>
        <w:t>以无组织形式</w:t>
      </w:r>
      <w:r>
        <w:rPr>
          <w:rFonts w:ascii="Times New Roman" w:hAnsi="Times New Roman" w:cs="Times New Roman"/>
          <w:color w:val="auto"/>
        </w:rPr>
        <w:t>排放，同时加强柴油发电机房内机械通风，柴油发电机废气排放满足《大气污染物综合排放标准》（GB16297-1996）中表2无组织排放监控浓度限值。</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综上，废气采取以上措施是可行的，可使建项目废气排放控制在环保标准要求范围内。</w:t>
      </w:r>
    </w:p>
    <w:p>
      <w:pPr>
        <w:pStyle w:val="10"/>
        <w:rPr>
          <w:rFonts w:cs="Times New Roman"/>
          <w:color w:val="auto"/>
        </w:rPr>
      </w:pPr>
      <w:r>
        <w:rPr>
          <w:rFonts w:hint="eastAsia" w:cs="Times New Roman"/>
          <w:color w:val="auto"/>
        </w:rPr>
        <w:t>9</w:t>
      </w:r>
      <w:r>
        <w:rPr>
          <w:rFonts w:cs="Times New Roman"/>
          <w:color w:val="auto"/>
        </w:rPr>
        <w:t>.1.3.2 废水治理措施</w:t>
      </w:r>
    </w:p>
    <w:p>
      <w:pPr>
        <w:spacing w:line="520" w:lineRule="exact"/>
        <w:rPr>
          <w:rFonts w:ascii="Times New Roman" w:hAnsi="Times New Roman" w:cs="Times New Roman"/>
          <w:color w:val="auto"/>
        </w:rPr>
      </w:pPr>
      <w:r>
        <w:rPr>
          <w:rFonts w:ascii="Times New Roman" w:hAnsi="Times New Roman" w:cs="Times New Roman"/>
          <w:color w:val="auto"/>
        </w:rPr>
        <w:t>项目排放的废水包括感染废水、食堂废水、医护及职工办公生活污水、病房和门诊产生的废水、保洁废水以及医院检验、分析、治疗产生的特殊废水和冷却塔定期排水，其中特殊废水主要为酸性废水。感染废水需经消毒预处理，酸性废水需经中和处理，中心供应消毒高温排水设专用独立管道收集，间接排至降温池后与院区其他综合污水一起进入医院污水处理站进行处理；食堂废水经油水分离器预处理后与其他生活污水一起进入医院污水处理站进行处理，废水处理达到《医疗机构水污染物排放标准》（GB18466-2005）表2中预处理标准后再汇同冷却塔定期排水一起排入市政污水管网，进入吉木萨尔县污水处理厂处理。</w:t>
      </w:r>
    </w:p>
    <w:p>
      <w:pPr>
        <w:spacing w:line="520" w:lineRule="exact"/>
        <w:jc w:val="left"/>
        <w:rPr>
          <w:rFonts w:ascii="Times New Roman" w:hAnsi="Times New Roman" w:cs="Times New Roman"/>
          <w:color w:val="auto"/>
        </w:rPr>
      </w:pPr>
      <w:r>
        <w:rPr>
          <w:rFonts w:ascii="Times New Roman" w:hAnsi="Times New Roman" w:cs="Times New Roman"/>
          <w:color w:val="auto"/>
        </w:rPr>
        <w:t>综上，废水采取以上措施处理是可行的，可使建项目废水排放控制在环保标准要求范围内。</w:t>
      </w:r>
    </w:p>
    <w:p>
      <w:pPr>
        <w:pStyle w:val="10"/>
        <w:rPr>
          <w:rFonts w:cs="Times New Roman"/>
          <w:color w:val="auto"/>
        </w:rPr>
      </w:pPr>
      <w:r>
        <w:rPr>
          <w:rFonts w:hint="eastAsia" w:cs="Times New Roman"/>
          <w:color w:val="auto"/>
        </w:rPr>
        <w:t>9</w:t>
      </w:r>
      <w:r>
        <w:rPr>
          <w:rFonts w:cs="Times New Roman"/>
          <w:color w:val="auto"/>
        </w:rPr>
        <w:t>.1.3.3 噪声治理措施</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工程中采取的噪声污染控制措施如下：</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①在设备选型上尽可能选用低噪声设备。</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②对噪声大的设备安装消声器和隔声罩。</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③在建筑设计上采取隔声、吸音等降噪措施。</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④在总图布置上，将噪声大的设备尽可能安排在远离厂界的位置，且集中布置于室内。</w:t>
      </w:r>
    </w:p>
    <w:p>
      <w:pPr>
        <w:topLinePunct/>
        <w:snapToGrid w:val="0"/>
        <w:spacing w:line="520" w:lineRule="exact"/>
        <w:rPr>
          <w:rFonts w:ascii="Times New Roman" w:hAnsi="Times New Roman" w:cs="Times New Roman"/>
          <w:color w:val="auto"/>
        </w:rPr>
      </w:pPr>
      <w:r>
        <w:rPr>
          <w:rFonts w:ascii="Times New Roman" w:hAnsi="Times New Roman" w:cs="Times New Roman"/>
          <w:color w:val="auto"/>
        </w:rPr>
        <w:t>采取措施后厂界噪声能达《工业单位厂界环境噪声排放标准》（GB12348-2008）中的标准中的1类标准要求。</w:t>
      </w:r>
    </w:p>
    <w:p>
      <w:pPr>
        <w:topLinePunct/>
        <w:snapToGrid w:val="0"/>
        <w:spacing w:line="520" w:lineRule="exact"/>
        <w:jc w:val="left"/>
        <w:rPr>
          <w:rFonts w:ascii="Times New Roman" w:hAnsi="Times New Roman" w:cs="Times New Roman"/>
          <w:color w:val="auto"/>
        </w:rPr>
      </w:pPr>
      <w:r>
        <w:rPr>
          <w:rFonts w:ascii="Times New Roman" w:hAnsi="Times New Roman" w:cs="Times New Roman"/>
          <w:color w:val="auto"/>
        </w:rPr>
        <w:t>综上，噪声采取以上措施处理是可行的，可使建项目噪声排放控制在环保标准要求范围内。</w:t>
      </w:r>
    </w:p>
    <w:p>
      <w:pPr>
        <w:pStyle w:val="10"/>
        <w:rPr>
          <w:rFonts w:cs="Times New Roman"/>
          <w:color w:val="auto"/>
        </w:rPr>
      </w:pPr>
      <w:r>
        <w:rPr>
          <w:rFonts w:hint="eastAsia" w:cs="Times New Roman"/>
          <w:color w:val="auto"/>
        </w:rPr>
        <w:t>9</w:t>
      </w:r>
      <w:r>
        <w:rPr>
          <w:rFonts w:cs="Times New Roman"/>
          <w:color w:val="auto"/>
        </w:rPr>
        <w:t>.1.3.4 固体废物治理措施</w:t>
      </w:r>
    </w:p>
    <w:p>
      <w:pPr>
        <w:spacing w:line="520" w:lineRule="exact"/>
        <w:jc w:val="left"/>
        <w:rPr>
          <w:rFonts w:ascii="Times New Roman" w:hAnsi="Times New Roman" w:cs="Times New Roman"/>
          <w:color w:val="auto"/>
        </w:rPr>
      </w:pPr>
      <w:r>
        <w:rPr>
          <w:rFonts w:ascii="Times New Roman" w:hAnsi="Times New Roman" w:cs="Times New Roman"/>
          <w:color w:val="auto"/>
        </w:rPr>
        <w:t>本项目生活垃圾委托环卫部门清运；医疗废物、污水站污泥、格栅渣等暂存于院内医疗废物暂存间，定期委托有资质单位处置，不会产生二次污染。项目建成后全院产生的医疗废物、生活垃圾等均能妥善处理处置。</w:t>
      </w:r>
    </w:p>
    <w:p>
      <w:pPr>
        <w:spacing w:line="520" w:lineRule="exact"/>
        <w:jc w:val="left"/>
        <w:rPr>
          <w:rFonts w:ascii="Times New Roman" w:hAnsi="Times New Roman" w:cs="Times New Roman"/>
          <w:color w:val="auto"/>
        </w:rPr>
      </w:pPr>
      <w:r>
        <w:rPr>
          <w:rFonts w:ascii="Times New Roman" w:hAnsi="Times New Roman" w:cs="Times New Roman"/>
          <w:color w:val="auto"/>
        </w:rPr>
        <w:t>综上，固废在采取以上措施处理后，可使建项目固废排放控制在环保标准要求范围内。</w:t>
      </w:r>
    </w:p>
    <w:p>
      <w:pPr>
        <w:pStyle w:val="9"/>
        <w:rPr>
          <w:rFonts w:ascii="Times New Roman" w:hAnsi="Times New Roman" w:cs="Times New Roman"/>
          <w:color w:val="auto"/>
        </w:rPr>
      </w:pPr>
      <w:bookmarkStart w:id="626" w:name="_Toc5634"/>
      <w:bookmarkStart w:id="627" w:name="_Toc9673"/>
      <w:bookmarkStart w:id="628" w:name="_Toc22270"/>
      <w:r>
        <w:rPr>
          <w:rFonts w:hint="eastAsia" w:ascii="Times New Roman" w:hAnsi="Times New Roman" w:cs="Times New Roman"/>
          <w:color w:val="auto"/>
        </w:rPr>
        <w:t>9</w:t>
      </w:r>
      <w:r>
        <w:rPr>
          <w:rFonts w:ascii="Times New Roman" w:hAnsi="Times New Roman" w:cs="Times New Roman"/>
          <w:color w:val="auto"/>
        </w:rPr>
        <w:t>.1.4 环境影响预测结论</w:t>
      </w:r>
      <w:bookmarkEnd w:id="626"/>
      <w:bookmarkEnd w:id="627"/>
      <w:bookmarkEnd w:id="628"/>
    </w:p>
    <w:p>
      <w:pPr>
        <w:pStyle w:val="10"/>
        <w:rPr>
          <w:rFonts w:cs="Times New Roman"/>
          <w:color w:val="auto"/>
        </w:rPr>
      </w:pPr>
      <w:r>
        <w:rPr>
          <w:rFonts w:hint="eastAsia" w:cs="Times New Roman"/>
          <w:color w:val="auto"/>
        </w:rPr>
        <w:t>9</w:t>
      </w:r>
      <w:r>
        <w:rPr>
          <w:rFonts w:cs="Times New Roman"/>
          <w:color w:val="auto"/>
        </w:rPr>
        <w:t>.1.4.1 大气影响</w:t>
      </w:r>
      <w:r>
        <w:rPr>
          <w:rFonts w:hint="eastAsia" w:cs="Times New Roman"/>
          <w:color w:val="auto"/>
          <w:lang w:val="en-US" w:eastAsia="zh-CN"/>
        </w:rPr>
        <w:t>预测</w:t>
      </w:r>
      <w:r>
        <w:rPr>
          <w:rFonts w:cs="Times New Roman"/>
          <w:color w:val="auto"/>
        </w:rPr>
        <w:t>与评价</w:t>
      </w:r>
    </w:p>
    <w:p>
      <w:pPr>
        <w:topLinePunct/>
        <w:snapToGrid w:val="0"/>
        <w:spacing w:line="520" w:lineRule="exact"/>
        <w:rPr>
          <w:rFonts w:ascii="Times New Roman" w:hAnsi="Times New Roman" w:cs="Times New Roman"/>
          <w:color w:val="auto"/>
          <w:highlight w:val="none"/>
        </w:rPr>
      </w:pPr>
      <w:r>
        <w:rPr>
          <w:rFonts w:ascii="Times New Roman" w:hAnsi="Times New Roman" w:cs="Times New Roman"/>
          <w:color w:val="auto"/>
          <w:highlight w:val="none"/>
        </w:rPr>
        <w:t>项目主要大气污染源为污水处理站恶臭、</w:t>
      </w:r>
      <w:r>
        <w:rPr>
          <w:rFonts w:hint="eastAsia" w:ascii="Times New Roman" w:hAnsi="Times New Roman" w:cs="Times New Roman"/>
          <w:color w:val="auto"/>
          <w:highlight w:val="none"/>
          <w:lang w:eastAsia="zh-CN"/>
        </w:rPr>
        <w:t>带菌空气</w:t>
      </w:r>
      <w:r>
        <w:rPr>
          <w:rFonts w:ascii="Times New Roman" w:hAnsi="Times New Roman" w:cs="Times New Roman"/>
          <w:color w:val="auto"/>
          <w:highlight w:val="none"/>
        </w:rPr>
        <w:t>、食堂油烟、备用发电机废气、地下车库汽车尾气等。根据前述分析可知，项目污水处理站恶臭废气经处理后排放，满足《恶臭污染物排放标准》（GB14554-93）表2中污染物排放标准值和《医疗机构水污染物排放标准》（GB18466-2005）表3中标准值</w:t>
      </w:r>
      <w:r>
        <w:rPr>
          <w:rFonts w:hint="eastAsia" w:ascii="Times New Roman" w:hAnsi="Times New Roman" w:cs="Times New Roman"/>
          <w:color w:val="auto"/>
          <w:highlight w:val="none"/>
          <w:lang w:eastAsia="zh-CN"/>
        </w:rPr>
        <w:t>；</w:t>
      </w:r>
      <w:r>
        <w:rPr>
          <w:rFonts w:ascii="Times New Roman" w:hAnsi="Times New Roman" w:cs="Times New Roman"/>
          <w:color w:val="auto"/>
        </w:rPr>
        <w:t>食堂产生的</w:t>
      </w:r>
      <w:r>
        <w:rPr>
          <w:rFonts w:hint="eastAsia" w:ascii="Times New Roman" w:hAnsi="Times New Roman" w:cs="Times New Roman"/>
          <w:color w:val="auto"/>
          <w:lang w:val="en-US" w:eastAsia="zh-CN"/>
        </w:rPr>
        <w:t>食堂</w:t>
      </w:r>
      <w:r>
        <w:rPr>
          <w:rFonts w:ascii="Times New Roman" w:hAnsi="Times New Roman" w:cs="Times New Roman"/>
          <w:color w:val="auto"/>
        </w:rPr>
        <w:t>油烟经</w:t>
      </w:r>
      <w:r>
        <w:rPr>
          <w:rFonts w:hint="eastAsia" w:ascii="Times New Roman" w:hAnsi="Times New Roman" w:cs="Times New Roman"/>
          <w:color w:val="auto"/>
          <w:lang w:val="en-US" w:eastAsia="zh-CN"/>
        </w:rPr>
        <w:t>油烟净化器</w:t>
      </w:r>
      <w:r>
        <w:rPr>
          <w:rFonts w:ascii="Times New Roman" w:hAnsi="Times New Roman" w:cs="Times New Roman"/>
          <w:color w:val="auto"/>
        </w:rPr>
        <w:t>处理后</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满足</w:t>
      </w:r>
      <w:r>
        <w:rPr>
          <w:rFonts w:ascii="Times New Roman" w:hAnsi="Times New Roman" w:cs="Times New Roman"/>
          <w:color w:val="auto"/>
        </w:rPr>
        <w:t>《饮食业油烟排放标准》（GB18483-2001）中的标准要求</w:t>
      </w:r>
      <w:r>
        <w:rPr>
          <w:rFonts w:hint="eastAsia" w:ascii="Times New Roman" w:hAnsi="Times New Roman" w:cs="Times New Roman"/>
          <w:color w:val="auto"/>
          <w:lang w:val="en-US" w:eastAsia="zh-CN"/>
        </w:rPr>
        <w:t>后</w:t>
      </w:r>
      <w:r>
        <w:rPr>
          <w:rFonts w:ascii="Times New Roman" w:hAnsi="Times New Roman" w:cs="Times New Roman"/>
          <w:color w:val="auto"/>
        </w:rPr>
        <w:t>，由专用排烟管道引至后勤楼楼顶排放；柴油发电机废气</w:t>
      </w:r>
      <w:r>
        <w:rPr>
          <w:rFonts w:hint="eastAsia" w:ascii="Times New Roman" w:hAnsi="Times New Roman" w:cs="Times New Roman"/>
          <w:color w:val="auto"/>
        </w:rPr>
        <w:t>以无组织形式</w:t>
      </w:r>
      <w:r>
        <w:rPr>
          <w:rFonts w:ascii="Times New Roman" w:hAnsi="Times New Roman" w:cs="Times New Roman"/>
          <w:color w:val="auto"/>
        </w:rPr>
        <w:t>排放，同时加强柴油发电机房内机械通风，柴油发电机废气排放满足《大气污染物综合排放标准》（GB16297-1996）中表2无组织排放监控浓度限值</w:t>
      </w:r>
      <w:r>
        <w:rPr>
          <w:rFonts w:hint="eastAsia" w:ascii="Times New Roman" w:hAnsi="Times New Roman" w:cs="Times New Roman"/>
          <w:color w:val="auto"/>
          <w:lang w:val="en-US" w:eastAsia="zh-CN"/>
        </w:rPr>
        <w:t>后达标排放</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汽车尾气以无组织形式排放，加强地下车库机械通风，加强院区绿化，满足</w:t>
      </w:r>
      <w:r>
        <w:rPr>
          <w:rFonts w:ascii="Times New Roman" w:hAnsi="Times New Roman" w:cs="Times New Roman"/>
          <w:color w:val="auto"/>
        </w:rPr>
        <w:t>《大气污染物综合排放标准》（GB16297-1996）中表2无组织排放监控浓度限值</w:t>
      </w:r>
      <w:r>
        <w:rPr>
          <w:rFonts w:hint="eastAsia" w:ascii="Times New Roman" w:hAnsi="Times New Roman" w:cs="Times New Roman"/>
          <w:color w:val="auto"/>
          <w:lang w:val="en-US" w:eastAsia="zh-CN"/>
        </w:rPr>
        <w:t>后达标排放，</w:t>
      </w:r>
      <w:r>
        <w:rPr>
          <w:rFonts w:ascii="Times New Roman" w:hAnsi="Times New Roman" w:cs="Times New Roman"/>
          <w:color w:val="auto"/>
          <w:highlight w:val="none"/>
        </w:rPr>
        <w:t>对环境影响很小。</w:t>
      </w:r>
    </w:p>
    <w:p>
      <w:pPr>
        <w:pStyle w:val="10"/>
        <w:rPr>
          <w:rFonts w:cs="Times New Roman"/>
          <w:color w:val="auto"/>
        </w:rPr>
      </w:pPr>
      <w:r>
        <w:rPr>
          <w:rFonts w:hint="eastAsia" w:cs="Times New Roman"/>
          <w:color w:val="auto"/>
        </w:rPr>
        <w:t>9</w:t>
      </w:r>
      <w:r>
        <w:rPr>
          <w:rFonts w:cs="Times New Roman"/>
          <w:color w:val="auto"/>
        </w:rPr>
        <w:t>.1.4.2 水环境影响预测与评价</w:t>
      </w:r>
    </w:p>
    <w:p>
      <w:pPr>
        <w:snapToGrid w:val="0"/>
        <w:spacing w:line="520" w:lineRule="exact"/>
        <w:jc w:val="left"/>
        <w:rPr>
          <w:rFonts w:ascii="Times New Roman" w:hAnsi="Times New Roman" w:cs="Times New Roman"/>
          <w:color w:val="auto"/>
        </w:rPr>
      </w:pPr>
      <w:r>
        <w:rPr>
          <w:rFonts w:ascii="Times New Roman" w:hAnsi="Times New Roman" w:cs="Times New Roman"/>
          <w:color w:val="auto"/>
        </w:rPr>
        <w:t>院内污水经收集后进入污水处理站处理，外排废水各污染物均可满足《医疗机构水污染物排放标准》（GB18466-2005）表2中预处理标准后，排入市政污水管网，进入吉木萨尔县污水处理厂处理处置。</w:t>
      </w:r>
    </w:p>
    <w:p>
      <w:pPr>
        <w:snapToGrid w:val="0"/>
        <w:spacing w:line="520" w:lineRule="exact"/>
        <w:jc w:val="left"/>
        <w:rPr>
          <w:rFonts w:ascii="Times New Roman" w:hAnsi="Times New Roman" w:cs="Times New Roman"/>
          <w:color w:val="auto"/>
        </w:rPr>
      </w:pPr>
      <w:r>
        <w:rPr>
          <w:rFonts w:ascii="Times New Roman" w:hAnsi="Times New Roman" w:cs="Times New Roman"/>
          <w:color w:val="auto"/>
        </w:rPr>
        <w:t>在确保废水经妥善收集和处理并进行严格的防渗措施后，项目运行不会对区域地下水造成明显的影响。</w:t>
      </w:r>
    </w:p>
    <w:p>
      <w:pPr>
        <w:pStyle w:val="10"/>
        <w:rPr>
          <w:rFonts w:cs="Times New Roman"/>
          <w:color w:val="auto"/>
        </w:rPr>
      </w:pPr>
      <w:r>
        <w:rPr>
          <w:rFonts w:hint="eastAsia" w:cs="Times New Roman"/>
          <w:color w:val="auto"/>
        </w:rPr>
        <w:t>9</w:t>
      </w:r>
      <w:r>
        <w:rPr>
          <w:rFonts w:cs="Times New Roman"/>
          <w:color w:val="auto"/>
        </w:rPr>
        <w:t>.1.4.3 声环境影响预测与评价</w:t>
      </w:r>
    </w:p>
    <w:p>
      <w:pPr>
        <w:spacing w:line="520" w:lineRule="exact"/>
        <w:rPr>
          <w:rFonts w:ascii="Times New Roman" w:hAnsi="Times New Roman" w:cs="Times New Roman"/>
          <w:color w:val="auto"/>
        </w:rPr>
      </w:pPr>
      <w:r>
        <w:rPr>
          <w:rFonts w:ascii="Times New Roman" w:hAnsi="Times New Roman" w:cs="Times New Roman"/>
          <w:color w:val="auto"/>
        </w:rPr>
        <w:t>项目高噪声设备数量较少，主要来源于水泵、空调外机、冷却塔等设备运转时产生的噪声，经隔声减震、距离衰减等措施治理后，昼夜间东、南、西、北厂界噪声符合《声环境质量标准》（GB3096-2008）1类标准的要求。</w:t>
      </w:r>
    </w:p>
    <w:p>
      <w:pPr>
        <w:pStyle w:val="10"/>
        <w:rPr>
          <w:rFonts w:cs="Times New Roman"/>
          <w:color w:val="auto"/>
        </w:rPr>
      </w:pPr>
      <w:r>
        <w:rPr>
          <w:rFonts w:hint="eastAsia" w:cs="Times New Roman"/>
          <w:color w:val="auto"/>
        </w:rPr>
        <w:t>9</w:t>
      </w:r>
      <w:r>
        <w:rPr>
          <w:rFonts w:cs="Times New Roman"/>
          <w:color w:val="auto"/>
        </w:rPr>
        <w:t>.1.4.4 固废环境影响预测与评价</w:t>
      </w:r>
    </w:p>
    <w:p>
      <w:pPr>
        <w:spacing w:line="520" w:lineRule="exact"/>
        <w:rPr>
          <w:rFonts w:ascii="Times New Roman" w:hAnsi="Times New Roman" w:cs="Times New Roman"/>
          <w:color w:val="auto"/>
        </w:rPr>
      </w:pPr>
      <w:r>
        <w:rPr>
          <w:rFonts w:ascii="Times New Roman" w:hAnsi="Times New Roman" w:cs="Times New Roman"/>
          <w:color w:val="auto"/>
        </w:rPr>
        <w:t>本项目的固体废物都能得到妥善的处理处置，实现减量化、资源化和无害化，采取相应的措施后，本项目产生的固体废物对环境的影响不大。</w:t>
      </w:r>
    </w:p>
    <w:p>
      <w:pPr>
        <w:pStyle w:val="10"/>
        <w:rPr>
          <w:rFonts w:cs="Times New Roman"/>
          <w:color w:val="auto"/>
        </w:rPr>
      </w:pPr>
      <w:bookmarkStart w:id="629" w:name="_Toc13793"/>
      <w:bookmarkStart w:id="630" w:name="_Toc20970"/>
      <w:r>
        <w:rPr>
          <w:rFonts w:hint="eastAsia" w:cs="Times New Roman"/>
          <w:color w:val="auto"/>
        </w:rPr>
        <w:t>9</w:t>
      </w:r>
      <w:r>
        <w:rPr>
          <w:rFonts w:cs="Times New Roman"/>
          <w:color w:val="auto"/>
        </w:rPr>
        <w:t>.1.4.5 环境风险评价结论</w:t>
      </w:r>
      <w:bookmarkEnd w:id="629"/>
    </w:p>
    <w:p>
      <w:pPr>
        <w:spacing w:line="520" w:lineRule="exact"/>
        <w:rPr>
          <w:rFonts w:ascii="Times New Roman" w:hAnsi="Times New Roman" w:cs="Times New Roman"/>
          <w:color w:val="auto"/>
        </w:rPr>
      </w:pPr>
      <w:r>
        <w:rPr>
          <w:rFonts w:ascii="Times New Roman" w:hAnsi="Times New Roman" w:cs="Times New Roman"/>
          <w:color w:val="auto"/>
        </w:rPr>
        <w:t>本项目不构成重大危险源，环境风险主要为污水处理站污水泄露</w:t>
      </w:r>
      <w:r>
        <w:rPr>
          <w:rFonts w:hint="eastAsia" w:ascii="Times New Roman" w:hAnsi="Times New Roman" w:cs="Times New Roman"/>
          <w:color w:val="auto"/>
        </w:rPr>
        <w:t>、</w:t>
      </w:r>
      <w:r>
        <w:rPr>
          <w:rFonts w:ascii="Times New Roman" w:hAnsi="Times New Roman" w:cs="Times New Roman"/>
          <w:color w:val="auto"/>
        </w:rPr>
        <w:t>84消毒液过量使用</w:t>
      </w:r>
      <w:r>
        <w:rPr>
          <w:rFonts w:hint="eastAsia" w:ascii="Times New Roman" w:hAnsi="Times New Roman" w:cs="Times New Roman"/>
          <w:color w:val="auto"/>
        </w:rPr>
        <w:t>和柴油存储</w:t>
      </w:r>
      <w:r>
        <w:rPr>
          <w:rFonts w:ascii="Times New Roman" w:hAnsi="Times New Roman" w:cs="Times New Roman"/>
          <w:color w:val="auto"/>
        </w:rPr>
        <w:t>，在采取相应的安全措施和制定事故救援应急预案，并加强安全管理后，上述事故发生概率较小。在加强监控、建立前述风险防范措施，并制定切实可行的应急预案的情况下，本项目的环境风险是可以接受的。</w:t>
      </w:r>
      <w:bookmarkEnd w:id="630"/>
    </w:p>
    <w:p>
      <w:pPr>
        <w:pStyle w:val="10"/>
        <w:rPr>
          <w:rFonts w:cs="Times New Roman"/>
          <w:color w:val="auto"/>
        </w:rPr>
      </w:pPr>
      <w:bookmarkStart w:id="631" w:name="_Toc8294"/>
      <w:bookmarkStart w:id="632" w:name="_Toc3505"/>
      <w:r>
        <w:rPr>
          <w:rFonts w:hint="eastAsia" w:cs="Times New Roman"/>
          <w:color w:val="auto"/>
        </w:rPr>
        <w:t>9</w:t>
      </w:r>
      <w:r>
        <w:rPr>
          <w:rFonts w:cs="Times New Roman"/>
          <w:color w:val="auto"/>
        </w:rPr>
        <w:t>.1.4.6清洁生产评价结论</w:t>
      </w:r>
    </w:p>
    <w:p>
      <w:pPr>
        <w:spacing w:line="520" w:lineRule="exact"/>
        <w:ind w:firstLine="456"/>
        <w:rPr>
          <w:rFonts w:ascii="Times New Roman" w:hAnsi="Times New Roman" w:cs="Times New Roman"/>
          <w:color w:val="auto"/>
        </w:rPr>
      </w:pPr>
      <w:bookmarkStart w:id="633" w:name="_Toc23699"/>
      <w:r>
        <w:rPr>
          <w:rFonts w:ascii="Times New Roman" w:hAnsi="Times New Roman" w:cs="Times New Roman"/>
          <w:color w:val="auto"/>
          <w:spacing w:val="-6"/>
        </w:rPr>
        <w:t>本项目所用动力清洁，符合我国的能源政策要求；单位产品综合物耗、能耗水平较低；所选用的生产工艺具有国内先进水平，所选用设备具有国内先进水平，污染物排放浓度和排放量，满足相应的标准要求，本项目满足清洁生产要求。</w:t>
      </w:r>
    </w:p>
    <w:p>
      <w:pPr>
        <w:pStyle w:val="9"/>
        <w:rPr>
          <w:rFonts w:hint="default" w:ascii="Times New Roman" w:hAnsi="Times New Roman" w:eastAsia="宋体" w:cs="Times New Roman"/>
          <w:color w:val="auto"/>
          <w:lang w:val="en-US" w:eastAsia="zh-CN"/>
        </w:rPr>
      </w:pPr>
      <w:bookmarkStart w:id="634" w:name="_Toc27551"/>
      <w:r>
        <w:rPr>
          <w:rFonts w:hint="eastAsia" w:ascii="Times New Roman" w:hAnsi="Times New Roman" w:cs="Times New Roman"/>
          <w:color w:val="auto"/>
        </w:rPr>
        <w:t>9</w:t>
      </w:r>
      <w:r>
        <w:rPr>
          <w:rFonts w:ascii="Times New Roman" w:hAnsi="Times New Roman" w:cs="Times New Roman"/>
          <w:color w:val="auto"/>
        </w:rPr>
        <w:t xml:space="preserve">.1.5 </w:t>
      </w:r>
      <w:r>
        <w:rPr>
          <w:rFonts w:hint="eastAsia" w:ascii="Times New Roman" w:hAnsi="Times New Roman" w:cs="Times New Roman"/>
          <w:color w:val="auto"/>
          <w:lang w:val="en-US" w:eastAsia="zh-CN"/>
        </w:rPr>
        <w:t>总量控制</w:t>
      </w:r>
    </w:p>
    <w:p>
      <w:pPr>
        <w:spacing w:line="520" w:lineRule="exact"/>
        <w:ind w:firstLine="456"/>
        <w:rPr>
          <w:rFonts w:hint="eastAsia" w:ascii="Times New Roman" w:hAnsi="Times New Roman" w:cs="Times New Roman"/>
          <w:color w:val="auto"/>
          <w:spacing w:val="-6"/>
        </w:rPr>
      </w:pPr>
      <w:r>
        <w:rPr>
          <w:rFonts w:hint="eastAsia" w:ascii="Times New Roman" w:hAnsi="Times New Roman" w:cs="Times New Roman"/>
          <w:color w:val="auto"/>
          <w:spacing w:val="-6"/>
        </w:rPr>
        <w:t>本项目水污染物总量控制指标从</w:t>
      </w:r>
      <w:r>
        <w:rPr>
          <w:rFonts w:hint="eastAsia" w:ascii="Times New Roman" w:hAnsi="Times New Roman" w:cs="Times New Roman"/>
          <w:color w:val="auto"/>
          <w:spacing w:val="-6"/>
          <w:lang w:val="en-US" w:eastAsia="zh-CN"/>
        </w:rPr>
        <w:t>吉木萨尔县</w:t>
      </w:r>
      <w:r>
        <w:rPr>
          <w:rFonts w:hint="eastAsia" w:ascii="Times New Roman" w:hAnsi="Times New Roman" w:cs="Times New Roman"/>
          <w:color w:val="auto"/>
          <w:spacing w:val="-6"/>
        </w:rPr>
        <w:t>污水处理厂总量中调配，不再另行建议总量控制指标。</w:t>
      </w:r>
    </w:p>
    <w:p>
      <w:pPr>
        <w:spacing w:line="520" w:lineRule="exact"/>
        <w:ind w:firstLine="456"/>
        <w:rPr>
          <w:rFonts w:ascii="Times New Roman" w:hAnsi="Times New Roman" w:cs="Times New Roman"/>
          <w:color w:val="auto"/>
          <w:spacing w:val="-6"/>
        </w:rPr>
      </w:pPr>
      <w:r>
        <w:rPr>
          <w:rFonts w:hint="eastAsia" w:ascii="Times New Roman" w:hAnsi="Times New Roman" w:cs="Times New Roman"/>
          <w:color w:val="auto"/>
          <w:spacing w:val="-6"/>
        </w:rPr>
        <w:t>本项目柴油发电机仅作为备用电源，仅在市政停电紧急情况下使用，不属于长期排污的废气源，其排放的污染物非常少，不建议总量控制指标。</w:t>
      </w:r>
    </w:p>
    <w:p>
      <w:pPr>
        <w:pStyle w:val="9"/>
        <w:rPr>
          <w:rFonts w:ascii="Times New Roman" w:hAnsi="Times New Roman" w:cs="Times New Roman"/>
          <w:color w:val="auto"/>
        </w:rPr>
      </w:pPr>
      <w:r>
        <w:rPr>
          <w:rFonts w:hint="eastAsia" w:ascii="Times New Roman" w:hAnsi="Times New Roman" w:cs="Times New Roman"/>
          <w:color w:val="auto"/>
        </w:rPr>
        <w:t>9</w:t>
      </w:r>
      <w:r>
        <w:rPr>
          <w:rFonts w:ascii="Times New Roman" w:hAnsi="Times New Roman" w:cs="Times New Roman"/>
          <w:color w:val="auto"/>
        </w:rPr>
        <w:t>.1.</w:t>
      </w:r>
      <w:r>
        <w:rPr>
          <w:rFonts w:hint="eastAsia" w:ascii="Times New Roman" w:hAnsi="Times New Roman" w:cs="Times New Roman"/>
          <w:color w:val="auto"/>
          <w:lang w:val="en-US" w:eastAsia="zh-CN"/>
        </w:rPr>
        <w:t>6</w:t>
      </w:r>
      <w:r>
        <w:rPr>
          <w:rFonts w:ascii="Times New Roman" w:hAnsi="Times New Roman" w:cs="Times New Roman"/>
          <w:color w:val="auto"/>
        </w:rPr>
        <w:t xml:space="preserve"> 项目建设可行性结论</w:t>
      </w:r>
      <w:bookmarkEnd w:id="631"/>
      <w:bookmarkEnd w:id="633"/>
      <w:bookmarkEnd w:id="634"/>
    </w:p>
    <w:p>
      <w:pPr>
        <w:pStyle w:val="10"/>
        <w:rPr>
          <w:rFonts w:cs="Times New Roman"/>
          <w:color w:val="auto"/>
        </w:rPr>
      </w:pPr>
      <w:r>
        <w:rPr>
          <w:rFonts w:hint="eastAsia" w:cs="Times New Roman"/>
          <w:color w:val="auto"/>
        </w:rPr>
        <w:t>9</w:t>
      </w:r>
      <w:r>
        <w:rPr>
          <w:rFonts w:cs="Times New Roman"/>
          <w:color w:val="auto"/>
        </w:rPr>
        <w:t>.1.</w:t>
      </w:r>
      <w:r>
        <w:rPr>
          <w:rFonts w:hint="eastAsia" w:cs="Times New Roman"/>
          <w:color w:val="auto"/>
          <w:lang w:val="en-US" w:eastAsia="zh-CN"/>
        </w:rPr>
        <w:t>6</w:t>
      </w:r>
      <w:r>
        <w:rPr>
          <w:rFonts w:cs="Times New Roman"/>
          <w:color w:val="auto"/>
        </w:rPr>
        <w:t>.1 产业政策符合性</w:t>
      </w:r>
    </w:p>
    <w:bookmarkEnd w:id="632"/>
    <w:p>
      <w:pPr>
        <w:spacing w:line="520" w:lineRule="exact"/>
        <w:rPr>
          <w:rFonts w:ascii="Times New Roman" w:hAnsi="Times New Roman" w:cs="Times New Roman"/>
          <w:color w:val="auto"/>
        </w:rPr>
      </w:pPr>
      <w:r>
        <w:rPr>
          <w:rFonts w:ascii="Times New Roman" w:hAnsi="Times New Roman" w:cs="Times New Roman"/>
          <w:color w:val="auto"/>
        </w:rPr>
        <w:t>本项目为二级甲等综合医院，属于国家发展和改革委员会令第29号令《产业结构调整指导目录（2019年本）》中鼓励类“三十七 卫生健康”中的“医疗服务设施建设”；且项目已经吉木萨尔县发展和改革委员会立项（吉县发改综合〔2020〕133号）因此，该项目的建设符合国家的产业政策要求。</w:t>
      </w:r>
    </w:p>
    <w:p>
      <w:pPr>
        <w:pStyle w:val="10"/>
        <w:rPr>
          <w:rFonts w:cs="Times New Roman"/>
          <w:color w:val="auto"/>
        </w:rPr>
      </w:pPr>
      <w:r>
        <w:rPr>
          <w:rFonts w:hint="eastAsia" w:cs="Times New Roman"/>
          <w:color w:val="auto"/>
        </w:rPr>
        <w:t>9</w:t>
      </w:r>
      <w:r>
        <w:rPr>
          <w:rFonts w:cs="Times New Roman"/>
          <w:color w:val="auto"/>
        </w:rPr>
        <w:t>.1.</w:t>
      </w:r>
      <w:r>
        <w:rPr>
          <w:rFonts w:hint="eastAsia" w:cs="Times New Roman"/>
          <w:color w:val="auto"/>
          <w:lang w:val="en-US" w:eastAsia="zh-CN"/>
        </w:rPr>
        <w:t>6</w:t>
      </w:r>
      <w:r>
        <w:rPr>
          <w:rFonts w:cs="Times New Roman"/>
          <w:color w:val="auto"/>
        </w:rPr>
        <w:t>.2 规划相符性</w:t>
      </w:r>
    </w:p>
    <w:p>
      <w:pPr>
        <w:spacing w:line="520" w:lineRule="exact"/>
        <w:rPr>
          <w:rFonts w:ascii="Times New Roman" w:hAnsi="Times New Roman" w:cs="Times New Roman"/>
          <w:color w:val="auto"/>
        </w:rPr>
      </w:pPr>
      <w:r>
        <w:rPr>
          <w:rFonts w:ascii="Times New Roman" w:hAnsi="Times New Roman" w:cs="Times New Roman"/>
          <w:color w:val="auto"/>
          <w:kern w:val="0"/>
        </w:rPr>
        <w:t>本项目所在地用地类型属于</w:t>
      </w:r>
      <w:r>
        <w:rPr>
          <w:rFonts w:hint="eastAsia" w:ascii="Times New Roman" w:hAnsi="Times New Roman" w:cs="Times New Roman"/>
          <w:color w:val="auto"/>
          <w:highlight w:val="none"/>
          <w:lang w:val="en-US" w:eastAsia="zh-CN"/>
        </w:rPr>
        <w:t>医疗卫生</w:t>
      </w:r>
      <w:r>
        <w:rPr>
          <w:rFonts w:ascii="Times New Roman" w:hAnsi="Times New Roman" w:cs="Times New Roman"/>
          <w:color w:val="auto"/>
          <w:highlight w:val="none"/>
        </w:rPr>
        <w:t>用地</w:t>
      </w:r>
      <w:r>
        <w:rPr>
          <w:rFonts w:ascii="Times New Roman" w:hAnsi="Times New Roman" w:cs="Times New Roman"/>
          <w:color w:val="auto"/>
          <w:kern w:val="0"/>
        </w:rPr>
        <w:t>，不占用基本农田，符合园区规划。项目周边无风景名胜区、文物古迹；厂址周边无军事设施及机场等存在互相影响的敏感性设施，</w:t>
      </w:r>
      <w:r>
        <w:rPr>
          <w:rFonts w:ascii="Times New Roman" w:hAnsi="Times New Roman" w:cs="Times New Roman"/>
          <w:color w:val="auto"/>
        </w:rPr>
        <w:t>符合吉木萨尔县城市总体规划得到要求。</w:t>
      </w:r>
    </w:p>
    <w:p>
      <w:pPr>
        <w:pStyle w:val="10"/>
        <w:rPr>
          <w:rFonts w:cs="Times New Roman"/>
          <w:color w:val="auto"/>
        </w:rPr>
      </w:pPr>
      <w:r>
        <w:rPr>
          <w:rFonts w:hint="eastAsia" w:cs="Times New Roman"/>
          <w:color w:val="auto"/>
        </w:rPr>
        <w:t>9</w:t>
      </w:r>
      <w:r>
        <w:rPr>
          <w:rFonts w:cs="Times New Roman"/>
          <w:color w:val="auto"/>
        </w:rPr>
        <w:t>.1.</w:t>
      </w:r>
      <w:r>
        <w:rPr>
          <w:rFonts w:hint="eastAsia" w:cs="Times New Roman"/>
          <w:color w:val="auto"/>
          <w:lang w:val="en-US" w:eastAsia="zh-CN"/>
        </w:rPr>
        <w:t>6</w:t>
      </w:r>
      <w:r>
        <w:rPr>
          <w:rFonts w:cs="Times New Roman"/>
          <w:color w:val="auto"/>
        </w:rPr>
        <w:t>.3 选址合理性</w:t>
      </w:r>
    </w:p>
    <w:p>
      <w:pPr>
        <w:spacing w:line="520" w:lineRule="exact"/>
        <w:jc w:val="left"/>
        <w:rPr>
          <w:rFonts w:ascii="Times New Roman" w:hAnsi="Times New Roman" w:cs="Times New Roman"/>
          <w:color w:val="auto"/>
        </w:rPr>
      </w:pPr>
      <w:r>
        <w:rPr>
          <w:rFonts w:ascii="Times New Roman" w:hAnsi="Times New Roman" w:cs="Times New Roman"/>
          <w:color w:val="auto"/>
        </w:rPr>
        <w:t>本项目位于吉木萨尔县城老城区南侧，北邻文襄路，西邻闽江路，南邻建国路，东邻准东路。满足卫生防护距离的要求；用地性质为</w:t>
      </w:r>
      <w:r>
        <w:rPr>
          <w:rFonts w:hint="eastAsia" w:ascii="Times New Roman" w:hAnsi="Times New Roman" w:cs="Times New Roman"/>
          <w:color w:val="auto"/>
          <w:highlight w:val="none"/>
          <w:lang w:val="en-US" w:eastAsia="zh-CN"/>
        </w:rPr>
        <w:t>医疗卫生</w:t>
      </w:r>
      <w:r>
        <w:rPr>
          <w:rFonts w:ascii="Times New Roman" w:hAnsi="Times New Roman" w:cs="Times New Roman"/>
          <w:color w:val="auto"/>
          <w:highlight w:val="none"/>
        </w:rPr>
        <w:t>用地</w:t>
      </w:r>
      <w:r>
        <w:rPr>
          <w:rFonts w:ascii="Times New Roman" w:hAnsi="Times New Roman" w:cs="Times New Roman"/>
          <w:color w:val="auto"/>
        </w:rPr>
        <w:t>，不占用农田，符合国家现行的土地使用政策；项目所在区域交通运输条件良好，供电、供水、通讯等基础设施的条件较好。因此，从环保角度考虑本项目选址较为合理。</w:t>
      </w:r>
    </w:p>
    <w:p>
      <w:pPr>
        <w:pStyle w:val="9"/>
        <w:rPr>
          <w:rFonts w:ascii="Times New Roman" w:hAnsi="Times New Roman" w:cs="Times New Roman"/>
          <w:color w:val="auto"/>
        </w:rPr>
      </w:pPr>
      <w:bookmarkStart w:id="635" w:name="_Toc31474"/>
      <w:bookmarkStart w:id="636" w:name="_Toc32335"/>
      <w:bookmarkStart w:id="637" w:name="_Toc21705"/>
      <w:bookmarkStart w:id="638" w:name="_Toc11511"/>
      <w:r>
        <w:rPr>
          <w:rFonts w:hint="eastAsia" w:ascii="Times New Roman" w:hAnsi="Times New Roman" w:cs="Times New Roman"/>
          <w:color w:val="auto"/>
        </w:rPr>
        <w:t>9</w:t>
      </w:r>
      <w:r>
        <w:rPr>
          <w:rFonts w:ascii="Times New Roman" w:hAnsi="Times New Roman" w:cs="Times New Roman"/>
          <w:color w:val="auto"/>
        </w:rPr>
        <w:t>.1.</w:t>
      </w:r>
      <w:r>
        <w:rPr>
          <w:rFonts w:hint="eastAsia" w:ascii="Times New Roman" w:hAnsi="Times New Roman" w:cs="Times New Roman"/>
          <w:color w:val="auto"/>
          <w:lang w:val="en-US" w:eastAsia="zh-CN"/>
        </w:rPr>
        <w:t>7</w:t>
      </w:r>
      <w:r>
        <w:rPr>
          <w:rFonts w:ascii="Times New Roman" w:hAnsi="Times New Roman" w:cs="Times New Roman"/>
          <w:color w:val="auto"/>
        </w:rPr>
        <w:t xml:space="preserve"> 环境影响经济损益结论</w:t>
      </w:r>
      <w:bookmarkEnd w:id="635"/>
      <w:bookmarkEnd w:id="636"/>
      <w:bookmarkEnd w:id="637"/>
      <w:bookmarkEnd w:id="638"/>
    </w:p>
    <w:p>
      <w:pPr>
        <w:spacing w:line="520" w:lineRule="exact"/>
        <w:jc w:val="left"/>
        <w:rPr>
          <w:rFonts w:ascii="Times New Roman" w:hAnsi="Times New Roman" w:cs="Times New Roman"/>
          <w:color w:val="auto"/>
        </w:rPr>
      </w:pPr>
      <w:r>
        <w:rPr>
          <w:rFonts w:ascii="Times New Roman" w:hAnsi="Times New Roman" w:cs="Times New Roman"/>
          <w:color w:val="auto"/>
        </w:rPr>
        <w:t>本项目环保投资估算为201万元，用于对项目所产生污染物的治理，环保投资占总投资的0.41%。在采取各项合理的环保措施后可在很大程度上减免项目建设、运营对环境造成的不利影响。项目环境保护费用可视为恢复环境质量所花费的费用，实现了环境效益和经济效益的统一。</w:t>
      </w:r>
    </w:p>
    <w:p>
      <w:pPr>
        <w:pStyle w:val="9"/>
        <w:rPr>
          <w:rFonts w:ascii="Times New Roman" w:hAnsi="Times New Roman" w:cs="Times New Roman"/>
          <w:color w:val="auto"/>
          <w:highlight w:val="none"/>
        </w:rPr>
      </w:pPr>
      <w:bookmarkStart w:id="639" w:name="_Toc24611"/>
      <w:bookmarkStart w:id="640" w:name="_Toc15887"/>
      <w:bookmarkStart w:id="641" w:name="_Toc5279"/>
      <w:bookmarkStart w:id="642" w:name="_Toc31638"/>
      <w:r>
        <w:rPr>
          <w:rFonts w:hint="eastAsia" w:ascii="Times New Roman" w:hAnsi="Times New Roman" w:cs="Times New Roman"/>
          <w:color w:val="auto"/>
          <w:highlight w:val="none"/>
        </w:rPr>
        <w:t>9</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8</w:t>
      </w:r>
      <w:r>
        <w:rPr>
          <w:rFonts w:ascii="Times New Roman" w:hAnsi="Times New Roman" w:cs="Times New Roman"/>
          <w:color w:val="auto"/>
          <w:highlight w:val="none"/>
        </w:rPr>
        <w:t xml:space="preserve"> 公众参与</w:t>
      </w:r>
      <w:bookmarkEnd w:id="639"/>
      <w:bookmarkEnd w:id="640"/>
      <w:bookmarkEnd w:id="641"/>
      <w:r>
        <w:rPr>
          <w:rFonts w:ascii="Times New Roman" w:hAnsi="Times New Roman" w:cs="Times New Roman"/>
          <w:color w:val="auto"/>
          <w:highlight w:val="none"/>
        </w:rPr>
        <w:t>结论</w:t>
      </w:r>
      <w:bookmarkEnd w:id="642"/>
    </w:p>
    <w:p>
      <w:pPr>
        <w:autoSpaceDE w:val="0"/>
        <w:autoSpaceDN w:val="0"/>
        <w:adjustRightInd w:val="0"/>
        <w:snapToGrid w:val="0"/>
        <w:spacing w:line="520" w:lineRule="exact"/>
        <w:rPr>
          <w:rFonts w:ascii="Times New Roman" w:hAnsi="Times New Roman" w:cs="Times New Roman"/>
          <w:color w:val="auto"/>
        </w:rPr>
      </w:pPr>
      <w:r>
        <w:rPr>
          <w:rFonts w:ascii="Times New Roman" w:hAnsi="Times New Roman" w:cs="Times New Roman"/>
          <w:color w:val="auto"/>
        </w:rPr>
        <w:t>在项目环境影响评价期间，建设单位于2020年</w:t>
      </w:r>
      <w:r>
        <w:rPr>
          <w:rFonts w:hint="eastAsia" w:ascii="Times New Roman" w:hAnsi="Times New Roman" w:cs="Times New Roman"/>
          <w:color w:val="auto"/>
        </w:rPr>
        <w:t>11</w:t>
      </w:r>
      <w:r>
        <w:rPr>
          <w:rFonts w:ascii="Times New Roman" w:hAnsi="Times New Roman" w:cs="Times New Roman"/>
          <w:color w:val="auto"/>
        </w:rPr>
        <w:t>月1</w:t>
      </w:r>
      <w:r>
        <w:rPr>
          <w:rFonts w:hint="eastAsia" w:ascii="Times New Roman" w:hAnsi="Times New Roman" w:cs="Times New Roman"/>
          <w:color w:val="auto"/>
        </w:rPr>
        <w:t>0</w:t>
      </w:r>
      <w:r>
        <w:rPr>
          <w:rFonts w:ascii="Times New Roman" w:hAnsi="Times New Roman" w:cs="Times New Roman"/>
          <w:color w:val="auto"/>
        </w:rPr>
        <w:t>日在吉木萨尔县人民政府网（网址：http://www.jmser.gov.cn/gk/zfql/876846.htm）上对项目环保信息进行了第一次公示，没有人对项目建设提出意见。项目环境影响报告书征求意见稿完成后，于202</w:t>
      </w:r>
      <w:r>
        <w:rPr>
          <w:rFonts w:hint="eastAsia" w:ascii="Times New Roman" w:hAnsi="Times New Roman" w:cs="Times New Roman"/>
          <w:color w:val="auto"/>
        </w:rPr>
        <w:t>1</w:t>
      </w:r>
      <w:r>
        <w:rPr>
          <w:rFonts w:ascii="Times New Roman" w:hAnsi="Times New Roman" w:cs="Times New Roman"/>
          <w:color w:val="auto"/>
        </w:rPr>
        <w:t>年</w:t>
      </w:r>
      <w:r>
        <w:rPr>
          <w:rFonts w:hint="eastAsia" w:ascii="Times New Roman" w:hAnsi="Times New Roman" w:cs="Times New Roman"/>
          <w:color w:val="auto"/>
        </w:rPr>
        <w:t>1</w:t>
      </w:r>
      <w:r>
        <w:rPr>
          <w:rFonts w:ascii="Times New Roman" w:hAnsi="Times New Roman" w:cs="Times New Roman"/>
          <w:color w:val="auto"/>
        </w:rPr>
        <w:t>月7日在吉木萨尔县人民政府网（网址：http://www.jmser.gov.cn/gk/zfql/879847.htm）对项目环境影响报告书征求意见稿进行了公开，并且同步进行了</w:t>
      </w:r>
      <w:r>
        <w:rPr>
          <w:rFonts w:hint="eastAsia" w:ascii="Times New Roman" w:hAnsi="Times New Roman" w:cs="Times New Roman"/>
          <w:color w:val="auto"/>
          <w:lang w:val="en-US" w:eastAsia="zh-CN"/>
        </w:rPr>
        <w:t>以</w:t>
      </w:r>
      <w:r>
        <w:rPr>
          <w:rFonts w:ascii="Times New Roman" w:hAnsi="Times New Roman" w:cs="Times New Roman"/>
          <w:color w:val="auto"/>
        </w:rPr>
        <w:t>报纸</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公告等形式的</w:t>
      </w:r>
      <w:r>
        <w:rPr>
          <w:rFonts w:ascii="Times New Roman" w:hAnsi="Times New Roman" w:cs="Times New Roman"/>
          <w:color w:val="auto"/>
        </w:rPr>
        <w:t>公示等，在公示期间未收到公众反馈。</w:t>
      </w:r>
    </w:p>
    <w:p>
      <w:pPr>
        <w:snapToGrid w:val="0"/>
        <w:spacing w:line="520" w:lineRule="exact"/>
        <w:rPr>
          <w:rFonts w:ascii="Times New Roman" w:hAnsi="Times New Roman" w:cs="Times New Roman"/>
          <w:color w:val="auto"/>
        </w:rPr>
      </w:pPr>
      <w:bookmarkStart w:id="643" w:name="_Toc21674"/>
      <w:bookmarkStart w:id="644" w:name="_Toc13882"/>
      <w:bookmarkStart w:id="645" w:name="_Toc31932"/>
      <w:bookmarkStart w:id="646" w:name="_Toc20237"/>
      <w:bookmarkStart w:id="647" w:name="_Toc16525"/>
      <w:bookmarkStart w:id="648" w:name="_Toc29217"/>
      <w:bookmarkStart w:id="649" w:name="_Toc32258"/>
      <w:bookmarkStart w:id="650" w:name="_Toc21424"/>
      <w:r>
        <w:rPr>
          <w:rFonts w:hint="eastAsia" w:ascii="Times New Roman" w:hAnsi="Times New Roman" w:cs="Times New Roman"/>
          <w:color w:val="auto"/>
        </w:rPr>
        <w:t>由于本项目为基础医疗设施建设，建成运营后可促进当地医疗卫生服务体系的完善，提高当地医疗服务能力，方便了当地人民群众的就医，在切实落实各项处理措施、保证环境质量的情况下，公众对本项目建设是支持的。</w:t>
      </w:r>
    </w:p>
    <w:p>
      <w:pPr>
        <w:pStyle w:val="9"/>
        <w:rPr>
          <w:rFonts w:ascii="Times New Roman" w:hAnsi="Times New Roman" w:cs="Times New Roman"/>
          <w:color w:val="auto"/>
        </w:rPr>
      </w:pPr>
      <w:r>
        <w:rPr>
          <w:rFonts w:hint="eastAsia" w:ascii="Times New Roman" w:hAnsi="Times New Roman" w:cs="Times New Roman"/>
          <w:color w:val="auto"/>
        </w:rPr>
        <w:t>9</w:t>
      </w:r>
      <w:r>
        <w:rPr>
          <w:rFonts w:ascii="Times New Roman" w:hAnsi="Times New Roman" w:cs="Times New Roman"/>
          <w:color w:val="auto"/>
        </w:rPr>
        <w:t>.1.</w:t>
      </w:r>
      <w:r>
        <w:rPr>
          <w:rFonts w:hint="eastAsia" w:ascii="Times New Roman" w:hAnsi="Times New Roman" w:cs="Times New Roman"/>
          <w:color w:val="auto"/>
          <w:lang w:val="en-US" w:eastAsia="zh-CN"/>
        </w:rPr>
        <w:t xml:space="preserve">9 </w:t>
      </w:r>
      <w:r>
        <w:rPr>
          <w:rFonts w:ascii="Times New Roman" w:hAnsi="Times New Roman" w:cs="Times New Roman"/>
          <w:color w:val="auto"/>
        </w:rPr>
        <w:t>总体评价结论</w:t>
      </w:r>
      <w:bookmarkEnd w:id="643"/>
      <w:bookmarkEnd w:id="644"/>
      <w:bookmarkEnd w:id="645"/>
      <w:bookmarkEnd w:id="646"/>
      <w:bookmarkEnd w:id="647"/>
      <w:bookmarkEnd w:id="648"/>
      <w:bookmarkEnd w:id="649"/>
      <w:bookmarkEnd w:id="650"/>
    </w:p>
    <w:p>
      <w:pPr>
        <w:snapToGrid w:val="0"/>
        <w:spacing w:line="520" w:lineRule="exact"/>
        <w:rPr>
          <w:rFonts w:ascii="Times New Roman" w:hAnsi="Times New Roman" w:cs="Times New Roman"/>
          <w:color w:val="auto"/>
        </w:rPr>
      </w:pPr>
      <w:r>
        <w:rPr>
          <w:rFonts w:ascii="Times New Roman" w:hAnsi="Times New Roman" w:cs="Times New Roman"/>
          <w:color w:val="auto"/>
        </w:rPr>
        <w:t>本项目符合国家和地方相关产业政策。本项目选址于</w:t>
      </w:r>
      <w:r>
        <w:rPr>
          <w:rFonts w:ascii="Times New Roman" w:hAnsi="Times New Roman" w:cs="Times New Roman"/>
          <w:bCs/>
          <w:color w:val="auto"/>
        </w:rPr>
        <w:t>吉木萨尔县城</w:t>
      </w:r>
      <w:r>
        <w:rPr>
          <w:rFonts w:ascii="Times New Roman" w:hAnsi="Times New Roman" w:cs="Times New Roman"/>
          <w:color w:val="auto"/>
        </w:rPr>
        <w:t>，选址符合区域规划；建设项目工艺成熟，设备先进，物耗、能耗及污染物排放量较低；项目建设和运行过程中要切实落实环评中提出的有关环境保护对策， 同时严格执行“三同时”制度，做到各污染物的达标排放，对周围环境影响较小，不会降低区域环境功能；本项目在采取有效的事故防范，减缓措施后项目的环境风险水平是可接受的；同时项目社会效益、经济效益较好，得到了区域公众的广泛支持。</w:t>
      </w:r>
    </w:p>
    <w:p>
      <w:pPr>
        <w:snapToGrid w:val="0"/>
        <w:spacing w:line="520" w:lineRule="exact"/>
        <w:rPr>
          <w:rFonts w:ascii="Times New Roman" w:hAnsi="Times New Roman" w:cs="Times New Roman"/>
          <w:color w:val="auto"/>
        </w:rPr>
      </w:pPr>
      <w:r>
        <w:rPr>
          <w:rFonts w:ascii="Times New Roman" w:hAnsi="Times New Roman" w:cs="Times New Roman"/>
          <w:color w:val="auto"/>
        </w:rPr>
        <w:t>总之，建设单位落实好相应的污染治理措施，保证污染源达标排放的情况下，从环境保护的角度看，项目的建设是可行的。</w:t>
      </w:r>
    </w:p>
    <w:p>
      <w:pPr>
        <w:pStyle w:val="8"/>
        <w:snapToGrid w:val="0"/>
        <w:spacing w:line="360" w:lineRule="auto"/>
        <w:rPr>
          <w:rFonts w:ascii="Times New Roman" w:hAnsi="Times New Roman" w:cs="Times New Roman"/>
          <w:color w:val="auto"/>
        </w:rPr>
      </w:pPr>
      <w:bookmarkStart w:id="651" w:name="_Toc10690"/>
      <w:bookmarkStart w:id="652" w:name="_Toc21389"/>
      <w:bookmarkStart w:id="653" w:name="_Toc5936"/>
      <w:bookmarkStart w:id="654" w:name="_Toc16404"/>
      <w:bookmarkStart w:id="655" w:name="_Toc19075"/>
      <w:bookmarkStart w:id="656" w:name="_Toc16533"/>
      <w:bookmarkStart w:id="657" w:name="_Toc5418"/>
      <w:bookmarkStart w:id="658" w:name="_Toc8907"/>
      <w:bookmarkStart w:id="659" w:name="_Toc11515_WPSOffice_Level2"/>
      <w:bookmarkStart w:id="660" w:name="_Toc16246"/>
      <w:bookmarkStart w:id="661" w:name="_Toc10447"/>
      <w:bookmarkStart w:id="662" w:name="_Toc10049_WPSOffice_Level2"/>
      <w:bookmarkStart w:id="663" w:name="_Toc20133"/>
      <w:bookmarkStart w:id="664" w:name="_Toc9537"/>
      <w:bookmarkStart w:id="665" w:name="_Toc30172"/>
      <w:bookmarkStart w:id="666" w:name="_Toc14200"/>
      <w:bookmarkStart w:id="667" w:name="_Toc4025"/>
      <w:bookmarkStart w:id="668" w:name="_Toc19471"/>
      <w:bookmarkStart w:id="669" w:name="_Toc25829"/>
      <w:r>
        <w:rPr>
          <w:rFonts w:hint="eastAsia" w:ascii="Times New Roman" w:hAnsi="Times New Roman" w:cs="Times New Roman"/>
          <w:color w:val="auto"/>
        </w:rPr>
        <w:t>9</w:t>
      </w:r>
      <w:r>
        <w:rPr>
          <w:rFonts w:ascii="Times New Roman" w:hAnsi="Times New Roman" w:cs="Times New Roman"/>
          <w:color w:val="auto"/>
        </w:rPr>
        <w:t>.2建议</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snapToGrid w:val="0"/>
        <w:spacing w:line="520" w:lineRule="exact"/>
        <w:rPr>
          <w:rFonts w:ascii="Times New Roman" w:hAnsi="Times New Roman" w:cs="Times New Roman"/>
          <w:color w:val="auto"/>
        </w:rPr>
      </w:pPr>
      <w:r>
        <w:rPr>
          <w:rFonts w:ascii="Times New Roman" w:hAnsi="Times New Roman" w:cs="Times New Roman"/>
          <w:color w:val="auto"/>
        </w:rPr>
        <w:t>（1）严格落实各项环保措施，确保项目生产过程中产生的污染物达标排放。</w:t>
      </w:r>
    </w:p>
    <w:p>
      <w:pPr>
        <w:snapToGrid w:val="0"/>
        <w:spacing w:line="520" w:lineRule="exact"/>
        <w:rPr>
          <w:rFonts w:ascii="Times New Roman" w:hAnsi="Times New Roman" w:cs="Times New Roman"/>
          <w:color w:val="auto"/>
        </w:rPr>
      </w:pPr>
      <w:r>
        <w:rPr>
          <w:rFonts w:ascii="Times New Roman" w:hAnsi="Times New Roman" w:cs="Times New Roman"/>
          <w:color w:val="auto"/>
        </w:rPr>
        <w:t>（2）建全并完善环境管理体系、规章制度，把污染预防、节能降耗贯彻到生产全过程中。</w:t>
      </w:r>
    </w:p>
    <w:p>
      <w:pPr>
        <w:snapToGrid w:val="0"/>
        <w:spacing w:line="520" w:lineRule="exact"/>
        <w:rPr>
          <w:rFonts w:ascii="Times New Roman" w:hAnsi="Times New Roman" w:cs="Times New Roman"/>
          <w:color w:val="auto"/>
        </w:rPr>
      </w:pPr>
      <w:r>
        <w:rPr>
          <w:rFonts w:ascii="Times New Roman" w:hAnsi="Times New Roman" w:cs="Times New Roman"/>
          <w:color w:val="auto"/>
        </w:rPr>
        <w:t>（3）加强管理，强化单位职工自身的环保意识和事故风险意识。</w:t>
      </w:r>
    </w:p>
    <w:p>
      <w:pPr>
        <w:spacing w:line="520" w:lineRule="exact"/>
        <w:rPr>
          <w:rFonts w:ascii="Times New Roman" w:hAnsi="Times New Roman" w:cs="Times New Roman"/>
          <w:color w:val="auto"/>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23</w:t>
                          </w:r>
                          <w:r>
                            <w:rPr>
                              <w:rFonts w:ascii="Times New Roman" w:hAnsi="Times New Roman" w:cs="Times New Roman"/>
                              <w:sz w:val="20"/>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YPmgu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mD5oLgIAAFkEAAAOAAAAAAAAAAEAIAAAAB8BAABkcnMvZTJvRG9jLnhtbFBLBQYAAAAA&#10;BgAGAFkBAAC/BQAAAAA=&#10;">
              <v:fill on="f" focussize="0,0"/>
              <v:stroke on="f" weight="0.5pt"/>
              <v:imagedata o:title=""/>
              <o:lock v:ext="edit" aspectratio="f"/>
              <v:textbox inset="0mm,0mm,0mm,0mm" style="mso-fit-shape-to-text:t;">
                <w:txbxContent>
                  <w:p>
                    <w:pPr>
                      <w:pStyle w:val="17"/>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23</w:t>
                    </w:r>
                    <w:r>
                      <w:rPr>
                        <w:rFonts w:ascii="Times New Roman" w:hAnsi="Times New Roman" w:cs="Times New Roman"/>
                        <w:sz w:val="20"/>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24</w:t>
                          </w:r>
                          <w:r>
                            <w:rPr>
                              <w:rFonts w:ascii="Times New Roman" w:hAnsi="Times New Roman" w:cs="Times New Roman"/>
                              <w:sz w:val="20"/>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BiiAuAgAAW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9BvloWt3lke&#10;oaN43q6OAQK2ukZROiV6rdBxbWX66Ygt/ee+jX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1AYogLgIAAFkEAAAOAAAAAAAAAAEAIAAAAB8BAABkcnMvZTJvRG9jLnhtbFBLBQYAAAAA&#10;BgAGAFkBAAC/BQAAAAA=&#10;">
              <v:fill on="f" focussize="0,0"/>
              <v:stroke on="f" weight="0.5pt"/>
              <v:imagedata o:title=""/>
              <o:lock v:ext="edit" aspectratio="f"/>
              <v:textbox inset="0mm,0mm,0mm,0mm" style="mso-fit-shape-to-text:t;">
                <w:txbxContent>
                  <w:p>
                    <w:pPr>
                      <w:pStyle w:val="17"/>
                      <w:ind w:firstLine="400"/>
                      <w:rPr>
                        <w:rFonts w:ascii="Times New Roman" w:hAnsi="Times New Roman" w:cs="Times New Roman"/>
                        <w:sz w:val="20"/>
                        <w:szCs w:val="28"/>
                      </w:rPr>
                    </w:pPr>
                    <w:r>
                      <w:rPr>
                        <w:rFonts w:ascii="Times New Roman" w:hAnsi="Times New Roman" w:cs="Times New Roman"/>
                        <w:sz w:val="20"/>
                        <w:szCs w:val="28"/>
                      </w:rPr>
                      <w:fldChar w:fldCharType="begin"/>
                    </w:r>
                    <w:r>
                      <w:rPr>
                        <w:rFonts w:ascii="Times New Roman" w:hAnsi="Times New Roman" w:cs="Times New Roman"/>
                        <w:sz w:val="20"/>
                        <w:szCs w:val="28"/>
                      </w:rPr>
                      <w:instrText xml:space="preserve"> PAGE  \* MERGEFORMAT </w:instrText>
                    </w:r>
                    <w:r>
                      <w:rPr>
                        <w:rFonts w:ascii="Times New Roman" w:hAnsi="Times New Roman" w:cs="Times New Roman"/>
                        <w:sz w:val="20"/>
                        <w:szCs w:val="28"/>
                      </w:rPr>
                      <w:fldChar w:fldCharType="separate"/>
                    </w:r>
                    <w:r>
                      <w:rPr>
                        <w:rFonts w:ascii="Times New Roman" w:hAnsi="Times New Roman" w:cs="Times New Roman"/>
                        <w:sz w:val="20"/>
                        <w:szCs w:val="28"/>
                      </w:rPr>
                      <w:t>24</w:t>
                    </w:r>
                    <w:r>
                      <w:rPr>
                        <w:rFonts w:ascii="Times New Roman" w:hAnsi="Times New Roman" w:cs="Times New Roman"/>
                        <w:sz w:val="20"/>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double" w:color="auto" w:sz="8" w:space="1"/>
      </w:pBdr>
      <w:ind w:firstLine="0" w:firstLineChars="0"/>
      <w:jc w:val="right"/>
    </w:pPr>
    <w:r>
      <w:rPr>
        <w:rFonts w:hint="eastAsia" w:ascii="Times New Roman" w:hAnsi="Times New Roman" w:cs="Times New Roman"/>
        <w:sz w:val="21"/>
        <w:szCs w:val="21"/>
      </w:rPr>
      <w:t>吉木萨尔县人民医院新院区建设项目环境影响报告书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double" w:color="auto" w:sz="8" w:space="1"/>
      </w:pBdr>
      <w:ind w:firstLine="0" w:firstLineChars="0"/>
      <w:rPr>
        <w:rFonts w:ascii="Times New Roman" w:hAnsi="Times New Roman" w:cs="Times New Roman"/>
        <w:sz w:val="21"/>
        <w:szCs w:val="21"/>
      </w:rPr>
    </w:pPr>
    <w:r>
      <w:rPr>
        <w:rFonts w:hint="eastAsia" w:ascii="Times New Roman" w:hAnsi="Times New Roman" w:cs="Times New Roman"/>
        <w:sz w:val="21"/>
        <w:szCs w:val="21"/>
      </w:rPr>
      <w:t>吉木萨尔县人民医院新院区建设项目环境影响报告书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D9844"/>
    <w:multiLevelType w:val="singleLevel"/>
    <w:tmpl w:val="81FD9844"/>
    <w:lvl w:ilvl="0" w:tentative="0">
      <w:start w:val="1"/>
      <w:numFmt w:val="decimal"/>
      <w:suff w:val="nothing"/>
      <w:lvlText w:val="（%1）"/>
      <w:lvlJc w:val="left"/>
    </w:lvl>
  </w:abstractNum>
  <w:abstractNum w:abstractNumId="1">
    <w:nsid w:val="A41C5275"/>
    <w:multiLevelType w:val="singleLevel"/>
    <w:tmpl w:val="A41C5275"/>
    <w:lvl w:ilvl="0" w:tentative="0">
      <w:start w:val="1"/>
      <w:numFmt w:val="decimal"/>
      <w:suff w:val="nothing"/>
      <w:lvlText w:val="%1）"/>
      <w:lvlJc w:val="left"/>
    </w:lvl>
  </w:abstractNum>
  <w:abstractNum w:abstractNumId="2">
    <w:nsid w:val="A614399B"/>
    <w:multiLevelType w:val="singleLevel"/>
    <w:tmpl w:val="A614399B"/>
    <w:lvl w:ilvl="0" w:tentative="0">
      <w:start w:val="1"/>
      <w:numFmt w:val="upperLetter"/>
      <w:lvlText w:val="%1."/>
      <w:lvlJc w:val="left"/>
      <w:pPr>
        <w:ind w:left="425" w:hanging="425"/>
      </w:pPr>
      <w:rPr>
        <w:rFonts w:hint="default"/>
      </w:rPr>
    </w:lvl>
  </w:abstractNum>
  <w:abstractNum w:abstractNumId="3">
    <w:nsid w:val="B5BE6C95"/>
    <w:multiLevelType w:val="singleLevel"/>
    <w:tmpl w:val="B5BE6C95"/>
    <w:lvl w:ilvl="0" w:tentative="0">
      <w:start w:val="1"/>
      <w:numFmt w:val="upperLetter"/>
      <w:suff w:val="space"/>
      <w:lvlText w:val="%1."/>
      <w:lvlJc w:val="left"/>
    </w:lvl>
  </w:abstractNum>
  <w:abstractNum w:abstractNumId="4">
    <w:nsid w:val="00143652"/>
    <w:multiLevelType w:val="singleLevel"/>
    <w:tmpl w:val="00143652"/>
    <w:lvl w:ilvl="0" w:tentative="0">
      <w:start w:val="1"/>
      <w:numFmt w:val="upperLetter"/>
      <w:suff w:val="space"/>
      <w:lvlText w:val="%1."/>
      <w:lvlJc w:val="left"/>
    </w:lvl>
  </w:abstractNum>
  <w:abstractNum w:abstractNumId="5">
    <w:nsid w:val="1819544F"/>
    <w:multiLevelType w:val="singleLevel"/>
    <w:tmpl w:val="1819544F"/>
    <w:lvl w:ilvl="0" w:tentative="0">
      <w:start w:val="1"/>
      <w:numFmt w:val="lowerLetter"/>
      <w:lvlText w:val="%1."/>
      <w:lvlJc w:val="left"/>
      <w:pPr>
        <w:tabs>
          <w:tab w:val="left" w:pos="312"/>
        </w:tabs>
      </w:pPr>
    </w:lvl>
  </w:abstractNum>
  <w:abstractNum w:abstractNumId="6">
    <w:nsid w:val="46279B5E"/>
    <w:multiLevelType w:val="singleLevel"/>
    <w:tmpl w:val="46279B5E"/>
    <w:lvl w:ilvl="0" w:tentative="0">
      <w:start w:val="1"/>
      <w:numFmt w:val="decimal"/>
      <w:suff w:val="nothing"/>
      <w:lvlText w:val="（%1）"/>
      <w:lvlJc w:val="left"/>
    </w:lvl>
  </w:abstractNum>
  <w:abstractNum w:abstractNumId="7">
    <w:nsid w:val="55915896"/>
    <w:multiLevelType w:val="singleLevel"/>
    <w:tmpl w:val="55915896"/>
    <w:lvl w:ilvl="0" w:tentative="0">
      <w:start w:val="1"/>
      <w:numFmt w:val="decimal"/>
      <w:suff w:val="nothing"/>
      <w:lvlText w:val="（%1）"/>
      <w:lvlJc w:val="left"/>
    </w:lvl>
  </w:abstractNum>
  <w:abstractNum w:abstractNumId="8">
    <w:nsid w:val="5AC0E249"/>
    <w:multiLevelType w:val="singleLevel"/>
    <w:tmpl w:val="5AC0E249"/>
    <w:lvl w:ilvl="0" w:tentative="0">
      <w:start w:val="1"/>
      <w:numFmt w:val="upperLetter"/>
      <w:suff w:val="space"/>
      <w:lvlText w:val="%1."/>
      <w:lvlJc w:val="left"/>
    </w:lvl>
  </w:abstractNum>
  <w:abstractNum w:abstractNumId="9">
    <w:nsid w:val="6471AF08"/>
    <w:multiLevelType w:val="singleLevel"/>
    <w:tmpl w:val="6471AF08"/>
    <w:lvl w:ilvl="0" w:tentative="0">
      <w:start w:val="1"/>
      <w:numFmt w:val="decimal"/>
      <w:suff w:val="nothing"/>
      <w:lvlText w:val="（%1）"/>
      <w:lvlJc w:val="left"/>
    </w:lvl>
  </w:abstractNum>
  <w:abstractNum w:abstractNumId="10">
    <w:nsid w:val="7973A8DB"/>
    <w:multiLevelType w:val="singleLevel"/>
    <w:tmpl w:val="7973A8DB"/>
    <w:lvl w:ilvl="0" w:tentative="0">
      <w:start w:val="1"/>
      <w:numFmt w:val="upperLetter"/>
      <w:suff w:val="space"/>
      <w:lvlText w:val="%1."/>
      <w:lvlJc w:val="left"/>
    </w:lvl>
  </w:abstractNum>
  <w:num w:numId="1">
    <w:abstractNumId w:val="9"/>
  </w:num>
  <w:num w:numId="2">
    <w:abstractNumId w:val="6"/>
  </w:num>
  <w:num w:numId="3">
    <w:abstractNumId w:val="0"/>
  </w:num>
  <w:num w:numId="4">
    <w:abstractNumId w:val="1"/>
  </w:num>
  <w:num w:numId="5">
    <w:abstractNumId w:val="3"/>
  </w:num>
  <w:num w:numId="6">
    <w:abstractNumId w:val="8"/>
  </w:num>
  <w:num w:numId="7">
    <w:abstractNumId w:val="2"/>
  </w:num>
  <w:num w:numId="8">
    <w:abstractNumId w:val="10"/>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4F1"/>
    <w:rsid w:val="000218C8"/>
    <w:rsid w:val="000C2B77"/>
    <w:rsid w:val="001E0B0F"/>
    <w:rsid w:val="001E1ACF"/>
    <w:rsid w:val="002F3A68"/>
    <w:rsid w:val="004358BC"/>
    <w:rsid w:val="00461652"/>
    <w:rsid w:val="00481507"/>
    <w:rsid w:val="004A6029"/>
    <w:rsid w:val="004B32AB"/>
    <w:rsid w:val="00524617"/>
    <w:rsid w:val="005554F1"/>
    <w:rsid w:val="005869D4"/>
    <w:rsid w:val="008607C3"/>
    <w:rsid w:val="008C3724"/>
    <w:rsid w:val="00971A89"/>
    <w:rsid w:val="00A20D1E"/>
    <w:rsid w:val="00A942F6"/>
    <w:rsid w:val="00B56FD2"/>
    <w:rsid w:val="00C96DAB"/>
    <w:rsid w:val="00CB4688"/>
    <w:rsid w:val="00D15ED4"/>
    <w:rsid w:val="00F05C3A"/>
    <w:rsid w:val="010A65E6"/>
    <w:rsid w:val="011163CA"/>
    <w:rsid w:val="013950C6"/>
    <w:rsid w:val="017020AA"/>
    <w:rsid w:val="01832249"/>
    <w:rsid w:val="01BE0D03"/>
    <w:rsid w:val="01D25E64"/>
    <w:rsid w:val="01DF2DC5"/>
    <w:rsid w:val="01E17D85"/>
    <w:rsid w:val="01F50D39"/>
    <w:rsid w:val="0208450D"/>
    <w:rsid w:val="021D4CD7"/>
    <w:rsid w:val="02342675"/>
    <w:rsid w:val="0243511A"/>
    <w:rsid w:val="024E7C21"/>
    <w:rsid w:val="030C728E"/>
    <w:rsid w:val="031F4C13"/>
    <w:rsid w:val="0323795F"/>
    <w:rsid w:val="033400F7"/>
    <w:rsid w:val="035B6244"/>
    <w:rsid w:val="03987C1D"/>
    <w:rsid w:val="03A2324B"/>
    <w:rsid w:val="03B428F0"/>
    <w:rsid w:val="03B83656"/>
    <w:rsid w:val="03B84C7F"/>
    <w:rsid w:val="040C13A8"/>
    <w:rsid w:val="046231A7"/>
    <w:rsid w:val="04894366"/>
    <w:rsid w:val="04D32EF3"/>
    <w:rsid w:val="059953D3"/>
    <w:rsid w:val="05C80A70"/>
    <w:rsid w:val="05D43CB9"/>
    <w:rsid w:val="06115F64"/>
    <w:rsid w:val="06373491"/>
    <w:rsid w:val="06CF527E"/>
    <w:rsid w:val="072B4934"/>
    <w:rsid w:val="072F4C11"/>
    <w:rsid w:val="073D4614"/>
    <w:rsid w:val="073F786B"/>
    <w:rsid w:val="075C0B54"/>
    <w:rsid w:val="076C5D5D"/>
    <w:rsid w:val="076E6738"/>
    <w:rsid w:val="077B08AC"/>
    <w:rsid w:val="078D461A"/>
    <w:rsid w:val="079E116C"/>
    <w:rsid w:val="07A16344"/>
    <w:rsid w:val="07D21F48"/>
    <w:rsid w:val="080A0D4E"/>
    <w:rsid w:val="083576BB"/>
    <w:rsid w:val="083901A2"/>
    <w:rsid w:val="08492AA2"/>
    <w:rsid w:val="0878748E"/>
    <w:rsid w:val="08B36AEC"/>
    <w:rsid w:val="08CB28A3"/>
    <w:rsid w:val="08DD5674"/>
    <w:rsid w:val="08F96F1A"/>
    <w:rsid w:val="092E4D4D"/>
    <w:rsid w:val="09B01BA1"/>
    <w:rsid w:val="09DA3102"/>
    <w:rsid w:val="09E24F53"/>
    <w:rsid w:val="09E56170"/>
    <w:rsid w:val="0A331A04"/>
    <w:rsid w:val="0A6042C6"/>
    <w:rsid w:val="0A751856"/>
    <w:rsid w:val="0AA12FFA"/>
    <w:rsid w:val="0AB544C8"/>
    <w:rsid w:val="0B2A7F3D"/>
    <w:rsid w:val="0B651FBD"/>
    <w:rsid w:val="0B6C1D0C"/>
    <w:rsid w:val="0B91639C"/>
    <w:rsid w:val="0B9F5A76"/>
    <w:rsid w:val="0BC9028D"/>
    <w:rsid w:val="0BD91B79"/>
    <w:rsid w:val="0BEC3963"/>
    <w:rsid w:val="0C081932"/>
    <w:rsid w:val="0C256F25"/>
    <w:rsid w:val="0C7A72E9"/>
    <w:rsid w:val="0CD32C6D"/>
    <w:rsid w:val="0D377221"/>
    <w:rsid w:val="0D39443F"/>
    <w:rsid w:val="0D4453E7"/>
    <w:rsid w:val="0D5153E6"/>
    <w:rsid w:val="0DAC333C"/>
    <w:rsid w:val="0DB456FE"/>
    <w:rsid w:val="0DF470AB"/>
    <w:rsid w:val="0E030971"/>
    <w:rsid w:val="0E0C6B9C"/>
    <w:rsid w:val="0E450819"/>
    <w:rsid w:val="0E506E31"/>
    <w:rsid w:val="0E794387"/>
    <w:rsid w:val="0E8F419E"/>
    <w:rsid w:val="0EA52FBD"/>
    <w:rsid w:val="0EB65DED"/>
    <w:rsid w:val="0EE43E3A"/>
    <w:rsid w:val="0F1065B3"/>
    <w:rsid w:val="0F4C6E22"/>
    <w:rsid w:val="0F643D44"/>
    <w:rsid w:val="0F6F5FF0"/>
    <w:rsid w:val="0F9D3C48"/>
    <w:rsid w:val="0FF02E93"/>
    <w:rsid w:val="10025ADD"/>
    <w:rsid w:val="102E1B73"/>
    <w:rsid w:val="103867F5"/>
    <w:rsid w:val="103E3983"/>
    <w:rsid w:val="107649FB"/>
    <w:rsid w:val="1099741D"/>
    <w:rsid w:val="109C6A17"/>
    <w:rsid w:val="10A42755"/>
    <w:rsid w:val="10A43525"/>
    <w:rsid w:val="10C16F32"/>
    <w:rsid w:val="11003BB9"/>
    <w:rsid w:val="111E4BC7"/>
    <w:rsid w:val="11223A4A"/>
    <w:rsid w:val="117B5240"/>
    <w:rsid w:val="11AC29B3"/>
    <w:rsid w:val="11F56273"/>
    <w:rsid w:val="12517450"/>
    <w:rsid w:val="126D69D5"/>
    <w:rsid w:val="12820E94"/>
    <w:rsid w:val="129D33FC"/>
    <w:rsid w:val="12CC346E"/>
    <w:rsid w:val="12F363F7"/>
    <w:rsid w:val="13131DB0"/>
    <w:rsid w:val="1335679A"/>
    <w:rsid w:val="13370C04"/>
    <w:rsid w:val="13670F01"/>
    <w:rsid w:val="13904B3F"/>
    <w:rsid w:val="13CF6A72"/>
    <w:rsid w:val="13E47B0A"/>
    <w:rsid w:val="14026695"/>
    <w:rsid w:val="14133B02"/>
    <w:rsid w:val="141E38D2"/>
    <w:rsid w:val="14262300"/>
    <w:rsid w:val="143B3660"/>
    <w:rsid w:val="145D0733"/>
    <w:rsid w:val="1464580D"/>
    <w:rsid w:val="1479020B"/>
    <w:rsid w:val="147B4379"/>
    <w:rsid w:val="14B17B2F"/>
    <w:rsid w:val="14C76D5D"/>
    <w:rsid w:val="14F6530F"/>
    <w:rsid w:val="151D2B9B"/>
    <w:rsid w:val="15507282"/>
    <w:rsid w:val="155601FA"/>
    <w:rsid w:val="159267E2"/>
    <w:rsid w:val="159635B8"/>
    <w:rsid w:val="15981473"/>
    <w:rsid w:val="16230762"/>
    <w:rsid w:val="16904A4C"/>
    <w:rsid w:val="169C5867"/>
    <w:rsid w:val="16B405B9"/>
    <w:rsid w:val="17552030"/>
    <w:rsid w:val="175F4103"/>
    <w:rsid w:val="17E76FDF"/>
    <w:rsid w:val="181720EF"/>
    <w:rsid w:val="182C3E09"/>
    <w:rsid w:val="183F0213"/>
    <w:rsid w:val="184B0B7B"/>
    <w:rsid w:val="184C7F0A"/>
    <w:rsid w:val="18DA0E59"/>
    <w:rsid w:val="19102E79"/>
    <w:rsid w:val="191B0BDB"/>
    <w:rsid w:val="1926739A"/>
    <w:rsid w:val="193C3093"/>
    <w:rsid w:val="19444BC2"/>
    <w:rsid w:val="195B16D9"/>
    <w:rsid w:val="1988373B"/>
    <w:rsid w:val="199B5473"/>
    <w:rsid w:val="19A3055D"/>
    <w:rsid w:val="19EF043B"/>
    <w:rsid w:val="19F20075"/>
    <w:rsid w:val="1A041957"/>
    <w:rsid w:val="1A070214"/>
    <w:rsid w:val="1A7B7CFB"/>
    <w:rsid w:val="1A9E0470"/>
    <w:rsid w:val="1A9F4672"/>
    <w:rsid w:val="1AA34177"/>
    <w:rsid w:val="1ACF22C7"/>
    <w:rsid w:val="1ADF0C96"/>
    <w:rsid w:val="1AE93335"/>
    <w:rsid w:val="1AFB0CB8"/>
    <w:rsid w:val="1B594E6D"/>
    <w:rsid w:val="1BA7195D"/>
    <w:rsid w:val="1BE2059E"/>
    <w:rsid w:val="1BFF2688"/>
    <w:rsid w:val="1C260E39"/>
    <w:rsid w:val="1C6D7058"/>
    <w:rsid w:val="1CB81DB6"/>
    <w:rsid w:val="1CF859E5"/>
    <w:rsid w:val="1D1B5274"/>
    <w:rsid w:val="1D5A09CB"/>
    <w:rsid w:val="1D9255D9"/>
    <w:rsid w:val="1D991FF1"/>
    <w:rsid w:val="1DB15290"/>
    <w:rsid w:val="1DB97D68"/>
    <w:rsid w:val="1E9914DD"/>
    <w:rsid w:val="1E994B9D"/>
    <w:rsid w:val="1EB25B51"/>
    <w:rsid w:val="1EFF0CF5"/>
    <w:rsid w:val="1F656B64"/>
    <w:rsid w:val="1F663672"/>
    <w:rsid w:val="1F6A7719"/>
    <w:rsid w:val="1F9076F6"/>
    <w:rsid w:val="1FA37175"/>
    <w:rsid w:val="1FA522FC"/>
    <w:rsid w:val="1FD679AB"/>
    <w:rsid w:val="1FDB28CA"/>
    <w:rsid w:val="1FF4580D"/>
    <w:rsid w:val="20744061"/>
    <w:rsid w:val="208677C6"/>
    <w:rsid w:val="209241D4"/>
    <w:rsid w:val="20A566F0"/>
    <w:rsid w:val="20F75B6F"/>
    <w:rsid w:val="20FE1831"/>
    <w:rsid w:val="20FE215E"/>
    <w:rsid w:val="21026031"/>
    <w:rsid w:val="21203E39"/>
    <w:rsid w:val="21207B4A"/>
    <w:rsid w:val="21416251"/>
    <w:rsid w:val="21440B27"/>
    <w:rsid w:val="21503102"/>
    <w:rsid w:val="2158166E"/>
    <w:rsid w:val="2198016E"/>
    <w:rsid w:val="21E26BE1"/>
    <w:rsid w:val="21F44D13"/>
    <w:rsid w:val="22023E13"/>
    <w:rsid w:val="220F0C9F"/>
    <w:rsid w:val="222B1168"/>
    <w:rsid w:val="222E3615"/>
    <w:rsid w:val="2252200D"/>
    <w:rsid w:val="228A0CB5"/>
    <w:rsid w:val="22A07BBB"/>
    <w:rsid w:val="22F7678C"/>
    <w:rsid w:val="230F5347"/>
    <w:rsid w:val="231501FE"/>
    <w:rsid w:val="23421CAF"/>
    <w:rsid w:val="23423C75"/>
    <w:rsid w:val="23533F5D"/>
    <w:rsid w:val="235A01A3"/>
    <w:rsid w:val="23CC246D"/>
    <w:rsid w:val="23E42AF9"/>
    <w:rsid w:val="243A2C8F"/>
    <w:rsid w:val="24730489"/>
    <w:rsid w:val="24CE5708"/>
    <w:rsid w:val="24EB7A61"/>
    <w:rsid w:val="250B0B9F"/>
    <w:rsid w:val="25554FEB"/>
    <w:rsid w:val="25B513CE"/>
    <w:rsid w:val="25D21C0B"/>
    <w:rsid w:val="25D646B7"/>
    <w:rsid w:val="260A3998"/>
    <w:rsid w:val="26250BF0"/>
    <w:rsid w:val="26382505"/>
    <w:rsid w:val="264B218F"/>
    <w:rsid w:val="264B7F9C"/>
    <w:rsid w:val="264E1A24"/>
    <w:rsid w:val="267727D7"/>
    <w:rsid w:val="26B55E58"/>
    <w:rsid w:val="26D64707"/>
    <w:rsid w:val="274D5D7B"/>
    <w:rsid w:val="278A2D81"/>
    <w:rsid w:val="27B1062C"/>
    <w:rsid w:val="27B62075"/>
    <w:rsid w:val="27C73301"/>
    <w:rsid w:val="282673A6"/>
    <w:rsid w:val="28E83B1F"/>
    <w:rsid w:val="29147E63"/>
    <w:rsid w:val="294A41AE"/>
    <w:rsid w:val="295D2F7A"/>
    <w:rsid w:val="297D3065"/>
    <w:rsid w:val="29A90B10"/>
    <w:rsid w:val="29C7476D"/>
    <w:rsid w:val="29DF2CA3"/>
    <w:rsid w:val="29F51148"/>
    <w:rsid w:val="29FC149F"/>
    <w:rsid w:val="2A5B2C94"/>
    <w:rsid w:val="2A935712"/>
    <w:rsid w:val="2ABC7C0A"/>
    <w:rsid w:val="2B0640A2"/>
    <w:rsid w:val="2B3A2644"/>
    <w:rsid w:val="2B557057"/>
    <w:rsid w:val="2B7A0D3D"/>
    <w:rsid w:val="2B7D0AED"/>
    <w:rsid w:val="2B93557A"/>
    <w:rsid w:val="2B940DAA"/>
    <w:rsid w:val="2BA1010E"/>
    <w:rsid w:val="2BBB2B4F"/>
    <w:rsid w:val="2BD7340C"/>
    <w:rsid w:val="2C011167"/>
    <w:rsid w:val="2C1401BE"/>
    <w:rsid w:val="2C636B46"/>
    <w:rsid w:val="2C8B7D05"/>
    <w:rsid w:val="2C8C3E5F"/>
    <w:rsid w:val="2CBD5A0E"/>
    <w:rsid w:val="2CCA5FC3"/>
    <w:rsid w:val="2CF92F2E"/>
    <w:rsid w:val="2D293D4E"/>
    <w:rsid w:val="2D2D6BF6"/>
    <w:rsid w:val="2D4341A6"/>
    <w:rsid w:val="2D9D6122"/>
    <w:rsid w:val="2DB7227D"/>
    <w:rsid w:val="2DD376AD"/>
    <w:rsid w:val="2DFD4584"/>
    <w:rsid w:val="2E00060D"/>
    <w:rsid w:val="2E017F0F"/>
    <w:rsid w:val="2E13758A"/>
    <w:rsid w:val="2E497B05"/>
    <w:rsid w:val="2E6A2066"/>
    <w:rsid w:val="2E9B1723"/>
    <w:rsid w:val="2EBD5B1F"/>
    <w:rsid w:val="2EC63CD7"/>
    <w:rsid w:val="2ED03AF0"/>
    <w:rsid w:val="2F1F4E74"/>
    <w:rsid w:val="2F4C421B"/>
    <w:rsid w:val="2FA3008A"/>
    <w:rsid w:val="2FB37EFB"/>
    <w:rsid w:val="2FE23764"/>
    <w:rsid w:val="2FE33482"/>
    <w:rsid w:val="3022364C"/>
    <w:rsid w:val="30433F60"/>
    <w:rsid w:val="304561A7"/>
    <w:rsid w:val="307413AC"/>
    <w:rsid w:val="30785B99"/>
    <w:rsid w:val="307F7C9F"/>
    <w:rsid w:val="308501A0"/>
    <w:rsid w:val="30941AC5"/>
    <w:rsid w:val="30B86F13"/>
    <w:rsid w:val="30E95A2D"/>
    <w:rsid w:val="31080B3F"/>
    <w:rsid w:val="31502445"/>
    <w:rsid w:val="316200BD"/>
    <w:rsid w:val="316C14AC"/>
    <w:rsid w:val="31755FE7"/>
    <w:rsid w:val="318C51D8"/>
    <w:rsid w:val="31A57F99"/>
    <w:rsid w:val="31B65715"/>
    <w:rsid w:val="31C53E7D"/>
    <w:rsid w:val="32411184"/>
    <w:rsid w:val="32851AF3"/>
    <w:rsid w:val="32A50FBF"/>
    <w:rsid w:val="32AE7989"/>
    <w:rsid w:val="32CB6A5C"/>
    <w:rsid w:val="33427146"/>
    <w:rsid w:val="33965D0D"/>
    <w:rsid w:val="33C67282"/>
    <w:rsid w:val="33CB1751"/>
    <w:rsid w:val="33D14138"/>
    <w:rsid w:val="33E10A1A"/>
    <w:rsid w:val="34197F3D"/>
    <w:rsid w:val="342A6540"/>
    <w:rsid w:val="348C25CE"/>
    <w:rsid w:val="34C649A3"/>
    <w:rsid w:val="34DD43A8"/>
    <w:rsid w:val="34FC4A0C"/>
    <w:rsid w:val="35495941"/>
    <w:rsid w:val="35611D87"/>
    <w:rsid w:val="35B47B10"/>
    <w:rsid w:val="35FF5F81"/>
    <w:rsid w:val="3601421D"/>
    <w:rsid w:val="361113B6"/>
    <w:rsid w:val="361C16D1"/>
    <w:rsid w:val="362C7E9B"/>
    <w:rsid w:val="36E3386E"/>
    <w:rsid w:val="36E568E5"/>
    <w:rsid w:val="36EB5F9B"/>
    <w:rsid w:val="36F34B66"/>
    <w:rsid w:val="370D6026"/>
    <w:rsid w:val="37142808"/>
    <w:rsid w:val="371A1F2C"/>
    <w:rsid w:val="373F4E63"/>
    <w:rsid w:val="37681C5C"/>
    <w:rsid w:val="37757441"/>
    <w:rsid w:val="37AA09C3"/>
    <w:rsid w:val="37E8177E"/>
    <w:rsid w:val="3813174F"/>
    <w:rsid w:val="381A030E"/>
    <w:rsid w:val="384A00AB"/>
    <w:rsid w:val="386C6BBA"/>
    <w:rsid w:val="38715AAF"/>
    <w:rsid w:val="38C65EB6"/>
    <w:rsid w:val="38DB68DB"/>
    <w:rsid w:val="38DE7229"/>
    <w:rsid w:val="39197DA0"/>
    <w:rsid w:val="392C5F7E"/>
    <w:rsid w:val="395A3E0E"/>
    <w:rsid w:val="395B0A44"/>
    <w:rsid w:val="39CF1B08"/>
    <w:rsid w:val="39DD01D4"/>
    <w:rsid w:val="3A230BEB"/>
    <w:rsid w:val="3A542A87"/>
    <w:rsid w:val="3A5A5F92"/>
    <w:rsid w:val="3A6C36D0"/>
    <w:rsid w:val="3A8242D5"/>
    <w:rsid w:val="3A8E5A15"/>
    <w:rsid w:val="3A9720E9"/>
    <w:rsid w:val="3AA7667E"/>
    <w:rsid w:val="3B61706F"/>
    <w:rsid w:val="3B6D2ED5"/>
    <w:rsid w:val="3BBA5330"/>
    <w:rsid w:val="3BBD31F3"/>
    <w:rsid w:val="3BDF33E7"/>
    <w:rsid w:val="3C4B4657"/>
    <w:rsid w:val="3CAD585A"/>
    <w:rsid w:val="3CE50459"/>
    <w:rsid w:val="3CF14A2E"/>
    <w:rsid w:val="3D0E749F"/>
    <w:rsid w:val="3D307FD3"/>
    <w:rsid w:val="3D406E74"/>
    <w:rsid w:val="3D922210"/>
    <w:rsid w:val="3DFB60E4"/>
    <w:rsid w:val="3E1776BA"/>
    <w:rsid w:val="3E3D41DB"/>
    <w:rsid w:val="3E3D4696"/>
    <w:rsid w:val="3E476A9A"/>
    <w:rsid w:val="3E566BE9"/>
    <w:rsid w:val="3E6559D2"/>
    <w:rsid w:val="3E763212"/>
    <w:rsid w:val="3EB432E8"/>
    <w:rsid w:val="3F1B070F"/>
    <w:rsid w:val="3F336E4D"/>
    <w:rsid w:val="3F5D4D8D"/>
    <w:rsid w:val="3F7019C9"/>
    <w:rsid w:val="3F787E74"/>
    <w:rsid w:val="3F8516DF"/>
    <w:rsid w:val="3F950417"/>
    <w:rsid w:val="3FB44C31"/>
    <w:rsid w:val="3FE36824"/>
    <w:rsid w:val="3FEE68EC"/>
    <w:rsid w:val="3FF46E0E"/>
    <w:rsid w:val="401B2451"/>
    <w:rsid w:val="407643A5"/>
    <w:rsid w:val="409377B4"/>
    <w:rsid w:val="409C0621"/>
    <w:rsid w:val="40AE4871"/>
    <w:rsid w:val="40D33B7D"/>
    <w:rsid w:val="411D26E5"/>
    <w:rsid w:val="41475F57"/>
    <w:rsid w:val="419865E9"/>
    <w:rsid w:val="41B1503C"/>
    <w:rsid w:val="41B60684"/>
    <w:rsid w:val="41C50EC0"/>
    <w:rsid w:val="41C81AFF"/>
    <w:rsid w:val="41EF19BD"/>
    <w:rsid w:val="42062AFF"/>
    <w:rsid w:val="420815E5"/>
    <w:rsid w:val="420F09A9"/>
    <w:rsid w:val="421405B7"/>
    <w:rsid w:val="422B5805"/>
    <w:rsid w:val="423C6A0C"/>
    <w:rsid w:val="42405425"/>
    <w:rsid w:val="424D41D5"/>
    <w:rsid w:val="42AA005C"/>
    <w:rsid w:val="42DD5D30"/>
    <w:rsid w:val="43363BDF"/>
    <w:rsid w:val="4342783C"/>
    <w:rsid w:val="435269A5"/>
    <w:rsid w:val="43542181"/>
    <w:rsid w:val="43566CE3"/>
    <w:rsid w:val="43BB4866"/>
    <w:rsid w:val="44044B77"/>
    <w:rsid w:val="442532BF"/>
    <w:rsid w:val="442B727D"/>
    <w:rsid w:val="444461BF"/>
    <w:rsid w:val="445E0E32"/>
    <w:rsid w:val="448338B4"/>
    <w:rsid w:val="44C85802"/>
    <w:rsid w:val="44CB60AC"/>
    <w:rsid w:val="44F27CBD"/>
    <w:rsid w:val="44FB0A5A"/>
    <w:rsid w:val="452B7C51"/>
    <w:rsid w:val="453F0F85"/>
    <w:rsid w:val="454544FC"/>
    <w:rsid w:val="454E17E0"/>
    <w:rsid w:val="45753274"/>
    <w:rsid w:val="45941F2F"/>
    <w:rsid w:val="45B54EC3"/>
    <w:rsid w:val="45E5172C"/>
    <w:rsid w:val="46131C4D"/>
    <w:rsid w:val="46406E68"/>
    <w:rsid w:val="46410D4E"/>
    <w:rsid w:val="46467784"/>
    <w:rsid w:val="466A1FEF"/>
    <w:rsid w:val="467B6AD9"/>
    <w:rsid w:val="46895093"/>
    <w:rsid w:val="46B42294"/>
    <w:rsid w:val="47210F0A"/>
    <w:rsid w:val="472E175F"/>
    <w:rsid w:val="473869E5"/>
    <w:rsid w:val="47753429"/>
    <w:rsid w:val="477C1581"/>
    <w:rsid w:val="477F09B6"/>
    <w:rsid w:val="478A3894"/>
    <w:rsid w:val="47E23F00"/>
    <w:rsid w:val="48765A1A"/>
    <w:rsid w:val="48917E9B"/>
    <w:rsid w:val="48BD4B09"/>
    <w:rsid w:val="48DF4279"/>
    <w:rsid w:val="491C168C"/>
    <w:rsid w:val="49415AAE"/>
    <w:rsid w:val="496A5A15"/>
    <w:rsid w:val="49D26825"/>
    <w:rsid w:val="49E5624D"/>
    <w:rsid w:val="4A0C0C0E"/>
    <w:rsid w:val="4A5F44F2"/>
    <w:rsid w:val="4A816587"/>
    <w:rsid w:val="4A9F115E"/>
    <w:rsid w:val="4AE6153D"/>
    <w:rsid w:val="4AE85E51"/>
    <w:rsid w:val="4AEB1039"/>
    <w:rsid w:val="4B267A4A"/>
    <w:rsid w:val="4B537A88"/>
    <w:rsid w:val="4B6B35F4"/>
    <w:rsid w:val="4B8D0EDD"/>
    <w:rsid w:val="4B9D2691"/>
    <w:rsid w:val="4BCF70EB"/>
    <w:rsid w:val="4BE044CB"/>
    <w:rsid w:val="4BF116E2"/>
    <w:rsid w:val="4C170BCA"/>
    <w:rsid w:val="4C295898"/>
    <w:rsid w:val="4C572BE6"/>
    <w:rsid w:val="4C777710"/>
    <w:rsid w:val="4C823349"/>
    <w:rsid w:val="4C87755F"/>
    <w:rsid w:val="4C995AC8"/>
    <w:rsid w:val="4CBD1DA1"/>
    <w:rsid w:val="4CD446E6"/>
    <w:rsid w:val="4CDB17B9"/>
    <w:rsid w:val="4CDD0FEE"/>
    <w:rsid w:val="4CE80F46"/>
    <w:rsid w:val="4D0C343A"/>
    <w:rsid w:val="4D6D17F8"/>
    <w:rsid w:val="4D772D0F"/>
    <w:rsid w:val="4D9A6E41"/>
    <w:rsid w:val="4DA234F0"/>
    <w:rsid w:val="4DF1018D"/>
    <w:rsid w:val="4DF23220"/>
    <w:rsid w:val="4E02313F"/>
    <w:rsid w:val="4E046655"/>
    <w:rsid w:val="4E0A4CAB"/>
    <w:rsid w:val="4E360A92"/>
    <w:rsid w:val="4E4D364F"/>
    <w:rsid w:val="4E884B54"/>
    <w:rsid w:val="4E9B1374"/>
    <w:rsid w:val="4EB224BC"/>
    <w:rsid w:val="4F3847FB"/>
    <w:rsid w:val="4F6F22E0"/>
    <w:rsid w:val="4F7063C9"/>
    <w:rsid w:val="4F82566F"/>
    <w:rsid w:val="4FB530F3"/>
    <w:rsid w:val="4FC732AC"/>
    <w:rsid w:val="4FD02D8A"/>
    <w:rsid w:val="4FDD12D8"/>
    <w:rsid w:val="4FFE7EAE"/>
    <w:rsid w:val="500310C9"/>
    <w:rsid w:val="50257F71"/>
    <w:rsid w:val="50716BD1"/>
    <w:rsid w:val="50CF2995"/>
    <w:rsid w:val="50FC715E"/>
    <w:rsid w:val="511144AF"/>
    <w:rsid w:val="511E3C43"/>
    <w:rsid w:val="512A59DC"/>
    <w:rsid w:val="514F7808"/>
    <w:rsid w:val="51552AD1"/>
    <w:rsid w:val="515A169C"/>
    <w:rsid w:val="515F10E8"/>
    <w:rsid w:val="51673E6C"/>
    <w:rsid w:val="51AD6244"/>
    <w:rsid w:val="51C737D2"/>
    <w:rsid w:val="51EA0630"/>
    <w:rsid w:val="52234D60"/>
    <w:rsid w:val="52BB337E"/>
    <w:rsid w:val="52EA3EB5"/>
    <w:rsid w:val="53194210"/>
    <w:rsid w:val="53275F29"/>
    <w:rsid w:val="536D4468"/>
    <w:rsid w:val="53885E52"/>
    <w:rsid w:val="53B135DC"/>
    <w:rsid w:val="53B16443"/>
    <w:rsid w:val="53B55DB9"/>
    <w:rsid w:val="53BF67E0"/>
    <w:rsid w:val="53DE499C"/>
    <w:rsid w:val="540B6C6B"/>
    <w:rsid w:val="542960F3"/>
    <w:rsid w:val="542F13B9"/>
    <w:rsid w:val="54C4345C"/>
    <w:rsid w:val="54D3587C"/>
    <w:rsid w:val="54EC690C"/>
    <w:rsid w:val="550F55E6"/>
    <w:rsid w:val="555E4A81"/>
    <w:rsid w:val="558C58FB"/>
    <w:rsid w:val="55DF55BD"/>
    <w:rsid w:val="55EF2D6B"/>
    <w:rsid w:val="56272DA7"/>
    <w:rsid w:val="56277544"/>
    <w:rsid w:val="56655CD0"/>
    <w:rsid w:val="569047C1"/>
    <w:rsid w:val="56A078A4"/>
    <w:rsid w:val="56E37D95"/>
    <w:rsid w:val="56F03D91"/>
    <w:rsid w:val="56FF51C4"/>
    <w:rsid w:val="571F6B40"/>
    <w:rsid w:val="57207802"/>
    <w:rsid w:val="572C1E40"/>
    <w:rsid w:val="57323DED"/>
    <w:rsid w:val="579E6A51"/>
    <w:rsid w:val="57F12CB8"/>
    <w:rsid w:val="58061668"/>
    <w:rsid w:val="581C7E36"/>
    <w:rsid w:val="582F409C"/>
    <w:rsid w:val="586B14F4"/>
    <w:rsid w:val="595043E1"/>
    <w:rsid w:val="5972217C"/>
    <w:rsid w:val="59737BD0"/>
    <w:rsid w:val="59D42DDA"/>
    <w:rsid w:val="59D43159"/>
    <w:rsid w:val="5A4417C5"/>
    <w:rsid w:val="5A464268"/>
    <w:rsid w:val="5A5F7B55"/>
    <w:rsid w:val="5A61339E"/>
    <w:rsid w:val="5A7B2DC2"/>
    <w:rsid w:val="5A927E04"/>
    <w:rsid w:val="5AC03A11"/>
    <w:rsid w:val="5AC06F66"/>
    <w:rsid w:val="5AFC0D1F"/>
    <w:rsid w:val="5B1A4329"/>
    <w:rsid w:val="5B375C08"/>
    <w:rsid w:val="5B3B2470"/>
    <w:rsid w:val="5B3D435A"/>
    <w:rsid w:val="5B55516C"/>
    <w:rsid w:val="5B612F08"/>
    <w:rsid w:val="5B7F59C4"/>
    <w:rsid w:val="5B8F1E2C"/>
    <w:rsid w:val="5BAD1636"/>
    <w:rsid w:val="5C0906C7"/>
    <w:rsid w:val="5C5C50B1"/>
    <w:rsid w:val="5CA17210"/>
    <w:rsid w:val="5CA949C3"/>
    <w:rsid w:val="5CED196A"/>
    <w:rsid w:val="5CF120EE"/>
    <w:rsid w:val="5CF23697"/>
    <w:rsid w:val="5D202EC3"/>
    <w:rsid w:val="5D217E3C"/>
    <w:rsid w:val="5D4331BC"/>
    <w:rsid w:val="5D9472C3"/>
    <w:rsid w:val="5D972992"/>
    <w:rsid w:val="5D9A48EF"/>
    <w:rsid w:val="5D9C797E"/>
    <w:rsid w:val="5DA13A7D"/>
    <w:rsid w:val="5DC56C40"/>
    <w:rsid w:val="5DCA79B2"/>
    <w:rsid w:val="5DE53578"/>
    <w:rsid w:val="5E012D39"/>
    <w:rsid w:val="5E0C58B3"/>
    <w:rsid w:val="5E236301"/>
    <w:rsid w:val="5E2D4A33"/>
    <w:rsid w:val="5E3273C9"/>
    <w:rsid w:val="5E3D1469"/>
    <w:rsid w:val="5E66478F"/>
    <w:rsid w:val="5EAC5379"/>
    <w:rsid w:val="5EC244BD"/>
    <w:rsid w:val="5F0D0C51"/>
    <w:rsid w:val="5F2042AD"/>
    <w:rsid w:val="5F2C4406"/>
    <w:rsid w:val="5FB24571"/>
    <w:rsid w:val="5FC52F17"/>
    <w:rsid w:val="5FD04CEF"/>
    <w:rsid w:val="5FE53141"/>
    <w:rsid w:val="602E247F"/>
    <w:rsid w:val="60833F6E"/>
    <w:rsid w:val="608C5F1D"/>
    <w:rsid w:val="608D0FDD"/>
    <w:rsid w:val="60DF6BB3"/>
    <w:rsid w:val="618202C3"/>
    <w:rsid w:val="61F22FDC"/>
    <w:rsid w:val="624F5805"/>
    <w:rsid w:val="626C539A"/>
    <w:rsid w:val="627467C7"/>
    <w:rsid w:val="628D49A6"/>
    <w:rsid w:val="62AD2D14"/>
    <w:rsid w:val="62BC7BD2"/>
    <w:rsid w:val="62D70DED"/>
    <w:rsid w:val="62E96583"/>
    <w:rsid w:val="632232D2"/>
    <w:rsid w:val="639E2B27"/>
    <w:rsid w:val="6461755A"/>
    <w:rsid w:val="64B3317F"/>
    <w:rsid w:val="64CC3C2C"/>
    <w:rsid w:val="64E80A56"/>
    <w:rsid w:val="64EE31F0"/>
    <w:rsid w:val="651320EB"/>
    <w:rsid w:val="651B2EBC"/>
    <w:rsid w:val="65657869"/>
    <w:rsid w:val="656B460F"/>
    <w:rsid w:val="65766776"/>
    <w:rsid w:val="65795599"/>
    <w:rsid w:val="657D1937"/>
    <w:rsid w:val="65B309A1"/>
    <w:rsid w:val="65BF28BE"/>
    <w:rsid w:val="65C44D25"/>
    <w:rsid w:val="65FD19C9"/>
    <w:rsid w:val="661D1DB6"/>
    <w:rsid w:val="66363F76"/>
    <w:rsid w:val="66611CFD"/>
    <w:rsid w:val="667413D9"/>
    <w:rsid w:val="667B4B72"/>
    <w:rsid w:val="66BE234E"/>
    <w:rsid w:val="66CE7961"/>
    <w:rsid w:val="67D675C5"/>
    <w:rsid w:val="67ED6533"/>
    <w:rsid w:val="683A450A"/>
    <w:rsid w:val="683E2475"/>
    <w:rsid w:val="687908B4"/>
    <w:rsid w:val="68A67B1B"/>
    <w:rsid w:val="68CB28FA"/>
    <w:rsid w:val="68D25CA8"/>
    <w:rsid w:val="68E64208"/>
    <w:rsid w:val="68EB1EAD"/>
    <w:rsid w:val="693521D6"/>
    <w:rsid w:val="6937344B"/>
    <w:rsid w:val="69500C3F"/>
    <w:rsid w:val="695057E0"/>
    <w:rsid w:val="69AD2877"/>
    <w:rsid w:val="69D62775"/>
    <w:rsid w:val="69FE165F"/>
    <w:rsid w:val="6A025E59"/>
    <w:rsid w:val="6A304CAD"/>
    <w:rsid w:val="6A370084"/>
    <w:rsid w:val="6A927D78"/>
    <w:rsid w:val="6A9E030B"/>
    <w:rsid w:val="6AB75C1A"/>
    <w:rsid w:val="6B630163"/>
    <w:rsid w:val="6B86590F"/>
    <w:rsid w:val="6B9A3D1E"/>
    <w:rsid w:val="6BCD06C1"/>
    <w:rsid w:val="6BF97BD7"/>
    <w:rsid w:val="6BFD1DCB"/>
    <w:rsid w:val="6C0F0E87"/>
    <w:rsid w:val="6C1258BF"/>
    <w:rsid w:val="6C3A3C37"/>
    <w:rsid w:val="6C5E2FBD"/>
    <w:rsid w:val="6C761022"/>
    <w:rsid w:val="6C7E6832"/>
    <w:rsid w:val="6CED7DB6"/>
    <w:rsid w:val="6CF0207E"/>
    <w:rsid w:val="6CFD419D"/>
    <w:rsid w:val="6D4860D5"/>
    <w:rsid w:val="6D6C711D"/>
    <w:rsid w:val="6DC76EA2"/>
    <w:rsid w:val="6E542041"/>
    <w:rsid w:val="6E8A5F92"/>
    <w:rsid w:val="6EAF0537"/>
    <w:rsid w:val="6EFC0945"/>
    <w:rsid w:val="6F2C5EA4"/>
    <w:rsid w:val="6FAC7006"/>
    <w:rsid w:val="6FB23D44"/>
    <w:rsid w:val="6FD275AE"/>
    <w:rsid w:val="6FDC2144"/>
    <w:rsid w:val="6FF07CAA"/>
    <w:rsid w:val="70083650"/>
    <w:rsid w:val="700D45DE"/>
    <w:rsid w:val="702B54A8"/>
    <w:rsid w:val="70443276"/>
    <w:rsid w:val="7050161D"/>
    <w:rsid w:val="706171BA"/>
    <w:rsid w:val="70757AD5"/>
    <w:rsid w:val="70953CE4"/>
    <w:rsid w:val="709C705C"/>
    <w:rsid w:val="709D5BA5"/>
    <w:rsid w:val="70C6252D"/>
    <w:rsid w:val="70E76C2C"/>
    <w:rsid w:val="71254485"/>
    <w:rsid w:val="71516E6E"/>
    <w:rsid w:val="71A4684F"/>
    <w:rsid w:val="71B248E7"/>
    <w:rsid w:val="71D62530"/>
    <w:rsid w:val="71F07F5C"/>
    <w:rsid w:val="71FB2856"/>
    <w:rsid w:val="72517D73"/>
    <w:rsid w:val="72546A20"/>
    <w:rsid w:val="725E0E75"/>
    <w:rsid w:val="725E573A"/>
    <w:rsid w:val="726A38AC"/>
    <w:rsid w:val="726F5E16"/>
    <w:rsid w:val="72861C67"/>
    <w:rsid w:val="733F0F65"/>
    <w:rsid w:val="737471F2"/>
    <w:rsid w:val="737E737A"/>
    <w:rsid w:val="73833A61"/>
    <w:rsid w:val="7389477A"/>
    <w:rsid w:val="73A94AA8"/>
    <w:rsid w:val="73C05A87"/>
    <w:rsid w:val="73C6418F"/>
    <w:rsid w:val="73DB762D"/>
    <w:rsid w:val="73E16FC6"/>
    <w:rsid w:val="73F62703"/>
    <w:rsid w:val="73FD4C68"/>
    <w:rsid w:val="74115F96"/>
    <w:rsid w:val="742252CE"/>
    <w:rsid w:val="74583D76"/>
    <w:rsid w:val="747A79C8"/>
    <w:rsid w:val="749939D4"/>
    <w:rsid w:val="74B728D0"/>
    <w:rsid w:val="74BB564E"/>
    <w:rsid w:val="74D07AC1"/>
    <w:rsid w:val="74E51F28"/>
    <w:rsid w:val="74FE3A3D"/>
    <w:rsid w:val="755A2958"/>
    <w:rsid w:val="75770591"/>
    <w:rsid w:val="75AF30D5"/>
    <w:rsid w:val="75B5437A"/>
    <w:rsid w:val="75D0479A"/>
    <w:rsid w:val="760049B7"/>
    <w:rsid w:val="762E47AC"/>
    <w:rsid w:val="764D0F3C"/>
    <w:rsid w:val="7651402A"/>
    <w:rsid w:val="76617ADF"/>
    <w:rsid w:val="76632490"/>
    <w:rsid w:val="76793EF9"/>
    <w:rsid w:val="768E3A51"/>
    <w:rsid w:val="76D5332C"/>
    <w:rsid w:val="7702428C"/>
    <w:rsid w:val="77087AAC"/>
    <w:rsid w:val="7714078E"/>
    <w:rsid w:val="774E6CF8"/>
    <w:rsid w:val="77AB35E0"/>
    <w:rsid w:val="786A501D"/>
    <w:rsid w:val="786C50A0"/>
    <w:rsid w:val="78726D4E"/>
    <w:rsid w:val="78A43520"/>
    <w:rsid w:val="78DF240F"/>
    <w:rsid w:val="79163997"/>
    <w:rsid w:val="79411CBC"/>
    <w:rsid w:val="794B0028"/>
    <w:rsid w:val="79A406BE"/>
    <w:rsid w:val="79BF573A"/>
    <w:rsid w:val="79EB2986"/>
    <w:rsid w:val="79F02097"/>
    <w:rsid w:val="7A0C7704"/>
    <w:rsid w:val="7A0F1F4E"/>
    <w:rsid w:val="7A331958"/>
    <w:rsid w:val="7A3720D4"/>
    <w:rsid w:val="7A466359"/>
    <w:rsid w:val="7A5136BB"/>
    <w:rsid w:val="7A983B8E"/>
    <w:rsid w:val="7AA90038"/>
    <w:rsid w:val="7AF66735"/>
    <w:rsid w:val="7B331475"/>
    <w:rsid w:val="7B510BD3"/>
    <w:rsid w:val="7BB77243"/>
    <w:rsid w:val="7BDB6881"/>
    <w:rsid w:val="7C151E6F"/>
    <w:rsid w:val="7C5776E5"/>
    <w:rsid w:val="7C8960B8"/>
    <w:rsid w:val="7CAF5F36"/>
    <w:rsid w:val="7CE331B7"/>
    <w:rsid w:val="7D081D5B"/>
    <w:rsid w:val="7D1975B5"/>
    <w:rsid w:val="7D274509"/>
    <w:rsid w:val="7D6E6CED"/>
    <w:rsid w:val="7D967C95"/>
    <w:rsid w:val="7DAD39C2"/>
    <w:rsid w:val="7DD30164"/>
    <w:rsid w:val="7DE575C7"/>
    <w:rsid w:val="7E0438DB"/>
    <w:rsid w:val="7E2E0EAF"/>
    <w:rsid w:val="7E3D6188"/>
    <w:rsid w:val="7E6E71B3"/>
    <w:rsid w:val="7EAC7455"/>
    <w:rsid w:val="7EBE611A"/>
    <w:rsid w:val="7EC01BF9"/>
    <w:rsid w:val="7F132664"/>
    <w:rsid w:val="7F1C7075"/>
    <w:rsid w:val="7F2123CA"/>
    <w:rsid w:val="7F40415D"/>
    <w:rsid w:val="7F8E6837"/>
    <w:rsid w:val="7FCE6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eastAsia="宋体" w:asciiTheme="minorHAnsi" w:hAnsiTheme="minorHAnsi" w:cstheme="minorBidi"/>
      <w:kern w:val="2"/>
      <w:sz w:val="24"/>
      <w:szCs w:val="24"/>
      <w:lang w:val="en-US" w:eastAsia="zh-CN" w:bidi="ar-SA"/>
    </w:rPr>
  </w:style>
  <w:style w:type="paragraph" w:styleId="7">
    <w:name w:val="heading 1"/>
    <w:basedOn w:val="1"/>
    <w:next w:val="1"/>
    <w:qFormat/>
    <w:uiPriority w:val="0"/>
    <w:pPr>
      <w:keepNext/>
      <w:keepLines/>
      <w:spacing w:before="100" w:after="100" w:line="576" w:lineRule="auto"/>
      <w:ind w:firstLine="0" w:firstLineChars="0"/>
      <w:outlineLvl w:val="0"/>
    </w:pPr>
    <w:rPr>
      <w:b/>
      <w:kern w:val="44"/>
      <w:sz w:val="32"/>
    </w:rPr>
  </w:style>
  <w:style w:type="paragraph" w:styleId="8">
    <w:name w:val="heading 2"/>
    <w:basedOn w:val="1"/>
    <w:next w:val="1"/>
    <w:unhideWhenUsed/>
    <w:qFormat/>
    <w:uiPriority w:val="0"/>
    <w:pPr>
      <w:keepNext/>
      <w:keepLines/>
      <w:spacing w:before="100" w:after="100" w:line="413" w:lineRule="auto"/>
      <w:ind w:firstLine="0" w:firstLineChars="0"/>
      <w:outlineLvl w:val="1"/>
    </w:pPr>
    <w:rPr>
      <w:rFonts w:ascii="Arial" w:hAnsi="Arial"/>
      <w:b/>
      <w:sz w:val="30"/>
    </w:rPr>
  </w:style>
  <w:style w:type="paragraph" w:styleId="9">
    <w:name w:val="heading 3"/>
    <w:basedOn w:val="1"/>
    <w:next w:val="1"/>
    <w:unhideWhenUsed/>
    <w:qFormat/>
    <w:uiPriority w:val="0"/>
    <w:pPr>
      <w:keepNext/>
      <w:keepLines/>
      <w:spacing w:before="60" w:after="60"/>
      <w:ind w:firstLine="0" w:firstLineChars="0"/>
      <w:outlineLvl w:val="2"/>
    </w:pPr>
    <w:rPr>
      <w:b/>
      <w:sz w:val="28"/>
    </w:rPr>
  </w:style>
  <w:style w:type="paragraph" w:styleId="10">
    <w:name w:val="heading 4"/>
    <w:basedOn w:val="1"/>
    <w:next w:val="1"/>
    <w:unhideWhenUsed/>
    <w:qFormat/>
    <w:uiPriority w:val="0"/>
    <w:pPr>
      <w:spacing w:before="40" w:after="40" w:line="372" w:lineRule="auto"/>
      <w:ind w:firstLine="0" w:firstLineChars="0"/>
      <w:outlineLvl w:val="3"/>
    </w:pPr>
    <w:rPr>
      <w:rFonts w:ascii="Times New Roman" w:hAnsi="Times New Roman"/>
      <w:b/>
    </w:rPr>
  </w:style>
  <w:style w:type="paragraph" w:styleId="11">
    <w:name w:val="heading 6"/>
    <w:basedOn w:val="1"/>
    <w:next w:val="1"/>
    <w:qFormat/>
    <w:uiPriority w:val="1"/>
    <w:pPr>
      <w:outlineLvl w:val="5"/>
    </w:pPr>
    <w:rPr>
      <w:rFonts w:ascii="宋体" w:hAnsi="宋体" w:cs="宋体"/>
      <w:b/>
      <w:bCs/>
      <w:lang w:val="zh-CN" w:bidi="zh-CN"/>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ind w:firstLine="420"/>
    </w:pPr>
    <w:rPr>
      <w:rFonts w:ascii="Calibri" w:hAnsi="Calibri"/>
      <w:sz w:val="28"/>
      <w:szCs w:val="22"/>
    </w:rPr>
  </w:style>
  <w:style w:type="paragraph" w:styleId="3">
    <w:name w:val="Body Text Indent"/>
    <w:basedOn w:val="1"/>
    <w:next w:val="4"/>
    <w:qFormat/>
    <w:uiPriority w:val="0"/>
    <w:pPr>
      <w:spacing w:line="560" w:lineRule="exact"/>
    </w:pPr>
    <w:rPr>
      <w:rFonts w:ascii="Arial" w:hAnsi="Arial" w:eastAsia="楷体_GB2312"/>
      <w:snapToGrid w:val="0"/>
      <w:kern w:val="0"/>
    </w:rPr>
  </w:style>
  <w:style w:type="paragraph" w:styleId="4">
    <w:name w:val="Balloon Text"/>
    <w:basedOn w:val="1"/>
    <w:qFormat/>
    <w:uiPriority w:val="0"/>
    <w:rPr>
      <w:kern w:val="0"/>
      <w:sz w:val="18"/>
    </w:rPr>
  </w:style>
  <w:style w:type="paragraph" w:styleId="5">
    <w:name w:val="Body Text"/>
    <w:basedOn w:val="1"/>
    <w:next w:val="6"/>
    <w:qFormat/>
    <w:uiPriority w:val="0"/>
    <w:pPr>
      <w:spacing w:after="120"/>
    </w:pPr>
  </w:style>
  <w:style w:type="paragraph" w:customStyle="1" w:styleId="6">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pPr>
    <w:rPr>
      <w:rFonts w:ascii="Arial Unicode MS" w:hAnsi="Arial Unicode MS" w:eastAsia="Arial Unicode MS" w:cs="Arial Unicode MS"/>
      <w:sz w:val="18"/>
      <w:szCs w:val="18"/>
    </w:rPr>
  </w:style>
  <w:style w:type="paragraph" w:styleId="12">
    <w:name w:val="caption"/>
    <w:basedOn w:val="1"/>
    <w:next w:val="1"/>
    <w:unhideWhenUsed/>
    <w:qFormat/>
    <w:uiPriority w:val="99"/>
    <w:rPr>
      <w:rFonts w:ascii="等线 Light" w:hAnsi="等线 Light" w:eastAsia="黑体"/>
      <w:sz w:val="20"/>
      <w:szCs w:val="20"/>
    </w:rPr>
  </w:style>
  <w:style w:type="paragraph" w:styleId="13">
    <w:name w:val="annotation text"/>
    <w:basedOn w:val="1"/>
    <w:link w:val="48"/>
    <w:qFormat/>
    <w:uiPriority w:val="0"/>
    <w:pPr>
      <w:jc w:val="left"/>
    </w:pPr>
  </w:style>
  <w:style w:type="paragraph" w:styleId="14">
    <w:name w:val="Block Text"/>
    <w:basedOn w:val="1"/>
    <w:qFormat/>
    <w:uiPriority w:val="99"/>
    <w:pPr>
      <w:ind w:left="1440" w:leftChars="700" w:right="700" w:rightChars="700"/>
    </w:pPr>
  </w:style>
  <w:style w:type="paragraph" w:styleId="15">
    <w:name w:val="toc 3"/>
    <w:basedOn w:val="1"/>
    <w:next w:val="1"/>
    <w:qFormat/>
    <w:uiPriority w:val="0"/>
    <w:pPr>
      <w:ind w:left="840" w:leftChars="400"/>
    </w:pPr>
  </w:style>
  <w:style w:type="paragraph" w:styleId="16">
    <w:name w:val="Body Text Indent 2"/>
    <w:basedOn w:val="1"/>
    <w:qFormat/>
    <w:uiPriority w:val="0"/>
    <w:pPr>
      <w:spacing w:line="540" w:lineRule="exact"/>
    </w:pPr>
    <w:rPr>
      <w:sz w:val="21"/>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Body Text 2"/>
    <w:basedOn w:val="1"/>
    <w:qFormat/>
    <w:uiPriority w:val="0"/>
    <w:pPr>
      <w:spacing w:beforeLines="25" w:afterLines="25" w:line="1000" w:lineRule="exact"/>
      <w:jc w:val="center"/>
    </w:pPr>
    <w:rPr>
      <w:rFonts w:ascii="华文中宋" w:hAnsi="华文中宋" w:eastAsia="华文中宋" w:cs="Times New Roman"/>
      <w:kern w:val="2"/>
      <w:sz w:val="72"/>
    </w:rPr>
  </w:style>
  <w:style w:type="paragraph" w:styleId="22">
    <w:name w:val="Normal (Web)"/>
    <w:basedOn w:val="1"/>
    <w:qFormat/>
    <w:uiPriority w:val="0"/>
    <w:pPr>
      <w:spacing w:beforeAutospacing="1" w:afterAutospacing="1"/>
      <w:jc w:val="left"/>
    </w:pPr>
    <w:rPr>
      <w:rFonts w:cs="Times New Roman"/>
      <w:kern w:val="0"/>
    </w:rPr>
  </w:style>
  <w:style w:type="paragraph" w:styleId="23">
    <w:name w:val="annotation subject"/>
    <w:basedOn w:val="13"/>
    <w:next w:val="13"/>
    <w:link w:val="49"/>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FollowedHyperlink"/>
    <w:basedOn w:val="26"/>
    <w:qFormat/>
    <w:uiPriority w:val="0"/>
    <w:rPr>
      <w:color w:val="800080"/>
      <w:u w:val="none"/>
    </w:rPr>
  </w:style>
  <w:style w:type="character" w:styleId="29">
    <w:name w:val="Hyperlink"/>
    <w:basedOn w:val="26"/>
    <w:qFormat/>
    <w:uiPriority w:val="0"/>
    <w:rPr>
      <w:color w:val="0000FF"/>
      <w:u w:val="single"/>
    </w:rPr>
  </w:style>
  <w:style w:type="character" w:styleId="30">
    <w:name w:val="annotation reference"/>
    <w:basedOn w:val="26"/>
    <w:qFormat/>
    <w:uiPriority w:val="0"/>
    <w:rPr>
      <w:sz w:val="21"/>
      <w:szCs w:val="21"/>
    </w:rPr>
  </w:style>
  <w:style w:type="paragraph" w:customStyle="1" w:styleId="31">
    <w:name w:val="正文首行缩进 21"/>
    <w:basedOn w:val="32"/>
    <w:next w:val="5"/>
    <w:qFormat/>
    <w:uiPriority w:val="0"/>
    <w:pPr>
      <w:spacing w:after="120"/>
      <w:ind w:left="420" w:leftChars="200" w:firstLine="420" w:firstLineChars="200"/>
    </w:pPr>
    <w:rPr>
      <w:sz w:val="21"/>
    </w:rPr>
  </w:style>
  <w:style w:type="paragraph" w:customStyle="1" w:styleId="32">
    <w:name w:val="正文文本缩进1"/>
    <w:basedOn w:val="1"/>
    <w:qFormat/>
    <w:uiPriority w:val="0"/>
    <w:pPr>
      <w:ind w:firstLine="538" w:firstLineChars="192"/>
    </w:pPr>
    <w:rPr>
      <w:kern w:val="0"/>
      <w:sz w:val="28"/>
    </w:rPr>
  </w:style>
  <w:style w:type="paragraph" w:customStyle="1" w:styleId="33">
    <w:name w:val="表格内"/>
    <w:basedOn w:val="1"/>
    <w:qFormat/>
    <w:uiPriority w:val="0"/>
    <w:pPr>
      <w:adjustRightInd w:val="0"/>
      <w:snapToGrid w:val="0"/>
      <w:spacing w:line="360" w:lineRule="exact"/>
      <w:jc w:val="center"/>
    </w:pPr>
    <w:rPr>
      <w:rFonts w:eastAsia="Times New Roman"/>
      <w:snapToGrid w:val="0"/>
      <w:kern w:val="0"/>
      <w:sz w:val="21"/>
      <w:szCs w:val="21"/>
      <w:lang w:val="zh-CN"/>
    </w:rPr>
  </w:style>
  <w:style w:type="paragraph" w:customStyle="1" w:styleId="34">
    <w:name w:val="Z正文"/>
    <w:basedOn w:val="1"/>
    <w:next w:val="1"/>
    <w:semiHidden/>
    <w:qFormat/>
    <w:uiPriority w:val="0"/>
    <w:rPr>
      <w:rFonts w:ascii="Calibri" w:hAnsi="Calibri"/>
      <w:szCs w:val="22"/>
    </w:rPr>
  </w:style>
  <w:style w:type="paragraph" w:customStyle="1" w:styleId="35">
    <w:name w:val="表头"/>
    <w:basedOn w:val="1"/>
    <w:link w:val="39"/>
    <w:qFormat/>
    <w:uiPriority w:val="0"/>
    <w:pPr>
      <w:spacing w:before="120" w:after="120" w:line="240" w:lineRule="auto"/>
      <w:ind w:firstLine="0" w:firstLineChars="0"/>
      <w:jc w:val="center"/>
    </w:pPr>
    <w:rPr>
      <w:rFonts w:ascii="Times New Roman" w:hAnsi="Times New Roman"/>
      <w:b/>
      <w:sz w:val="21"/>
    </w:rPr>
  </w:style>
  <w:style w:type="paragraph" w:customStyle="1" w:styleId="36">
    <w:name w:val="表格"/>
    <w:basedOn w:val="1"/>
    <w:qFormat/>
    <w:uiPriority w:val="0"/>
    <w:pPr>
      <w:spacing w:line="240" w:lineRule="auto"/>
      <w:ind w:firstLine="0" w:firstLineChars="0"/>
      <w:jc w:val="center"/>
    </w:pPr>
    <w:rPr>
      <w:sz w:val="21"/>
    </w:rPr>
  </w:style>
  <w:style w:type="paragraph" w:customStyle="1" w:styleId="37">
    <w:name w:val="正文(首行缩进)"/>
    <w:basedOn w:val="1"/>
    <w:next w:val="1"/>
    <w:qFormat/>
    <w:uiPriority w:val="99"/>
    <w:pPr>
      <w:ind w:firstLine="540" w:firstLineChars="225"/>
    </w:pPr>
    <w:rPr>
      <w:rFonts w:ascii="等线" w:hAnsi="等线" w:eastAsia="等线"/>
      <w:snapToGrid w:val="0"/>
      <w:color w:val="000000"/>
    </w:rPr>
  </w:style>
  <w:style w:type="paragraph" w:customStyle="1" w:styleId="38">
    <w:name w:val="1.2"/>
    <w:basedOn w:val="1"/>
    <w:qFormat/>
    <w:uiPriority w:val="0"/>
    <w:pPr>
      <w:adjustRightInd w:val="0"/>
    </w:pPr>
    <w:rPr>
      <w:rFonts w:ascii="黑体" w:hAnsi="黑体" w:eastAsia="黑体"/>
      <w:b/>
    </w:rPr>
  </w:style>
  <w:style w:type="character" w:customStyle="1" w:styleId="39">
    <w:name w:val="表头 Char"/>
    <w:link w:val="35"/>
    <w:qFormat/>
    <w:uiPriority w:val="0"/>
    <w:rPr>
      <w:rFonts w:ascii="Times New Roman" w:hAnsi="Times New Roman"/>
      <w:b/>
      <w:sz w:val="21"/>
    </w:rPr>
  </w:style>
  <w:style w:type="paragraph" w:customStyle="1" w:styleId="40">
    <w:name w:val="正文 楷体"/>
    <w:basedOn w:val="1"/>
    <w:qFormat/>
    <w:uiPriority w:val="0"/>
    <w:pPr>
      <w:spacing w:line="500" w:lineRule="exact"/>
      <w:ind w:firstLine="200"/>
    </w:pPr>
    <w:rPr>
      <w:rFonts w:ascii="楷体_GB2312" w:hAnsi="楷体_GB2312" w:eastAsia="楷体_GB2312" w:cs="宋体"/>
    </w:rPr>
  </w:style>
  <w:style w:type="paragraph" w:customStyle="1" w:styleId="41">
    <w:name w:val="！正文"/>
    <w:basedOn w:val="1"/>
    <w:qFormat/>
    <w:uiPriority w:val="0"/>
    <w:pPr>
      <w:ind w:firstLine="200"/>
    </w:pPr>
    <w:rPr>
      <w:rFonts w:ascii="Calibri" w:hAnsi="Calibri" w:cs="Times New Roman"/>
    </w:rPr>
  </w:style>
  <w:style w:type="paragraph" w:customStyle="1" w:styleId="42">
    <w:name w:val="Table Paragraph"/>
    <w:basedOn w:val="1"/>
    <w:qFormat/>
    <w:uiPriority w:val="1"/>
    <w:pPr>
      <w:spacing w:before="43"/>
      <w:jc w:val="center"/>
    </w:pPr>
    <w:rPr>
      <w:rFonts w:ascii="宋体" w:hAnsi="宋体" w:cs="宋体"/>
      <w:lang w:val="zh-CN" w:bidi="zh-CN"/>
    </w:rPr>
  </w:style>
  <w:style w:type="paragraph" w:styleId="43">
    <w:name w:val="List Paragraph"/>
    <w:basedOn w:val="1"/>
    <w:qFormat/>
    <w:uiPriority w:val="99"/>
    <w:pPr>
      <w:ind w:firstLine="420"/>
    </w:pPr>
  </w:style>
  <w:style w:type="paragraph" w:customStyle="1" w:styleId="44">
    <w:name w:val="样式5"/>
    <w:basedOn w:val="1"/>
    <w:qFormat/>
    <w:uiPriority w:val="0"/>
    <w:pPr>
      <w:jc w:val="center"/>
    </w:pPr>
    <w:rPr>
      <w:b/>
      <w:kern w:val="0"/>
      <w:sz w:val="20"/>
    </w:rPr>
  </w:style>
  <w:style w:type="paragraph" w:customStyle="1" w:styleId="45">
    <w:name w:val="表格表头"/>
    <w:basedOn w:val="1"/>
    <w:qFormat/>
    <w:uiPriority w:val="0"/>
    <w:pPr>
      <w:spacing w:beforeLines="50"/>
      <w:jc w:val="center"/>
    </w:pPr>
    <w:rPr>
      <w:b/>
      <w:kern w:val="0"/>
      <w:szCs w:val="21"/>
    </w:rPr>
  </w:style>
  <w:style w:type="paragraph" w:styleId="46">
    <w:name w:val="No Spacing"/>
    <w:qFormat/>
    <w:uiPriority w:val="1"/>
    <w:pPr>
      <w:jc w:val="center"/>
    </w:pPr>
    <w:rPr>
      <w:rFonts w:ascii="Arial" w:hAnsi="Arial" w:eastAsia="宋体" w:cs="Times New Roman"/>
      <w:sz w:val="21"/>
      <w:szCs w:val="22"/>
      <w:lang w:val="en-US" w:eastAsia="en-US" w:bidi="en-US"/>
    </w:rPr>
  </w:style>
  <w:style w:type="paragraph" w:customStyle="1" w:styleId="47">
    <w:name w:val="农人正文"/>
    <w:basedOn w:val="1"/>
    <w:qFormat/>
    <w:uiPriority w:val="0"/>
    <w:pPr>
      <w:topLinePunct/>
      <w:adjustRightInd w:val="0"/>
      <w:snapToGrid w:val="0"/>
      <w:textAlignment w:val="baseline"/>
    </w:pPr>
    <w:rPr>
      <w:rFonts w:hAnsi="宋体"/>
      <w:kern w:val="0"/>
    </w:rPr>
  </w:style>
  <w:style w:type="character" w:customStyle="1" w:styleId="48">
    <w:name w:val="批注文字 Char"/>
    <w:basedOn w:val="26"/>
    <w:link w:val="13"/>
    <w:qFormat/>
    <w:uiPriority w:val="0"/>
    <w:rPr>
      <w:rFonts w:asciiTheme="minorHAnsi" w:hAnsiTheme="minorHAnsi" w:cstheme="minorBidi"/>
      <w:kern w:val="2"/>
      <w:sz w:val="24"/>
      <w:szCs w:val="24"/>
    </w:rPr>
  </w:style>
  <w:style w:type="character" w:customStyle="1" w:styleId="49">
    <w:name w:val="批注主题 Char"/>
    <w:basedOn w:val="48"/>
    <w:link w:val="23"/>
    <w:qFormat/>
    <w:uiPriority w:val="0"/>
    <w:rPr>
      <w:rFonts w:asciiTheme="minorHAnsi" w:hAnsiTheme="minorHAnsi"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jpe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wmf"/><Relationship Id="rId27" Type="http://schemas.openxmlformats.org/officeDocument/2006/relationships/oleObject" Target="embeddings/oleObject9.bin"/><Relationship Id="rId26" Type="http://schemas.openxmlformats.org/officeDocument/2006/relationships/oleObject" Target="embeddings/oleObject8.bin"/><Relationship Id="rId25" Type="http://schemas.openxmlformats.org/officeDocument/2006/relationships/oleObject" Target="embeddings/oleObject7.bin"/><Relationship Id="rId24" Type="http://schemas.openxmlformats.org/officeDocument/2006/relationships/image" Target="media/image9.wmf"/><Relationship Id="rId23" Type="http://schemas.openxmlformats.org/officeDocument/2006/relationships/oleObject" Target="embeddings/oleObject6.bin"/><Relationship Id="rId22" Type="http://schemas.openxmlformats.org/officeDocument/2006/relationships/image" Target="media/image8.wmf"/><Relationship Id="rId21" Type="http://schemas.openxmlformats.org/officeDocument/2006/relationships/oleObject" Target="embeddings/oleObject5.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6.wmf"/><Relationship Id="rId17" Type="http://schemas.openxmlformats.org/officeDocument/2006/relationships/oleObject" Target="embeddings/oleObject3.bin"/><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3B8FDB-4720-4221-939A-BF8D5F47E435}">
  <ds:schemaRefs/>
</ds:datastoreItem>
</file>

<file path=docProps/app.xml><?xml version="1.0" encoding="utf-8"?>
<Properties xmlns="http://schemas.openxmlformats.org/officeDocument/2006/extended-properties" xmlns:vt="http://schemas.openxmlformats.org/officeDocument/2006/docPropsVTypes">
  <Template>Normal</Template>
  <Pages>140</Pages>
  <Words>82161</Words>
  <Characters>94168</Characters>
  <Lines>715</Lines>
  <Paragraphs>201</Paragraphs>
  <TotalTime>40</TotalTime>
  <ScaleCrop>false</ScaleCrop>
  <LinksUpToDate>false</LinksUpToDate>
  <CharactersWithSpaces>95049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欧阳雨艾</cp:lastModifiedBy>
  <cp:lastPrinted>2020-06-10T05:43:00Z</cp:lastPrinted>
  <dcterms:modified xsi:type="dcterms:W3CDTF">2021-10-30T13:31:10Z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50745269E6A04186BB0123B04375D5AB</vt:lpwstr>
  </property>
</Properties>
</file>