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jc w:val="center"/>
        <w:rPr>
          <w:rFonts w:ascii="Times New Roman" w:hAnsi="Times New Roman" w:cs="Times New Roman"/>
          <w:color w:val="000000" w:themeColor="text1"/>
          <w:szCs w:val="32"/>
          <w14:textFill>
            <w14:solidFill>
              <w14:schemeClr w14:val="tx1"/>
            </w14:solidFill>
          </w14:textFill>
        </w:rPr>
      </w:pPr>
      <w:bookmarkStart w:id="0" w:name="_Toc8993"/>
      <w:bookmarkStart w:id="1" w:name="_Toc24321"/>
      <w:bookmarkStart w:id="2" w:name="_Toc31169"/>
      <w:bookmarkStart w:id="3" w:name="_Toc29648"/>
      <w:bookmarkStart w:id="4" w:name="_Toc32135"/>
      <w:bookmarkStart w:id="5" w:name="_Toc29523"/>
      <w:bookmarkStart w:id="6" w:name="_Toc23024"/>
      <w:bookmarkStart w:id="7" w:name="_Toc22247"/>
      <w:bookmarkStart w:id="8" w:name="_Toc2336"/>
      <w:r>
        <w:rPr>
          <w:rFonts w:ascii="Times New Roman" w:hAnsi="Times New Roman" w:cs="Times New Roman"/>
          <w:color w:val="000000" w:themeColor="text1"/>
          <w:szCs w:val="32"/>
          <w14:textFill>
            <w14:solidFill>
              <w14:schemeClr w14:val="tx1"/>
            </w14:solidFill>
          </w14:textFill>
        </w:rPr>
        <w:t>目  录</w:t>
      </w:r>
      <w:bookmarkEnd w:id="0"/>
      <w:bookmarkEnd w:id="1"/>
      <w:bookmarkEnd w:id="2"/>
      <w:bookmarkEnd w:id="3"/>
      <w:bookmarkEnd w:id="4"/>
      <w:bookmarkEnd w:id="5"/>
      <w:bookmarkEnd w:id="6"/>
      <w:bookmarkEnd w:id="7"/>
      <w:bookmarkEnd w:id="8"/>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TOC \o "1-2" \h \u </w:instrText>
      </w:r>
      <w:r>
        <w:rPr>
          <w:rFonts w:ascii="Times New Roman" w:hAnsi="Times New Roman" w:cs="Times New Roman"/>
          <w:color w:val="000000" w:themeColor="text1"/>
          <w14:textFill>
            <w14:solidFill>
              <w14:schemeClr w14:val="tx1"/>
            </w14:solidFill>
          </w14:textFill>
        </w:rPr>
        <w:fldChar w:fldCharType="separate"/>
      </w:r>
      <w:r>
        <w:fldChar w:fldCharType="begin"/>
      </w:r>
      <w:r>
        <w:instrText xml:space="preserve"> HYPERLINK \l "_Toc5194" </w:instrText>
      </w:r>
      <w:r>
        <w:fldChar w:fldCharType="separate"/>
      </w:r>
      <w:r>
        <w:rPr>
          <w:rFonts w:ascii="Times New Roman" w:hAnsi="Times New Roman" w:cs="Times New Roman"/>
          <w:b/>
          <w:bCs/>
          <w:color w:val="000000" w:themeColor="text1"/>
          <w14:textFill>
            <w14:solidFill>
              <w14:schemeClr w14:val="tx1"/>
            </w14:solidFill>
          </w14:textFill>
        </w:rPr>
        <w:t>1 概述</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_Toc5194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1</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"_Toc7384" </w:instrText>
      </w:r>
      <w:r>
        <w:fldChar w:fldCharType="separate"/>
      </w:r>
      <w:r>
        <w:rPr>
          <w:rFonts w:ascii="Times New Roman" w:hAnsi="Times New Roman" w:cs="Times New Roman"/>
          <w:color w:val="000000" w:themeColor="text1"/>
          <w:kern w:val="0"/>
          <w14:textFill>
            <w14:solidFill>
              <w14:schemeClr w14:val="tx1"/>
            </w14:solidFill>
          </w14:textFill>
        </w:rPr>
        <w:t>1.1 背景</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_Toc7384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"_Toc2176" </w:instrText>
      </w:r>
      <w:r>
        <w:fldChar w:fldCharType="separate"/>
      </w:r>
      <w:r>
        <w:rPr>
          <w:rFonts w:ascii="Times New Roman" w:hAnsi="Times New Roman" w:cs="Times New Roman"/>
          <w:color w:val="000000" w:themeColor="text1"/>
          <w:kern w:val="0"/>
          <w14:textFill>
            <w14:solidFill>
              <w14:schemeClr w14:val="tx1"/>
            </w14:solidFill>
          </w14:textFill>
        </w:rPr>
        <w:t>1.2 环境影响评价工作过程</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_Toc2176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"_Toc27459" </w:instrText>
      </w:r>
      <w:r>
        <w:fldChar w:fldCharType="separate"/>
      </w:r>
      <w:r>
        <w:rPr>
          <w:rFonts w:ascii="Times New Roman" w:hAnsi="Times New Roman" w:cs="Times New Roman"/>
          <w:color w:val="000000" w:themeColor="text1"/>
          <w:kern w:val="0"/>
          <w14:textFill>
            <w14:solidFill>
              <w14:schemeClr w14:val="tx1"/>
            </w14:solidFill>
          </w14:textFill>
        </w:rPr>
        <w:t>1.3 分析判定相关情况</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_Toc27459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"_Toc28856" </w:instrText>
      </w:r>
      <w:r>
        <w:fldChar w:fldCharType="separate"/>
      </w:r>
      <w:r>
        <w:rPr>
          <w:rFonts w:ascii="Times New Roman" w:hAnsi="Times New Roman" w:cs="Times New Roman"/>
          <w:color w:val="000000" w:themeColor="text1"/>
          <w:kern w:val="0"/>
          <w14:textFill>
            <w14:solidFill>
              <w14:schemeClr w14:val="tx1"/>
            </w14:solidFill>
          </w14:textFill>
        </w:rPr>
        <w:t>1.4 关注的主要环境问题</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_Toc28856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"_Toc14924" </w:instrText>
      </w:r>
      <w:r>
        <w:fldChar w:fldCharType="separate"/>
      </w:r>
      <w:r>
        <w:rPr>
          <w:rFonts w:ascii="Times New Roman" w:hAnsi="Times New Roman" w:cs="Times New Roman"/>
          <w:color w:val="000000" w:themeColor="text1"/>
          <w:kern w:val="0"/>
          <w14:textFill>
            <w14:solidFill>
              <w14:schemeClr w14:val="tx1"/>
            </w14:solidFill>
          </w14:textFill>
        </w:rPr>
        <w:t>1.5 环境影响评价主要结论</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_Toc14924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fldChar w:fldCharType="begin"/>
      </w:r>
      <w:r>
        <w:instrText xml:space="preserve"> HYPERLINK \l "_Toc26150" </w:instrText>
      </w:r>
      <w:r>
        <w:fldChar w:fldCharType="separate"/>
      </w:r>
      <w:r>
        <w:rPr>
          <w:rFonts w:ascii="Times New Roman" w:hAnsi="Times New Roman" w:cs="Times New Roman"/>
          <w:b/>
          <w:bCs/>
          <w:color w:val="000000" w:themeColor="text1"/>
          <w14:textFill>
            <w14:solidFill>
              <w14:schemeClr w14:val="tx1"/>
            </w14:solidFill>
          </w14:textFill>
        </w:rPr>
        <w:t>2 总则</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_Toc26150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8</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"_Toc17794" </w:instrText>
      </w:r>
      <w:r>
        <w:fldChar w:fldCharType="separate"/>
      </w:r>
      <w:r>
        <w:rPr>
          <w:rFonts w:ascii="Times New Roman" w:hAnsi="Times New Roman" w:cs="Times New Roman"/>
          <w:color w:val="000000" w:themeColor="text1"/>
          <w:kern w:val="0"/>
          <w14:textFill>
            <w14:solidFill>
              <w14:schemeClr w14:val="tx1"/>
            </w14:solidFill>
          </w14:textFill>
        </w:rPr>
        <w:t>2.1 编制依据</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_Toc17794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"_Toc18593" </w:instrText>
      </w:r>
      <w:r>
        <w:fldChar w:fldCharType="separate"/>
      </w:r>
      <w:r>
        <w:rPr>
          <w:rFonts w:ascii="Times New Roman" w:hAnsi="Times New Roman" w:cs="Times New Roman"/>
          <w:color w:val="000000" w:themeColor="text1"/>
          <w:kern w:val="0"/>
          <w14:textFill>
            <w14:solidFill>
              <w14:schemeClr w14:val="tx1"/>
            </w14:solidFill>
          </w14:textFill>
        </w:rPr>
        <w:t>2.2 评价目的与导则</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_Toc18593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"_Toc15838" </w:instrText>
      </w:r>
      <w:r>
        <w:fldChar w:fldCharType="separate"/>
      </w:r>
      <w:r>
        <w:rPr>
          <w:rFonts w:ascii="Times New Roman" w:hAnsi="Times New Roman" w:cs="Times New Roman"/>
          <w:color w:val="000000" w:themeColor="text1"/>
          <w:kern w:val="0"/>
          <w14:textFill>
            <w14:solidFill>
              <w14:schemeClr w14:val="tx1"/>
            </w14:solidFill>
          </w14:textFill>
        </w:rPr>
        <w:t xml:space="preserve">2.3 </w:t>
      </w:r>
      <w:r>
        <w:rPr>
          <w:rFonts w:ascii="Times New Roman" w:hAnsi="Times New Roman" w:cs="Times New Roman"/>
          <w:color w:val="000000" w:themeColor="text1"/>
          <w14:textFill>
            <w14:solidFill>
              <w14:schemeClr w14:val="tx1"/>
            </w14:solidFill>
          </w14:textFill>
        </w:rPr>
        <w:t>工程环境影响因素分析</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_Toc15838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12</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"_Toc31696" </w:instrText>
      </w:r>
      <w:r>
        <w:fldChar w:fldCharType="separate"/>
      </w:r>
      <w:r>
        <w:rPr>
          <w:rFonts w:ascii="Times New Roman" w:hAnsi="Times New Roman" w:cs="Times New Roman"/>
          <w:color w:val="000000" w:themeColor="text1"/>
          <w:kern w:val="0"/>
          <w14:textFill>
            <w14:solidFill>
              <w14:schemeClr w14:val="tx1"/>
            </w14:solidFill>
          </w14:textFill>
        </w:rPr>
        <w:t>2.4 评价因子与标准</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_Toc31696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13</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"_Toc23727" </w:instrText>
      </w:r>
      <w:r>
        <w:fldChar w:fldCharType="separate"/>
      </w:r>
      <w:r>
        <w:rPr>
          <w:rFonts w:ascii="Times New Roman" w:hAnsi="Times New Roman" w:cs="Times New Roman"/>
          <w:color w:val="000000" w:themeColor="text1"/>
          <w:kern w:val="0"/>
          <w14:textFill>
            <w14:solidFill>
              <w14:schemeClr w14:val="tx1"/>
            </w14:solidFill>
          </w14:textFill>
        </w:rPr>
        <w:t>2.5 评价工作等级和评价范围</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_Toc23727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19</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"_Toc20196" </w:instrText>
      </w:r>
      <w:r>
        <w:fldChar w:fldCharType="separate"/>
      </w:r>
      <w:r>
        <w:rPr>
          <w:rFonts w:ascii="Times New Roman" w:hAnsi="Times New Roman" w:cs="Times New Roman"/>
          <w:color w:val="000000" w:themeColor="text1"/>
          <w:kern w:val="0"/>
          <w14:textFill>
            <w14:solidFill>
              <w14:schemeClr w14:val="tx1"/>
            </w14:solidFill>
          </w14:textFill>
        </w:rPr>
        <w:t>2.6 环境功能区划</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_Toc20196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26</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"_Toc19197" </w:instrText>
      </w:r>
      <w:r>
        <w:fldChar w:fldCharType="separate"/>
      </w:r>
      <w:r>
        <w:rPr>
          <w:rFonts w:ascii="Times New Roman" w:hAnsi="Times New Roman" w:cs="Times New Roman"/>
          <w:color w:val="000000" w:themeColor="text1"/>
          <w:kern w:val="0"/>
          <w14:textFill>
            <w14:solidFill>
              <w14:schemeClr w14:val="tx1"/>
            </w14:solidFill>
          </w14:textFill>
        </w:rPr>
        <w:t>2.7 环境保护目标</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_Toc19197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27</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fldChar w:fldCharType="begin"/>
      </w:r>
      <w:r>
        <w:instrText xml:space="preserve"> HYPERLINK \l "_Toc27385" </w:instrText>
      </w:r>
      <w:r>
        <w:fldChar w:fldCharType="separate"/>
      </w:r>
      <w:r>
        <w:rPr>
          <w:rFonts w:ascii="Times New Roman" w:hAnsi="Times New Roman" w:cs="Times New Roman"/>
          <w:b/>
          <w:bCs/>
          <w:color w:val="000000" w:themeColor="text1"/>
          <w14:textFill>
            <w14:solidFill>
              <w14:schemeClr w14:val="tx1"/>
            </w14:solidFill>
          </w14:textFill>
        </w:rPr>
        <w:t>3 建设项目工程分析</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_Toc27385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29</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"_Toc26846" </w:instrText>
      </w:r>
      <w:r>
        <w:fldChar w:fldCharType="separate"/>
      </w:r>
      <w:r>
        <w:rPr>
          <w:rFonts w:ascii="Times New Roman" w:hAnsi="Times New Roman" w:cs="Times New Roman"/>
          <w:color w:val="000000" w:themeColor="text1"/>
          <w:kern w:val="0"/>
          <w14:textFill>
            <w14:solidFill>
              <w14:schemeClr w14:val="tx1"/>
            </w14:solidFill>
          </w14:textFill>
        </w:rPr>
        <w:t>3.1 建设项目概况</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_Toc26846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29</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"_Toc17807" </w:instrText>
      </w:r>
      <w:r>
        <w:fldChar w:fldCharType="separate"/>
      </w:r>
      <w:r>
        <w:rPr>
          <w:rFonts w:ascii="Times New Roman" w:hAnsi="Times New Roman" w:cs="Times New Roman"/>
          <w:color w:val="000000" w:themeColor="text1"/>
          <w:kern w:val="0"/>
          <w14:textFill>
            <w14:solidFill>
              <w14:schemeClr w14:val="tx1"/>
            </w14:solidFill>
          </w14:textFill>
        </w:rPr>
        <w:t>3.2 公用工程</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_Toc17807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32</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"_Toc7314" </w:instrText>
      </w:r>
      <w:r>
        <w:fldChar w:fldCharType="separate"/>
      </w:r>
      <w:r>
        <w:rPr>
          <w:rFonts w:ascii="Times New Roman" w:hAnsi="Times New Roman" w:cs="Times New Roman"/>
          <w:color w:val="000000" w:themeColor="text1"/>
          <w:kern w:val="0"/>
          <w14:textFill>
            <w14:solidFill>
              <w14:schemeClr w14:val="tx1"/>
            </w14:solidFill>
          </w14:textFill>
        </w:rPr>
        <w:t>3.3 总平面布置</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_Toc7314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35</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"_Toc16313" </w:instrText>
      </w:r>
      <w:r>
        <w:fldChar w:fldCharType="separate"/>
      </w:r>
      <w:r>
        <w:rPr>
          <w:rFonts w:ascii="Times New Roman" w:hAnsi="Times New Roman" w:cs="Times New Roman"/>
          <w:color w:val="000000" w:themeColor="text1"/>
          <w:kern w:val="0"/>
          <w14:textFill>
            <w14:solidFill>
              <w14:schemeClr w14:val="tx1"/>
            </w14:solidFill>
          </w14:textFill>
        </w:rPr>
        <w:t xml:space="preserve">3.4 </w:t>
      </w:r>
      <w:r>
        <w:rPr>
          <w:rFonts w:ascii="Times New Roman" w:hAnsi="Times New Roman" w:cs="Times New Roman"/>
          <w:color w:val="000000" w:themeColor="text1"/>
          <w14:textFill>
            <w14:solidFill>
              <w14:schemeClr w14:val="tx1"/>
            </w14:solidFill>
          </w14:textFill>
        </w:rPr>
        <w:t>生产工艺流程及产排污环节</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_Toc16313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36</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"_Toc20321" </w:instrText>
      </w:r>
      <w:r>
        <w:fldChar w:fldCharType="separate"/>
      </w:r>
      <w:r>
        <w:rPr>
          <w:rFonts w:ascii="Times New Roman" w:hAnsi="Times New Roman" w:cs="Times New Roman"/>
          <w:color w:val="000000" w:themeColor="text1"/>
          <w:kern w:val="0"/>
          <w14:textFill>
            <w14:solidFill>
              <w14:schemeClr w14:val="tx1"/>
            </w14:solidFill>
          </w14:textFill>
        </w:rPr>
        <w:t>3.5 污染源分析</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_Toc20321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50</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"_Toc8191" </w:instrText>
      </w:r>
      <w:r>
        <w:fldChar w:fldCharType="separate"/>
      </w:r>
      <w:r>
        <w:rPr>
          <w:rFonts w:ascii="Times New Roman" w:hAnsi="Times New Roman" w:cs="Times New Roman"/>
          <w:color w:val="000000" w:themeColor="text1"/>
          <w:kern w:val="0"/>
          <w14:textFill>
            <w14:solidFill>
              <w14:schemeClr w14:val="tx1"/>
            </w14:solidFill>
          </w14:textFill>
        </w:rPr>
        <w:t>3.6 清洁生产分析</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_Toc8191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60</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"_Toc11923" </w:instrText>
      </w:r>
      <w:r>
        <w:fldChar w:fldCharType="separate"/>
      </w:r>
      <w:r>
        <w:rPr>
          <w:rFonts w:ascii="Times New Roman" w:hAnsi="Times New Roman" w:cs="Times New Roman"/>
          <w:color w:val="000000" w:themeColor="text1"/>
          <w:kern w:val="0"/>
          <w14:textFill>
            <w14:solidFill>
              <w14:schemeClr w14:val="tx1"/>
            </w14:solidFill>
          </w14:textFill>
        </w:rPr>
        <w:t>3.7 项目建设可行性分析</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_Toc11923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64</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"_Toc17407" </w:instrText>
      </w:r>
      <w:r>
        <w:fldChar w:fldCharType="separate"/>
      </w:r>
      <w:r>
        <w:rPr>
          <w:rFonts w:ascii="Times New Roman" w:hAnsi="Times New Roman" w:cs="Times New Roman"/>
          <w:color w:val="000000" w:themeColor="text1"/>
          <w:kern w:val="0"/>
          <w14:textFill>
            <w14:solidFill>
              <w14:schemeClr w14:val="tx1"/>
            </w14:solidFill>
          </w14:textFill>
        </w:rPr>
        <w:t>3.8 总量控制</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_Toc17407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72</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fldChar w:fldCharType="begin"/>
      </w:r>
      <w:r>
        <w:instrText xml:space="preserve"> HYPERLINK \l "_Toc14583" </w:instrText>
      </w:r>
      <w:r>
        <w:fldChar w:fldCharType="separate"/>
      </w:r>
      <w:r>
        <w:rPr>
          <w:rFonts w:ascii="Times New Roman" w:hAnsi="Times New Roman" w:cs="Times New Roman"/>
          <w:b/>
          <w:bCs/>
          <w:color w:val="000000" w:themeColor="text1"/>
          <w14:textFill>
            <w14:solidFill>
              <w14:schemeClr w14:val="tx1"/>
            </w14:solidFill>
          </w14:textFill>
        </w:rPr>
        <w:t>4 环境现状调查与评价</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_Toc14583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74</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"_Toc4169" </w:instrText>
      </w:r>
      <w:r>
        <w:fldChar w:fldCharType="separate"/>
      </w:r>
      <w:r>
        <w:rPr>
          <w:rFonts w:ascii="Times New Roman" w:hAnsi="Times New Roman" w:cs="Times New Roman"/>
          <w:color w:val="000000" w:themeColor="text1"/>
          <w14:textFill>
            <w14:solidFill>
              <w14:schemeClr w14:val="tx1"/>
            </w14:solidFill>
          </w14:textFill>
        </w:rPr>
        <w:t>4.1 自然环境现状调查</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_Toc4169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74</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"_Toc9684" </w:instrText>
      </w:r>
      <w:r>
        <w:fldChar w:fldCharType="separate"/>
      </w:r>
      <w:r>
        <w:rPr>
          <w:rFonts w:ascii="Times New Roman" w:hAnsi="Times New Roman" w:cs="Times New Roman"/>
          <w:color w:val="000000" w:themeColor="text1"/>
          <w14:textFill>
            <w14:solidFill>
              <w14:schemeClr w14:val="tx1"/>
            </w14:solidFill>
          </w14:textFill>
        </w:rPr>
        <w:t>4.2 昌吉国家农业科技园区概况</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_Toc9684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77</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"_Toc6170" </w:instrText>
      </w:r>
      <w:r>
        <w:fldChar w:fldCharType="separate"/>
      </w:r>
      <w:r>
        <w:rPr>
          <w:rFonts w:ascii="Times New Roman" w:hAnsi="Times New Roman" w:cs="Times New Roman"/>
          <w:color w:val="000000" w:themeColor="text1"/>
          <w14:textFill>
            <w14:solidFill>
              <w14:schemeClr w14:val="tx1"/>
            </w14:solidFill>
          </w14:textFill>
        </w:rPr>
        <w:t>4.3 环境质量现状调查与评价</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_Toc6170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78</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fldChar w:fldCharType="begin"/>
      </w:r>
      <w:r>
        <w:instrText xml:space="preserve"> HYPERLINK \l "_Toc22592" </w:instrText>
      </w:r>
      <w:r>
        <w:fldChar w:fldCharType="separate"/>
      </w:r>
      <w:r>
        <w:rPr>
          <w:rFonts w:ascii="Times New Roman" w:hAnsi="Times New Roman" w:cs="Times New Roman"/>
          <w:b/>
          <w:bCs/>
          <w:color w:val="000000" w:themeColor="text1"/>
          <w14:textFill>
            <w14:solidFill>
              <w14:schemeClr w14:val="tx1"/>
            </w14:solidFill>
          </w14:textFill>
        </w:rPr>
        <w:t>5 环境影响预测与评价</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_Toc22592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91</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"_Toc985" </w:instrText>
      </w:r>
      <w:r>
        <w:fldChar w:fldCharType="separate"/>
      </w:r>
      <w:r>
        <w:rPr>
          <w:rFonts w:ascii="Times New Roman" w:hAnsi="Times New Roman" w:cs="Times New Roman"/>
          <w:color w:val="000000" w:themeColor="text1"/>
          <w14:textFill>
            <w14:solidFill>
              <w14:schemeClr w14:val="tx1"/>
            </w14:solidFill>
          </w14:textFill>
        </w:rPr>
        <w:t>5.1 施工期环境影响分析</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_Toc985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91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"_Toc27169" </w:instrText>
      </w:r>
      <w:r>
        <w:fldChar w:fldCharType="separate"/>
      </w:r>
      <w:r>
        <w:rPr>
          <w:rFonts w:ascii="Times New Roman" w:hAnsi="Times New Roman" w:cs="Times New Roman"/>
          <w:color w:val="000000" w:themeColor="text1"/>
          <w14:textFill>
            <w14:solidFill>
              <w14:schemeClr w14:val="tx1"/>
            </w14:solidFill>
          </w14:textFill>
        </w:rPr>
        <w:t>5.2 运营期环境影响分析与评价</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_Toc27169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96</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"_Toc13439" </w:instrText>
      </w:r>
      <w:r>
        <w:fldChar w:fldCharType="separate"/>
      </w:r>
      <w:r>
        <w:rPr>
          <w:rFonts w:ascii="Times New Roman" w:hAnsi="Times New Roman" w:cs="Times New Roman"/>
          <w:color w:val="000000" w:themeColor="text1"/>
          <w14:textFill>
            <w14:solidFill>
              <w14:schemeClr w14:val="tx1"/>
            </w14:solidFill>
          </w14:textFill>
        </w:rPr>
        <w:t>5.3环境风险评价</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_Toc13439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118</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fldChar w:fldCharType="begin"/>
      </w:r>
      <w:r>
        <w:instrText xml:space="preserve"> HYPERLINK \l "_Toc29812" </w:instrText>
      </w:r>
      <w:r>
        <w:fldChar w:fldCharType="separate"/>
      </w:r>
      <w:r>
        <w:rPr>
          <w:rFonts w:ascii="Times New Roman" w:hAnsi="Times New Roman" w:cs="Times New Roman"/>
          <w:b/>
          <w:bCs/>
          <w:color w:val="000000" w:themeColor="text1"/>
          <w14:textFill>
            <w14:solidFill>
              <w14:schemeClr w14:val="tx1"/>
            </w14:solidFill>
          </w14:textFill>
        </w:rPr>
        <w:t>6 环境保护措施及可行性论证</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_Toc29812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130</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"_Toc21337" </w:instrText>
      </w:r>
      <w:r>
        <w:fldChar w:fldCharType="separate"/>
      </w:r>
      <w:r>
        <w:rPr>
          <w:rFonts w:ascii="Times New Roman" w:hAnsi="Times New Roman" w:cs="Times New Roman"/>
          <w:color w:val="000000" w:themeColor="text1"/>
          <w14:textFill>
            <w14:solidFill>
              <w14:schemeClr w14:val="tx1"/>
            </w14:solidFill>
          </w14:textFill>
        </w:rPr>
        <w:t>6.1 施工期环境保护措施</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_Toc21337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130</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"_Toc9867" </w:instrText>
      </w:r>
      <w:r>
        <w:fldChar w:fldCharType="separate"/>
      </w:r>
      <w:r>
        <w:rPr>
          <w:rFonts w:ascii="Times New Roman" w:hAnsi="Times New Roman" w:cs="Times New Roman"/>
          <w:color w:val="000000" w:themeColor="text1"/>
          <w14:textFill>
            <w14:solidFill>
              <w14:schemeClr w14:val="tx1"/>
            </w14:solidFill>
          </w14:textFill>
        </w:rPr>
        <w:t>6.2 运营期环境保护措施</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_Toc9867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132</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"_Toc14534" </w:instrText>
      </w:r>
      <w:r>
        <w:fldChar w:fldCharType="separate"/>
      </w:r>
      <w:r>
        <w:rPr>
          <w:rFonts w:ascii="Times New Roman" w:hAnsi="Times New Roman" w:cs="Times New Roman"/>
          <w:color w:val="000000" w:themeColor="text1"/>
          <w14:textFill>
            <w14:solidFill>
              <w14:schemeClr w14:val="tx1"/>
            </w14:solidFill>
          </w14:textFill>
        </w:rPr>
        <w:t>6.3 环境风险防范措施</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_Toc14534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144</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fldChar w:fldCharType="begin"/>
      </w:r>
      <w:r>
        <w:instrText xml:space="preserve"> HYPERLINK \l "_Toc3157" </w:instrText>
      </w:r>
      <w:r>
        <w:fldChar w:fldCharType="separate"/>
      </w:r>
      <w:r>
        <w:rPr>
          <w:rFonts w:ascii="Times New Roman" w:hAnsi="Times New Roman" w:cs="Times New Roman"/>
          <w:b/>
          <w:bCs/>
          <w:color w:val="000000" w:themeColor="text1"/>
          <w14:textFill>
            <w14:solidFill>
              <w14:schemeClr w14:val="tx1"/>
            </w14:solidFill>
          </w14:textFill>
        </w:rPr>
        <w:t>7 环境影响经济损益分析</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_Toc3157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148</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"_Toc10709" </w:instrText>
      </w:r>
      <w:r>
        <w:fldChar w:fldCharType="separate"/>
      </w:r>
      <w:r>
        <w:rPr>
          <w:rFonts w:ascii="Times New Roman" w:hAnsi="Times New Roman" w:cs="Times New Roman"/>
          <w:color w:val="000000" w:themeColor="text1"/>
          <w14:textFill>
            <w14:solidFill>
              <w14:schemeClr w14:val="tx1"/>
            </w14:solidFill>
          </w14:textFill>
        </w:rPr>
        <w:t>7.1 环保投资估算</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_Toc10709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148</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"_Toc9215" </w:instrText>
      </w:r>
      <w:r>
        <w:fldChar w:fldCharType="separate"/>
      </w:r>
      <w:r>
        <w:rPr>
          <w:rFonts w:ascii="Times New Roman" w:hAnsi="Times New Roman" w:cs="Times New Roman"/>
          <w:color w:val="000000" w:themeColor="text1"/>
          <w14:textFill>
            <w14:solidFill>
              <w14:schemeClr w14:val="tx1"/>
            </w14:solidFill>
          </w14:textFill>
        </w:rPr>
        <w:t>7.2 效益分析</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_Toc9215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149</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fldChar w:fldCharType="begin"/>
      </w:r>
      <w:r>
        <w:instrText xml:space="preserve"> HYPERLINK \l "_Toc11253" </w:instrText>
      </w:r>
      <w:r>
        <w:fldChar w:fldCharType="separate"/>
      </w:r>
      <w:r>
        <w:rPr>
          <w:rFonts w:ascii="Times New Roman" w:hAnsi="Times New Roman" w:cs="Times New Roman"/>
          <w:b/>
          <w:bCs/>
          <w:color w:val="000000" w:themeColor="text1"/>
          <w14:textFill>
            <w14:solidFill>
              <w14:schemeClr w14:val="tx1"/>
            </w14:solidFill>
          </w14:textFill>
        </w:rPr>
        <w:t>8 环境管理与监测计划</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_Toc11253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152</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"_Toc9570" </w:instrText>
      </w:r>
      <w:r>
        <w:fldChar w:fldCharType="separate"/>
      </w:r>
      <w:r>
        <w:rPr>
          <w:rFonts w:ascii="Times New Roman" w:hAnsi="Times New Roman" w:cs="Times New Roman"/>
          <w:color w:val="000000" w:themeColor="text1"/>
          <w14:textFill>
            <w14:solidFill>
              <w14:schemeClr w14:val="tx1"/>
            </w14:solidFill>
          </w14:textFill>
        </w:rPr>
        <w:t>8.1 环境管理要求及制度</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_Toc9570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152</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"_Toc26396" </w:instrText>
      </w:r>
      <w:r>
        <w:fldChar w:fldCharType="separate"/>
      </w:r>
      <w:r>
        <w:rPr>
          <w:rFonts w:ascii="Times New Roman" w:hAnsi="Times New Roman" w:cs="Times New Roman"/>
          <w:color w:val="000000" w:themeColor="text1"/>
          <w14:textFill>
            <w14:solidFill>
              <w14:schemeClr w14:val="tx1"/>
            </w14:solidFill>
          </w14:textFill>
        </w:rPr>
        <w:t>8.2 环境监测</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_Toc26396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155</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"_Toc12829" </w:instrText>
      </w:r>
      <w:r>
        <w:fldChar w:fldCharType="separate"/>
      </w:r>
      <w:r>
        <w:rPr>
          <w:rFonts w:ascii="Times New Roman" w:hAnsi="Times New Roman" w:cs="Times New Roman"/>
          <w:color w:val="000000" w:themeColor="text1"/>
          <w14:textFill>
            <w14:solidFill>
              <w14:schemeClr w14:val="tx1"/>
            </w14:solidFill>
          </w14:textFill>
        </w:rPr>
        <w:t>8.3 竣工验收管理</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_Toc12829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158</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1"/>
        <w:tabs>
          <w:tab w:val="right" w:leader="dot" w:pos="8306"/>
        </w:tabs>
        <w:spacing w:line="520" w:lineRule="exact"/>
        <w:ind w:firstLine="0" w:firstLineChars="0"/>
        <w:rPr>
          <w:rFonts w:ascii="Times New Roman" w:hAnsi="Times New Roman" w:cs="Times New Roman"/>
          <w:b/>
          <w:bCs/>
          <w:color w:val="000000" w:themeColor="text1"/>
          <w14:textFill>
            <w14:solidFill>
              <w14:schemeClr w14:val="tx1"/>
            </w14:solidFill>
          </w14:textFill>
        </w:rPr>
      </w:pPr>
      <w:r>
        <w:fldChar w:fldCharType="begin"/>
      </w:r>
      <w:r>
        <w:instrText xml:space="preserve"> HYPERLINK \l "_Toc4609" </w:instrText>
      </w:r>
      <w:r>
        <w:fldChar w:fldCharType="separate"/>
      </w:r>
      <w:r>
        <w:rPr>
          <w:rFonts w:ascii="Times New Roman" w:hAnsi="Times New Roman" w:cs="Times New Roman"/>
          <w:b/>
          <w:bCs/>
          <w:color w:val="000000" w:themeColor="text1"/>
          <w14:textFill>
            <w14:solidFill>
              <w14:schemeClr w14:val="tx1"/>
            </w14:solidFill>
          </w14:textFill>
        </w:rPr>
        <w:t>9 环境影响评价结论</w:t>
      </w:r>
      <w:r>
        <w:rPr>
          <w:rFonts w:ascii="Times New Roman" w:hAnsi="Times New Roman" w:cs="Times New Roman"/>
          <w:b/>
          <w:bCs/>
          <w:color w:val="000000" w:themeColor="text1"/>
          <w14:textFill>
            <w14:solidFill>
              <w14:schemeClr w14:val="tx1"/>
            </w14:solidFill>
          </w14:textFill>
        </w:rPr>
        <w:tab/>
      </w:r>
      <w:r>
        <w:rPr>
          <w:rFonts w:ascii="Times New Roman" w:hAnsi="Times New Roman" w:cs="Times New Roman"/>
          <w:b/>
          <w:bCs/>
          <w:color w:val="000000" w:themeColor="text1"/>
          <w14:textFill>
            <w14:solidFill>
              <w14:schemeClr w14:val="tx1"/>
            </w14:solidFill>
          </w14:textFill>
        </w:rPr>
        <w:fldChar w:fldCharType="begin"/>
      </w:r>
      <w:r>
        <w:rPr>
          <w:rFonts w:ascii="Times New Roman" w:hAnsi="Times New Roman" w:cs="Times New Roman"/>
          <w:b/>
          <w:bCs/>
          <w:color w:val="000000" w:themeColor="text1"/>
          <w14:textFill>
            <w14:solidFill>
              <w14:schemeClr w14:val="tx1"/>
            </w14:solidFill>
          </w14:textFill>
        </w:rPr>
        <w:instrText xml:space="preserve"> PAGEREF _Toc4609 \h </w:instrText>
      </w:r>
      <w:r>
        <w:rPr>
          <w:rFonts w:ascii="Times New Roman" w:hAnsi="Times New Roman" w:cs="Times New Roman"/>
          <w:b/>
          <w:bCs/>
          <w:color w:val="000000" w:themeColor="text1"/>
          <w14:textFill>
            <w14:solidFill>
              <w14:schemeClr w14:val="tx1"/>
            </w14:solidFill>
          </w14:textFill>
        </w:rPr>
        <w:fldChar w:fldCharType="separate"/>
      </w:r>
      <w:r>
        <w:rPr>
          <w:rFonts w:ascii="Times New Roman" w:hAnsi="Times New Roman" w:cs="Times New Roman"/>
          <w:b/>
          <w:bCs/>
          <w:color w:val="000000" w:themeColor="text1"/>
          <w14:textFill>
            <w14:solidFill>
              <w14:schemeClr w14:val="tx1"/>
            </w14:solidFill>
          </w14:textFill>
        </w:rPr>
        <w:t>160</w:t>
      </w:r>
      <w:r>
        <w:rPr>
          <w:rFonts w:ascii="Times New Roman" w:hAnsi="Times New Roman" w:cs="Times New Roman"/>
          <w:b/>
          <w:bCs/>
          <w:color w:val="000000" w:themeColor="text1"/>
          <w14:textFill>
            <w14:solidFill>
              <w14:schemeClr w14:val="tx1"/>
            </w14:solidFill>
          </w14:textFill>
        </w:rPr>
        <w:fldChar w:fldCharType="end"/>
      </w:r>
      <w:r>
        <w:rPr>
          <w:rFonts w:ascii="Times New Roman" w:hAnsi="Times New Roman" w:cs="Times New Roman"/>
          <w:b/>
          <w:bCs/>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"_Toc6990" </w:instrText>
      </w:r>
      <w:r>
        <w:fldChar w:fldCharType="separate"/>
      </w:r>
      <w:r>
        <w:rPr>
          <w:rFonts w:ascii="Times New Roman" w:hAnsi="Times New Roman" w:cs="Times New Roman"/>
          <w:color w:val="000000" w:themeColor="text1"/>
          <w14:textFill>
            <w14:solidFill>
              <w14:schemeClr w14:val="tx1"/>
            </w14:solidFill>
          </w14:textFill>
        </w:rPr>
        <w:t>9.1 结论</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_Toc6990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160</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23"/>
        <w:tabs>
          <w:tab w:val="right" w:leader="dot" w:pos="8306"/>
        </w:tabs>
        <w:spacing w:line="520" w:lineRule="exact"/>
        <w:ind w:left="480" w:firstLine="0" w:firstLineChars="0"/>
        <w:rPr>
          <w:rFonts w:ascii="Times New Roman" w:hAnsi="Times New Roman" w:cs="Times New Roman"/>
          <w:color w:val="000000" w:themeColor="text1"/>
          <w14:textFill>
            <w14:solidFill>
              <w14:schemeClr w14:val="tx1"/>
            </w14:solidFill>
          </w14:textFill>
        </w:rPr>
      </w:pPr>
      <w:r>
        <w:fldChar w:fldCharType="begin"/>
      </w:r>
      <w:r>
        <w:instrText xml:space="preserve"> HYPERLINK \l "_Toc361" </w:instrText>
      </w:r>
      <w:r>
        <w:fldChar w:fldCharType="separate"/>
      </w:r>
      <w:r>
        <w:rPr>
          <w:rFonts w:ascii="Times New Roman" w:hAnsi="Times New Roman" w:cs="Times New Roman"/>
          <w:color w:val="000000" w:themeColor="text1"/>
          <w14:textFill>
            <w14:solidFill>
              <w14:schemeClr w14:val="tx1"/>
            </w14:solidFill>
          </w14:textFill>
        </w:rPr>
        <w:t>9.2建议</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PAGEREF _Toc361 \h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165</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end"/>
      </w:r>
    </w:p>
    <w:p>
      <w:pPr>
        <w:pStyle w:val="10"/>
        <w:spacing w:line="520" w:lineRule="exact"/>
        <w:ind w:firstLine="0" w:firstLineChars="0"/>
        <w:outlineLvl w:val="3"/>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r>
        <w:rPr>
          <w:rFonts w:ascii="Times New Roman" w:hAnsi="Times New Roman" w:eastAsia="宋体" w:cs="Times New Roman"/>
          <w:color w:val="000000" w:themeColor="text1"/>
          <w:sz w:val="24"/>
          <w:szCs w:val="24"/>
          <w14:textFill>
            <w14:solidFill>
              <w14:schemeClr w14:val="tx1"/>
            </w14:solidFill>
          </w14:textFill>
        </w:rPr>
        <w:fldChar w:fldCharType="end"/>
      </w:r>
    </w:p>
    <w:p>
      <w:pPr>
        <w:pStyle w:val="4"/>
        <w:keepNext w:val="0"/>
        <w:keepLines w:val="0"/>
        <w:jc w:val="center"/>
        <w:rPr>
          <w:rFonts w:ascii="Times New Roman" w:hAnsi="Times New Roman" w:cs="Times New Roman"/>
          <w:color w:val="000000" w:themeColor="text1"/>
          <w:szCs w:val="32"/>
          <w14:textFill>
            <w14:solidFill>
              <w14:schemeClr w14:val="tx1"/>
            </w14:solidFill>
          </w14:textFill>
        </w:rPr>
      </w:pPr>
      <w:bookmarkStart w:id="9" w:name="_Toc31649"/>
      <w:bookmarkStart w:id="10" w:name="_Toc5194"/>
      <w:bookmarkStart w:id="11" w:name="_Toc23701"/>
      <w:bookmarkStart w:id="12" w:name="_Toc19779"/>
      <w:bookmarkStart w:id="13" w:name="_Toc19982"/>
      <w:r>
        <w:rPr>
          <w:rFonts w:ascii="Times New Roman" w:hAnsi="Times New Roman" w:cs="Times New Roman"/>
          <w:color w:val="000000" w:themeColor="text1"/>
          <w:szCs w:val="32"/>
          <w14:textFill>
            <w14:solidFill>
              <w14:schemeClr w14:val="tx1"/>
            </w14:solidFill>
          </w14:textFill>
        </w:rPr>
        <w:t>1 概述</w:t>
      </w:r>
      <w:bookmarkEnd w:id="9"/>
      <w:bookmarkEnd w:id="10"/>
      <w:bookmarkEnd w:id="11"/>
      <w:bookmarkEnd w:id="12"/>
      <w:bookmarkEnd w:id="13"/>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14" w:name="_Toc7384"/>
      <w:bookmarkStart w:id="15" w:name="_Toc19076"/>
      <w:bookmarkStart w:id="16" w:name="_Toc30467"/>
      <w:bookmarkStart w:id="17" w:name="_Toc4195"/>
      <w:bookmarkStart w:id="18" w:name="_Toc13701"/>
      <w:r>
        <w:rPr>
          <w:rFonts w:ascii="Times New Roman" w:hAnsi="Times New Roman" w:cs="Times New Roman"/>
          <w:color w:val="000000" w:themeColor="text1"/>
          <w:kern w:val="0"/>
          <w:szCs w:val="30"/>
          <w14:textFill>
            <w14:solidFill>
              <w14:schemeClr w14:val="tx1"/>
            </w14:solidFill>
          </w14:textFill>
        </w:rPr>
        <w:t>1.1 背景</w:t>
      </w:r>
      <w:bookmarkEnd w:id="14"/>
      <w:bookmarkEnd w:id="15"/>
      <w:bookmarkEnd w:id="16"/>
      <w:bookmarkEnd w:id="17"/>
      <w:bookmarkEnd w:id="1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猪生产是农业生产不可或缺的一部分，也是农民很重要的一项收入，历年来各级政府都十分重视，中国目前畜牧业所占农业的比重还不足35%，与发达国家的60~70%还有相当的差距。而中国的畜牧业中主要以养猪为主，而目前农民养猪都是以农户小规模散养为主的传统养殖方式，品种差、效益低，严重制约了农村养猪业的发展。因此，以引导农民调整品种结构并高效率的生产模式导入，是开创养猪业快速发展的重要契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特别是2019年以来，受非洲猪瘟疫情冲击、猪周期波动调整叠加以及环保整治持续影响，生猪生产呈现能繁母猪存栏大幅下降、产能持续下滑的态势，稳产保供压力较大。为此，国务院出台了《国务院关于促进乡村产业振兴的指导意见》（国办发〔2019〕12号）、《国务院办公厅关于稳定生猪生产促进转型升级的意见》（国办发〔2019〕44号）。2020年中央一号文件提出“保障重要农产品有效供给和促进农民持续增收，加快恢复生猪生产。生猪稳产保供是当前经济工作的一件大事，要采取综合措施，确保2020年底前生猪产能基本恢复到接近正常年份水平，落实</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省负总责</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，压实</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菜篮子</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市长负责制，强化县级抓落实责任，保障猪肉供给。严格落实扶持生猪生产的各项政策举措”。</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标准化、规模化养猪是我国现代畜牧业发展的基本方向，是稳定生猪市场、保障猪肉安全的长效机制，尤其是在当前面对市场价格波动、成本持续上涨、疾病与环境压力越来越大的形势下，发展规模化养猪是规避各类风险的最佳途径。规模化养殖通过理性安排生产计划，推广科学饲喂技术、配套完善防疫设施、环保设施，提高饲养效益，对于稳定生猪供应、稳定价格、保证畜产品安全具有重要意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疆饲料资源丰富，气候干燥、有利于疫病防治，具有发展生猪产业的优势。在全国生猪产业向北方粮食主产区转移的大趋势下，新疆已由猪肉调入省区转变为调出省区。国家和自治区相继出台了加快生猪产业发展的一系列政策和措施，根据指示精神和要求，各地紧紧抓住发展养猪业的契机，进行标准化养殖小区建设，增加良种猪和优质商品猪养殖规模和生产能力。新疆是全国五大牧区之一，畜牧业在国民经济中占有重要地位，但在形成产业化生产中，发展速度和商品化程度却落后于内蒙古、山东和河北等省区。迎接西部大开发和农产品市场竞争挑战，大力发</w:t>
      </w:r>
      <w:r>
        <w:rPr>
          <w:rFonts w:hint="eastAsia" w:ascii="宋体" w:hAnsi="宋体" w:cs="宋体"/>
          <w:color w:val="000000" w:themeColor="text1"/>
          <w14:textFill>
            <w14:solidFill>
              <w14:schemeClr w14:val="tx1"/>
            </w14:solidFill>
          </w14:textFill>
        </w:rPr>
        <w:t>展“两高一优一无”</w:t>
      </w:r>
      <w:r>
        <w:rPr>
          <w:rFonts w:ascii="Times New Roman" w:hAnsi="Times New Roman" w:cs="Times New Roman"/>
          <w:color w:val="000000" w:themeColor="text1"/>
          <w14:textFill>
            <w14:solidFill>
              <w14:schemeClr w14:val="tx1"/>
            </w14:solidFill>
          </w14:textFill>
        </w:rPr>
        <w:t>畜牧业已成为新疆的当务之急。畜牧业是自治区农业的重要组成部分，抓好畜牧业生产对于促进兵团经济发展，改善职工群众生活，增加出口等具有十分重要的意义。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在此契机下，为促进生猪养殖产业化、标准化，满足市场对猪肉的需求，</w:t>
      </w:r>
      <w:r>
        <w:rPr>
          <w:rFonts w:hint="eastAsia" w:ascii="Times New Roman" w:hAnsi="Times New Roman" w:cs="Times New Roman"/>
          <w:color w:val="000000" w:themeColor="text1"/>
          <w14:textFill>
            <w14:solidFill>
              <w14:schemeClr w14:val="tx1"/>
            </w14:solidFill>
          </w14:textFill>
        </w:rPr>
        <w:t>2020年4月30日昌吉州泰昆农牧科技有限公司注册成立，2021年5月27日由原新疆昌吉泰昆农牧科技有限公司变更公司名称为现昌吉州泰昆农牧科技有限公司（名称变更资料详见附件4）。公司</w:t>
      </w:r>
      <w:r>
        <w:rPr>
          <w:rFonts w:ascii="Times New Roman" w:hAnsi="Times New Roman" w:cs="Times New Roman"/>
          <w:color w:val="000000" w:themeColor="text1"/>
          <w14:textFill>
            <w14:solidFill>
              <w14:schemeClr w14:val="tx1"/>
            </w14:solidFill>
          </w14:textFill>
        </w:rPr>
        <w:t>拟投资16000万元，在昌吉农业园区牛圈子湖示范一区建设泰昆农牧年出栏20万头商品猪建设项目。项目占地约</w:t>
      </w:r>
      <w:r>
        <w:rPr>
          <w:rFonts w:hint="eastAsia" w:ascii="Times New Roman" w:hAnsi="Times New Roman" w:cs="Times New Roman"/>
          <w:color w:val="000000" w:themeColor="text1"/>
          <w:lang w:val="en-US" w:eastAsia="zh-CN"/>
          <w14:textFill>
            <w14:solidFill>
              <w14:schemeClr w14:val="tx1"/>
            </w14:solidFill>
          </w14:textFill>
        </w:rPr>
        <w:t>340.54</w:t>
      </w:r>
      <w:r>
        <w:rPr>
          <w:rFonts w:ascii="Times New Roman" w:hAnsi="Times New Roman" w:cs="Times New Roman"/>
          <w:color w:val="000000" w:themeColor="text1"/>
          <w14:textFill>
            <w14:solidFill>
              <w14:schemeClr w14:val="tx1"/>
            </w14:solidFill>
          </w14:textFill>
        </w:rPr>
        <w:t>亩，总建筑面积约60000m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，新建20栋猪舍、办公楼、内勤宿舍、食堂及其他配套设备、附属设施等，达到年出栏20万头商品猪的规模。</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根据《中华人民共和国环境影响评价法》、《建设项目环境保护管理条例》、《建设项目环境影响评价分类管理名录》，本项目需编制环境影响报告书。</w:t>
      </w:r>
      <w:r>
        <w:rPr>
          <w:rFonts w:hint="eastAsia" w:ascii="Times New Roman" w:hAnsi="Times New Roman" w:cs="Times New Roman"/>
          <w:color w:val="000000" w:themeColor="text1"/>
          <w14:textFill>
            <w14:solidFill>
              <w14:schemeClr w14:val="tx1"/>
            </w14:solidFill>
          </w14:textFill>
        </w:rPr>
        <w:t>昌吉州泰昆农牧科技有限公司</w:t>
      </w:r>
      <w:r>
        <w:rPr>
          <w:rFonts w:ascii="Times New Roman" w:hAnsi="Times New Roman" w:cs="Times New Roman"/>
          <w:color w:val="000000" w:themeColor="text1"/>
          <w14:textFill>
            <w14:solidFill>
              <w14:schemeClr w14:val="tx1"/>
            </w14:solidFill>
          </w14:textFill>
        </w:rPr>
        <w:t>特委托新疆东方信海环境科技研究院（有限公司）承担《</w:t>
      </w:r>
      <w:r>
        <w:rPr>
          <w:rFonts w:hint="eastAsia" w:ascii="Times New Roman" w:hAnsi="Times New Roman" w:cs="Times New Roman"/>
          <w:color w:val="000000" w:themeColor="text1"/>
          <w14:textFill>
            <w14:solidFill>
              <w14:schemeClr w14:val="tx1"/>
            </w14:solidFill>
          </w14:textFill>
        </w:rPr>
        <w:t>昌吉州泰昆农牧科技有限公司</w:t>
      </w:r>
      <w:r>
        <w:rPr>
          <w:rFonts w:ascii="Times New Roman" w:hAnsi="Times New Roman" w:cs="Times New Roman"/>
          <w:color w:val="000000" w:themeColor="text1"/>
          <w14:textFill>
            <w14:solidFill>
              <w14:schemeClr w14:val="tx1"/>
            </w14:solidFill>
          </w14:textFill>
        </w:rPr>
        <w:t>泰昆农牧年出栏20万头商品猪建设项目》的环境影响评价工作（见附件1）。环评单位接受委托后，立即成立评价工作组，评价技术人员在资料收集、现场踏勘、工程分析的基础上，编制完成了该项目环境影响报告书。</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19" w:name="_Toc5079"/>
      <w:bookmarkStart w:id="20" w:name="_Toc16541"/>
      <w:bookmarkStart w:id="21" w:name="_Toc2176"/>
      <w:bookmarkStart w:id="22" w:name="_Toc4068"/>
      <w:bookmarkStart w:id="23" w:name="_Toc15330"/>
      <w:r>
        <w:rPr>
          <w:rFonts w:ascii="Times New Roman" w:hAnsi="Times New Roman" w:cs="Times New Roman"/>
          <w:color w:val="000000" w:themeColor="text1"/>
          <w:kern w:val="0"/>
          <w:szCs w:val="30"/>
          <w14:textFill>
            <w14:solidFill>
              <w14:schemeClr w14:val="tx1"/>
            </w14:solidFill>
          </w14:textFill>
        </w:rPr>
        <w:t>1.2 环境影响评价工作过程</w:t>
      </w:r>
      <w:bookmarkEnd w:id="19"/>
      <w:bookmarkEnd w:id="20"/>
      <w:bookmarkEnd w:id="21"/>
      <w:bookmarkEnd w:id="22"/>
      <w:bookmarkEnd w:id="2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根据《中华人民共和国环境保护法》、《中华人民共和国环境影响评价法》以及《建设项目环境保护管理条例》等相关法律法规，项目应进行环境影响评价工作，编制环境影响报告书。</w:t>
      </w:r>
      <w:r>
        <w:rPr>
          <w:rFonts w:hint="eastAsia" w:ascii="Times New Roman" w:hAnsi="Times New Roman" w:cs="Times New Roman"/>
          <w:color w:val="000000" w:themeColor="text1"/>
          <w14:textFill>
            <w14:solidFill>
              <w14:schemeClr w14:val="tx1"/>
            </w14:solidFill>
          </w14:textFill>
        </w:rPr>
        <w:t>昌吉州泰昆农牧科技有限公司</w:t>
      </w:r>
      <w:r>
        <w:rPr>
          <w:rFonts w:ascii="Times New Roman" w:hAnsi="Times New Roman" w:cs="Times New Roman"/>
          <w:color w:val="000000" w:themeColor="text1"/>
          <w14:textFill>
            <w14:solidFill>
              <w14:schemeClr w14:val="tx1"/>
            </w14:solidFill>
          </w14:textFill>
        </w:rPr>
        <w:t>委托我公司承担了该项目的环评工作。接受委托后，我公司组织了相关技术人员深入现场，对本项目进行调查以及资料收集，在对本项目进行分析以及现状调查的基础上，严格遵照《环境影响评价技术导则》及相关法律法规要求，编制完成了《</w:t>
      </w:r>
      <w:r>
        <w:rPr>
          <w:rFonts w:hint="eastAsia" w:ascii="Times New Roman" w:hAnsi="Times New Roman" w:cs="Times New Roman"/>
          <w:color w:val="000000" w:themeColor="text1"/>
          <w14:textFill>
            <w14:solidFill>
              <w14:schemeClr w14:val="tx1"/>
            </w14:solidFill>
          </w14:textFill>
        </w:rPr>
        <w:t>昌吉州泰昆农牧科技有限公司</w:t>
      </w:r>
      <w:r>
        <w:rPr>
          <w:rFonts w:ascii="Times New Roman" w:hAnsi="Times New Roman" w:cs="Times New Roman"/>
          <w:color w:val="000000" w:themeColor="text1"/>
          <w14:textFill>
            <w14:solidFill>
              <w14:schemeClr w14:val="tx1"/>
            </w14:solidFill>
          </w14:textFill>
        </w:rPr>
        <w:t>泰昆农牧年出栏20万头商品猪建设项目环境影响报告书》。</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主要评价工作过程如下：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（1）研究国家和地方有关环境保护的法律法规、政策、标准及相关规划等，分析其规划符合性；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（2）收集和研究项目相关技术文件和其他相关文件，进行初步工程分析，明确本项目的工程组成，根据工艺流程确定产排污环节和主要污染物，同时对本项目环境影响区域进行初步环境现状调查；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（3）结合初步工程分析结果和环境现状资料，识别建设项目的环境影响因素，筛选主要的环境影响评价因子，明确评价重点，确定评价工作等级、评价范围及评价标准；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制定工作方案，在进行充分的环境现状调查、监测的基础上开展环境质量现状评价，并进行进一步的工程分析，根据工程分析确定的污染源强以及结合项目区环境特征，采用模式计算和类比调查的方式预测、分析或评价项目建设对环境的影响范围以及引起的环境质量变化情况，从环境保护角度分析论证建设工程的可行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建设单位根据国家和地方环保规范要求开展公众参与调查活动，环评单位分析公众提出的意见或建议；对项目建设可能引起的环境污染与局部生态环境破坏，通过对本工程环保设施的技术经济合理性、达标水平的可靠性分析，提出进一步减缓污染的对策建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（6）在对建设项目实施后可能造成的环境影响进行分析、预测的基础上，提出预防或者减轻不良环境影响的对策和措施，从环境保护的角度提出项目建设的可行性结论，完成环境影响报告书编制。</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具体环境影响评价工作程序见图1.1-1。</w:t>
      </w:r>
    </w:p>
    <w:p>
      <w:pPr>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object>
          <v:shape id="_x0000_i1025" o:spt="75" type="#_x0000_t75" style="height:402.65pt;width:358.2pt;" o:ole="t" filled="f" o:preferrelative="t" stroked="f" coordsize="21600,21600">
            <v:path/>
            <v:fill on="f" focussize="0,0"/>
            <v:stroke on="f" joinstyle="miter"/>
            <v:imagedata r:id="rId11" o:title=""/>
            <o:lock v:ext="edit" aspectratio="f"/>
            <w10:wrap type="none"/>
            <w10:anchorlock/>
          </v:shape>
          <o:OLEObject Type="Embed" ProgID="Visio.Drawing.11" ShapeID="_x0000_i1025" DrawAspect="Content" ObjectID="_1468075725" r:id="rId10">
            <o:LockedField>false</o:LockedField>
          </o:OLEObject>
        </w:object>
      </w:r>
    </w:p>
    <w:p>
      <w:pPr>
        <w:ind w:firstLine="0" w:firstLineChars="0"/>
        <w:jc w:val="center"/>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图1.1-1   环境影响评价工作程序图</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24" w:name="_Toc27459"/>
      <w:bookmarkStart w:id="25" w:name="_Toc8884"/>
      <w:bookmarkStart w:id="26" w:name="_Toc665"/>
      <w:bookmarkStart w:id="27" w:name="_Toc83"/>
      <w:bookmarkStart w:id="28" w:name="_Toc32751"/>
      <w:r>
        <w:rPr>
          <w:rFonts w:ascii="Times New Roman" w:hAnsi="Times New Roman" w:cs="Times New Roman"/>
          <w:color w:val="000000" w:themeColor="text1"/>
          <w:kern w:val="0"/>
          <w:szCs w:val="30"/>
          <w14:textFill>
            <w14:solidFill>
              <w14:schemeClr w14:val="tx1"/>
            </w14:solidFill>
          </w14:textFill>
        </w:rPr>
        <w:t>1.3 分析判定相关情况</w:t>
      </w:r>
      <w:bookmarkEnd w:id="24"/>
      <w:bookmarkEnd w:id="25"/>
      <w:bookmarkEnd w:id="26"/>
      <w:bookmarkEnd w:id="27"/>
      <w:bookmarkEnd w:id="2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根据《建设项目环境影响评价技术导则 总纲》（HJ2.1-2016），我公司接受委托后，通过收集、研究本项目相关资料及其它相关文件，对建设项目进行了初步分析判定。初步分析判定具体内容如下：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（1）产业政策符合性分析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国民经济行业分类》分类中的“A0320猪的饲养”，根据《产业结构调整指导目录（2019年本）》（2020年1月1日起实施，国家发展和改革委员会第9号令），本项目属于“第一类鼓励类，第一项农林业，第4条畜禽标准化规模养殖技术开发与应用”，场区未使用淘汰设备，符合国家的产业政策。</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（2）规划符合性分析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本项目位于昌吉农业园区牛圈子湖示范一区，项目符合新疆昌吉国家农业科技园区十三五社会经济发展规划和污染防治规划，用地符合新疆昌吉国家农业科技园区总体规划，用地性质为农业设施用地。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（3）国家和地方相关技术政策符合性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符合《国务院办公厅关于加快推进畜禽养殖废弃物资源化利用的意见》（国办发〔2017〕48号、《畜禽粪污资源化利用行动方案（2017-2020年）》（农牧发〔2017〕11号）、《畜禽养殖业污染防治管理办法》（国家环境保护总局第9号）、《畜禽养殖业污染治理工程技术规范》（HJ497-2009）、《病死及病害动物无害化处理技术规范》（农医发〔2017〕25号）等国家相关技术政策的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（4）选址合理性分析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w:t>
      </w:r>
      <w:r>
        <w:rPr>
          <w:rFonts w:hint="eastAsia" w:ascii="Times New Roman" w:hAnsi="Times New Roman" w:cs="Times New Roman"/>
          <w:color w:val="000000" w:themeColor="text1"/>
          <w14:textFill>
            <w14:solidFill>
              <w14:schemeClr w14:val="tx1"/>
            </w14:solidFill>
          </w14:textFill>
        </w:rPr>
        <w:t>新疆昌吉国家农业科技园区管理委员会办公室印发</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关于划分</w:t>
      </w:r>
      <w:r>
        <w:rPr>
          <w:rFonts w:ascii="Times New Roman" w:hAnsi="Times New Roman" w:cs="Times New Roman"/>
          <w:color w:val="000000" w:themeColor="text1"/>
          <w14:textFill>
            <w14:solidFill>
              <w14:schemeClr w14:val="tx1"/>
            </w14:solidFill>
          </w14:textFill>
        </w:rPr>
        <w:t>畜禽养殖禁养区</w:t>
      </w:r>
      <w:r>
        <w:rPr>
          <w:rFonts w:hint="eastAsia"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14:textFill>
            <w14:solidFill>
              <w14:schemeClr w14:val="tx1"/>
            </w14:solidFill>
          </w14:textFill>
        </w:rPr>
        <w:t>限养区</w:t>
      </w:r>
      <w:r>
        <w:rPr>
          <w:rFonts w:hint="eastAsia" w:ascii="Times New Roman" w:hAnsi="Times New Roman" w:cs="Times New Roman"/>
          <w:color w:val="000000" w:themeColor="text1"/>
          <w14:textFill>
            <w14:solidFill>
              <w14:schemeClr w14:val="tx1"/>
            </w14:solidFill>
          </w14:textFill>
        </w:rPr>
        <w:t>实施方案</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的通知</w:t>
      </w:r>
      <w:r>
        <w:rPr>
          <w:rFonts w:ascii="Times New Roman" w:hAnsi="Times New Roman" w:cs="Times New Roman"/>
          <w:color w:val="000000" w:themeColor="text1"/>
          <w14:textFill>
            <w14:solidFill>
              <w14:schemeClr w14:val="tx1"/>
            </w14:solidFill>
          </w14:textFill>
        </w:rPr>
        <w:t>（昌农科管办发〔2017〕33号），本项目不属于禁养区及限养区范围内。项目不涉及饮用水水源保护区、风景名胜区、自然保护区、森林、文物古迹、基本农田、基本草原等环境敏感区，项目场址离居民区及村庄较远，不影响当地居民的生活环境，所涉及的污染物达标排放</w:t>
      </w:r>
      <w:r>
        <w:rPr>
          <w:rFonts w:hint="eastAsia" w:ascii="Times New Roman" w:hAnsi="Times New Roman" w:cs="Times New Roman"/>
          <w:color w:val="000000" w:themeColor="text1"/>
          <w14:textFill>
            <w14:solidFill>
              <w14:schemeClr w14:val="tx1"/>
            </w14:solidFill>
          </w14:textFill>
        </w:rPr>
        <w:t>以</w:t>
      </w:r>
      <w:r>
        <w:rPr>
          <w:rFonts w:ascii="Times New Roman" w:hAnsi="Times New Roman" w:cs="Times New Roman"/>
          <w:color w:val="000000" w:themeColor="text1"/>
          <w14:textFill>
            <w14:solidFill>
              <w14:schemeClr w14:val="tx1"/>
            </w14:solidFill>
          </w14:textFill>
        </w:rPr>
        <w:t>及环境问题可通过采取一定的措施予以解决，从环保角度看项目选址是合理的。</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r>
        <w:rPr>
          <w:rFonts w:hint="eastAsia" w:ascii="宋体" w:hAnsi="宋体" w:cs="宋体"/>
          <w:color w:val="000000" w:themeColor="text1"/>
          <w14:textFill>
            <w14:solidFill>
              <w14:schemeClr w14:val="tx1"/>
            </w14:solidFill>
          </w14:textFill>
        </w:rPr>
        <w:t>“三线一单”符</w:t>
      </w:r>
      <w:r>
        <w:rPr>
          <w:rFonts w:ascii="Times New Roman" w:hAnsi="Times New Roman" w:cs="Times New Roman"/>
          <w:color w:val="000000" w:themeColor="text1"/>
          <w14:textFill>
            <w14:solidFill>
              <w14:schemeClr w14:val="tx1"/>
            </w14:solidFill>
          </w14:textFill>
        </w:rPr>
        <w:t>合性分析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根据《关于印发&lt;新疆维吾尔自治区“三线一单”生态环境分区管控方案&gt;的通知》（新政发〔2021〕18号）：“为贯彻落实《中共中央 国务院关于全面加强生态环境保护坚决打好污染防治攻坚战的意见》和《自治区党委 自治区人民政府关于全面加强生态环境坚决打好污染防治攻坚战实施方案》，按照生态环境部统一部署，自治区组织编制了生态保护红线、环境质量底线、资源利用上线和生态环境准入清单</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本项目与“三线一单”符合性分析见表1.3-1。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表1.3-1   “三线一单”符合性分析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648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类别</w:t>
            </w:r>
          </w:p>
        </w:tc>
        <w:tc>
          <w:tcPr>
            <w:tcW w:w="6480"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本项目</w:t>
            </w:r>
          </w:p>
        </w:tc>
        <w:tc>
          <w:tcPr>
            <w:tcW w:w="878"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生态保护红线</w:t>
            </w:r>
          </w:p>
        </w:tc>
        <w:tc>
          <w:tcPr>
            <w:tcW w:w="648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昌吉农业园区牛圈子湖示范一区，项目不涉及风景名胜区、自然保护区、森林、文物古迹、基本农田、基本草原等环境敏感区，项目区周边无饮用水水源保护区等生态保护目标。经核实，项目不涉及生态红线保护区域，不会影响所在区域内生态服务功能。</w:t>
            </w:r>
          </w:p>
        </w:tc>
        <w:tc>
          <w:tcPr>
            <w:tcW w:w="878"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环境质量底线</w:t>
            </w:r>
          </w:p>
        </w:tc>
        <w:tc>
          <w:tcPr>
            <w:tcW w:w="648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质量底线就是只能改善不能恶化。本项目对无组织排放的恶臭采取了有效的治理措施，排放量较少，对环境空气质量影响较小，不会降低区域环境空气质量；项目运行期产生的粪便尿液、圈舍冲洗废水经处理符合《畜禽养殖业污染治理工程技术规范》有关规定要求后进行综合利用；病死猪尸体经处理后符合《病死及病害动物无害化处理技术规范》（农医发〔2017〕25号）有关规定要求后进行综合利用，不会影响区域水环境质量。本项目采取的环保措施能确保污染物对环境质量影响降到最小，不突破所在区域环境质量底线。</w:t>
            </w:r>
          </w:p>
        </w:tc>
        <w:tc>
          <w:tcPr>
            <w:tcW w:w="878"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资源利用上线</w:t>
            </w:r>
          </w:p>
        </w:tc>
        <w:tc>
          <w:tcPr>
            <w:tcW w:w="648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2012年国务院印发《关于实行最严格水资源管理制度的意见》，当地水资源控制指标按照“三条红线”控制。本项目为畜禽标准化规模养殖，年用水量为</w:t>
            </w:r>
            <w:r>
              <w:rPr>
                <w:rFonts w:hint="eastAsia" w:ascii="Times New Roman" w:hAnsi="Times New Roman" w:cs="Times New Roman"/>
                <w:color w:val="000000" w:themeColor="text1"/>
                <w:sz w:val="21"/>
                <w:szCs w:val="21"/>
                <w14:textFill>
                  <w14:solidFill>
                    <w14:schemeClr w14:val="tx1"/>
                  </w14:solidFill>
                </w14:textFill>
              </w:rPr>
              <w:t>18.213</w:t>
            </w:r>
            <w:r>
              <w:rPr>
                <w:rFonts w:ascii="Times New Roman" w:hAnsi="Times New Roman" w:cs="Times New Roman"/>
                <w:color w:val="000000" w:themeColor="text1"/>
                <w:sz w:val="21"/>
                <w:szCs w:val="21"/>
                <w14:textFill>
                  <w14:solidFill>
                    <w14:schemeClr w14:val="tx1"/>
                  </w14:solidFill>
                </w14:textFill>
              </w:rPr>
              <w:t>万m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，建设单位应按照水资源“三条红线”要求，严格控制用水量；本项目用地类型为设施农用地，</w:t>
            </w:r>
            <w:r>
              <w:rPr>
                <w:rFonts w:hint="eastAsia" w:ascii="Times New Roman" w:hAnsi="Times New Roman" w:cs="Times New Roman"/>
                <w:color w:val="000000" w:themeColor="text1"/>
                <w:sz w:val="21"/>
                <w:szCs w:val="21"/>
                <w14:textFill>
                  <w14:solidFill>
                    <w14:schemeClr w14:val="tx1"/>
                  </w14:solidFill>
                </w14:textFill>
              </w:rPr>
              <w:t>周边</w:t>
            </w:r>
            <w:r>
              <w:rPr>
                <w:rFonts w:ascii="Times New Roman" w:hAnsi="Times New Roman" w:cs="Times New Roman"/>
                <w:color w:val="000000" w:themeColor="text1"/>
                <w:sz w:val="21"/>
                <w:szCs w:val="21"/>
                <w14:textFill>
                  <w14:solidFill>
                    <w14:schemeClr w14:val="tx1"/>
                  </w14:solidFill>
                </w14:textFill>
              </w:rPr>
              <w:t>无珍稀濒危物种，项目的建设造成的自然资源损失的量较小。项目所在地不属于资源、能源紧缺区域，项目运行期间水、电等用量，不会超过划定的资源利用上线，可以满足当地资源利用要求。</w:t>
            </w:r>
          </w:p>
        </w:tc>
        <w:tc>
          <w:tcPr>
            <w:tcW w:w="878"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生态环境准入清单</w:t>
            </w:r>
          </w:p>
        </w:tc>
        <w:tc>
          <w:tcPr>
            <w:tcW w:w="648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位于昌吉农业园区牛圈子湖示范一区，拟建场址的选址符合《新疆昌吉国家农业科技园区总体规划（2017-2030年）》，用地性质为设施农用地。工程场址离居民区及村庄较远，不影响当地居民的生活环境，选址较为合理；资源利用量较少；大气环境、水环境、声环境质量能够满足相应标准要求。</w:t>
            </w:r>
          </w:p>
        </w:tc>
        <w:tc>
          <w:tcPr>
            <w:tcW w:w="878"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综合以上分析判定结果，本项目符合国家及地方的相关法律法规、政策、规划、技术规范及标准等的要求。</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29" w:name="_Toc24059"/>
      <w:bookmarkStart w:id="30" w:name="_Toc28856"/>
      <w:bookmarkStart w:id="31" w:name="_Toc14382"/>
      <w:bookmarkStart w:id="32" w:name="_Toc23194"/>
      <w:bookmarkStart w:id="33" w:name="_Toc32359"/>
      <w:r>
        <w:rPr>
          <w:rFonts w:ascii="Times New Roman" w:hAnsi="Times New Roman" w:cs="Times New Roman"/>
          <w:color w:val="000000" w:themeColor="text1"/>
          <w:kern w:val="0"/>
          <w:szCs w:val="30"/>
          <w14:textFill>
            <w14:solidFill>
              <w14:schemeClr w14:val="tx1"/>
            </w14:solidFill>
          </w14:textFill>
        </w:rPr>
        <w:t>1.4 关注的主要环境问题</w:t>
      </w:r>
      <w:bookmarkEnd w:id="29"/>
      <w:bookmarkEnd w:id="30"/>
      <w:bookmarkEnd w:id="31"/>
      <w:bookmarkEnd w:id="32"/>
      <w:bookmarkEnd w:id="3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次环评主要关注项目实施过程中可能会产生的污染，从环保的角度分析建设项目选址的合理合法性，详细调查项目实施区的环境现状，重点分析项目实施后对大气环境、水环境的影响，针对项目可能产生的不利影响提出可行的防范对策措施，其主要关注环境问题体现为以下</w:t>
      </w:r>
      <w:r>
        <w:rPr>
          <w:rFonts w:hint="eastAsia" w:ascii="Times New Roman" w:hAnsi="Times New Roman" w:cs="Times New Roman"/>
          <w:color w:val="000000" w:themeColor="text1"/>
          <w14:textFill>
            <w14:solidFill>
              <w14:schemeClr w14:val="tx1"/>
            </w14:solidFill>
          </w14:textFill>
        </w:rPr>
        <w:t>：</w:t>
      </w:r>
    </w:p>
    <w:p>
      <w:pPr>
        <w:numPr>
          <w:ilvl w:val="0"/>
          <w:numId w:val="1"/>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本项目属于畜禽养殖类建设项目，废水的收集、处理、排放对</w:t>
      </w:r>
      <w:r>
        <w:rPr>
          <w:rFonts w:hint="eastAsia" w:ascii="Times New Roman" w:hAnsi="Times New Roman" w:cs="Times New Roman"/>
          <w:color w:val="000000" w:themeColor="text1"/>
          <w14:textFill>
            <w14:solidFill>
              <w14:schemeClr w14:val="tx1"/>
            </w14:solidFill>
          </w14:textFill>
        </w:rPr>
        <w:t>周边</w:t>
      </w:r>
      <w:r>
        <w:rPr>
          <w:rFonts w:ascii="Times New Roman" w:hAnsi="Times New Roman" w:cs="Times New Roman"/>
          <w:color w:val="000000" w:themeColor="text1"/>
          <w14:textFill>
            <w14:solidFill>
              <w14:schemeClr w14:val="tx1"/>
            </w14:solidFill>
          </w14:textFill>
        </w:rPr>
        <w:t>地下水环境的影响为本项目的重点。</w:t>
      </w:r>
    </w:p>
    <w:p>
      <w:pPr>
        <w:numPr>
          <w:ilvl w:val="0"/>
          <w:numId w:val="1"/>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运营期会产生恶臭气体，恶臭气体对大气环境的影响及降低恶臭气体的措施是本次评价重点关注的问题。</w:t>
      </w:r>
    </w:p>
    <w:p>
      <w:pPr>
        <w:numPr>
          <w:ilvl w:val="0"/>
          <w:numId w:val="1"/>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运营期将产生猪粪、病死猪等固体废弃物，固体废物的收集、无害化处理及综合利用是本次环评关注的问题。</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34" w:name="_Toc11586"/>
      <w:bookmarkStart w:id="35" w:name="_Toc14924"/>
      <w:bookmarkStart w:id="36" w:name="_Toc24621"/>
      <w:bookmarkStart w:id="37" w:name="_Toc21573"/>
      <w:bookmarkStart w:id="38" w:name="_Toc13020"/>
      <w:r>
        <w:rPr>
          <w:rFonts w:ascii="Times New Roman" w:hAnsi="Times New Roman" w:cs="Times New Roman"/>
          <w:color w:val="000000" w:themeColor="text1"/>
          <w:kern w:val="0"/>
          <w:szCs w:val="30"/>
          <w14:textFill>
            <w14:solidFill>
              <w14:schemeClr w14:val="tx1"/>
            </w14:solidFill>
          </w14:textFill>
        </w:rPr>
        <w:t>1.5 环境影响评价主要结论</w:t>
      </w:r>
      <w:bookmarkEnd w:id="34"/>
      <w:bookmarkEnd w:id="35"/>
      <w:bookmarkEnd w:id="36"/>
      <w:bookmarkEnd w:id="37"/>
      <w:bookmarkEnd w:id="3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经分析，本项目符合国家现行产业政策，选址符合新疆昌吉国家农业科技园区总体规划。项目所在区域无重大环境制约要素，项目贯彻了“清洁生产”、“总量控制”和“达标排放”原则，采取的污染物治理方案均技术可靠，措施有效。工程建设对环境影响小，只要落实本报告书提出的环保对策措施，本项目在昌吉农业园区牛圈子湖示范一区建设，从环境保护角度而言是可行的。</w:t>
      </w:r>
    </w:p>
    <w:p>
      <w:pPr>
        <w:spacing w:line="520" w:lineRule="exact"/>
        <w:ind w:firstLine="504"/>
        <w:rPr>
          <w:rFonts w:ascii="Times New Roman" w:hAnsi="Times New Roman" w:cs="Times New Roman"/>
          <w:color w:val="000000" w:themeColor="text1"/>
          <w:spacing w:val="6"/>
          <w14:textFill>
            <w14:solidFill>
              <w14:schemeClr w14:val="tx1"/>
            </w14:solidFill>
          </w14:textFill>
        </w:rPr>
      </w:pPr>
    </w:p>
    <w:p>
      <w:pPr>
        <w:spacing w:line="520" w:lineRule="exact"/>
        <w:ind w:firstLine="504"/>
        <w:rPr>
          <w:rFonts w:ascii="Times New Roman" w:hAnsi="Times New Roman" w:cs="Times New Roman"/>
          <w:color w:val="000000" w:themeColor="text1"/>
          <w:spacing w:val="6"/>
          <w14:textFill>
            <w14:solidFill>
              <w14:schemeClr w14:val="tx1"/>
            </w14:solidFill>
          </w14:textFill>
        </w:rPr>
      </w:pPr>
    </w:p>
    <w:p>
      <w:pPr>
        <w:spacing w:line="520" w:lineRule="exact"/>
        <w:ind w:firstLine="504"/>
        <w:rPr>
          <w:rFonts w:ascii="Times New Roman" w:hAnsi="Times New Roman" w:cs="Times New Roman"/>
          <w:color w:val="000000" w:themeColor="text1"/>
          <w:spacing w:val="6"/>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sectPr>
          <w:headerReference r:id="rId5" w:type="default"/>
          <w:footerReference r:id="rId7" w:type="default"/>
          <w:headerReference r:id="rId6" w:type="even"/>
          <w:footerReference r:id="rId8" w:type="even"/>
          <w:pgSz w:w="11906" w:h="16838"/>
          <w:pgMar w:top="1440" w:right="1800" w:bottom="1440" w:left="1800" w:header="992" w:footer="992" w:gutter="0"/>
          <w:pgNumType w:start="1"/>
          <w:cols w:space="425" w:num="1"/>
          <w:docGrid w:type="lines" w:linePitch="312" w:charSpace="0"/>
        </w:sectPr>
      </w:pPr>
    </w:p>
    <w:p>
      <w:pPr>
        <w:pStyle w:val="4"/>
        <w:keepNext w:val="0"/>
        <w:keepLines w:val="0"/>
        <w:jc w:val="center"/>
        <w:rPr>
          <w:rFonts w:ascii="Times New Roman" w:hAnsi="Times New Roman" w:cs="Times New Roman"/>
          <w:color w:val="000000" w:themeColor="text1"/>
          <w:szCs w:val="32"/>
          <w14:textFill>
            <w14:solidFill>
              <w14:schemeClr w14:val="tx1"/>
            </w14:solidFill>
          </w14:textFill>
        </w:rPr>
      </w:pPr>
      <w:bookmarkStart w:id="39" w:name="_Toc26150"/>
      <w:bookmarkStart w:id="40" w:name="_Toc16371"/>
      <w:bookmarkStart w:id="41" w:name="_Toc26458"/>
      <w:bookmarkStart w:id="42" w:name="_Toc21066"/>
      <w:bookmarkStart w:id="43" w:name="_Toc8200"/>
      <w:r>
        <w:rPr>
          <w:rFonts w:ascii="Times New Roman" w:hAnsi="Times New Roman" w:cs="Times New Roman"/>
          <w:color w:val="000000" w:themeColor="text1"/>
          <w:szCs w:val="32"/>
          <w14:textFill>
            <w14:solidFill>
              <w14:schemeClr w14:val="tx1"/>
            </w14:solidFill>
          </w14:textFill>
        </w:rPr>
        <w:t>2 总则</w:t>
      </w:r>
      <w:bookmarkEnd w:id="39"/>
      <w:bookmarkEnd w:id="40"/>
      <w:bookmarkEnd w:id="41"/>
      <w:bookmarkEnd w:id="42"/>
      <w:bookmarkEnd w:id="43"/>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44" w:name="_Toc17794"/>
      <w:bookmarkStart w:id="45" w:name="_Toc21689"/>
      <w:bookmarkStart w:id="46" w:name="_Toc18833"/>
      <w:bookmarkStart w:id="47" w:name="_Toc26599"/>
      <w:bookmarkStart w:id="48" w:name="_Toc13355"/>
      <w:r>
        <w:rPr>
          <w:rFonts w:ascii="Times New Roman" w:hAnsi="Times New Roman" w:cs="Times New Roman"/>
          <w:color w:val="000000" w:themeColor="text1"/>
          <w:kern w:val="0"/>
          <w:szCs w:val="30"/>
          <w14:textFill>
            <w14:solidFill>
              <w14:schemeClr w14:val="tx1"/>
            </w14:solidFill>
          </w14:textFill>
        </w:rPr>
        <w:t>2.1 编制依据</w:t>
      </w:r>
      <w:bookmarkEnd w:id="44"/>
      <w:bookmarkEnd w:id="45"/>
      <w:bookmarkEnd w:id="46"/>
      <w:bookmarkEnd w:id="47"/>
      <w:bookmarkEnd w:id="48"/>
    </w:p>
    <w:p>
      <w:pPr>
        <w:pStyle w:val="6"/>
        <w:spacing w:line="413" w:lineRule="auto"/>
        <w:rPr>
          <w:rFonts w:ascii="Times New Roman" w:hAnsi="Times New Roman" w:cs="Times New Roman"/>
          <w:color w:val="000000" w:themeColor="text1"/>
          <w14:textFill>
            <w14:solidFill>
              <w14:schemeClr w14:val="tx1"/>
            </w14:solidFill>
          </w14:textFill>
        </w:rPr>
      </w:pPr>
      <w:bookmarkStart w:id="49" w:name="_Toc16218"/>
      <w:bookmarkStart w:id="50" w:name="_Toc15162"/>
      <w:bookmarkStart w:id="51" w:name="_Toc32557"/>
      <w:r>
        <w:rPr>
          <w:rFonts w:ascii="Times New Roman" w:hAnsi="Times New Roman" w:cs="Times New Roman"/>
          <w:color w:val="000000" w:themeColor="text1"/>
          <w14:textFill>
            <w14:solidFill>
              <w14:schemeClr w14:val="tx1"/>
            </w14:solidFill>
          </w14:textFill>
        </w:rPr>
        <w:t>2.1.1 法律法规</w:t>
      </w:r>
      <w:bookmarkEnd w:id="49"/>
      <w:bookmarkEnd w:id="50"/>
      <w:bookmarkEnd w:id="5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（1）《中华人民共和国环境保护法》（2015年1月1日施行）；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（2）《中华人民共和国环境影响评价法》（2018年12月29日修订实施）；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（3）《中华人民共和国大气污染防治法》（2018年10月26日修订实施）；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（4）《中华人民共和国水污染防治法》（2018年1月1日施行）；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（5）《中华人民共和国环境噪声污染防治法》（2018年12月29日修订实施）；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（6）《中华人民共和国固体废物污染环境防治法》（2020年4月29日修订，2020年9月1日起实施）；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（7）《中华人民共和国土壤污染防治法》（中华人民共和国主席令（第八号），2018年8月31日通过，2019年1月1日施行）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（8）《中华人民共和国清洁生产促进法》（2012年7月1日修订）；</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（9）《中华人民共和国循环经济促进法》（2018年10月26日修订）；</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（10）《中华人民共和国节约能源法》（2008年4月1日施行）；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（11）《中华人民共和国水土保持法》（2011年3月1日修订施行）；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（12）《中华人民共和国安全生产法》（2014年12月1日起施行）；</w:t>
      </w:r>
    </w:p>
    <w:p>
      <w:pPr>
        <w:spacing w:line="520" w:lineRule="exact"/>
        <w:rPr>
          <w:rFonts w:ascii="Times New Roman" w:hAnsi="Times New Roman" w:cs="Times New Roman"/>
          <w:color w:val="000000" w:themeColor="text1"/>
          <w14:textFill>
            <w14:solidFill>
              <w14:schemeClr w14:val="tx1"/>
            </w14:solidFill>
          </w14:textFill>
        </w:rPr>
      </w:pPr>
      <w:bookmarkStart w:id="52" w:name="_Toc5674"/>
      <w:r>
        <w:rPr>
          <w:rFonts w:ascii="Times New Roman" w:hAnsi="Times New Roman" w:cs="Times New Roman"/>
          <w:color w:val="000000" w:themeColor="text1"/>
          <w14:textFill>
            <w14:solidFill>
              <w14:schemeClr w14:val="tx1"/>
            </w14:solidFill>
          </w14:textFill>
        </w:rPr>
        <w:t>（13）《建设项目环境保护管理条例》（国务院令第682号，2017年10月1日起实施）。</w:t>
      </w:r>
    </w:p>
    <w:p>
      <w:pPr>
        <w:pStyle w:val="6"/>
        <w:spacing w:line="413" w:lineRule="auto"/>
        <w:rPr>
          <w:rFonts w:ascii="Times New Roman" w:hAnsi="Times New Roman" w:cs="Times New Roman"/>
          <w:color w:val="000000" w:themeColor="text1"/>
          <w14:textFill>
            <w14:solidFill>
              <w14:schemeClr w14:val="tx1"/>
            </w14:solidFill>
          </w14:textFill>
        </w:rPr>
      </w:pPr>
      <w:bookmarkStart w:id="53" w:name="_Toc28633"/>
      <w:bookmarkStart w:id="54" w:name="_Toc32183"/>
      <w:r>
        <w:rPr>
          <w:rFonts w:ascii="Times New Roman" w:hAnsi="Times New Roman" w:cs="Times New Roman"/>
          <w:color w:val="000000" w:themeColor="text1"/>
          <w14:textFill>
            <w14:solidFill>
              <w14:schemeClr w14:val="tx1"/>
            </w14:solidFill>
          </w14:textFill>
        </w:rPr>
        <w:t>2.1.2 规章政策</w:t>
      </w:r>
      <w:bookmarkEnd w:id="52"/>
      <w:bookmarkEnd w:id="53"/>
      <w:bookmarkEnd w:id="5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（1）《建设项目环境保护管理条例》（国务院令682号，2017年10月1日施行）；</w:t>
      </w:r>
    </w:p>
    <w:p>
      <w:pPr>
        <w:spacing w:line="520" w:lineRule="exact"/>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（2）《环境影响评价公众参与办法》（2019年1月1日起施行）</w:t>
      </w:r>
      <w:r>
        <w:rPr>
          <w:rFonts w:hint="eastAsia" w:ascii="Times New Roman" w:hAnsi="Times New Roman" w:cs="Times New Roman"/>
          <w:color w:val="000000" w:themeColor="text1"/>
          <w:lang w:eastAsia="zh-CN"/>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（3）《产业结构调整指导目录（2019年本）》（国家发展和改革委员会令29号）；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（4）《国务院关于加强环境保护重点工作的意见》（国发〔2011〕35号，2011年10月）；</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（5）《建设项目环境影响评价分类管理名录（2021年版）》（生态环境部部令第16号）；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（6）《关于进一步加强环境保护信息公开工作的通知》（环办〔2012〕134号）；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（7）《关于进一步加强环境影响评价管理防范环境风险的通知》（环办〔2012〕77号）；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（8）《关于切实加强风险防范严格环境影响评价管理的通知》（环办〔2012〕98号）；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（9）《畜禽规模养殖污染物防治条例》（国务院第643号令，2014年1月1日）；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（10）《环境保护部农业部关于进一步加强畜禽养殖污染防治工作的通知》（环水体〔2016〕144号）；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（11）《国务院办公厅关于加快推进畜禽养殖废弃物资源化利用的意见》（国办发〔2017〕48号）；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（12）《畜禽养殖业污染防治管理办法》（国家环境保护总局第9号）；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（13）《生态环境部办公厅关于进一步做好当前生猪规模养殖环评管理相关工作的通知》（环办环评函〔2019〕872号）</w:t>
      </w:r>
      <w:r>
        <w:rPr>
          <w:rFonts w:hint="eastAsia" w:ascii="Times New Roman" w:hAnsi="Times New Roman" w:cs="Times New Roman"/>
          <w:color w:val="000000" w:themeColor="text1"/>
          <w:lang w:eastAsia="zh-CN"/>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bookmarkStart w:id="55" w:name="_Toc209"/>
      <w:r>
        <w:rPr>
          <w:rFonts w:ascii="Times New Roman" w:hAnsi="Times New Roman" w:cs="Times New Roman"/>
          <w:color w:val="000000" w:themeColor="text1"/>
          <w14:textFill>
            <w14:solidFill>
              <w14:schemeClr w14:val="tx1"/>
            </w14:solidFill>
          </w14:textFill>
        </w:rPr>
        <w:t>（14）《生态环境部关于统筹做好疫情防控和经济社会发展生态环保工作的指导意见》（环综合〔2020〕13号）；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（15）《国土资源部、农业部关于进一步支持设施农业健康发展的通知》（国土资发〔2014〕127号）；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（16）《新疆维吾尔自治区环境保护条例》（2018年9月21日修正）；</w:t>
      </w:r>
    </w:p>
    <w:p>
      <w:pPr>
        <w:pStyle w:val="6"/>
        <w:spacing w:line="413" w:lineRule="auto"/>
        <w:rPr>
          <w:rFonts w:ascii="Times New Roman" w:hAnsi="Times New Roman" w:cs="Times New Roman"/>
          <w:color w:val="000000" w:themeColor="text1"/>
          <w14:textFill>
            <w14:solidFill>
              <w14:schemeClr w14:val="tx1"/>
            </w14:solidFill>
          </w14:textFill>
        </w:rPr>
      </w:pPr>
      <w:bookmarkStart w:id="56" w:name="_Toc3822"/>
      <w:bookmarkStart w:id="57" w:name="_Toc30733"/>
      <w:r>
        <w:rPr>
          <w:rFonts w:ascii="Times New Roman" w:hAnsi="Times New Roman" w:cs="Times New Roman"/>
          <w:color w:val="000000" w:themeColor="text1"/>
          <w14:textFill>
            <w14:solidFill>
              <w14:schemeClr w14:val="tx1"/>
            </w14:solidFill>
          </w14:textFill>
        </w:rPr>
        <w:t>2.1.3 技术导则与规范</w:t>
      </w:r>
      <w:bookmarkEnd w:id="55"/>
      <w:bookmarkEnd w:id="56"/>
      <w:bookmarkEnd w:id="5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（1）《建设项目环境影响评价技术导则·总纲》（HJ2.1-2016）；</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（2）《环境影响评价技术导则·大气环境》（HJ2.2-2018）；</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（3）《环境影响评价技术导则·地表水环境》（HJ2.3-2018）；</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（4）《环境影响评价技术导则·地下水环境》（HJ610-2016）；</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（5）《环境影响评价技术导则·声环境》（HJ2.4-2009）；</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（6）《环境影响评价技术导则·生态影响》（HJ19-2011）；</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（7）《建设项目环境风险评价技术导则》（HJ/T169-2018）；</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（8）《畜禽养殖业污染治理工程技术规范》（HJ497-2009）；</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bookmarkStart w:id="58" w:name="_Toc6662"/>
      <w:r>
        <w:rPr>
          <w:rFonts w:ascii="Times New Roman" w:hAnsi="Times New Roman" w:cs="Times New Roman"/>
          <w:color w:val="000000" w:themeColor="text1"/>
          <w14:textFill>
            <w14:solidFill>
              <w14:schemeClr w14:val="tx1"/>
            </w14:solidFill>
          </w14:textFill>
        </w:rPr>
        <w:t>《畜禽粪便无害化处理技术规范》（GB/T36195-2018）；</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（10）《畜禽养殖业污染物排放标准》（GB18596-2001）；</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（11）《畜禽养殖产地环境评价规范》（HJ568-2010）；</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（12）《畜禽粪污土地承载力测算技术指南》（农办牧〔2018〕1号）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（13）《规模畜禽养殖场污染防治最佳可行性技术指南》（HJ-BAT-10）；</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（14）《畜禽养殖禁养区划定技术指南》（环办水体〔2016〕99号）；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（15）《病死及病害动物无害化处理技术规范》（农医发〔2017〕25号）；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（16）《畜禽粪污资源化利用行动方案（2017-2020年）》（农牧发〔2017〕11号）；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（17）《畜禽规模养殖场粪污资源化利用设施建设规范（试行）》（农办牧〔2018〕2号）；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（18）《排污许可申请与核发技术规范 总则》（HJ 942-2018）；</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（19）《排污单位环境管理台账及排许可证报告技术规范 总则》（试行）；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（20）《排污许可证申请与核发技术规范——畜禽养殖业》（HJ 1029-2019）；</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（21）《畜禽粪便还田技术规范》（GB/T25246-2010）；</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（22）《畜禽粪便农田利用环境影响评价准则》（GB/T 26622-2011）</w:t>
      </w:r>
      <w:r>
        <w:rPr>
          <w:rFonts w:hint="eastAsia" w:ascii="Times New Roman" w:hAnsi="Times New Roman" w:cs="Times New Roman"/>
          <w:color w:val="000000" w:themeColor="text1"/>
          <w14:textFill>
            <w14:solidFill>
              <w14:schemeClr w14:val="tx1"/>
            </w14:solidFill>
          </w14:textFill>
        </w:rPr>
        <w:t>。</w:t>
      </w:r>
    </w:p>
    <w:p>
      <w:pPr>
        <w:pStyle w:val="6"/>
        <w:spacing w:line="413" w:lineRule="auto"/>
        <w:rPr>
          <w:rFonts w:ascii="Times New Roman" w:hAnsi="Times New Roman" w:cs="Times New Roman"/>
          <w:color w:val="000000" w:themeColor="text1"/>
          <w14:textFill>
            <w14:solidFill>
              <w14:schemeClr w14:val="tx1"/>
            </w14:solidFill>
          </w14:textFill>
        </w:rPr>
      </w:pPr>
      <w:bookmarkStart w:id="59" w:name="_Toc8939"/>
      <w:bookmarkStart w:id="60" w:name="_Toc13302"/>
      <w:r>
        <w:rPr>
          <w:rFonts w:ascii="Times New Roman" w:hAnsi="Times New Roman" w:cs="Times New Roman"/>
          <w:color w:val="000000" w:themeColor="text1"/>
          <w14:textFill>
            <w14:solidFill>
              <w14:schemeClr w14:val="tx1"/>
            </w14:solidFill>
          </w14:textFill>
        </w:rPr>
        <w:t>2.1.4 项目相关资料</w:t>
      </w:r>
      <w:bookmarkEnd w:id="58"/>
      <w:bookmarkEnd w:id="59"/>
      <w:bookmarkEnd w:id="6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（1）《新疆昌吉国家农业科技园区总体规划》（2017-2030年）；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昌吉州泰昆农牧科技有限公司</w:t>
      </w:r>
      <w:r>
        <w:rPr>
          <w:rFonts w:ascii="Times New Roman" w:hAnsi="Times New Roman" w:cs="Times New Roman"/>
          <w:color w:val="000000" w:themeColor="text1"/>
          <w14:textFill>
            <w14:solidFill>
              <w14:schemeClr w14:val="tx1"/>
            </w14:solidFill>
          </w14:textFill>
        </w:rPr>
        <w:t>泰昆农牧年出栏20万头商品猪建设项目环境影响评价工作委托书》（2021年4月）；</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（3）《关于</w:t>
      </w:r>
      <w:r>
        <w:rPr>
          <w:rFonts w:hint="eastAsia" w:ascii="Times New Roman" w:hAnsi="Times New Roman" w:cs="Times New Roman"/>
          <w:color w:val="000000" w:themeColor="text1"/>
          <w14:textFill>
            <w14:solidFill>
              <w14:schemeClr w14:val="tx1"/>
            </w14:solidFill>
          </w14:textFill>
        </w:rPr>
        <w:t>昌吉州泰昆农牧科技有限公司</w:t>
      </w:r>
      <w:r>
        <w:rPr>
          <w:rFonts w:ascii="Times New Roman" w:hAnsi="Times New Roman" w:cs="Times New Roman"/>
          <w:color w:val="000000" w:themeColor="text1"/>
          <w14:textFill>
            <w14:solidFill>
              <w14:schemeClr w14:val="tx1"/>
            </w14:solidFill>
          </w14:textFill>
        </w:rPr>
        <w:t>年出栏20万头商品猪建设项目备案的通知》（昌农科经字〔2021〕21号）</w:t>
      </w:r>
      <w:r>
        <w:rPr>
          <w:rFonts w:hint="eastAsia" w:ascii="Times New Roman" w:hAnsi="Times New Roman" w:cs="Times New Roman"/>
          <w:color w:val="000000" w:themeColor="text1"/>
          <w:lang w:eastAsia="zh-CN"/>
          <w14:textFill>
            <w14:solidFill>
              <w14:schemeClr w14:val="tx1"/>
            </w14:solidFill>
          </w14:textFill>
        </w:rPr>
        <w:t>。</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61" w:name="_Toc18593"/>
      <w:bookmarkStart w:id="62" w:name="_Toc9847"/>
      <w:bookmarkStart w:id="63" w:name="_Toc32068"/>
      <w:bookmarkStart w:id="64" w:name="_Toc3990"/>
      <w:bookmarkStart w:id="65" w:name="_Toc30416"/>
      <w:r>
        <w:rPr>
          <w:rFonts w:ascii="Times New Roman" w:hAnsi="Times New Roman" w:cs="Times New Roman"/>
          <w:color w:val="000000" w:themeColor="text1"/>
          <w:kern w:val="0"/>
          <w:szCs w:val="30"/>
          <w14:textFill>
            <w14:solidFill>
              <w14:schemeClr w14:val="tx1"/>
            </w14:solidFill>
          </w14:textFill>
        </w:rPr>
        <w:t>2.2 评价目的与导则</w:t>
      </w:r>
      <w:bookmarkEnd w:id="61"/>
      <w:bookmarkEnd w:id="62"/>
      <w:bookmarkEnd w:id="63"/>
      <w:bookmarkEnd w:id="64"/>
      <w:bookmarkEnd w:id="65"/>
    </w:p>
    <w:p>
      <w:pPr>
        <w:pStyle w:val="6"/>
        <w:spacing w:line="413" w:lineRule="auto"/>
        <w:rPr>
          <w:rFonts w:ascii="Times New Roman" w:hAnsi="Times New Roman" w:cs="Times New Roman"/>
          <w:color w:val="000000" w:themeColor="text1"/>
          <w14:textFill>
            <w14:solidFill>
              <w14:schemeClr w14:val="tx1"/>
            </w14:solidFill>
          </w14:textFill>
        </w:rPr>
      </w:pPr>
      <w:bookmarkStart w:id="66" w:name="_Toc24789"/>
      <w:bookmarkStart w:id="67" w:name="_Toc17741"/>
      <w:bookmarkStart w:id="68" w:name="_Toc28887"/>
      <w:r>
        <w:rPr>
          <w:rFonts w:ascii="Times New Roman" w:hAnsi="Times New Roman" w:cs="Times New Roman"/>
          <w:color w:val="000000" w:themeColor="text1"/>
          <w14:textFill>
            <w14:solidFill>
              <w14:schemeClr w14:val="tx1"/>
            </w14:solidFill>
          </w14:textFill>
        </w:rPr>
        <w:t>2.2.1 评价目的</w:t>
      </w:r>
      <w:bookmarkEnd w:id="66"/>
      <w:bookmarkEnd w:id="67"/>
      <w:bookmarkEnd w:id="6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项目建设带来的环境问题来自于施工期和运营期。为进一步降低项目建设和运营过程中排污对周围环境的影响，本次评价将针对项目可能产生的环境问题，结合项目的特点，以达到以下目的</w:t>
      </w:r>
      <w:r>
        <w:rPr>
          <w:rFonts w:hint="eastAsia"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通过现状调查，分析本设项目的环境影响因素，通过预测和类比分析项目建设的环境影响程度与范围；</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通过本项目的工程分析，掌握项目特点和污染特征，通过调研、监测等手段，弄清“三废”的排放节点，分析营运过程中的污染物排放种类及排放源强，核算项目建成后污染物排放量；</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根据工程排污特点，通过类比调查与分析研究，论证污染防治措施的可行性，进行环境经济损益分析；</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从环保角度论证本项目建设的可行性，为项目环保措施的设计与实施，以及投产运行后的环境管理等提供科学依据。</w:t>
      </w:r>
    </w:p>
    <w:p>
      <w:pPr>
        <w:pStyle w:val="6"/>
        <w:spacing w:line="413" w:lineRule="auto"/>
        <w:rPr>
          <w:rFonts w:ascii="Times New Roman" w:hAnsi="Times New Roman" w:cs="Times New Roman"/>
          <w:color w:val="000000" w:themeColor="text1"/>
          <w14:textFill>
            <w14:solidFill>
              <w14:schemeClr w14:val="tx1"/>
            </w14:solidFill>
          </w14:textFill>
        </w:rPr>
      </w:pPr>
      <w:bookmarkStart w:id="69" w:name="_Toc2078"/>
      <w:bookmarkStart w:id="70" w:name="_Toc32152"/>
      <w:bookmarkStart w:id="71" w:name="_Toc4900"/>
      <w:r>
        <w:rPr>
          <w:rFonts w:ascii="Times New Roman" w:hAnsi="Times New Roman" w:cs="Times New Roman"/>
          <w:color w:val="000000" w:themeColor="text1"/>
          <w14:textFill>
            <w14:solidFill>
              <w14:schemeClr w14:val="tx1"/>
            </w14:solidFill>
          </w14:textFill>
        </w:rPr>
        <w:t>2.2.2 评价原则</w:t>
      </w:r>
      <w:bookmarkEnd w:id="69"/>
      <w:bookmarkEnd w:id="70"/>
      <w:bookmarkEnd w:id="7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突出环境影响评价的源头预防作用，坚持保护和改善环境质量。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（1）依法评价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贯彻执行我国环境保护相关法律法规、标准、政策和规划等，优化项目建设，服务环境管理。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（2）科学评价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规范环境影响评价方法，科学分析项目建设对环境质量的影响。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（3）突出重点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根据建设项目的工程内容及其特点，明确与环境要素间的作用效应关系，根据规划环境影响评价结论和审查意见，充分利用符合时效的数据资料及成果，对建设项目主要环境予以重点分析和评价。</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72" w:name="_Toc24300"/>
      <w:bookmarkStart w:id="73" w:name="_Toc22576"/>
      <w:bookmarkStart w:id="74" w:name="_Toc24345"/>
      <w:bookmarkStart w:id="75" w:name="_Toc1565"/>
      <w:bookmarkStart w:id="76" w:name="_Toc15838"/>
      <w:r>
        <w:rPr>
          <w:rFonts w:ascii="Times New Roman" w:hAnsi="Times New Roman" w:cs="Times New Roman"/>
          <w:color w:val="000000" w:themeColor="text1"/>
          <w:kern w:val="0"/>
          <w:szCs w:val="30"/>
          <w14:textFill>
            <w14:solidFill>
              <w14:schemeClr w14:val="tx1"/>
            </w14:solidFill>
          </w14:textFill>
        </w:rPr>
        <w:t xml:space="preserve">2.3 </w:t>
      </w:r>
      <w:r>
        <w:rPr>
          <w:rFonts w:ascii="Times New Roman" w:hAnsi="Times New Roman" w:cs="Times New Roman"/>
          <w:color w:val="000000" w:themeColor="text1"/>
          <w14:textFill>
            <w14:solidFill>
              <w14:schemeClr w14:val="tx1"/>
            </w14:solidFill>
          </w14:textFill>
        </w:rPr>
        <w:t>工程环境影响因素分析</w:t>
      </w:r>
      <w:bookmarkEnd w:id="72"/>
      <w:bookmarkEnd w:id="73"/>
      <w:bookmarkEnd w:id="74"/>
      <w:bookmarkEnd w:id="75"/>
      <w:bookmarkEnd w:id="7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合考虑项目的性质、工程特点、实施阶段（施工期、运营期）及其所处区域的环境特征，识别出可能对自然环境、社会环境和生活质量产生影响的因子，并确定其影响性质时间、范围和影响程度等，为筛选评价因子及确定评价重点提供依据。本项目环境影响因素详见表2.3-1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表2.3-1   项目环境影响因素统计表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677"/>
        <w:gridCol w:w="818"/>
        <w:gridCol w:w="815"/>
        <w:gridCol w:w="815"/>
        <w:gridCol w:w="819"/>
        <w:gridCol w:w="793"/>
        <w:gridCol w:w="796"/>
        <w:gridCol w:w="751"/>
        <w:gridCol w:w="838"/>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gridSpan w:val="2"/>
            <w:vMerge w:val="restar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环境要素开发活动</w:t>
            </w:r>
          </w:p>
        </w:tc>
        <w:tc>
          <w:tcPr>
            <w:tcW w:w="3378" w:type="dxa"/>
            <w:gridSpan w:val="4"/>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自然环境</w:t>
            </w:r>
          </w:p>
        </w:tc>
        <w:tc>
          <w:tcPr>
            <w:tcW w:w="2342" w:type="dxa"/>
            <w:gridSpan w:val="3"/>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生态环境</w:t>
            </w:r>
          </w:p>
        </w:tc>
        <w:tc>
          <w:tcPr>
            <w:tcW w:w="1390" w:type="dxa"/>
            <w:gridSpan w:val="2"/>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社会经济环境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gridSpan w:val="2"/>
            <w:vMerge w:val="continue"/>
            <w:vAlign w:val="center"/>
          </w:tcPr>
          <w:p>
            <w:pPr>
              <w:pStyle w:val="40"/>
              <w:rPr>
                <w:rFonts w:ascii="Times New Roman" w:hAnsi="Times New Roman" w:cs="Times New Roman"/>
                <w:b/>
                <w:bCs/>
                <w:color w:val="000000" w:themeColor="text1"/>
                <w:szCs w:val="21"/>
                <w14:textFill>
                  <w14:solidFill>
                    <w14:schemeClr w14:val="tx1"/>
                  </w14:solidFill>
                </w14:textFill>
              </w:rPr>
            </w:pPr>
          </w:p>
        </w:tc>
        <w:tc>
          <w:tcPr>
            <w:tcW w:w="847" w:type="dxa"/>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环境空气</w:t>
            </w:r>
          </w:p>
        </w:tc>
        <w:tc>
          <w:tcPr>
            <w:tcW w:w="842" w:type="dxa"/>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水环境</w:t>
            </w:r>
          </w:p>
        </w:tc>
        <w:tc>
          <w:tcPr>
            <w:tcW w:w="840" w:type="dxa"/>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声环境</w:t>
            </w:r>
          </w:p>
        </w:tc>
        <w:tc>
          <w:tcPr>
            <w:tcW w:w="849" w:type="dxa"/>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固体废物</w:t>
            </w:r>
          </w:p>
        </w:tc>
        <w:tc>
          <w:tcPr>
            <w:tcW w:w="799" w:type="dxa"/>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植被</w:t>
            </w:r>
          </w:p>
        </w:tc>
        <w:tc>
          <w:tcPr>
            <w:tcW w:w="805" w:type="dxa"/>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城市景观</w:t>
            </w:r>
          </w:p>
        </w:tc>
        <w:tc>
          <w:tcPr>
            <w:tcW w:w="738" w:type="dxa"/>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水土流失</w:t>
            </w:r>
          </w:p>
        </w:tc>
        <w:tc>
          <w:tcPr>
            <w:tcW w:w="821" w:type="dxa"/>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就业</w:t>
            </w:r>
          </w:p>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机会</w:t>
            </w:r>
          </w:p>
        </w:tc>
        <w:tc>
          <w:tcPr>
            <w:tcW w:w="0" w:type="auto"/>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人均</w:t>
            </w:r>
          </w:p>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dxa"/>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施工期</w:t>
            </w:r>
          </w:p>
        </w:tc>
        <w:tc>
          <w:tcPr>
            <w:tcW w:w="707"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土建工程</w:t>
            </w:r>
          </w:p>
        </w:tc>
        <w:tc>
          <w:tcPr>
            <w:tcW w:w="847"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c>
          <w:tcPr>
            <w:tcW w:w="842"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840"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c>
          <w:tcPr>
            <w:tcW w:w="849"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99"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805"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38"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c>
          <w:tcPr>
            <w:tcW w:w="821"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0" w:type="auto"/>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dxa"/>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07"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施工机械</w:t>
            </w:r>
          </w:p>
        </w:tc>
        <w:tc>
          <w:tcPr>
            <w:tcW w:w="847"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c>
          <w:tcPr>
            <w:tcW w:w="842"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840"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c>
          <w:tcPr>
            <w:tcW w:w="849"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99"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c>
          <w:tcPr>
            <w:tcW w:w="805"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c>
          <w:tcPr>
            <w:tcW w:w="738"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821"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0" w:type="auto"/>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运营期</w:t>
            </w:r>
          </w:p>
        </w:tc>
        <w:tc>
          <w:tcPr>
            <w:tcW w:w="707"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生产过程</w:t>
            </w:r>
          </w:p>
        </w:tc>
        <w:tc>
          <w:tcPr>
            <w:tcW w:w="847"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-1L</w:t>
            </w:r>
          </w:p>
        </w:tc>
        <w:tc>
          <w:tcPr>
            <w:tcW w:w="842"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-1L</w:t>
            </w:r>
          </w:p>
        </w:tc>
        <w:tc>
          <w:tcPr>
            <w:tcW w:w="840"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-1L</w:t>
            </w:r>
          </w:p>
        </w:tc>
        <w:tc>
          <w:tcPr>
            <w:tcW w:w="849"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-1L</w:t>
            </w:r>
          </w:p>
        </w:tc>
        <w:tc>
          <w:tcPr>
            <w:tcW w:w="799"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-1L</w:t>
            </w:r>
          </w:p>
        </w:tc>
        <w:tc>
          <w:tcPr>
            <w:tcW w:w="805"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-1L</w:t>
            </w:r>
          </w:p>
        </w:tc>
        <w:tc>
          <w:tcPr>
            <w:tcW w:w="738" w:type="dxa"/>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821" w:type="dxa"/>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+1L</w:t>
            </w:r>
          </w:p>
        </w:tc>
        <w:tc>
          <w:tcPr>
            <w:tcW w:w="0" w:type="auto"/>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11"/>
            <w:vAlign w:val="center"/>
          </w:tcPr>
          <w:p>
            <w:pPr>
              <w:pStyle w:val="40"/>
              <w:ind w:firstLine="420" w:firstLineChars="20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注：（1）“1”表示轻微影响；“2”表示中等影响；“3”表示重大影响；（2）“+”表示有利影响；“-”表示不利影响；（3）“S”表示可逆影响；“L”表示不可逆影响；</w:t>
            </w:r>
          </w:p>
        </w:tc>
      </w:tr>
    </w:tbl>
    <w:p>
      <w:pPr>
        <w:pStyle w:val="6"/>
        <w:spacing w:line="413" w:lineRule="auto"/>
        <w:rPr>
          <w:rFonts w:ascii="Times New Roman" w:hAnsi="Times New Roman" w:cs="Times New Roman"/>
          <w:color w:val="000000" w:themeColor="text1"/>
          <w14:textFill>
            <w14:solidFill>
              <w14:schemeClr w14:val="tx1"/>
            </w14:solidFill>
          </w14:textFill>
        </w:rPr>
      </w:pPr>
      <w:bookmarkStart w:id="77" w:name="_Toc15989"/>
      <w:bookmarkStart w:id="78" w:name="_Toc10429"/>
      <w:bookmarkStart w:id="79" w:name="_Toc23402"/>
      <w:r>
        <w:rPr>
          <w:rFonts w:ascii="Times New Roman" w:hAnsi="Times New Roman" w:cs="Times New Roman"/>
          <w:color w:val="000000" w:themeColor="text1"/>
          <w14:textFill>
            <w14:solidFill>
              <w14:schemeClr w14:val="tx1"/>
            </w14:solidFill>
          </w14:textFill>
        </w:rPr>
        <w:t>2.3.1 施工期环境影响因素分析</w:t>
      </w:r>
      <w:bookmarkEnd w:id="77"/>
      <w:bookmarkEnd w:id="78"/>
      <w:bookmarkEnd w:id="7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期的施工活动主要包括20栋猪舍、办公楼、内勤宿舍等修建、设备安装，辅助设施，地面硬化等。施工过程中将产生粉尘、噪声和生活污水以及建筑、生活垃圾等。根据建设方提供的资料，施工人员平均每天40人，有效施工期按照330天计算，施工期相关污染源依此进行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项目施工期对环境的影响很大程度上取决于工程特点、施工季节以及工程所处的地形、地貌等环境因素，经分析，施工期环境影响因素识别见表2.3-2。</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表2.3-2   施工期主要环境影响因素识别</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154"/>
        <w:gridCol w:w="4533"/>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2"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序号</w:t>
            </w:r>
          </w:p>
        </w:tc>
        <w:tc>
          <w:tcPr>
            <w:tcW w:w="677"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环境要素</w:t>
            </w:r>
          </w:p>
        </w:tc>
        <w:tc>
          <w:tcPr>
            <w:tcW w:w="2660"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产生影响的主要内容</w:t>
            </w:r>
          </w:p>
        </w:tc>
        <w:tc>
          <w:tcPr>
            <w:tcW w:w="1250"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主要影响因素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677"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环境空气</w:t>
            </w:r>
          </w:p>
        </w:tc>
        <w:tc>
          <w:tcPr>
            <w:tcW w:w="2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土地平整、挖掘、土石方、建材储运、使用</w:t>
            </w:r>
          </w:p>
        </w:tc>
        <w:tc>
          <w:tcPr>
            <w:tcW w:w="125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67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2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施工车辆尾气</w:t>
            </w:r>
          </w:p>
        </w:tc>
        <w:tc>
          <w:tcPr>
            <w:tcW w:w="125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CO、HC、NO</w:t>
            </w:r>
            <w:r>
              <w:rPr>
                <w:rFonts w:ascii="Times New Roman" w:hAnsi="Times New Roman" w:cs="Times New Roman"/>
                <w:color w:val="000000" w:themeColor="text1"/>
                <w:szCs w:val="21"/>
                <w:vertAlign w:val="subscript"/>
                <w14:textFill>
                  <w14:solidFill>
                    <w14:schemeClr w14:val="tx1"/>
                  </w14:solidFill>
                </w14:textFill>
              </w:rPr>
              <w:t>X</w:t>
            </w: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677"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水环境</w:t>
            </w:r>
          </w:p>
        </w:tc>
        <w:tc>
          <w:tcPr>
            <w:tcW w:w="2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施工人员生活废水、施工废水等</w:t>
            </w:r>
          </w:p>
        </w:tc>
        <w:tc>
          <w:tcPr>
            <w:tcW w:w="125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COD</w:t>
            </w:r>
            <w:r>
              <w:rPr>
                <w:rFonts w:hint="eastAsia" w:ascii="Times New Roman" w:hAnsi="Times New Roman" w:cs="Times New Roman"/>
                <w:color w:val="000000" w:themeColor="text1"/>
                <w:szCs w:val="21"/>
                <w:vertAlign w:val="subscript"/>
                <w14:textFill>
                  <w14:solidFill>
                    <w14:schemeClr w14:val="tx1"/>
                  </w14:solidFill>
                </w14:textFill>
              </w:rPr>
              <w:t>Cr</w:t>
            </w:r>
            <w:r>
              <w:rPr>
                <w:rFonts w:ascii="Times New Roman" w:hAnsi="Times New Roman" w:cs="Times New Roman"/>
                <w:color w:val="000000" w:themeColor="text1"/>
                <w:szCs w:val="21"/>
                <w14:textFill>
                  <w14:solidFill>
                    <w14:schemeClr w14:val="tx1"/>
                  </w14:solidFill>
                </w14:textFill>
              </w:rPr>
              <w:t>、BOD</w:t>
            </w:r>
            <w:r>
              <w:rPr>
                <w:rFonts w:ascii="Times New Roman" w:hAnsi="Times New Roman" w:cs="Times New Roman"/>
                <w:color w:val="000000" w:themeColor="text1"/>
                <w:szCs w:val="21"/>
                <w:vertAlign w:val="subscript"/>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677"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声环境</w:t>
            </w:r>
          </w:p>
        </w:tc>
        <w:tc>
          <w:tcPr>
            <w:tcW w:w="2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施工机械、车辆作业噪声</w:t>
            </w:r>
          </w:p>
        </w:tc>
        <w:tc>
          <w:tcPr>
            <w:tcW w:w="125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677"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生态环境</w:t>
            </w:r>
          </w:p>
        </w:tc>
        <w:tc>
          <w:tcPr>
            <w:tcW w:w="2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土地平整、挖掘及工程占地</w:t>
            </w:r>
          </w:p>
        </w:tc>
        <w:tc>
          <w:tcPr>
            <w:tcW w:w="125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67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2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土石方、建材堆存</w:t>
            </w:r>
          </w:p>
        </w:tc>
        <w:tc>
          <w:tcPr>
            <w:tcW w:w="125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占压土地</w:t>
            </w:r>
          </w:p>
        </w:tc>
      </w:tr>
    </w:tbl>
    <w:p>
      <w:pPr>
        <w:pStyle w:val="6"/>
        <w:spacing w:line="413" w:lineRule="auto"/>
        <w:rPr>
          <w:rFonts w:ascii="Times New Roman" w:hAnsi="Times New Roman" w:cs="Times New Roman"/>
          <w:color w:val="000000" w:themeColor="text1"/>
          <w14:textFill>
            <w14:solidFill>
              <w14:schemeClr w14:val="tx1"/>
            </w14:solidFill>
          </w14:textFill>
        </w:rPr>
      </w:pPr>
      <w:bookmarkStart w:id="80" w:name="_Toc17863"/>
      <w:bookmarkStart w:id="81" w:name="_Toc12551"/>
      <w:bookmarkStart w:id="82" w:name="_Toc22065"/>
      <w:r>
        <w:rPr>
          <w:rFonts w:ascii="Times New Roman" w:hAnsi="Times New Roman" w:cs="Times New Roman"/>
          <w:color w:val="000000" w:themeColor="text1"/>
          <w14:textFill>
            <w14:solidFill>
              <w14:schemeClr w14:val="tx1"/>
            </w14:solidFill>
          </w14:textFill>
        </w:rPr>
        <w:t>2.3.2 运营期环境影响因素分析</w:t>
      </w:r>
      <w:bookmarkEnd w:id="80"/>
      <w:bookmarkEnd w:id="81"/>
      <w:bookmarkEnd w:id="8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本项目运营期将产生废气、废水、噪声以及固废等污染因素，将相应对厂址周围的环境空气、地下水环境及声环境等产生不同的影响。在生产过程中主要污染源及主要污染物见表2.3-3。</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表2.3-3   运营期主要污染源及主要污染物一览表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154"/>
        <w:gridCol w:w="3845"/>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2" w:type="pct"/>
            <w:vAlign w:val="center"/>
          </w:tcPr>
          <w:p>
            <w:pPr>
              <w:pStyle w:val="40"/>
              <w:rPr>
                <w:rFonts w:ascii="Times New Roman" w:hAnsi="Times New Roman" w:cs="Times New Roman"/>
                <w:b/>
                <w:bCs/>
                <w:color w:val="000000" w:themeColor="text1"/>
                <w:szCs w:val="21"/>
                <w14:textFill>
                  <w14:solidFill>
                    <w14:schemeClr w14:val="tx1"/>
                  </w14:solidFill>
                </w14:textFill>
              </w:rPr>
            </w:pPr>
            <w:bookmarkStart w:id="83" w:name="_Toc10509"/>
            <w:bookmarkStart w:id="84" w:name="_Toc14552_WPSOffice_Level2"/>
            <w:bookmarkStart w:id="85" w:name="_Toc5011"/>
            <w:bookmarkStart w:id="86" w:name="_Toc4067"/>
            <w:bookmarkStart w:id="87" w:name="_Toc5499"/>
            <w:r>
              <w:rPr>
                <w:rFonts w:ascii="Times New Roman" w:hAnsi="Times New Roman" w:cs="Times New Roman"/>
                <w:b/>
                <w:bCs/>
                <w:color w:val="000000" w:themeColor="text1"/>
                <w:szCs w:val="21"/>
                <w14:textFill>
                  <w14:solidFill>
                    <w14:schemeClr w14:val="tx1"/>
                  </w14:solidFill>
                </w14:textFill>
              </w:rPr>
              <w:t>序号</w:t>
            </w:r>
          </w:p>
        </w:tc>
        <w:tc>
          <w:tcPr>
            <w:tcW w:w="677"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环境要素</w:t>
            </w:r>
          </w:p>
        </w:tc>
        <w:tc>
          <w:tcPr>
            <w:tcW w:w="2256"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产生影响的主要内容</w:t>
            </w:r>
          </w:p>
        </w:tc>
        <w:tc>
          <w:tcPr>
            <w:tcW w:w="1654"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主要影响因素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677"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大气环境</w:t>
            </w:r>
          </w:p>
        </w:tc>
        <w:tc>
          <w:tcPr>
            <w:tcW w:w="225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育肥猪养殖</w:t>
            </w:r>
            <w:r>
              <w:rPr>
                <w:rFonts w:ascii="Times New Roman" w:hAnsi="Times New Roman" w:cs="Times New Roman"/>
                <w:color w:val="000000" w:themeColor="text1"/>
                <w:szCs w:val="21"/>
                <w14:textFill>
                  <w14:solidFill>
                    <w14:schemeClr w14:val="tx1"/>
                  </w14:solidFill>
                </w14:textFill>
              </w:rPr>
              <w:t>产生的恶臭</w:t>
            </w:r>
          </w:p>
        </w:tc>
        <w:tc>
          <w:tcPr>
            <w:tcW w:w="1654"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H</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S、NH</w:t>
            </w:r>
            <w:r>
              <w:rPr>
                <w:rFonts w:ascii="Times New Roman" w:hAnsi="Times New Roman" w:cs="Times New Roman"/>
                <w:color w:val="000000" w:themeColor="text1"/>
                <w:szCs w:val="21"/>
                <w:vertAlign w:val="sub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67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225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食堂产生的食堂油烟</w:t>
            </w:r>
          </w:p>
        </w:tc>
        <w:tc>
          <w:tcPr>
            <w:tcW w:w="1654"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食堂油烟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677"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水环境</w:t>
            </w:r>
          </w:p>
        </w:tc>
        <w:tc>
          <w:tcPr>
            <w:tcW w:w="225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育肥猪养殖过程中产生的养殖废水</w:t>
            </w:r>
          </w:p>
        </w:tc>
        <w:tc>
          <w:tcPr>
            <w:tcW w:w="1654"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pH、COD</w:t>
            </w:r>
            <w:r>
              <w:rPr>
                <w:rFonts w:ascii="Times New Roman" w:hAnsi="Times New Roman" w:cs="Times New Roman"/>
                <w:color w:val="000000" w:themeColor="text1"/>
                <w:szCs w:val="21"/>
                <w:vertAlign w:val="subscript"/>
                <w14:textFill>
                  <w14:solidFill>
                    <w14:schemeClr w14:val="tx1"/>
                  </w14:solidFill>
                </w14:textFill>
              </w:rPr>
              <w:t>Cr</w:t>
            </w:r>
            <w:r>
              <w:rPr>
                <w:rFonts w:ascii="Times New Roman" w:hAnsi="Times New Roman" w:cs="Times New Roman"/>
                <w:color w:val="000000" w:themeColor="text1"/>
                <w:szCs w:val="21"/>
                <w14:textFill>
                  <w14:solidFill>
                    <w14:schemeClr w14:val="tx1"/>
                  </w14:solidFill>
                </w14:textFill>
              </w:rPr>
              <w:t>、BOD</w:t>
            </w:r>
            <w:r>
              <w:rPr>
                <w:rFonts w:ascii="Times New Roman" w:hAnsi="Times New Roman" w:cs="Times New Roman"/>
                <w:color w:val="000000" w:themeColor="text1"/>
                <w:szCs w:val="21"/>
                <w:vertAlign w:val="subscript"/>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、SS、NH</w:t>
            </w:r>
            <w:r>
              <w:rPr>
                <w:rFonts w:ascii="Times New Roman" w:hAnsi="Times New Roman" w:cs="Times New Roman"/>
                <w:color w:val="000000" w:themeColor="text1"/>
                <w:szCs w:val="21"/>
                <w:vertAlign w:val="sub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-N、粪大肠菌群、</w:t>
            </w:r>
            <w:r>
              <w:rPr>
                <w:rFonts w:hint="eastAsia" w:ascii="Times New Roman" w:hAnsi="Times New Roman" w:cs="Times New Roman"/>
                <w:color w:val="000000" w:themeColor="text1"/>
                <w:szCs w:val="21"/>
                <w14:textFill>
                  <w14:solidFill>
                    <w14:schemeClr w14:val="tx1"/>
                  </w14:solidFill>
                </w14:textFill>
              </w:rPr>
              <w:t>蛔虫卵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677"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声环境</w:t>
            </w:r>
          </w:p>
        </w:tc>
        <w:tc>
          <w:tcPr>
            <w:tcW w:w="225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猪叫</w:t>
            </w:r>
            <w:r>
              <w:rPr>
                <w:rFonts w:ascii="Times New Roman" w:hAnsi="Times New Roman" w:cs="Times New Roman"/>
                <w:color w:val="000000" w:themeColor="text1"/>
                <w:szCs w:val="21"/>
                <w14:textFill>
                  <w14:solidFill>
                    <w14:schemeClr w14:val="tx1"/>
                  </w14:solidFill>
                </w14:textFill>
              </w:rPr>
              <w:t>噪声、</w:t>
            </w:r>
            <w:r>
              <w:rPr>
                <w:rFonts w:hint="eastAsia" w:ascii="Times New Roman" w:hAnsi="Times New Roman" w:cs="Times New Roman"/>
                <w:color w:val="000000" w:themeColor="text1"/>
                <w:szCs w:val="21"/>
                <w14:textFill>
                  <w14:solidFill>
                    <w14:schemeClr w14:val="tx1"/>
                  </w14:solidFill>
                </w14:textFill>
              </w:rPr>
              <w:t>设备</w:t>
            </w:r>
            <w:r>
              <w:rPr>
                <w:rFonts w:ascii="Times New Roman" w:hAnsi="Times New Roman" w:cs="Times New Roman"/>
                <w:color w:val="000000" w:themeColor="text1"/>
                <w:szCs w:val="21"/>
                <w14:textFill>
                  <w14:solidFill>
                    <w14:schemeClr w14:val="tx1"/>
                  </w14:solidFill>
                </w14:textFill>
              </w:rPr>
              <w:t>运行噪声等</w:t>
            </w:r>
          </w:p>
        </w:tc>
        <w:tc>
          <w:tcPr>
            <w:tcW w:w="1654"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677"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固体废物</w:t>
            </w:r>
          </w:p>
        </w:tc>
        <w:tc>
          <w:tcPr>
            <w:tcW w:w="225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育肥猪养殖过程中产生的猪粪、病死猪及兽用医疗废物</w:t>
            </w:r>
          </w:p>
        </w:tc>
        <w:tc>
          <w:tcPr>
            <w:tcW w:w="1654"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病原微生物、寄生虫</w:t>
            </w:r>
          </w:p>
        </w:tc>
      </w:tr>
    </w:tbl>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88" w:name="_Toc6515"/>
      <w:bookmarkStart w:id="89" w:name="_Toc31696"/>
      <w:bookmarkStart w:id="90" w:name="_Toc1381"/>
      <w:bookmarkStart w:id="91" w:name="_Toc2229"/>
      <w:r>
        <w:rPr>
          <w:rFonts w:ascii="Times New Roman" w:hAnsi="Times New Roman" w:cs="Times New Roman"/>
          <w:color w:val="000000" w:themeColor="text1"/>
          <w:kern w:val="0"/>
          <w:szCs w:val="30"/>
          <w14:textFill>
            <w14:solidFill>
              <w14:schemeClr w14:val="tx1"/>
            </w14:solidFill>
          </w14:textFill>
        </w:rPr>
        <w:t>2.4 评价因子与标准</w:t>
      </w:r>
      <w:bookmarkEnd w:id="83"/>
      <w:bookmarkEnd w:id="84"/>
      <w:bookmarkEnd w:id="85"/>
      <w:bookmarkEnd w:id="86"/>
      <w:bookmarkEnd w:id="87"/>
      <w:bookmarkEnd w:id="88"/>
      <w:bookmarkEnd w:id="89"/>
      <w:bookmarkEnd w:id="90"/>
      <w:bookmarkEnd w:id="91"/>
    </w:p>
    <w:p>
      <w:pPr>
        <w:pStyle w:val="6"/>
        <w:spacing w:line="413" w:lineRule="auto"/>
        <w:rPr>
          <w:rFonts w:ascii="Times New Roman" w:hAnsi="Times New Roman" w:cs="Times New Roman"/>
          <w:color w:val="000000" w:themeColor="text1"/>
          <w14:textFill>
            <w14:solidFill>
              <w14:schemeClr w14:val="tx1"/>
            </w14:solidFill>
          </w14:textFill>
        </w:rPr>
      </w:pPr>
      <w:bookmarkStart w:id="92" w:name="_Toc2109"/>
      <w:bookmarkStart w:id="93" w:name="_Toc2434"/>
      <w:bookmarkStart w:id="94" w:name="_Toc13462"/>
      <w:r>
        <w:rPr>
          <w:rFonts w:ascii="Times New Roman" w:hAnsi="Times New Roman" w:cs="Times New Roman"/>
          <w:color w:val="000000" w:themeColor="text1"/>
          <w14:textFill>
            <w14:solidFill>
              <w14:schemeClr w14:val="tx1"/>
            </w14:solidFill>
          </w14:textFill>
        </w:rPr>
        <w:t>2.4.1 评价因子</w:t>
      </w:r>
      <w:bookmarkEnd w:id="92"/>
      <w:bookmarkEnd w:id="93"/>
      <w:bookmarkEnd w:id="9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根据建设项目特点，结合本</w:t>
      </w:r>
      <w:r>
        <w:rPr>
          <w:rFonts w:hint="eastAsia" w:ascii="Times New Roman" w:hAnsi="Times New Roman" w:cs="Times New Roman"/>
          <w:color w:val="000000" w:themeColor="text1"/>
          <w14:textFill>
            <w14:solidFill>
              <w14:schemeClr w14:val="tx1"/>
            </w14:solidFill>
          </w14:textFill>
        </w:rPr>
        <w:t>项目所在区域的</w:t>
      </w:r>
      <w:r>
        <w:rPr>
          <w:rFonts w:ascii="Times New Roman" w:hAnsi="Times New Roman" w:cs="Times New Roman"/>
          <w:color w:val="000000" w:themeColor="text1"/>
          <w14:textFill>
            <w14:solidFill>
              <w14:schemeClr w14:val="tx1"/>
            </w14:solidFill>
          </w14:textFill>
        </w:rPr>
        <w:t>环境状况，选择对环境影响较大的或特征污染因子确定为评价因子。评价因子筛选结果见表2.4-1。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表2.4-1   评价因子统计表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314"/>
        <w:gridCol w:w="5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65"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环境要素</w:t>
            </w:r>
          </w:p>
        </w:tc>
        <w:tc>
          <w:tcPr>
            <w:tcW w:w="771"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评价类别</w:t>
            </w:r>
          </w:p>
        </w:tc>
        <w:tc>
          <w:tcPr>
            <w:tcW w:w="3463"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分析因子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65"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环境空气</w:t>
            </w: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现状评价</w:t>
            </w:r>
          </w:p>
        </w:tc>
        <w:tc>
          <w:tcPr>
            <w:tcW w:w="346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SO</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、NO</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、PM</w:t>
            </w:r>
            <w:r>
              <w:rPr>
                <w:rFonts w:ascii="Times New Roman" w:hAnsi="Times New Roman" w:cs="Times New Roman"/>
                <w:color w:val="000000" w:themeColor="text1"/>
                <w:szCs w:val="21"/>
                <w:vertAlign w:val="subscript"/>
                <w14:textFill>
                  <w14:solidFill>
                    <w14:schemeClr w14:val="tx1"/>
                  </w14:solidFill>
                </w14:textFill>
              </w:rPr>
              <w:t>10</w:t>
            </w:r>
            <w:r>
              <w:rPr>
                <w:rFonts w:ascii="Times New Roman" w:hAnsi="Times New Roman" w:cs="Times New Roman"/>
                <w:color w:val="000000" w:themeColor="text1"/>
                <w:szCs w:val="21"/>
                <w14:textFill>
                  <w14:solidFill>
                    <w14:schemeClr w14:val="tx1"/>
                  </w14:solidFill>
                </w14:textFill>
              </w:rPr>
              <w:t>、PM</w:t>
            </w:r>
            <w:r>
              <w:rPr>
                <w:rFonts w:ascii="Times New Roman" w:hAnsi="Times New Roman" w:cs="Times New Roman"/>
                <w:color w:val="000000" w:themeColor="text1"/>
                <w:szCs w:val="21"/>
                <w:vertAlign w:val="subscript"/>
                <w14:textFill>
                  <w14:solidFill>
                    <w14:schemeClr w14:val="tx1"/>
                  </w14:solidFill>
                </w14:textFill>
              </w:rPr>
              <w:t>2.5</w:t>
            </w:r>
            <w:r>
              <w:rPr>
                <w:rFonts w:ascii="Times New Roman" w:hAnsi="Times New Roman" w:cs="Times New Roman"/>
                <w:color w:val="000000" w:themeColor="text1"/>
                <w:szCs w:val="21"/>
                <w14:textFill>
                  <w14:solidFill>
                    <w14:schemeClr w14:val="tx1"/>
                  </w14:solidFill>
                </w14:textFill>
              </w:rPr>
              <w:t>、CO、O</w:t>
            </w:r>
            <w:r>
              <w:rPr>
                <w:rFonts w:ascii="Times New Roman" w:hAnsi="Times New Roman" w:cs="Times New Roman"/>
                <w:color w:val="000000" w:themeColor="text1"/>
                <w:szCs w:val="21"/>
                <w:vertAlign w:val="sub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、H</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S、NH</w:t>
            </w:r>
            <w:r>
              <w:rPr>
                <w:rFonts w:ascii="Times New Roman" w:hAnsi="Times New Roman" w:cs="Times New Roman"/>
                <w:color w:val="000000" w:themeColor="text1"/>
                <w:szCs w:val="21"/>
                <w:vertAlign w:val="sub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污染源评价</w:t>
            </w:r>
          </w:p>
        </w:tc>
        <w:tc>
          <w:tcPr>
            <w:tcW w:w="346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NH</w:t>
            </w:r>
            <w:r>
              <w:rPr>
                <w:rFonts w:ascii="Times New Roman" w:hAnsi="Times New Roman" w:cs="Times New Roman"/>
                <w:color w:val="000000" w:themeColor="text1"/>
                <w:szCs w:val="21"/>
                <w:vertAlign w:val="sub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、H</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S</w:t>
            </w:r>
            <w:r>
              <w:rPr>
                <w:rFonts w:hint="eastAsia" w:ascii="Times New Roman" w:hAnsi="Times New Roman" w:cs="Times New Roman"/>
                <w:color w:val="000000" w:themeColor="text1"/>
                <w:szCs w:val="21"/>
                <w14:textFill>
                  <w14:solidFill>
                    <w14:schemeClr w14:val="tx1"/>
                  </w14:solidFill>
                </w14:textFill>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65"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地下水环境</w:t>
            </w: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现状评价</w:t>
            </w:r>
          </w:p>
        </w:tc>
        <w:tc>
          <w:tcPr>
            <w:tcW w:w="346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pH、氨氮、硝酸盐、亚硝酸盐、挥发酚、氰化物、砷、汞、六价铬、总硬度、铅、氟化物、镉、铁、锰、溶解性总固体、高锰酸盐指数、硫酸盐、氯化物、总大肠菌群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污染源评价</w:t>
            </w:r>
          </w:p>
        </w:tc>
        <w:tc>
          <w:tcPr>
            <w:tcW w:w="346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pH、COD</w:t>
            </w:r>
            <w:r>
              <w:rPr>
                <w:rFonts w:ascii="Times New Roman" w:hAnsi="Times New Roman" w:cs="Times New Roman"/>
                <w:color w:val="000000" w:themeColor="text1"/>
                <w:szCs w:val="21"/>
                <w:vertAlign w:val="subscript"/>
                <w14:textFill>
                  <w14:solidFill>
                    <w14:schemeClr w14:val="tx1"/>
                  </w14:solidFill>
                </w14:textFill>
              </w:rPr>
              <w:t>Cr</w:t>
            </w:r>
            <w:r>
              <w:rPr>
                <w:rFonts w:ascii="Times New Roman" w:hAnsi="Times New Roman" w:cs="Times New Roman"/>
                <w:color w:val="000000" w:themeColor="text1"/>
                <w:szCs w:val="21"/>
                <w14:textFill>
                  <w14:solidFill>
                    <w14:schemeClr w14:val="tx1"/>
                  </w14:solidFill>
                </w14:textFill>
              </w:rPr>
              <w:t>、BOD</w:t>
            </w:r>
            <w:r>
              <w:rPr>
                <w:rFonts w:ascii="Times New Roman" w:hAnsi="Times New Roman" w:cs="Times New Roman"/>
                <w:color w:val="000000" w:themeColor="text1"/>
                <w:szCs w:val="21"/>
                <w:vertAlign w:val="subscript"/>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、SS、NH</w:t>
            </w:r>
            <w:r>
              <w:rPr>
                <w:rFonts w:ascii="Times New Roman" w:hAnsi="Times New Roman" w:cs="Times New Roman"/>
                <w:color w:val="000000" w:themeColor="text1"/>
                <w:szCs w:val="21"/>
                <w:vertAlign w:val="sub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-N、粪大肠菌群、总磷、蛔虫卵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声环境</w:t>
            </w: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现状评价</w:t>
            </w:r>
          </w:p>
        </w:tc>
        <w:tc>
          <w:tcPr>
            <w:tcW w:w="3463"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污染源评价</w:t>
            </w:r>
          </w:p>
        </w:tc>
        <w:tc>
          <w:tcPr>
            <w:tcW w:w="3463"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影响分析</w:t>
            </w:r>
          </w:p>
        </w:tc>
        <w:tc>
          <w:tcPr>
            <w:tcW w:w="3463"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固体废物</w:t>
            </w: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污染源评价</w:t>
            </w:r>
          </w:p>
        </w:tc>
        <w:tc>
          <w:tcPr>
            <w:tcW w:w="3463"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施工垃圾、泥沙、废包装、生活垃圾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影响分析</w:t>
            </w:r>
          </w:p>
        </w:tc>
        <w:tc>
          <w:tcPr>
            <w:tcW w:w="3463"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生态环境</w:t>
            </w: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现状评价</w:t>
            </w:r>
          </w:p>
        </w:tc>
        <w:tc>
          <w:tcPr>
            <w:tcW w:w="346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功能区划、土地利用、水土流失、生物多样性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1"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影响分析</w:t>
            </w:r>
          </w:p>
        </w:tc>
        <w:tc>
          <w:tcPr>
            <w:tcW w:w="346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动植物、水土流失、生态结构和功能等</w:t>
            </w:r>
          </w:p>
        </w:tc>
      </w:tr>
    </w:tbl>
    <w:p>
      <w:pPr>
        <w:pStyle w:val="6"/>
        <w:spacing w:line="413" w:lineRule="auto"/>
        <w:rPr>
          <w:rFonts w:ascii="Times New Roman" w:hAnsi="Times New Roman" w:cs="Times New Roman"/>
          <w:color w:val="000000" w:themeColor="text1"/>
          <w14:textFill>
            <w14:solidFill>
              <w14:schemeClr w14:val="tx1"/>
            </w14:solidFill>
          </w14:textFill>
        </w:rPr>
      </w:pPr>
      <w:bookmarkStart w:id="95" w:name="_Toc23706"/>
      <w:bookmarkStart w:id="96" w:name="_Toc13128"/>
      <w:bookmarkStart w:id="97" w:name="_Toc14965"/>
      <w:bookmarkStart w:id="98" w:name="_Toc30155"/>
      <w:r>
        <w:rPr>
          <w:rFonts w:ascii="Times New Roman" w:hAnsi="Times New Roman" w:cs="Times New Roman"/>
          <w:color w:val="000000" w:themeColor="text1"/>
          <w14:textFill>
            <w14:solidFill>
              <w14:schemeClr w14:val="tx1"/>
            </w14:solidFill>
          </w14:textFill>
        </w:rPr>
        <w:t>2.4.2 评价标准</w:t>
      </w:r>
      <w:bookmarkEnd w:id="95"/>
      <w:bookmarkEnd w:id="96"/>
      <w:bookmarkEnd w:id="97"/>
      <w:bookmarkEnd w:id="98"/>
    </w:p>
    <w:p>
      <w:pPr>
        <w:pStyle w:val="7"/>
        <w:rPr>
          <w:rFonts w:cs="Times New Roman"/>
          <w:color w:val="000000" w:themeColor="text1"/>
          <w14:textFill>
            <w14:solidFill>
              <w14:schemeClr w14:val="tx1"/>
            </w14:solidFill>
          </w14:textFill>
        </w:rPr>
      </w:pPr>
      <w:bookmarkStart w:id="99" w:name="_Toc10399"/>
      <w:bookmarkStart w:id="100" w:name="_Toc4670"/>
      <w:r>
        <w:rPr>
          <w:rFonts w:cs="Times New Roman"/>
          <w:color w:val="000000" w:themeColor="text1"/>
          <w14:textFill>
            <w14:solidFill>
              <w14:schemeClr w14:val="tx1"/>
            </w14:solidFill>
          </w14:textFill>
        </w:rPr>
        <w:t>2.4.2.1 环境质量标准</w:t>
      </w:r>
      <w:bookmarkEnd w:id="99"/>
      <w:bookmarkEnd w:id="10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（1）空气质量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项目区所在地为二类环境空气质量功能区，TSP、SO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、CO、O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执行《环境空气质量标准》（GB3095-2012）表1中二级标准；H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参照《环境影响评价技术导则 大气环境》（HJ2.2-2018）附录D中表D.1相关浓度标准值，具体详见表2.4-2。</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表2.4-2   环境空气质量标准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95"/>
        <w:gridCol w:w="1981"/>
        <w:gridCol w:w="1171"/>
        <w:gridCol w:w="854"/>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35"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序号</w:t>
            </w:r>
          </w:p>
        </w:tc>
        <w:tc>
          <w:tcPr>
            <w:tcW w:w="818"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污染物名称</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取值时间</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浓度限值</w:t>
            </w:r>
          </w:p>
        </w:tc>
        <w:tc>
          <w:tcPr>
            <w:tcW w:w="501"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单位</w:t>
            </w:r>
          </w:p>
        </w:tc>
        <w:tc>
          <w:tcPr>
            <w:tcW w:w="1395"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TSP</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200</w:t>
            </w:r>
          </w:p>
        </w:tc>
        <w:tc>
          <w:tcPr>
            <w:tcW w:w="50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µg/m</w:t>
            </w:r>
            <w:r>
              <w:rPr>
                <w:rFonts w:ascii="Times New Roman" w:hAnsi="Times New Roman" w:cs="Times New Roman"/>
                <w:color w:val="000000" w:themeColor="text1"/>
                <w:spacing w:val="6"/>
                <w:sz w:val="21"/>
                <w:szCs w:val="21"/>
                <w:vertAlign w:val="superscript"/>
                <w14:textFill>
                  <w14:solidFill>
                    <w14:schemeClr w14:val="tx1"/>
                  </w14:solidFill>
                </w14:textFill>
              </w:rPr>
              <w:t>3</w:t>
            </w:r>
          </w:p>
        </w:tc>
        <w:tc>
          <w:tcPr>
            <w:tcW w:w="139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《环境空气质量标准》（GB3095-2012）表1中二级标准值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24小时平均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300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SO</w:t>
            </w:r>
            <w:r>
              <w:rPr>
                <w:rFonts w:ascii="Times New Roman" w:hAnsi="Times New Roman" w:cs="Times New Roman"/>
                <w:color w:val="000000" w:themeColor="text1"/>
                <w:spacing w:val="6"/>
                <w:sz w:val="21"/>
                <w:szCs w:val="21"/>
                <w:vertAlign w:val="subscript"/>
                <w14:textFill>
                  <w14:solidFill>
                    <w14:schemeClr w14:val="tx1"/>
                  </w14:solidFill>
                </w14:textFill>
              </w:rPr>
              <w:t>2</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60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24小时平均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150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500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3</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NO</w:t>
            </w:r>
            <w:r>
              <w:rPr>
                <w:rFonts w:ascii="Times New Roman" w:hAnsi="Times New Roman" w:cs="Times New Roman"/>
                <w:color w:val="000000" w:themeColor="text1"/>
                <w:spacing w:val="6"/>
                <w:sz w:val="21"/>
                <w:szCs w:val="21"/>
                <w:vertAlign w:val="subscript"/>
                <w14:textFill>
                  <w14:solidFill>
                    <w14:schemeClr w14:val="tx1"/>
                  </w14:solidFill>
                </w14:textFill>
              </w:rPr>
              <w:t>2</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40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24小时平均值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80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1小时平均值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4</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PM</w:t>
            </w:r>
            <w:r>
              <w:rPr>
                <w:rFonts w:ascii="Times New Roman" w:hAnsi="Times New Roman" w:cs="Times New Roman"/>
                <w:color w:val="000000" w:themeColor="text1"/>
                <w:spacing w:val="6"/>
                <w:sz w:val="21"/>
                <w:szCs w:val="21"/>
                <w:vertAlign w:val="subscript"/>
                <w14:textFill>
                  <w14:solidFill>
                    <w14:schemeClr w14:val="tx1"/>
                  </w14:solidFill>
                </w14:textFill>
              </w:rPr>
              <w:t>10</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70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24小时平均值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150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5</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PM</w:t>
            </w:r>
            <w:r>
              <w:rPr>
                <w:rFonts w:ascii="Times New Roman" w:hAnsi="Times New Roman" w:cs="Times New Roman"/>
                <w:color w:val="000000" w:themeColor="text1"/>
                <w:spacing w:val="6"/>
                <w:sz w:val="21"/>
                <w:szCs w:val="21"/>
                <w:vertAlign w:val="subscript"/>
                <w14:textFill>
                  <w14:solidFill>
                    <w14:schemeClr w14:val="tx1"/>
                  </w14:solidFill>
                </w14:textFill>
              </w:rPr>
              <w:t>2.5</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35</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24小时平均值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75</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6</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CO</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24小时平均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4</w:t>
            </w:r>
          </w:p>
        </w:tc>
        <w:tc>
          <w:tcPr>
            <w:tcW w:w="50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mg/m</w:t>
            </w:r>
            <w:r>
              <w:rPr>
                <w:rFonts w:ascii="Times New Roman" w:hAnsi="Times New Roman" w:cs="Times New Roman"/>
                <w:color w:val="000000" w:themeColor="text1"/>
                <w:spacing w:val="6"/>
                <w:sz w:val="21"/>
                <w:szCs w:val="21"/>
                <w:vertAlign w:val="superscript"/>
                <w14:textFill>
                  <w14:solidFill>
                    <w14:schemeClr w14:val="tx1"/>
                  </w14:solidFill>
                </w14:textFill>
              </w:rPr>
              <w:t>3</w:t>
            </w: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7</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O</w:t>
            </w:r>
            <w:r>
              <w:rPr>
                <w:rFonts w:ascii="Times New Roman" w:hAnsi="Times New Roman" w:cs="Times New Roman"/>
                <w:color w:val="000000" w:themeColor="text1"/>
                <w:spacing w:val="6"/>
                <w:sz w:val="21"/>
                <w:szCs w:val="21"/>
                <w:vertAlign w:val="subscript"/>
                <w14:textFill>
                  <w14:solidFill>
                    <w14:schemeClr w14:val="tx1"/>
                  </w14:solidFill>
                </w14:textFill>
              </w:rPr>
              <w:t>3</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日最大8小时平均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160</w:t>
            </w:r>
          </w:p>
        </w:tc>
        <w:tc>
          <w:tcPr>
            <w:tcW w:w="50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µg/m</w:t>
            </w:r>
            <w:r>
              <w:rPr>
                <w:rFonts w:ascii="Times New Roman" w:hAnsi="Times New Roman" w:cs="Times New Roman"/>
                <w:color w:val="000000" w:themeColor="text1"/>
                <w:spacing w:val="6"/>
                <w:sz w:val="21"/>
                <w:szCs w:val="21"/>
                <w:vertAlign w:val="superscript"/>
                <w14:textFill>
                  <w14:solidFill>
                    <w14:schemeClr w14:val="tx1"/>
                  </w14:solidFill>
                </w14:textFill>
              </w:rPr>
              <w:t>3</w:t>
            </w: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8</w:t>
            </w:r>
          </w:p>
        </w:tc>
        <w:tc>
          <w:tcPr>
            <w:tcW w:w="818"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H</w:t>
            </w:r>
            <w:r>
              <w:rPr>
                <w:rFonts w:ascii="Times New Roman" w:hAnsi="Times New Roman" w:cs="Times New Roman"/>
                <w:color w:val="000000" w:themeColor="text1"/>
                <w:spacing w:val="6"/>
                <w:sz w:val="21"/>
                <w:szCs w:val="21"/>
                <w:vertAlign w:val="subscript"/>
                <w14:textFill>
                  <w14:solidFill>
                    <w14:schemeClr w14:val="tx1"/>
                  </w14:solidFill>
                </w14:textFill>
              </w:rPr>
              <w:t>2</w:t>
            </w:r>
            <w:r>
              <w:rPr>
                <w:rFonts w:ascii="Times New Roman" w:hAnsi="Times New Roman" w:cs="Times New Roman"/>
                <w:color w:val="000000" w:themeColor="text1"/>
                <w:spacing w:val="6"/>
                <w:sz w:val="21"/>
                <w:szCs w:val="21"/>
                <w14:textFill>
                  <w14:solidFill>
                    <w14:schemeClr w14:val="tx1"/>
                  </w14:solidFill>
                </w14:textFill>
              </w:rPr>
              <w:t>S</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《环境影响评价技术导则·大气环境》（HJ2.2－2018）附录D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9</w:t>
            </w:r>
          </w:p>
        </w:tc>
        <w:tc>
          <w:tcPr>
            <w:tcW w:w="818"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NH</w:t>
            </w:r>
            <w:r>
              <w:rPr>
                <w:rFonts w:ascii="Times New Roman" w:hAnsi="Times New Roman" w:cs="Times New Roman"/>
                <w:color w:val="000000" w:themeColor="text1"/>
                <w:spacing w:val="6"/>
                <w:sz w:val="21"/>
                <w:szCs w:val="21"/>
                <w:vertAlign w:val="subscript"/>
                <w14:textFill>
                  <w14:solidFill>
                    <w14:schemeClr w14:val="tx1"/>
                  </w14:solidFill>
                </w14:textFill>
              </w:rPr>
              <w:t>3</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（2）地下水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本项目所在区域地下水执行《地下水质量标准》（GB/T14848-2017）中Ⅲ类标准，标准值见表2.4-3。</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表2.4-3   地下水环境质量标准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86"/>
        <w:gridCol w:w="1174"/>
        <w:gridCol w:w="1254"/>
        <w:gridCol w:w="1660"/>
        <w:gridCol w:w="2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序号</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污染物名称</w:t>
            </w:r>
          </w:p>
        </w:tc>
        <w:tc>
          <w:tcPr>
            <w:tcW w:w="688"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取值时间</w:t>
            </w: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浓度限值</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单位</w:t>
            </w:r>
          </w:p>
        </w:tc>
        <w:tc>
          <w:tcPr>
            <w:tcW w:w="1313"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pH</w:t>
            </w:r>
          </w:p>
        </w:tc>
        <w:tc>
          <w:tcPr>
            <w:tcW w:w="68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一次值</w:t>
            </w: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6.5-8.5</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无量纲</w:t>
            </w:r>
          </w:p>
        </w:tc>
        <w:tc>
          <w:tcPr>
            <w:tcW w:w="1313"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《地下水质量标准》（GB/T14848-2017）表1中Ⅲ类标准值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总硬度</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≤450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3</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氯化物</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≤250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4</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溶解性总固体</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≤1000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5</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氟化物</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6</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氨氮</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≤0.5</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7</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硝酸盐氮</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8</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亚硝酸盐氮</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9</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硫酸盐</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≤250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六价铬</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≤0.05</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11</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挥发酚</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≤0.002</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12</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氰化物</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≤0.05</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13</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锰</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≤0.1</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14</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铁</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≤0.3</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15</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镉</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≤0.005</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16</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砷</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≤0.01</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17</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汞</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≤0.001</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18</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铅</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≤0.01</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19</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总大肠菌群</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≤3.0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MPN/100mL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20</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菌落总数</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CFU/mL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21</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hint="eastAsia" w:ascii="Times New Roman" w:hAnsi="Times New Roman" w:cs="Times New Roman"/>
                <w:color w:val="000000" w:themeColor="text1"/>
                <w:spacing w:val="6"/>
                <w:sz w:val="21"/>
                <w:szCs w:val="21"/>
                <w14:textFill>
                  <w14:solidFill>
                    <w14:schemeClr w14:val="tx1"/>
                  </w14:solidFill>
                </w14:textFill>
              </w:rPr>
              <w:t>钠</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w:t>
            </w:r>
            <w:r>
              <w:rPr>
                <w:rFonts w:hint="eastAsia" w:ascii="Times New Roman" w:hAnsi="Times New Roman" w:cs="Times New Roman"/>
                <w:color w:val="000000" w:themeColor="text1"/>
                <w:spacing w:val="6"/>
                <w:sz w:val="21"/>
                <w:szCs w:val="21"/>
                <w14:textFill>
                  <w14:solidFill>
                    <w14:schemeClr w14:val="tx1"/>
                  </w14:solidFill>
                </w14:textFill>
              </w:rPr>
              <w:t>2</w:t>
            </w:r>
            <w:r>
              <w:rPr>
                <w:rFonts w:ascii="Times New Roman" w:hAnsi="Times New Roman" w:cs="Times New Roman"/>
                <w:color w:val="000000" w:themeColor="text1"/>
                <w:spacing w:val="6"/>
                <w:sz w:val="21"/>
                <w:szCs w:val="21"/>
                <w14:textFill>
                  <w14:solidFill>
                    <w14:schemeClr w14:val="tx1"/>
                  </w14:solidFill>
                </w14:textFill>
              </w:rPr>
              <w:t>00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（3）声环境</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本项目建设地点位于昌吉农业园区牛圈子湖示范一区，属于2类功能区，周边声</w:t>
      </w:r>
      <w:r>
        <w:rPr>
          <w:rFonts w:ascii="Times New Roman" w:hAnsi="Times New Roman" w:cs="Times New Roman"/>
          <w:color w:val="000000" w:themeColor="text1"/>
          <w:spacing w:val="-6"/>
          <w14:textFill>
            <w14:solidFill>
              <w14:schemeClr w14:val="tx1"/>
            </w14:solidFill>
          </w14:textFill>
        </w:rPr>
        <w:t>环境质量执行《声环境质量标准》（GB3096-2008）中2类区标准，标准值见表2.4-4。</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表2.4-4   声环境质量标准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576"/>
        <w:gridCol w:w="1522"/>
        <w:gridCol w:w="1155"/>
        <w:gridCol w:w="93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4"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序号</w:t>
            </w:r>
          </w:p>
        </w:tc>
        <w:tc>
          <w:tcPr>
            <w:tcW w:w="924"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污染物名称</w:t>
            </w:r>
          </w:p>
        </w:tc>
        <w:tc>
          <w:tcPr>
            <w:tcW w:w="892"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取值时间</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浓度限值</w:t>
            </w:r>
          </w:p>
        </w:tc>
        <w:tc>
          <w:tcPr>
            <w:tcW w:w="545"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单位</w:t>
            </w:r>
          </w:p>
        </w:tc>
        <w:tc>
          <w:tcPr>
            <w:tcW w:w="1284"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4"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w:t>
            </w:r>
          </w:p>
        </w:tc>
        <w:tc>
          <w:tcPr>
            <w:tcW w:w="924"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2类功能区</w:t>
            </w:r>
          </w:p>
        </w:tc>
        <w:tc>
          <w:tcPr>
            <w:tcW w:w="892"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昼间</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≤60</w:t>
            </w:r>
          </w:p>
        </w:tc>
        <w:tc>
          <w:tcPr>
            <w:tcW w:w="54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dB（A）</w:t>
            </w:r>
          </w:p>
        </w:tc>
        <w:tc>
          <w:tcPr>
            <w:tcW w:w="1284"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《声环境质量标准》（GB3096-2008）表1中2类标准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4"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w:t>
            </w:r>
          </w:p>
        </w:tc>
        <w:tc>
          <w:tcPr>
            <w:tcW w:w="924"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892"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夜间</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≤50</w:t>
            </w:r>
          </w:p>
        </w:tc>
        <w:tc>
          <w:tcPr>
            <w:tcW w:w="54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1284"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（4）土壤环境</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本项目位于昌吉农业园区牛圈子湖示范一区，土地性质为设施农用地，不属于《土壤环境质量 农用地土壤污染风险管控标准（试行）》（GB15618-2018）中的农用地。农用地只有耕地、牧草地和园地三种。根据建设用地分类标准，设施农用地不属于建设用地，不适用于《土壤环境质量 建设用地土壤污染风险管控标准（试行）》（GB36600-2018）。根据2019年4月22日部长信</w:t>
      </w:r>
      <w:r>
        <w:rPr>
          <w:rFonts w:hint="eastAsia" w:ascii="宋体" w:hAnsi="宋体" w:cs="宋体"/>
          <w:color w:val="000000" w:themeColor="text1"/>
          <w14:textFill>
            <w14:solidFill>
              <w14:schemeClr w14:val="tx1"/>
            </w14:solidFill>
          </w14:textFill>
        </w:rPr>
        <w:t>箱“关于林地和未利用地土壤如何选用评价标准问题的回复”回</w:t>
      </w:r>
      <w:r>
        <w:rPr>
          <w:rFonts w:ascii="Times New Roman" w:hAnsi="Times New Roman" w:cs="Times New Roman"/>
          <w:color w:val="000000" w:themeColor="text1"/>
          <w14:textFill>
            <w14:solidFill>
              <w14:schemeClr w14:val="tx1"/>
            </w14:solidFill>
          </w14:textFill>
        </w:rPr>
        <w:t>复，依据其保护目标，养殖项目的土壤质量执行《畜禽养殖产地环境评价规范》（HJ568-2010）中的表4畜禽养殖场、养殖小区土壤环境质量评价指标限值，具体标准值见表</w:t>
      </w:r>
      <w:r>
        <w:rPr>
          <w:rFonts w:hint="eastAsia" w:ascii="Times New Roman" w:hAnsi="Times New Roman" w:cs="Times New Roman"/>
          <w:color w:val="000000" w:themeColor="text1"/>
          <w14:textFill>
            <w14:solidFill>
              <w14:schemeClr w14:val="tx1"/>
            </w14:solidFill>
          </w14:textFill>
        </w:rPr>
        <w:t>2.4-5</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w:t>
      </w:r>
      <w:r>
        <w:rPr>
          <w:rFonts w:hint="eastAsia" w:ascii="Times New Roman" w:hAnsi="Times New Roman" w:cs="Times New Roman"/>
          <w:color w:val="000000" w:themeColor="text1"/>
          <w14:textFill>
            <w14:solidFill>
              <w14:schemeClr w14:val="tx1"/>
            </w14:solidFill>
          </w14:textFill>
        </w:rPr>
        <w:t>项目</w:t>
      </w:r>
      <w:r>
        <w:rPr>
          <w:rFonts w:ascii="Times New Roman" w:hAnsi="Times New Roman" w:cs="Times New Roman"/>
          <w:color w:val="000000" w:themeColor="text1"/>
          <w14:textFill>
            <w14:solidFill>
              <w14:schemeClr w14:val="tx1"/>
            </w14:solidFill>
          </w14:textFill>
        </w:rPr>
        <w:t>养殖场场区土壤环境质量标准值执行《畜禽养殖产地评价规范》</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HJ568-2010</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中的养殖场土壤环境质量标准，并参考执行《土壤环境质量 农用地土壤污染风险管控标准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试行</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GB15618-2018</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》，见表2</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 xml:space="preserve">5   </w:t>
      </w:r>
      <w:r>
        <w:rPr>
          <w:rFonts w:cs="Times New Roman"/>
          <w:color w:val="000000" w:themeColor="text1"/>
          <w14:textFill>
            <w14:solidFill>
              <w14:schemeClr w14:val="tx1"/>
            </w14:solidFill>
          </w14:textFill>
        </w:rPr>
        <w:t>《畜禽养殖产地评价规范》</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HJ568-2010</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中的养殖场土壤环境质量标准</w:t>
      </w:r>
    </w:p>
    <w:tbl>
      <w:tblPr>
        <w:tblStyle w:val="27"/>
        <w:tblW w:w="5004"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31"/>
        <w:gridCol w:w="1800"/>
        <w:gridCol w:w="1780"/>
        <w:gridCol w:w="411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序号</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监测项目</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单位</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《畜禽养殖产地评价规范》（HJ568-2010）中的表4养殖场土壤环境质量评价指标限值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镉</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汞</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砷</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铜</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铅</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铬</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锌</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108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镍</w:t>
            </w:r>
          </w:p>
        </w:tc>
        <w:tc>
          <w:tcPr>
            <w:tcW w:w="10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c>
          <w:tcPr>
            <w:tcW w:w="246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r>
    </w:tbl>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 xml:space="preserve">   农用地土壤污染风险筛选值</w:t>
      </w:r>
      <w:r>
        <w:rPr>
          <w:rFonts w:hint="eastAsia" w:cs="Times New Roman"/>
          <w:color w:val="000000" w:themeColor="text1"/>
          <w14:textFill>
            <w14:solidFill>
              <w14:schemeClr w14:val="tx1"/>
            </w14:solidFill>
          </w14:textFill>
        </w:rPr>
        <w:t xml:space="preserve">（基本项目） </w:t>
      </w:r>
      <w:r>
        <w:rPr>
          <w:rFonts w:cs="Times New Roman"/>
          <w:color w:val="000000" w:themeColor="text1"/>
          <w14:textFill>
            <w14:solidFill>
              <w14:schemeClr w14:val="tx1"/>
            </w14:solidFill>
          </w14:textFill>
        </w:rPr>
        <w:t xml:space="preserve"> 单位：mg/kg</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pH 除外</w:t>
      </w:r>
      <w:r>
        <w:rPr>
          <w:rFonts w:hint="eastAsia" w:cs="Times New Roman"/>
          <w:color w:val="000000" w:themeColor="text1"/>
          <w14:textFill>
            <w14:solidFill>
              <w14:schemeClr w14:val="tx1"/>
            </w14:solidFill>
          </w14:textFill>
        </w:rPr>
        <w:t>）</w:t>
      </w:r>
    </w:p>
    <w:tbl>
      <w:tblPr>
        <w:tblStyle w:val="27"/>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88"/>
        <w:gridCol w:w="3392"/>
        <w:gridCol w:w="39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594" w:type="pct"/>
            <w:tcBorders>
              <w:top w:val="single" w:color="auto" w:sz="4"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bookmarkStart w:id="101" w:name="_Toc5355"/>
            <w:bookmarkStart w:id="102" w:name="_Toc29090"/>
            <w:r>
              <w:rPr>
                <w:rFonts w:ascii="Times New Roman" w:hAnsi="Times New Roman" w:cs="Times New Roman"/>
                <w:b/>
                <w:bCs/>
                <w:color w:val="000000" w:themeColor="text1"/>
                <w:sz w:val="21"/>
                <w:szCs w:val="21"/>
                <w14:textFill>
                  <w14:solidFill>
                    <w14:schemeClr w14:val="tx1"/>
                  </w14:solidFill>
                </w14:textFill>
              </w:rPr>
              <w:t>序号</w:t>
            </w:r>
          </w:p>
        </w:tc>
        <w:tc>
          <w:tcPr>
            <w:tcW w:w="2040" w:type="pct"/>
            <w:tcBorders>
              <w:top w:val="single" w:color="auto" w:sz="4"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评价指标</w:t>
            </w:r>
          </w:p>
        </w:tc>
        <w:tc>
          <w:tcPr>
            <w:tcW w:w="2365" w:type="pct"/>
            <w:tcBorders>
              <w:top w:val="single" w:color="auto" w:sz="4"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养殖场、养殖小区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pH</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镉</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铅</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铬</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铜</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镍</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锌</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砷</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3" w:hRule="atLeast"/>
        </w:trPr>
        <w:tc>
          <w:tcPr>
            <w:tcW w:w="594" w:type="pct"/>
            <w:tcBorders>
              <w:top w:val="single" w:color="000000" w:sz="6" w:space="0"/>
              <w:left w:val="single" w:color="auto" w:sz="4"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w:t>
            </w:r>
          </w:p>
        </w:tc>
        <w:tc>
          <w:tcPr>
            <w:tcW w:w="204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汞</w:t>
            </w:r>
          </w:p>
        </w:tc>
        <w:tc>
          <w:tcPr>
            <w:tcW w:w="2365" w:type="pct"/>
            <w:tcBorders>
              <w:top w:val="single" w:color="000000" w:sz="6" w:space="0"/>
              <w:left w:val="single" w:color="000000" w:sz="6" w:space="0"/>
              <w:bottom w:val="single" w:color="000000" w:sz="6"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000" w:type="pct"/>
            <w:gridSpan w:val="3"/>
            <w:tcBorders>
              <w:top w:val="single" w:color="000000" w:sz="6" w:space="0"/>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注：①重金属和类金属砷均按元素总量计。</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②对于水旱轮作地，采用其中较严格的风险筛选值。</w:t>
            </w:r>
          </w:p>
        </w:tc>
      </w:tr>
    </w:tbl>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2.4.2.2 污染物排放标准</w:t>
      </w:r>
      <w:bookmarkEnd w:id="101"/>
      <w:bookmarkEnd w:id="10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（1）大气污染物排放标准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①恶臭</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本项目运营期废气污染源主要为</w:t>
      </w:r>
      <w:r>
        <w:rPr>
          <w:rFonts w:hint="eastAsia" w:ascii="Times New Roman" w:hAnsi="Times New Roman" w:cs="Times New Roman"/>
          <w:color w:val="000000" w:themeColor="text1"/>
          <w14:textFill>
            <w14:solidFill>
              <w14:schemeClr w14:val="tx1"/>
            </w14:solidFill>
          </w14:textFill>
        </w:rPr>
        <w:t>圈舍、堆肥场及厌氧储存塘</w:t>
      </w:r>
      <w:r>
        <w:rPr>
          <w:rFonts w:ascii="Times New Roman" w:hAnsi="Times New Roman" w:cs="Times New Roman"/>
          <w:color w:val="000000" w:themeColor="text1"/>
          <w14:textFill>
            <w14:solidFill>
              <w14:schemeClr w14:val="tx1"/>
            </w14:solidFill>
          </w14:textFill>
        </w:rPr>
        <w:t>等产生的恶臭。臭气浓度执行《畜禽养殖业污染物排放标准》（GB18596</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2001）中集约化畜禽养殖业恶臭污染物排放标准；NH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S无组织排放标准值执行《恶臭污染物排放标准》（GB14554</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93）</w:t>
      </w:r>
      <w:r>
        <w:rPr>
          <w:rFonts w:hint="eastAsia" w:ascii="Times New Roman" w:hAnsi="Times New Roman" w:cs="Times New Roman"/>
          <w:color w:val="000000" w:themeColor="text1"/>
          <w14:textFill>
            <w14:solidFill>
              <w14:schemeClr w14:val="tx1"/>
            </w14:solidFill>
          </w14:textFill>
        </w:rPr>
        <w:t>表1</w:t>
      </w:r>
      <w:r>
        <w:rPr>
          <w:rFonts w:ascii="Times New Roman" w:hAnsi="Times New Roman" w:cs="Times New Roman"/>
          <w:color w:val="000000" w:themeColor="text1"/>
          <w14:textFill>
            <w14:solidFill>
              <w14:schemeClr w14:val="tx1"/>
            </w14:solidFill>
          </w14:textFill>
        </w:rPr>
        <w:t>中恶臭污染物厂界二级标准值。</w:t>
      </w:r>
      <w:r>
        <w:rPr>
          <w:rFonts w:hint="eastAsia" w:ascii="Times New Roman" w:hAnsi="Times New Roman" w:cs="Times New Roman"/>
          <w:color w:val="000000" w:themeColor="text1"/>
          <w14:textFill>
            <w14:solidFill>
              <w14:schemeClr w14:val="tx1"/>
            </w14:solidFill>
          </w14:textFill>
        </w:rPr>
        <w:t>污染物标准排放限值</w:t>
      </w:r>
      <w:r>
        <w:rPr>
          <w:rFonts w:ascii="Times New Roman" w:hAnsi="Times New Roman" w:cs="Times New Roman"/>
          <w:color w:val="000000" w:themeColor="text1"/>
          <w14:textFill>
            <w14:solidFill>
              <w14:schemeClr w14:val="tx1"/>
            </w14:solidFill>
          </w14:textFill>
        </w:rPr>
        <w:t>详见表2.</w:t>
      </w:r>
      <w:r>
        <w:rPr>
          <w:rFonts w:hint="eastAsia" w:ascii="Times New Roman" w:hAnsi="Times New Roman" w:cs="Times New Roman"/>
          <w:color w:val="000000" w:themeColor="text1"/>
          <w14:textFill>
            <w14:solidFill>
              <w14:schemeClr w14:val="tx1"/>
            </w14:solidFill>
          </w14:textFill>
        </w:rPr>
        <w:t>4-7</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w:t>
      </w:r>
      <w:r>
        <w:rPr>
          <w:rFonts w:hint="eastAsia" w:cs="Times New Roman"/>
          <w:color w:val="000000" w:themeColor="text1"/>
          <w14:textFill>
            <w14:solidFill>
              <w14:schemeClr w14:val="tx1"/>
            </w14:solidFill>
          </w14:textFill>
        </w:rPr>
        <w:t xml:space="preserve">7 </w:t>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恶臭</w:t>
      </w:r>
      <w:r>
        <w:rPr>
          <w:rFonts w:cs="Times New Roman"/>
          <w:color w:val="000000" w:themeColor="text1"/>
          <w14:textFill>
            <w14:solidFill>
              <w14:schemeClr w14:val="tx1"/>
            </w14:solidFill>
          </w14:textFill>
        </w:rPr>
        <w:t>污染物排放标准</w:t>
      </w:r>
    </w:p>
    <w:tbl>
      <w:tblPr>
        <w:tblStyle w:val="27"/>
        <w:tblW w:w="50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95"/>
        <w:gridCol w:w="1504"/>
        <w:gridCol w:w="1315"/>
        <w:gridCol w:w="1315"/>
        <w:gridCol w:w="3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355"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序号</w:t>
            </w:r>
          </w:p>
        </w:tc>
        <w:tc>
          <w:tcPr>
            <w:tcW w:w="897"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控制项目</w:t>
            </w:r>
          </w:p>
        </w:tc>
        <w:tc>
          <w:tcPr>
            <w:tcW w:w="784"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标准值</w:t>
            </w:r>
          </w:p>
        </w:tc>
        <w:tc>
          <w:tcPr>
            <w:tcW w:w="784"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单位</w:t>
            </w:r>
          </w:p>
        </w:tc>
        <w:tc>
          <w:tcPr>
            <w:tcW w:w="2178"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89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氨</w:t>
            </w:r>
          </w:p>
        </w:tc>
        <w:tc>
          <w:tcPr>
            <w:tcW w:w="78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1.5</w:t>
            </w:r>
          </w:p>
        </w:tc>
        <w:tc>
          <w:tcPr>
            <w:tcW w:w="78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mg/m</w:t>
            </w:r>
            <w:r>
              <w:rPr>
                <w:rFonts w:ascii="Times New Roman" w:hAnsi="Times New Roman" w:cs="Times New Roman"/>
                <w:color w:val="000000" w:themeColor="text1"/>
                <w:sz w:val="21"/>
                <w:szCs w:val="21"/>
                <w:vertAlign w:val="superscript"/>
                <w14:textFill>
                  <w14:solidFill>
                    <w14:schemeClr w14:val="tx1"/>
                  </w14:solidFill>
                </w14:textFill>
              </w:rPr>
              <w:t>3</w:t>
            </w:r>
          </w:p>
        </w:tc>
        <w:tc>
          <w:tcPr>
            <w:tcW w:w="2178" w:type="pct"/>
            <w:vMerge w:val="restar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《恶臭污染物排放标准》（GB 14554-93）表</w:t>
            </w:r>
            <w:r>
              <w:rPr>
                <w:rFonts w:hint="eastAsia"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污染物排放</w:t>
            </w:r>
            <w:r>
              <w:rPr>
                <w:rFonts w:hint="eastAsia" w:ascii="Times New Roman" w:hAnsi="Times New Roman" w:cs="Times New Roman"/>
                <w:color w:val="000000" w:themeColor="text1"/>
                <w:sz w:val="21"/>
                <w:szCs w:val="21"/>
                <w14:textFill>
                  <w14:solidFill>
                    <w14:schemeClr w14:val="tx1"/>
                  </w14:solidFill>
                </w14:textFill>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89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硫化氢</w:t>
            </w:r>
          </w:p>
        </w:tc>
        <w:tc>
          <w:tcPr>
            <w:tcW w:w="78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w:t>
            </w:r>
            <w:r>
              <w:rPr>
                <w:rFonts w:hint="eastAsia" w:ascii="Times New Roman" w:hAnsi="Times New Roman" w:cs="Times New Roman"/>
                <w:color w:val="000000" w:themeColor="text1"/>
                <w:sz w:val="21"/>
                <w:szCs w:val="21"/>
                <w14:textFill>
                  <w14:solidFill>
                    <w14:schemeClr w14:val="tx1"/>
                  </w14:solidFill>
                </w14:textFill>
              </w:rPr>
              <w:t>6</w:t>
            </w:r>
          </w:p>
        </w:tc>
        <w:tc>
          <w:tcPr>
            <w:tcW w:w="78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mg/m</w:t>
            </w:r>
            <w:r>
              <w:rPr>
                <w:rFonts w:ascii="Times New Roman" w:hAnsi="Times New Roman" w:cs="Times New Roman"/>
                <w:color w:val="000000" w:themeColor="text1"/>
                <w:sz w:val="21"/>
                <w:szCs w:val="21"/>
                <w:vertAlign w:val="superscript"/>
                <w14:textFill>
                  <w14:solidFill>
                    <w14:schemeClr w14:val="tx1"/>
                  </w14:solidFill>
                </w14:textFill>
              </w:rPr>
              <w:t>3</w:t>
            </w:r>
          </w:p>
        </w:tc>
        <w:tc>
          <w:tcPr>
            <w:tcW w:w="2178"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89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臭气浓度</w:t>
            </w:r>
          </w:p>
        </w:tc>
        <w:tc>
          <w:tcPr>
            <w:tcW w:w="78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w:t>
            </w:r>
            <w:r>
              <w:rPr>
                <w:rFonts w:ascii="Times New Roman" w:hAnsi="Times New Roman" w:cs="Times New Roman"/>
                <w:color w:val="000000" w:themeColor="text1"/>
                <w:sz w:val="21"/>
                <w:szCs w:val="21"/>
                <w14:textFill>
                  <w14:solidFill>
                    <w14:schemeClr w14:val="tx1"/>
                  </w14:solidFill>
                </w14:textFill>
              </w:rPr>
              <w:t>0</w:t>
            </w:r>
          </w:p>
        </w:tc>
        <w:tc>
          <w:tcPr>
            <w:tcW w:w="78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无量纲</w:t>
            </w:r>
          </w:p>
        </w:tc>
        <w:tc>
          <w:tcPr>
            <w:tcW w:w="217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《畜禽养殖业污染物排放标准》（GB18596</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2001</w:t>
            </w:r>
            <w:r>
              <w:rPr>
                <w:rFonts w:hint="eastAsia" w:ascii="Times New Roman" w:hAnsi="Times New Roman" w:cs="Times New Roman"/>
                <w:color w:val="000000" w:themeColor="text1"/>
                <w:sz w:val="21"/>
                <w:szCs w:val="21"/>
                <w14:textFill>
                  <w14:solidFill>
                    <w14:schemeClr w14:val="tx1"/>
                  </w14:solidFill>
                </w14:textFill>
              </w:rPr>
              <w:t>）中表7排放限值</w:t>
            </w:r>
          </w:p>
        </w:tc>
      </w:tr>
    </w:tbl>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②食堂油烟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本项目配套建设职工食宿办公用房，食堂油烟排放执行《饮食业油烟排放标准》（试行）（GB18483-2001）小型规模排放标准，详见表2.</w:t>
      </w:r>
      <w:r>
        <w:rPr>
          <w:rFonts w:hint="eastAsia" w:ascii="Times New Roman" w:hAnsi="Times New Roman" w:cs="Times New Roman"/>
          <w:color w:val="000000" w:themeColor="text1"/>
          <w14:textFill>
            <w14:solidFill>
              <w14:schemeClr w14:val="tx1"/>
            </w14:solidFill>
          </w14:textFill>
        </w:rPr>
        <w:t>4-8</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w:t>
      </w:r>
      <w:r>
        <w:rPr>
          <w:rFonts w:hint="eastAsia" w:cs="Times New Roman"/>
          <w:color w:val="000000" w:themeColor="text1"/>
          <w14:textFill>
            <w14:solidFill>
              <w14:schemeClr w14:val="tx1"/>
            </w14:solidFill>
          </w14:textFill>
        </w:rPr>
        <w:t>8</w:t>
      </w:r>
      <w:r>
        <w:rPr>
          <w:rFonts w:cs="Times New Roman"/>
          <w:color w:val="000000" w:themeColor="text1"/>
          <w14:textFill>
            <w14:solidFill>
              <w14:schemeClr w14:val="tx1"/>
            </w14:solidFill>
          </w14:textFill>
        </w:rPr>
        <w:t xml:space="preserve">   饮食业油烟排放标准（试行）  单位：</w:t>
      </w:r>
      <w:r>
        <w:rPr>
          <w:rFonts w:eastAsia="Times New Roman" w:cs="Times New Roman"/>
          <w:color w:val="000000" w:themeColor="text1"/>
          <w14:textFill>
            <w14:solidFill>
              <w14:schemeClr w14:val="tx1"/>
            </w14:solidFill>
          </w14:textFill>
        </w:rPr>
        <w:t>mg/m</w:t>
      </w:r>
      <w:r>
        <w:rPr>
          <w:rFonts w:eastAsia="Times New Roman" w:cs="Times New Roman"/>
          <w:color w:val="000000" w:themeColor="text1"/>
          <w:position w:val="7"/>
          <w:sz w:val="13"/>
          <w14:textFill>
            <w14:solidFill>
              <w14:schemeClr w14:val="tx1"/>
            </w14:solidFill>
          </w14:textFill>
        </w:rPr>
        <w:t>3</w:t>
      </w:r>
    </w:p>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16"/>
        <w:gridCol w:w="1438"/>
        <w:gridCol w:w="1438"/>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75" w:type="pct"/>
            <w:shd w:val="clear" w:color="auto" w:fill="auto"/>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规模</w:t>
            </w:r>
          </w:p>
        </w:tc>
        <w:tc>
          <w:tcPr>
            <w:tcW w:w="865" w:type="pct"/>
            <w:shd w:val="clear" w:color="auto" w:fill="auto"/>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小型</w:t>
            </w:r>
          </w:p>
        </w:tc>
        <w:tc>
          <w:tcPr>
            <w:tcW w:w="865" w:type="pct"/>
            <w:shd w:val="clear" w:color="auto" w:fill="auto"/>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中型</w:t>
            </w:r>
          </w:p>
        </w:tc>
        <w:tc>
          <w:tcPr>
            <w:tcW w:w="794" w:type="pct"/>
            <w:shd w:val="clear" w:color="auto" w:fill="auto"/>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大型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75"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基准灶头数</w:t>
            </w:r>
          </w:p>
        </w:tc>
        <w:tc>
          <w:tcPr>
            <w:tcW w:w="865"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w:t>
            </w:r>
          </w:p>
        </w:tc>
        <w:tc>
          <w:tcPr>
            <w:tcW w:w="865"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w:t>
            </w:r>
          </w:p>
        </w:tc>
        <w:tc>
          <w:tcPr>
            <w:tcW w:w="794"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75"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最高允许排放浓度</w:t>
            </w:r>
          </w:p>
        </w:tc>
        <w:tc>
          <w:tcPr>
            <w:tcW w:w="2524" w:type="pct"/>
            <w:gridSpan w:val="3"/>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75"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净化设施最低去除效率（%）</w:t>
            </w:r>
          </w:p>
        </w:tc>
        <w:tc>
          <w:tcPr>
            <w:tcW w:w="865"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60</w:t>
            </w:r>
          </w:p>
        </w:tc>
        <w:tc>
          <w:tcPr>
            <w:tcW w:w="865"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w:t>
            </w:r>
          </w:p>
        </w:tc>
        <w:tc>
          <w:tcPr>
            <w:tcW w:w="794" w:type="pct"/>
            <w:shd w:val="clear" w:color="auto" w:fill="auto"/>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85</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（2）废水污染物排放标准</w:t>
      </w:r>
    </w:p>
    <w:p>
      <w:pPr>
        <w:spacing w:line="520" w:lineRule="exact"/>
        <w:rPr>
          <w:rFonts w:ascii="Times New Roman" w:hAnsi="Times New Roman" w:cs="Times New Roman"/>
          <w:color w:val="000000" w:themeColor="text1"/>
          <w14:textFill>
            <w14:solidFill>
              <w14:schemeClr w14:val="tx1"/>
            </w14:solidFill>
          </w14:textFill>
        </w:rPr>
      </w:pPr>
      <w:bookmarkStart w:id="103" w:name="OLE_LINK8"/>
      <w:r>
        <w:rPr>
          <w:rFonts w:ascii="Times New Roman" w:hAnsi="Times New Roman" w:cs="Times New Roman"/>
          <w:color w:val="000000" w:themeColor="text1"/>
          <w14:textFill>
            <w14:solidFill>
              <w14:schemeClr w14:val="tx1"/>
            </w14:solidFill>
          </w14:textFill>
        </w:rPr>
        <w:t>本项目生活污水与猪场</w:t>
      </w:r>
      <w:r>
        <w:rPr>
          <w:rFonts w:hint="eastAsia" w:ascii="Times New Roman" w:hAnsi="Times New Roman" w:cs="Times New Roman"/>
          <w:color w:val="000000" w:themeColor="text1"/>
          <w14:textFill>
            <w14:solidFill>
              <w14:schemeClr w14:val="tx1"/>
            </w14:solidFill>
          </w14:textFill>
        </w:rPr>
        <w:t>养殖</w:t>
      </w:r>
      <w:r>
        <w:rPr>
          <w:rFonts w:ascii="Times New Roman" w:hAnsi="Times New Roman" w:cs="Times New Roman"/>
          <w:color w:val="000000" w:themeColor="text1"/>
          <w14:textFill>
            <w14:solidFill>
              <w14:schemeClr w14:val="tx1"/>
            </w14:solidFill>
          </w14:textFill>
        </w:rPr>
        <w:t>废水均排入粪污水处理系统进行无害化处理。废水经</w:t>
      </w:r>
      <w:r>
        <w:rPr>
          <w:rFonts w:hint="eastAsia" w:ascii="宋体" w:hAnsi="宋体" w:cs="宋体"/>
          <w:color w:val="000000" w:themeColor="text1"/>
          <w14:textFill>
            <w14:solidFill>
              <w14:schemeClr w14:val="tx1"/>
            </w14:solidFill>
          </w14:textFill>
        </w:rPr>
        <w:t>“固液分离＋厌氧储存塘”工</w:t>
      </w:r>
      <w:r>
        <w:rPr>
          <w:rFonts w:ascii="Times New Roman" w:hAnsi="Times New Roman" w:cs="Times New Roman"/>
          <w:color w:val="000000" w:themeColor="text1"/>
          <w14:textFill>
            <w14:solidFill>
              <w14:schemeClr w14:val="tx1"/>
            </w14:solidFill>
          </w14:textFill>
        </w:rPr>
        <w:t>艺无害化处理后作为液体有机肥用于灌溉周边农田，非灌溉期在场区储存塘暂存，最终种养结合，全部还田实现综合利用。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本项目养殖废水排量满足《禽畜养殖业污染物排放标准》（GB18596-2001），具体见表2.</w:t>
      </w:r>
      <w:r>
        <w:rPr>
          <w:rFonts w:hint="eastAsia" w:ascii="Times New Roman" w:hAnsi="Times New Roman" w:cs="Times New Roman"/>
          <w:color w:val="000000" w:themeColor="text1"/>
          <w14:textFill>
            <w14:solidFill>
              <w14:schemeClr w14:val="tx1"/>
            </w14:solidFill>
          </w14:textFill>
        </w:rPr>
        <w:t>4-9</w:t>
      </w:r>
      <w:r>
        <w:rPr>
          <w:rFonts w:ascii="Times New Roman" w:hAnsi="Times New Roman" w:cs="Times New Roman"/>
          <w:color w:val="000000" w:themeColor="text1"/>
          <w14:textFill>
            <w14:solidFill>
              <w14:schemeClr w14:val="tx1"/>
            </w14:solidFill>
          </w14:textFill>
        </w:rPr>
        <w:t>相关标准。</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w:t>
      </w:r>
      <w:r>
        <w:rPr>
          <w:rFonts w:hint="eastAsia" w:cs="Times New Roman"/>
          <w:color w:val="000000" w:themeColor="text1"/>
          <w14:textFill>
            <w14:solidFill>
              <w14:schemeClr w14:val="tx1"/>
            </w14:solidFill>
          </w14:textFill>
        </w:rPr>
        <w:t>9</w:t>
      </w:r>
      <w:r>
        <w:rPr>
          <w:rFonts w:cs="Times New Roman"/>
          <w:color w:val="000000" w:themeColor="text1"/>
          <w14:textFill>
            <w14:solidFill>
              <w14:schemeClr w14:val="tx1"/>
            </w14:solidFill>
          </w14:textFill>
        </w:rPr>
        <w:t xml:space="preserve">   畜禽养殖业污染物排放标准污水排放量标准</w:t>
      </w:r>
    </w:p>
    <w:tbl>
      <w:tblPr>
        <w:tblStyle w:val="27"/>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627"/>
        <w:gridCol w:w="3178"/>
        <w:gridCol w:w="35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最高允许排水量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9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种类</w:t>
            </w:r>
          </w:p>
        </w:tc>
        <w:tc>
          <w:tcPr>
            <w:tcW w:w="4021"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猪〔m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/（百头·d）〕</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9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季节</w:t>
            </w:r>
          </w:p>
        </w:tc>
        <w:tc>
          <w:tcPr>
            <w:tcW w:w="191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冬季</w:t>
            </w:r>
          </w:p>
        </w:tc>
        <w:tc>
          <w:tcPr>
            <w:tcW w:w="210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夏季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9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标准值</w:t>
            </w:r>
          </w:p>
        </w:tc>
        <w:tc>
          <w:tcPr>
            <w:tcW w:w="191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w:t>
            </w:r>
          </w:p>
        </w:tc>
        <w:tc>
          <w:tcPr>
            <w:tcW w:w="210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《畜禽养殖业污染防治技术规范》（HJ/T81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2001）中规定畜禽粪便必须经过无害化处理，并且须符合《粪便无害化卫生</w:t>
      </w:r>
      <w:r>
        <w:rPr>
          <w:rFonts w:hint="eastAsia" w:ascii="Times New Roman" w:hAnsi="Times New Roman" w:cs="Times New Roman"/>
          <w:color w:val="000000" w:themeColor="text1"/>
          <w:lang w:val="en-US" w:eastAsia="zh-CN"/>
          <w14:textFill>
            <w14:solidFill>
              <w14:schemeClr w14:val="tx1"/>
            </w14:solidFill>
          </w14:textFill>
        </w:rPr>
        <w:t>要求</w:t>
      </w:r>
      <w:r>
        <w:rPr>
          <w:rFonts w:ascii="Times New Roman" w:hAnsi="Times New Roman" w:cs="Times New Roman"/>
          <w:color w:val="000000" w:themeColor="text1"/>
          <w14:textFill>
            <w14:solidFill>
              <w14:schemeClr w14:val="tx1"/>
            </w14:solidFill>
          </w14:textFill>
        </w:rPr>
        <w:t>》（GB7959-2012）后，才能做为液体有机肥进行土地利用，禁止未经处理的畜禽粪便直接施入农田。本项目液肥利用参照《畜禽粪便无害化处理技术规范》</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w:t>
      </w:r>
      <w:r>
        <w:rPr>
          <w:rFonts w:hint="eastAsia" w:ascii="Times New Roman" w:hAnsi="Times New Roman" w:cs="Times New Roman"/>
          <w:color w:val="000000" w:themeColor="text1"/>
          <w:lang w:val="en-US" w:eastAsia="zh-CN"/>
          <w14:textFill>
            <w14:solidFill>
              <w14:schemeClr w14:val="tx1"/>
            </w14:solidFill>
          </w14:textFill>
        </w:rPr>
        <w:t xml:space="preserve">/T </w:t>
      </w:r>
      <w:r>
        <w:rPr>
          <w:rFonts w:ascii="Times New Roman" w:hAnsi="Times New Roman" w:cs="Times New Roman"/>
          <w:color w:val="000000" w:themeColor="text1"/>
          <w14:textFill>
            <w14:solidFill>
              <w14:schemeClr w14:val="tx1"/>
            </w14:solidFill>
          </w14:textFill>
        </w:rPr>
        <w:t>36195-20</w:t>
      </w:r>
      <w:r>
        <w:rPr>
          <w:rFonts w:hint="eastAsia" w:ascii="Times New Roman" w:hAnsi="Times New Roman"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、《粪便无害化</w:t>
      </w:r>
      <w:r>
        <w:rPr>
          <w:rFonts w:hint="eastAsia" w:ascii="Times New Roman" w:hAnsi="Times New Roman" w:cs="Times New Roman"/>
          <w:color w:val="000000" w:themeColor="text1"/>
          <w:lang w:val="en-US" w:eastAsia="zh-CN"/>
          <w14:textFill>
            <w14:solidFill>
              <w14:schemeClr w14:val="tx1"/>
            </w14:solidFill>
          </w14:textFill>
        </w:rPr>
        <w:t>卫生要求</w:t>
      </w:r>
      <w:r>
        <w:rPr>
          <w:rFonts w:ascii="Times New Roman" w:hAnsi="Times New Roman" w:cs="Times New Roman"/>
          <w:color w:val="000000" w:themeColor="text1"/>
          <w14:textFill>
            <w14:solidFill>
              <w14:schemeClr w14:val="tx1"/>
            </w14:solidFill>
          </w14:textFill>
        </w:rPr>
        <w:t>》（GB7959-2012）中的有关规定，具体见表2.</w:t>
      </w:r>
      <w:r>
        <w:rPr>
          <w:rFonts w:hint="eastAsia" w:ascii="Times New Roman" w:hAnsi="Times New Roman" w:cs="Times New Roman"/>
          <w:color w:val="000000" w:themeColor="text1"/>
          <w14:textFill>
            <w14:solidFill>
              <w14:schemeClr w14:val="tx1"/>
            </w14:solidFill>
          </w14:textFill>
        </w:rPr>
        <w:t>4-10</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w:t>
      </w:r>
      <w:r>
        <w:rPr>
          <w:rFonts w:hint="eastAsia" w:cs="Times New Roman"/>
          <w:color w:val="000000" w:themeColor="text1"/>
          <w14:textFill>
            <w14:solidFill>
              <w14:schemeClr w14:val="tx1"/>
            </w14:solidFill>
          </w14:textFill>
        </w:rPr>
        <w:t>10</w:t>
      </w:r>
      <w:r>
        <w:rPr>
          <w:rFonts w:cs="Times New Roman"/>
          <w:color w:val="000000" w:themeColor="text1"/>
          <w14:textFill>
            <w14:solidFill>
              <w14:schemeClr w14:val="tx1"/>
            </w14:solidFill>
          </w14:textFill>
        </w:rPr>
        <w:t xml:space="preserve">   液态粪便厌氧无害化卫生学要求</w:t>
      </w:r>
    </w:p>
    <w:tbl>
      <w:tblPr>
        <w:tblStyle w:val="27"/>
        <w:tblW w:w="5022"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01"/>
        <w:gridCol w:w="1337"/>
        <w:gridCol w:w="641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编号</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w:t>
            </w:r>
          </w:p>
        </w:tc>
        <w:tc>
          <w:tcPr>
            <w:tcW w:w="383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卫生标准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蛔虫卵</w:t>
            </w:r>
          </w:p>
        </w:tc>
        <w:tc>
          <w:tcPr>
            <w:tcW w:w="383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钩虫卵</w:t>
            </w:r>
          </w:p>
        </w:tc>
        <w:tc>
          <w:tcPr>
            <w:tcW w:w="383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在使用粪液中不得检出活的血钩虫卵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粪大肠菌群数</w:t>
            </w:r>
          </w:p>
        </w:tc>
        <w:tc>
          <w:tcPr>
            <w:tcW w:w="383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常温沼气发酵≤105个/L，高温沼气发酵≤100个/L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蚊子、苍蝇</w:t>
            </w:r>
          </w:p>
        </w:tc>
        <w:tc>
          <w:tcPr>
            <w:tcW w:w="383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粪液中不应有蚊蝇幼虫，池的周围不应有活的蛆、蛹或新羽化的苍蝇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6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粪渣</w:t>
            </w:r>
          </w:p>
        </w:tc>
        <w:tc>
          <w:tcPr>
            <w:tcW w:w="383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达到表1要求后方可用作农肥</w:t>
            </w:r>
          </w:p>
        </w:tc>
      </w:tr>
      <w:bookmarkEnd w:id="103"/>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（3）噪声控制标准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厂界噪声执行《工业企业厂界环境噪声排放标准》（GB 12348-2008）</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类标准，施工期执行《建筑施工场界环境噪声排放标准》（GB 12523-2011）。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w:t>
      </w:r>
      <w:r>
        <w:rPr>
          <w:rFonts w:hint="eastAsia" w:cs="Times New Roman"/>
          <w:color w:val="000000" w:themeColor="text1"/>
          <w14:textFill>
            <w14:solidFill>
              <w14:schemeClr w14:val="tx1"/>
            </w14:solidFill>
          </w14:textFill>
        </w:rPr>
        <w:t>11</w:t>
      </w:r>
      <w:r>
        <w:rPr>
          <w:rFonts w:cs="Times New Roman"/>
          <w:color w:val="000000" w:themeColor="text1"/>
          <w14:textFill>
            <w14:solidFill>
              <w14:schemeClr w14:val="tx1"/>
            </w14:solidFill>
          </w14:textFill>
        </w:rPr>
        <w:t xml:space="preserve">   工业企业厂界环境噪声排放标准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277"/>
        <w:gridCol w:w="1408"/>
        <w:gridCol w:w="1154"/>
        <w:gridCol w:w="3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序号</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取值时间</w:t>
            </w:r>
          </w:p>
        </w:tc>
        <w:tc>
          <w:tcPr>
            <w:tcW w:w="826"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浓度限值</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单位</w:t>
            </w:r>
          </w:p>
        </w:tc>
        <w:tc>
          <w:tcPr>
            <w:tcW w:w="2341"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昼间</w:t>
            </w:r>
          </w:p>
        </w:tc>
        <w:tc>
          <w:tcPr>
            <w:tcW w:w="82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w:t>
            </w:r>
            <w:r>
              <w:rPr>
                <w:rFonts w:hint="eastAsia" w:ascii="Times New Roman" w:hAnsi="Times New Roman" w:cs="Times New Roman"/>
                <w:color w:val="000000" w:themeColor="text1"/>
                <w:spacing w:val="6"/>
                <w:sz w:val="21"/>
                <w:szCs w:val="21"/>
                <w14:textFill>
                  <w14:solidFill>
                    <w14:schemeClr w14:val="tx1"/>
                  </w14:solidFill>
                </w14:textFill>
              </w:rPr>
              <w:t>60</w:t>
            </w:r>
          </w:p>
        </w:tc>
        <w:tc>
          <w:tcPr>
            <w:tcW w:w="677"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dB（A）</w:t>
            </w:r>
          </w:p>
        </w:tc>
        <w:tc>
          <w:tcPr>
            <w:tcW w:w="234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《工业企业厂界环境噪声排放标准》（GB 12348-2008）</w:t>
            </w:r>
            <w:r>
              <w:rPr>
                <w:rFonts w:hint="eastAsia" w:ascii="Times New Roman" w:hAnsi="Times New Roman" w:cs="Times New Roman"/>
                <w:color w:val="000000" w:themeColor="text1"/>
                <w:spacing w:val="6"/>
                <w:sz w:val="21"/>
                <w:szCs w:val="21"/>
                <w14:textFill>
                  <w14:solidFill>
                    <w14:schemeClr w14:val="tx1"/>
                  </w14:solidFill>
                </w14:textFill>
              </w:rPr>
              <w:t>2</w:t>
            </w:r>
            <w:r>
              <w:rPr>
                <w:rFonts w:ascii="Times New Roman" w:hAnsi="Times New Roman" w:cs="Times New Roman"/>
                <w:color w:val="000000" w:themeColor="text1"/>
                <w:spacing w:val="6"/>
                <w:sz w:val="21"/>
                <w:szCs w:val="21"/>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夜间</w:t>
            </w:r>
          </w:p>
        </w:tc>
        <w:tc>
          <w:tcPr>
            <w:tcW w:w="82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w:t>
            </w:r>
            <w:r>
              <w:rPr>
                <w:rFonts w:hint="eastAsia" w:ascii="Times New Roman" w:hAnsi="Times New Roman" w:cs="Times New Roman"/>
                <w:color w:val="000000" w:themeColor="text1"/>
                <w:spacing w:val="6"/>
                <w:sz w:val="21"/>
                <w:szCs w:val="21"/>
                <w14:textFill>
                  <w14:solidFill>
                    <w14:schemeClr w14:val="tx1"/>
                  </w14:solidFill>
                </w14:textFill>
              </w:rPr>
              <w:t>50</w:t>
            </w:r>
          </w:p>
        </w:tc>
        <w:tc>
          <w:tcPr>
            <w:tcW w:w="677"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234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bl>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表2.4-1</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 xml:space="preserve">   建筑施工场界环境噪声排放标准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277"/>
        <w:gridCol w:w="1408"/>
        <w:gridCol w:w="1154"/>
        <w:gridCol w:w="3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序号</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取值时间</w:t>
            </w:r>
          </w:p>
        </w:tc>
        <w:tc>
          <w:tcPr>
            <w:tcW w:w="826"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浓度限值</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单位</w:t>
            </w:r>
          </w:p>
        </w:tc>
        <w:tc>
          <w:tcPr>
            <w:tcW w:w="2341" w:type="pct"/>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昼间</w:t>
            </w:r>
          </w:p>
        </w:tc>
        <w:tc>
          <w:tcPr>
            <w:tcW w:w="82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≤70</w:t>
            </w:r>
          </w:p>
        </w:tc>
        <w:tc>
          <w:tcPr>
            <w:tcW w:w="677"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dB（A）</w:t>
            </w:r>
          </w:p>
        </w:tc>
        <w:tc>
          <w:tcPr>
            <w:tcW w:w="234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《建筑施工场界环境噪声排放标准》（GB 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2</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夜间</w:t>
            </w:r>
          </w:p>
        </w:tc>
        <w:tc>
          <w:tcPr>
            <w:tcW w:w="826" w:type="pct"/>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≤55</w:t>
            </w:r>
          </w:p>
        </w:tc>
        <w:tc>
          <w:tcPr>
            <w:tcW w:w="677"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c>
          <w:tcPr>
            <w:tcW w:w="234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（4）固体污染物控制标准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《畜禽养殖业污染物排放标准》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GB18596-2001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中规定用于直接还田的畜禽粪便，必须进行无害化处理。本项目畜禽粪便集中在堆肥场腐熟发酵无害化处置成有机肥。该有机肥经无害化处置，符合《畜禽养殖业污染物排放标准》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GB18596-2001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中“表2.2-14畜禽养殖业废渣无害化环境标准”要求，微生物产品指标符合《生物有机肥 NY884》标准要求，见表</w:t>
      </w:r>
      <w:r>
        <w:rPr>
          <w:rFonts w:hint="eastAsia" w:ascii="Times New Roman" w:hAnsi="Times New Roman" w:cs="Times New Roman"/>
          <w:color w:val="000000" w:themeColor="text1"/>
          <w14:textFill>
            <w14:solidFill>
              <w14:schemeClr w14:val="tx1"/>
            </w14:solidFill>
          </w14:textFill>
        </w:rPr>
        <w:t>2.4-13</w:t>
      </w:r>
      <w:r>
        <w:rPr>
          <w:rFonts w:ascii="Times New Roman" w:hAnsi="Times New Roman" w:cs="Times New Roman"/>
          <w:color w:val="000000" w:themeColor="text1"/>
          <w14:textFill>
            <w14:solidFill>
              <w14:schemeClr w14:val="tx1"/>
            </w14:solidFill>
          </w14:textFill>
        </w:rPr>
        <w:t>的规定。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病死猪尸体处置采用高温与生物降解畜禽无害化处理设施。高温与生物降解畜禽无害化处理设施的设置应按照《病死及病害动物无害化处理技术规范》（农医发</w:t>
      </w:r>
      <w:r>
        <w:rPr>
          <w:rFonts w:hint="eastAsia" w:ascii="宋体" w:hAnsi="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2017</w:t>
      </w:r>
      <w:r>
        <w:rPr>
          <w:rFonts w:hint="eastAsia" w:ascii="宋体" w:hAnsi="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25号）中的要求执行。畜禽养殖业的病死尸体处置还需满足《危险废物填埋污染控制标准》（GB18598-2001）和《危险废物贮存污染控制标准》（GB18597-2013）。</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国家危险废物名录》中规定对人体健康造成有害影响需要按照危险废物进行管理。兽用医疗废物按照《医疗废物集中处置技术规范（试行）》规定，设置医疗废物暂时贮存库房，对医疗废弃物进行分类暂存。对于存在传染性的医疗固废，必须按照《危险废物贮存污染控制标准》（GB18597-2013）进行收集管理，医疗废物最终交由有资质单位处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产生的生活垃圾集中收集后送往</w:t>
      </w:r>
      <w:r>
        <w:rPr>
          <w:rFonts w:hint="eastAsia" w:ascii="Times New Roman" w:hAnsi="Times New Roman" w:cs="Times New Roman"/>
          <w:color w:val="000000" w:themeColor="text1"/>
          <w14:textFill>
            <w14:solidFill>
              <w14:schemeClr w14:val="tx1"/>
            </w14:solidFill>
          </w14:textFill>
        </w:rPr>
        <w:t>昌吉市</w:t>
      </w:r>
      <w:r>
        <w:rPr>
          <w:rFonts w:ascii="Times New Roman" w:hAnsi="Times New Roman" w:cs="Times New Roman"/>
          <w:color w:val="000000" w:themeColor="text1"/>
          <w14:textFill>
            <w14:solidFill>
              <w14:schemeClr w14:val="tx1"/>
            </w14:solidFill>
          </w14:textFill>
        </w:rPr>
        <w:t>生活垃圾填埋场处置，执行《生活垃圾填埋场污染控制标准》（GB16889-2008）。</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表2.4-1</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 xml:space="preserve">   畜禽养殖业废渣无害化环境标准</w:t>
      </w:r>
    </w:p>
    <w:tbl>
      <w:tblPr>
        <w:tblStyle w:val="27"/>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276"/>
        <w:gridCol w:w="40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控制项目</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指标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lang w:val="zh-CN"/>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蛔虫卵</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lang w:val="zh-CN"/>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死亡率≥95%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lang w:val="zh-CN"/>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粪大肠杆菌群数</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lang w:val="zh-CN"/>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w:t>
            </w:r>
            <w:r>
              <w:rPr>
                <w:rFonts w:ascii="Times New Roman" w:hAnsi="Times New Roman" w:cs="Times New Roman"/>
                <w:color w:val="000000" w:themeColor="text1"/>
                <w:spacing w:val="6"/>
                <w:sz w:val="21"/>
                <w:szCs w:val="21"/>
                <w:vertAlign w:val="superscript"/>
                <w14:textFill>
                  <w14:solidFill>
                    <w14:schemeClr w14:val="tx1"/>
                  </w14:solidFill>
                </w14:textFill>
              </w:rPr>
              <w:t>5</w:t>
            </w:r>
            <w:r>
              <w:rPr>
                <w:rFonts w:ascii="Times New Roman" w:hAnsi="Times New Roman" w:cs="Times New Roman"/>
                <w:color w:val="000000" w:themeColor="text1"/>
                <w:spacing w:val="6"/>
                <w:sz w:val="21"/>
                <w:szCs w:val="21"/>
                <w14:textFill>
                  <w14:solidFill>
                    <w14:schemeClr w14:val="tx1"/>
                  </w14:solidFill>
                </w14:textFill>
              </w:rPr>
              <w:t>个/kg</w:t>
            </w:r>
          </w:p>
        </w:tc>
      </w:tr>
    </w:tbl>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表2.4-1</w:t>
      </w:r>
      <w:r>
        <w:rPr>
          <w:rFonts w:hint="eastAsia"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 xml:space="preserve">   生物有机肥产品技术指标要求</w:t>
      </w:r>
    </w:p>
    <w:tbl>
      <w:tblPr>
        <w:tblStyle w:val="27"/>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276"/>
        <w:gridCol w:w="40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控制项目</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b/>
                <w:bCs/>
                <w:color w:val="000000" w:themeColor="text1"/>
                <w:spacing w:val="6"/>
                <w:sz w:val="21"/>
                <w:szCs w:val="21"/>
                <w14:textFill>
                  <w14:solidFill>
                    <w14:schemeClr w14:val="tx1"/>
                  </w14:solidFill>
                </w14:textFill>
              </w:rPr>
            </w:pPr>
            <w:r>
              <w:rPr>
                <w:rFonts w:ascii="Times New Roman" w:hAnsi="Times New Roman" w:cs="Times New Roman"/>
                <w:b/>
                <w:bCs/>
                <w:color w:val="000000" w:themeColor="text1"/>
                <w:spacing w:val="6"/>
                <w:sz w:val="21"/>
                <w:szCs w:val="21"/>
                <w14:textFill>
                  <w14:solidFill>
                    <w14:schemeClr w14:val="tx1"/>
                  </w14:solidFill>
                </w14:textFill>
              </w:rPr>
              <w:t>指标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有效活菌数（cfu），亿/g</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有机质</w:t>
            </w:r>
            <w:r>
              <w:rPr>
                <w:rFonts w:hint="eastAsia" w:ascii="Times New Roman" w:hAnsi="Times New Roman" w:cs="Times New Roman"/>
                <w:color w:val="000000" w:themeColor="text1"/>
                <w:spacing w:val="6"/>
                <w:sz w:val="21"/>
                <w:szCs w:val="21"/>
                <w14:textFill>
                  <w14:solidFill>
                    <w14:schemeClr w14:val="tx1"/>
                  </w14:solidFill>
                </w14:textFill>
              </w:rPr>
              <w:t>（</w:t>
            </w:r>
            <w:r>
              <w:rPr>
                <w:rFonts w:ascii="Times New Roman" w:hAnsi="Times New Roman" w:cs="Times New Roman"/>
                <w:color w:val="000000" w:themeColor="text1"/>
                <w:spacing w:val="6"/>
                <w:sz w:val="21"/>
                <w:szCs w:val="21"/>
                <w14:textFill>
                  <w14:solidFill>
                    <w14:schemeClr w14:val="tx1"/>
                  </w14:solidFill>
                </w14:textFill>
              </w:rPr>
              <w:t>以干基计</w:t>
            </w:r>
            <w:r>
              <w:rPr>
                <w:rFonts w:hint="eastAsia" w:ascii="Times New Roman" w:hAnsi="Times New Roman" w:cs="Times New Roman"/>
                <w:color w:val="000000" w:themeColor="text1"/>
                <w:spacing w:val="6"/>
                <w:sz w:val="21"/>
                <w:szCs w:val="21"/>
                <w14:textFill>
                  <w14:solidFill>
                    <w14:schemeClr w14:val="tx1"/>
                  </w14:solidFill>
                </w14:textFill>
              </w:rPr>
              <w:t>）</w:t>
            </w:r>
            <w:r>
              <w:rPr>
                <w:rFonts w:ascii="Times New Roman" w:hAnsi="Times New Roman" w:cs="Times New Roman"/>
                <w:color w:val="000000" w:themeColor="text1"/>
                <w:spacing w:val="6"/>
                <w:sz w:val="21"/>
                <w:szCs w:val="21"/>
                <w14:textFill>
                  <w14:solidFill>
                    <w14:schemeClr w14:val="tx1"/>
                  </w14:solidFill>
                </w14:textFill>
              </w:rPr>
              <w:t>，%</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水分</w:t>
            </w:r>
            <w:r>
              <w:rPr>
                <w:rFonts w:hint="eastAsia" w:ascii="Times New Roman" w:hAnsi="Times New Roman" w:cs="Times New Roman"/>
                <w:color w:val="000000" w:themeColor="text1"/>
                <w:spacing w:val="6"/>
                <w:sz w:val="21"/>
                <w:szCs w:val="21"/>
                <w14:textFill>
                  <w14:solidFill>
                    <w14:schemeClr w14:val="tx1"/>
                  </w14:solidFill>
                </w14:textFill>
              </w:rPr>
              <w:t>，</w:t>
            </w:r>
            <w:r>
              <w:rPr>
                <w:rFonts w:ascii="Times New Roman" w:hAnsi="Times New Roman" w:cs="Times New Roman"/>
                <w:color w:val="000000" w:themeColor="text1"/>
                <w:spacing w:val="6"/>
                <w:sz w:val="21"/>
                <w:szCs w:val="21"/>
                <w14:textFill>
                  <w14:solidFill>
                    <w14:schemeClr w14:val="tx1"/>
                  </w14:solidFill>
                </w14:textFill>
              </w:rPr>
              <w:t>%</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pH</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5.5-8.5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蛔虫卵死亡率，%</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死亡率≥95%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粪大肠杆菌群数，个/g</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≤10</w:t>
            </w:r>
            <w:r>
              <w:rPr>
                <w:rFonts w:ascii="Times New Roman" w:hAnsi="Times New Roman" w:cs="Times New Roman"/>
                <w:color w:val="000000" w:themeColor="text1"/>
                <w:spacing w:val="6"/>
                <w:sz w:val="21"/>
                <w:szCs w:val="21"/>
                <w:vertAlign w:val="superscript"/>
                <w14:textFill>
                  <w14:solidFill>
                    <w14:schemeClr w14:val="tx1"/>
                  </w14:solidFill>
                </w14:textFill>
              </w:rPr>
              <w:t>5</w:t>
            </w:r>
            <w:r>
              <w:rPr>
                <w:rFonts w:ascii="Times New Roman" w:hAnsi="Times New Roman" w:cs="Times New Roman"/>
                <w:color w:val="000000" w:themeColor="text1"/>
                <w:spacing w:val="6"/>
                <w:sz w:val="21"/>
                <w:szCs w:val="21"/>
                <w14:textFill>
                  <w14:solidFill>
                    <w14:schemeClr w14:val="tx1"/>
                  </w14:solidFill>
                </w14:textFill>
              </w:rPr>
              <w:t>个/kg</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71"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有效期，月</w:t>
            </w:r>
          </w:p>
        </w:tc>
        <w:tc>
          <w:tcPr>
            <w:tcW w:w="2428" w:type="pct"/>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line="240" w:lineRule="auto"/>
              <w:ind w:firstLine="0" w:firstLineChars="0"/>
              <w:jc w:val="center"/>
              <w:rPr>
                <w:rFonts w:ascii="Times New Roman" w:hAnsi="Times New Roman" w:cs="Times New Roman"/>
                <w:color w:val="000000" w:themeColor="text1"/>
                <w:spacing w:val="6"/>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≥6</w:t>
            </w:r>
          </w:p>
        </w:tc>
      </w:tr>
    </w:tbl>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104" w:name="_Toc1139"/>
      <w:bookmarkStart w:id="105" w:name="_Toc10884"/>
      <w:bookmarkStart w:id="106" w:name="_Toc13504"/>
      <w:bookmarkStart w:id="107" w:name="_Toc7280"/>
      <w:bookmarkStart w:id="108" w:name="_Toc2795"/>
      <w:bookmarkStart w:id="109" w:name="_Toc15433"/>
      <w:bookmarkStart w:id="110" w:name="_Toc6974"/>
      <w:bookmarkStart w:id="111" w:name="_Toc8868_WPSOffice_Level2"/>
      <w:bookmarkStart w:id="112" w:name="_Toc3569"/>
      <w:bookmarkStart w:id="113" w:name="_Toc1186"/>
      <w:bookmarkStart w:id="114" w:name="_Toc10802"/>
      <w:bookmarkStart w:id="115" w:name="_Toc19964_WPSOffice_Level2"/>
      <w:bookmarkStart w:id="116" w:name="_Toc6832"/>
      <w:bookmarkStart w:id="117" w:name="_Toc23727"/>
      <w:bookmarkStart w:id="118" w:name="_Toc13878"/>
      <w:bookmarkStart w:id="119" w:name="_Toc20740"/>
      <w:r>
        <w:rPr>
          <w:rFonts w:ascii="Times New Roman" w:hAnsi="Times New Roman" w:cs="Times New Roman"/>
          <w:color w:val="000000" w:themeColor="text1"/>
          <w:kern w:val="0"/>
          <w:szCs w:val="30"/>
          <w14:textFill>
            <w14:solidFill>
              <w14:schemeClr w14:val="tx1"/>
            </w14:solidFill>
          </w14:textFill>
        </w:rPr>
        <w:t>2.5 评价工作等级和评价范围</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6"/>
        <w:spacing w:line="413" w:lineRule="auto"/>
        <w:rPr>
          <w:rFonts w:ascii="Times New Roman" w:hAnsi="Times New Roman" w:cs="Times New Roman"/>
          <w:color w:val="000000" w:themeColor="text1"/>
          <w14:textFill>
            <w14:solidFill>
              <w14:schemeClr w14:val="tx1"/>
            </w14:solidFill>
          </w14:textFill>
        </w:rPr>
      </w:pPr>
      <w:bookmarkStart w:id="120" w:name="_Toc11208"/>
      <w:bookmarkStart w:id="121" w:name="_Toc27779"/>
      <w:bookmarkStart w:id="122" w:name="_Toc31127"/>
      <w:r>
        <w:rPr>
          <w:rFonts w:ascii="Times New Roman" w:hAnsi="Times New Roman" w:cs="Times New Roman"/>
          <w:color w:val="000000" w:themeColor="text1"/>
          <w14:textFill>
            <w14:solidFill>
              <w14:schemeClr w14:val="tx1"/>
            </w14:solidFill>
          </w14:textFill>
        </w:rPr>
        <w:t>2.5.1 大气环境影响评价等级及范围</w:t>
      </w:r>
      <w:bookmarkEnd w:id="120"/>
      <w:bookmarkEnd w:id="121"/>
      <w:bookmarkEnd w:id="122"/>
    </w:p>
    <w:p>
      <w:pPr>
        <w:pStyle w:val="7"/>
        <w:rPr>
          <w:rFonts w:cs="Times New Roman"/>
          <w:color w:val="000000" w:themeColor="text1"/>
          <w14:textFill>
            <w14:solidFill>
              <w14:schemeClr w14:val="tx1"/>
            </w14:solidFill>
          </w14:textFill>
        </w:rPr>
      </w:pPr>
      <w:bookmarkStart w:id="123" w:name="_Toc27720"/>
      <w:bookmarkStart w:id="124" w:name="_Toc7166"/>
      <w:r>
        <w:rPr>
          <w:rFonts w:cs="Times New Roman"/>
          <w:color w:val="000000" w:themeColor="text1"/>
          <w14:textFill>
            <w14:solidFill>
              <w14:schemeClr w14:val="tx1"/>
            </w14:solidFill>
          </w14:textFill>
        </w:rPr>
        <w:t>2.5.1.1 评价等级</w:t>
      </w:r>
      <w:bookmarkEnd w:id="123"/>
      <w:bookmarkEnd w:id="12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（1）判定依据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项目根据工程特点和污染特征以及周围环境状况，采用《环境影响评价技术导则·大气环境》（HJ2.2-2018）中规定的方法核算，计算公式及评价工作级别判断表（表2.5-1）如下：</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object>
          <v:shape id="_x0000_i1026" o:spt="75" type="#_x0000_t75" style="height:34.2pt;width:78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式中：P</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---第i个污染物的最大地面浓度占标率，%；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---采用估算模式计算出的第i个污染物的最大地面浓度，mg/m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oi</w:t>
      </w:r>
      <w:r>
        <w:rPr>
          <w:rFonts w:ascii="Times New Roman" w:hAnsi="Times New Roman" w:cs="Times New Roman"/>
          <w:color w:val="000000" w:themeColor="text1"/>
          <w14:textFill>
            <w14:solidFill>
              <w14:schemeClr w14:val="tx1"/>
            </w14:solidFill>
          </w14:textFill>
        </w:rPr>
        <w:t>---第i个污染物的环境空气质量标准，mg/m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。一般选用GB3095中1h平均质量浓度的二级浓度限值，µg/m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；对仅有8h平均质量浓度限值、日平均质量浓度限值或年平均质量浓度限值的，可分别按2倍、3倍、6倍折算为1h平均质量浓度限值。</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评价工作等级按表2.5-1的分级判据进行划分。最大地面浓度占标率Pi按公式计算，如污染物i大于1，取P值的最大者（Pmax），和其对应的D10%。</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表2.5-1   评价工作等级分级判据</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022"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评价工作等级</w:t>
            </w:r>
          </w:p>
        </w:tc>
        <w:tc>
          <w:tcPr>
            <w:tcW w:w="397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一级</w:t>
            </w:r>
          </w:p>
        </w:tc>
        <w:tc>
          <w:tcPr>
            <w:tcW w:w="397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二级</w:t>
            </w:r>
          </w:p>
        </w:tc>
        <w:tc>
          <w:tcPr>
            <w:tcW w:w="397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三级</w:t>
            </w:r>
          </w:p>
        </w:tc>
        <w:tc>
          <w:tcPr>
            <w:tcW w:w="397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Pmax＜1%</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本项目大气污染物主要为养殖恶臭，污染物主要为H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。本评价主要以养殖产生的恶臭H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的排放量来确定评价工作等级。H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空气质量浓度分别取《环境影响评价技术导则大气环境》（HJ2.2-2018）附录D表D.1中H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的1h平均值分别为10μg/m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和200μg/m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（2）估算模式参数选取</w:t>
      </w:r>
    </w:p>
    <w:p>
      <w:pPr>
        <w:spacing w:line="520" w:lineRule="exact"/>
        <w:ind w:firstLine="4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本次评价选择《环境评价技术导则 大气环境》（HJ2.2-2018）推荐的AERSCREEN估算模型，选取本项目估算模型参数见表2.5-2，大气污染物排放参数详见表2.5-3。</w:t>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 xml:space="preserve">2.5-2   </w:t>
      </w:r>
      <w:r>
        <w:rPr>
          <w:rFonts w:cs="Times New Roman"/>
          <w:color w:val="000000" w:themeColor="text1"/>
          <w:lang w:val="zh-CN"/>
          <w14:textFill>
            <w14:solidFill>
              <w14:schemeClr w14:val="tx1"/>
            </w14:solidFill>
          </w14:textFill>
        </w:rPr>
        <w:t>估算模型参数表</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45"/>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333" w:type="pct"/>
            <w:gridSpan w:val="2"/>
            <w:vAlign w:val="center"/>
          </w:tcPr>
          <w:p>
            <w:pPr>
              <w:adjustRightInd w:val="0"/>
              <w:snapToGrid w:val="0"/>
              <w:spacing w:line="240" w:lineRule="auto"/>
              <w:ind w:firstLine="422"/>
              <w:jc w:val="center"/>
              <w:rPr>
                <w:rFonts w:ascii="Times New Roman" w:hAnsi="Times New Roman" w:cs="Times New Roman"/>
                <w:b/>
                <w:bCs/>
                <w:color w:val="000000" w:themeColor="text1"/>
                <w:sz w:val="21"/>
                <w:szCs w:val="21"/>
                <w:lang w:val="zh-CN"/>
                <w14:textFill>
                  <w14:solidFill>
                    <w14:schemeClr w14:val="tx1"/>
                  </w14:solidFill>
                </w14:textFill>
              </w:rPr>
            </w:pPr>
            <w:r>
              <w:rPr>
                <w:rFonts w:ascii="Times New Roman" w:hAnsi="Times New Roman" w:cs="Times New Roman"/>
                <w:b/>
                <w:bCs/>
                <w:color w:val="000000" w:themeColor="text1"/>
                <w:sz w:val="21"/>
                <w:szCs w:val="21"/>
                <w:lang w:val="zh-CN"/>
                <w14:textFill>
                  <w14:solidFill>
                    <w14:schemeClr w14:val="tx1"/>
                  </w14:solidFill>
                </w14:textFill>
              </w:rPr>
              <w:t>参数</w:t>
            </w:r>
          </w:p>
        </w:tc>
        <w:tc>
          <w:tcPr>
            <w:tcW w:w="1666" w:type="pct"/>
            <w:vAlign w:val="center"/>
          </w:tcPr>
          <w:p>
            <w:pPr>
              <w:adjustRightInd w:val="0"/>
              <w:snapToGrid w:val="0"/>
              <w:spacing w:line="240" w:lineRule="auto"/>
              <w:ind w:firstLine="422"/>
              <w:jc w:val="center"/>
              <w:rPr>
                <w:rFonts w:ascii="Times New Roman" w:hAnsi="Times New Roman" w:cs="Times New Roman"/>
                <w:b/>
                <w:bCs/>
                <w:color w:val="000000" w:themeColor="text1"/>
                <w:sz w:val="21"/>
                <w:szCs w:val="21"/>
                <w:lang w:val="zh-CN"/>
                <w14:textFill>
                  <w14:solidFill>
                    <w14:schemeClr w14:val="tx1"/>
                  </w14:solidFill>
                </w14:textFill>
              </w:rPr>
            </w:pPr>
            <w:r>
              <w:rPr>
                <w:rFonts w:ascii="Times New Roman" w:hAnsi="Times New Roman" w:cs="Times New Roman"/>
                <w:b/>
                <w:bCs/>
                <w:color w:val="000000" w:themeColor="text1"/>
                <w:sz w:val="21"/>
                <w:szCs w:val="21"/>
                <w:lang w:val="zh-CN"/>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4" w:type="pct"/>
            <w:vMerge w:val="restar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城市</w:t>
            </w:r>
            <w:r>
              <w:rPr>
                <w:rFonts w:ascii="Times New Roman" w:hAnsi="Times New Roman" w:cs="Times New Roman"/>
                <w:color w:val="000000" w:themeColor="text1"/>
                <w:sz w:val="21"/>
                <w:szCs w:val="21"/>
                <w14:textFill>
                  <w14:solidFill>
                    <w14:schemeClr w14:val="tx1"/>
                  </w14:solidFill>
                </w14:textFill>
              </w:rPr>
              <w:t>/农村选型</w:t>
            </w:r>
          </w:p>
        </w:tc>
        <w:tc>
          <w:tcPr>
            <w:tcW w:w="1668"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城市</w:t>
            </w:r>
            <w:r>
              <w:rPr>
                <w:rFonts w:ascii="Times New Roman" w:hAnsi="Times New Roman" w:cs="Times New Roman"/>
                <w:color w:val="000000" w:themeColor="text1"/>
                <w:sz w:val="21"/>
                <w:szCs w:val="21"/>
                <w14:textFill>
                  <w14:solidFill>
                    <w14:schemeClr w14:val="tx1"/>
                  </w14:solidFill>
                </w14:textFill>
              </w:rPr>
              <w:t>/农村</w:t>
            </w:r>
          </w:p>
        </w:tc>
        <w:tc>
          <w:tcPr>
            <w:tcW w:w="1666"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4" w:type="pct"/>
            <w:vMerge w:val="continue"/>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p>
        </w:tc>
        <w:tc>
          <w:tcPr>
            <w:tcW w:w="1668"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人口数（城市选项时）</w:t>
            </w:r>
          </w:p>
        </w:tc>
        <w:tc>
          <w:tcPr>
            <w:tcW w:w="1666"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最高环境温度</w:t>
            </w:r>
            <w:r>
              <w:rPr>
                <w:rFonts w:ascii="Times New Roman" w:hAnsi="Times New Roman" w:cs="Times New Roman"/>
                <w:color w:val="000000" w:themeColor="text1"/>
                <w:sz w:val="21"/>
                <w:szCs w:val="21"/>
                <w14:textFill>
                  <w14:solidFill>
                    <w14:schemeClr w14:val="tx1"/>
                  </w14:solidFill>
                </w14:textFill>
              </w:rPr>
              <w:t>/℃</w:t>
            </w:r>
          </w:p>
        </w:tc>
        <w:tc>
          <w:tcPr>
            <w:tcW w:w="1666"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最低环境温度</w:t>
            </w:r>
            <w:r>
              <w:rPr>
                <w:rFonts w:ascii="Times New Roman" w:hAnsi="Times New Roman" w:cs="Times New Roman"/>
                <w:color w:val="000000" w:themeColor="text1"/>
                <w:sz w:val="21"/>
                <w:szCs w:val="21"/>
                <w14:textFill>
                  <w14:solidFill>
                    <w14:schemeClr w14:val="tx1"/>
                  </w14:solidFill>
                </w14:textFill>
              </w:rPr>
              <w:t>/℃</w:t>
            </w:r>
          </w:p>
        </w:tc>
        <w:tc>
          <w:tcPr>
            <w:tcW w:w="1666"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土地利用类型</w:t>
            </w:r>
          </w:p>
        </w:tc>
        <w:tc>
          <w:tcPr>
            <w:tcW w:w="1666"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设施农用地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区域湿度条件</w:t>
            </w:r>
          </w:p>
        </w:tc>
        <w:tc>
          <w:tcPr>
            <w:tcW w:w="1666"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干燥区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4" w:type="pct"/>
            <w:vMerge w:val="restart"/>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是否考虑地形</w:t>
            </w:r>
          </w:p>
        </w:tc>
        <w:tc>
          <w:tcPr>
            <w:tcW w:w="1668"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考虑地形</w:t>
            </w:r>
          </w:p>
        </w:tc>
        <w:tc>
          <w:tcPr>
            <w:tcW w:w="1666"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4" w:type="pct"/>
            <w:vMerge w:val="continue"/>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p>
        </w:tc>
        <w:tc>
          <w:tcPr>
            <w:tcW w:w="1668"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地形数据分辨率</w:t>
            </w:r>
            <w:r>
              <w:rPr>
                <w:rFonts w:ascii="Times New Roman" w:hAnsi="Times New Roman" w:cs="Times New Roman"/>
                <w:color w:val="000000" w:themeColor="text1"/>
                <w:sz w:val="21"/>
                <w:szCs w:val="21"/>
                <w14:textFill>
                  <w14:solidFill>
                    <w14:schemeClr w14:val="tx1"/>
                  </w14:solidFill>
                </w14:textFill>
              </w:rPr>
              <w:t>/m</w:t>
            </w:r>
          </w:p>
        </w:tc>
        <w:tc>
          <w:tcPr>
            <w:tcW w:w="1666" w:type="pct"/>
            <w:vAlign w:val="center"/>
          </w:tcPr>
          <w:p>
            <w:pPr>
              <w:pStyle w:val="48"/>
              <w:spacing w:line="240" w:lineRule="auto"/>
              <w:ind w:firstLine="420"/>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4" w:type="pct"/>
            <w:vMerge w:val="restart"/>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是否考虑岸线熏烟</w:t>
            </w:r>
          </w:p>
        </w:tc>
        <w:tc>
          <w:tcPr>
            <w:tcW w:w="1668"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考虑岸线熏烟</w:t>
            </w:r>
          </w:p>
        </w:tc>
        <w:tc>
          <w:tcPr>
            <w:tcW w:w="1666" w:type="pct"/>
            <w:vAlign w:val="center"/>
          </w:tcPr>
          <w:p>
            <w:pPr>
              <w:pStyle w:val="48"/>
              <w:spacing w:line="240" w:lineRule="auto"/>
              <w:ind w:firstLine="420"/>
              <w:rPr>
                <w:rFonts w:ascii="Times New Roman" w:hAnsi="Times New Roman" w:cs="Times New Roman"/>
                <w:b w:val="0"/>
                <w:color w:val="000000" w:themeColor="text1"/>
                <w:sz w:val="21"/>
                <w:szCs w:val="21"/>
                <w:lang w:val="zh-CN"/>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4" w:type="pct"/>
            <w:vMerge w:val="continue"/>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p>
        </w:tc>
        <w:tc>
          <w:tcPr>
            <w:tcW w:w="1668"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岸线距离</w:t>
            </w:r>
            <w:r>
              <w:rPr>
                <w:rFonts w:ascii="Times New Roman" w:hAnsi="Times New Roman" w:cs="Times New Roman"/>
                <w:color w:val="000000" w:themeColor="text1"/>
                <w:sz w:val="21"/>
                <w:szCs w:val="21"/>
                <w14:textFill>
                  <w14:solidFill>
                    <w14:schemeClr w14:val="tx1"/>
                  </w14:solidFill>
                </w14:textFill>
              </w:rPr>
              <w:t>/km</w:t>
            </w:r>
          </w:p>
        </w:tc>
        <w:tc>
          <w:tcPr>
            <w:tcW w:w="1666" w:type="pct"/>
            <w:vAlign w:val="center"/>
          </w:tcPr>
          <w:p>
            <w:pPr>
              <w:pStyle w:val="48"/>
              <w:spacing w:line="240" w:lineRule="auto"/>
              <w:ind w:firstLine="420"/>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4" w:type="pct"/>
            <w:vMerge w:val="continue"/>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p>
        </w:tc>
        <w:tc>
          <w:tcPr>
            <w:tcW w:w="1668" w:type="pct"/>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岸线方向</w:t>
            </w:r>
            <w:r>
              <w:rPr>
                <w:rFonts w:ascii="Times New Roman" w:hAnsi="Times New Roman" w:cs="Times New Roman"/>
                <w:color w:val="000000" w:themeColor="text1"/>
                <w:sz w:val="21"/>
                <w:szCs w:val="21"/>
                <w14:textFill>
                  <w14:solidFill>
                    <w14:schemeClr w14:val="tx1"/>
                  </w14:solidFill>
                </w14:textFill>
              </w:rPr>
              <w:t>/</w:t>
            </w:r>
          </w:p>
        </w:tc>
        <w:tc>
          <w:tcPr>
            <w:tcW w:w="1666" w:type="pct"/>
            <w:vAlign w:val="center"/>
          </w:tcPr>
          <w:p>
            <w:pPr>
              <w:pStyle w:val="48"/>
              <w:spacing w:line="240" w:lineRule="auto"/>
              <w:ind w:firstLine="420"/>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w:t>
            </w:r>
          </w:p>
        </w:tc>
      </w:tr>
    </w:tbl>
    <w:p>
      <w:pPr>
        <w:pStyle w:val="39"/>
        <w:spacing w:before="0" w:after="0" w:line="520" w:lineRule="exact"/>
        <w:rPr>
          <w:rFonts w:cs="Times New Roman"/>
          <w:color w:val="000000" w:themeColor="text1"/>
          <w:lang w:val="zh-CN"/>
          <w14:textFill>
            <w14:solidFill>
              <w14:schemeClr w14:val="tx1"/>
            </w14:solidFill>
          </w14:textFill>
        </w:rPr>
      </w:pP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表2</w:t>
      </w:r>
      <w:r>
        <w:rPr>
          <w:rFonts w:cs="Times New Roman"/>
          <w:color w:val="000000" w:themeColor="text1"/>
          <w14:textFill>
            <w14:solidFill>
              <w14:schemeClr w14:val="tx1"/>
            </w14:solidFill>
          </w14:textFill>
        </w:rPr>
        <w:t>.5-3</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大气污染物排放参数</w:t>
      </w:r>
    </w:p>
    <w:tbl>
      <w:tblPr>
        <w:tblStyle w:val="27"/>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757"/>
        <w:gridCol w:w="959"/>
        <w:gridCol w:w="679"/>
        <w:gridCol w:w="842"/>
        <w:gridCol w:w="925"/>
        <w:gridCol w:w="1162"/>
        <w:gridCol w:w="932"/>
        <w:gridCol w:w="584"/>
        <w:gridCol w:w="732"/>
        <w:gridCol w:w="74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455"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lang w:val="en-US"/>
                <w14:textFill>
                  <w14:solidFill>
                    <w14:schemeClr w14:val="tx1"/>
                  </w14:solidFill>
                </w14:textFill>
              </w:rPr>
            </w:pPr>
            <w:r>
              <w:rPr>
                <w:rFonts w:ascii="Times New Roman" w:hAnsi="Times New Roman" w:cs="Times New Roman"/>
                <w:b/>
                <w:bCs/>
                <w:color w:val="000000" w:themeColor="text1"/>
                <w:sz w:val="21"/>
                <w:lang w:val="en-US"/>
                <w14:textFill>
                  <w14:solidFill>
                    <w14:schemeClr w14:val="tx1"/>
                  </w14:solidFill>
                </w14:textFill>
              </w:rPr>
              <w:t>面源</w:t>
            </w:r>
          </w:p>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名称</w:t>
            </w:r>
          </w:p>
        </w:tc>
        <w:tc>
          <w:tcPr>
            <w:tcW w:w="576"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面源海拔高度（m）</w:t>
            </w:r>
          </w:p>
        </w:tc>
        <w:tc>
          <w:tcPr>
            <w:tcW w:w="408"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面源长度（m）</w:t>
            </w:r>
          </w:p>
        </w:tc>
        <w:tc>
          <w:tcPr>
            <w:tcW w:w="506"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面源宽度（m）</w:t>
            </w:r>
          </w:p>
        </w:tc>
        <w:tc>
          <w:tcPr>
            <w:tcW w:w="556"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与正北向夹角（°）</w:t>
            </w:r>
          </w:p>
        </w:tc>
        <w:tc>
          <w:tcPr>
            <w:tcW w:w="698"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面源有效排放高度（m）</w:t>
            </w:r>
          </w:p>
        </w:tc>
        <w:tc>
          <w:tcPr>
            <w:tcW w:w="560"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年排放小时数（h）</w:t>
            </w:r>
          </w:p>
        </w:tc>
        <w:tc>
          <w:tcPr>
            <w:tcW w:w="351"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排放工况</w:t>
            </w:r>
          </w:p>
        </w:tc>
        <w:tc>
          <w:tcPr>
            <w:tcW w:w="887" w:type="pct"/>
            <w:gridSpan w:val="2"/>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lang w:val="en-US"/>
                <w14:textFill>
                  <w14:solidFill>
                    <w14:schemeClr w14:val="tx1"/>
                  </w14:solidFill>
                </w14:textFill>
              </w:rPr>
            </w:pPr>
            <w:r>
              <w:rPr>
                <w:rFonts w:ascii="Times New Roman" w:hAnsi="Times New Roman" w:cs="Times New Roman"/>
                <w:b/>
                <w:bCs/>
                <w:color w:val="000000" w:themeColor="text1"/>
                <w:sz w:val="21"/>
                <w:lang w:val="en-US"/>
                <w14:textFill>
                  <w14:solidFill>
                    <w14:schemeClr w14:val="tx1"/>
                  </w14:solidFill>
                </w14:textFill>
              </w:rPr>
              <w:t>评价因子源强（kg/h）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blHeader/>
        </w:trPr>
        <w:tc>
          <w:tcPr>
            <w:tcW w:w="455"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576"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408"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506"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556"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698"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560"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351"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44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H</w:t>
            </w:r>
            <w:r>
              <w:rPr>
                <w:rFonts w:ascii="Times New Roman" w:hAnsi="Times New Roman" w:cs="Times New Roman"/>
                <w:b/>
                <w:bCs/>
                <w:color w:val="000000" w:themeColor="text1"/>
                <w:sz w:val="21"/>
                <w:vertAlign w:val="subscript"/>
                <w14:textFill>
                  <w14:solidFill>
                    <w14:schemeClr w14:val="tx1"/>
                  </w14:solidFill>
                </w14:textFill>
              </w:rPr>
              <w:t>2</w:t>
            </w:r>
            <w:r>
              <w:rPr>
                <w:rFonts w:ascii="Times New Roman" w:hAnsi="Times New Roman" w:cs="Times New Roman"/>
                <w:b/>
                <w:bCs/>
                <w:color w:val="000000" w:themeColor="text1"/>
                <w:sz w:val="21"/>
                <w14:textFill>
                  <w14:solidFill>
                    <w14:schemeClr w14:val="tx1"/>
                  </w14:solidFill>
                </w14:textFill>
              </w:rPr>
              <w:t>S</w:t>
            </w:r>
          </w:p>
        </w:tc>
        <w:tc>
          <w:tcPr>
            <w:tcW w:w="44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NH</w:t>
            </w:r>
            <w:r>
              <w:rPr>
                <w:rFonts w:ascii="Times New Roman" w:hAnsi="Times New Roman" w:cs="Times New Roman"/>
                <w:b/>
                <w:bCs/>
                <w:color w:val="000000" w:themeColor="text1"/>
                <w:sz w:val="21"/>
                <w:vertAlign w:val="sub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圈舍</w:t>
            </w:r>
          </w:p>
        </w:tc>
        <w:tc>
          <w:tcPr>
            <w:tcW w:w="57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455</w:t>
            </w:r>
          </w:p>
        </w:tc>
        <w:tc>
          <w:tcPr>
            <w:tcW w:w="40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319</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184</w:t>
            </w:r>
          </w:p>
        </w:tc>
        <w:tc>
          <w:tcPr>
            <w:tcW w:w="55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90</w:t>
            </w:r>
          </w:p>
        </w:tc>
        <w:tc>
          <w:tcPr>
            <w:tcW w:w="69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5</w:t>
            </w:r>
          </w:p>
        </w:tc>
        <w:tc>
          <w:tcPr>
            <w:tcW w:w="5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7200</w:t>
            </w:r>
          </w:p>
        </w:tc>
        <w:tc>
          <w:tcPr>
            <w:tcW w:w="35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正常</w:t>
            </w:r>
          </w:p>
        </w:tc>
        <w:tc>
          <w:tcPr>
            <w:tcW w:w="44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0.001</w:t>
            </w:r>
          </w:p>
        </w:tc>
        <w:tc>
          <w:tcPr>
            <w:tcW w:w="44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0.013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堆肥场</w:t>
            </w:r>
          </w:p>
        </w:tc>
        <w:tc>
          <w:tcPr>
            <w:tcW w:w="57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455</w:t>
            </w:r>
          </w:p>
        </w:tc>
        <w:tc>
          <w:tcPr>
            <w:tcW w:w="40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2</w:t>
            </w:r>
            <w:r>
              <w:rPr>
                <w:rFonts w:hint="eastAsia" w:ascii="Times New Roman" w:hAnsi="Times New Roman" w:cs="Times New Roman"/>
                <w:color w:val="000000" w:themeColor="text1"/>
                <w:sz w:val="21"/>
                <w:lang w:val="en-US"/>
                <w14:textFill>
                  <w14:solidFill>
                    <w14:schemeClr w14:val="tx1"/>
                  </w14:solidFill>
                </w14:textFill>
              </w:rPr>
              <w:t>0</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w:t>
            </w:r>
            <w:r>
              <w:rPr>
                <w:rFonts w:hint="eastAsia" w:ascii="Times New Roman" w:hAnsi="Times New Roman" w:cs="Times New Roman"/>
                <w:color w:val="000000" w:themeColor="text1"/>
                <w:sz w:val="21"/>
                <w:lang w:val="en-US"/>
                <w14:textFill>
                  <w14:solidFill>
                    <w14:schemeClr w14:val="tx1"/>
                  </w14:solidFill>
                </w14:textFill>
              </w:rPr>
              <w:t>0</w:t>
            </w:r>
          </w:p>
        </w:tc>
        <w:tc>
          <w:tcPr>
            <w:tcW w:w="55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90</w:t>
            </w:r>
          </w:p>
        </w:tc>
        <w:tc>
          <w:tcPr>
            <w:tcW w:w="69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2</w:t>
            </w:r>
          </w:p>
        </w:tc>
        <w:tc>
          <w:tcPr>
            <w:tcW w:w="5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7200</w:t>
            </w:r>
          </w:p>
        </w:tc>
        <w:tc>
          <w:tcPr>
            <w:tcW w:w="35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正常</w:t>
            </w:r>
          </w:p>
        </w:tc>
        <w:tc>
          <w:tcPr>
            <w:tcW w:w="44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0.00001</w:t>
            </w:r>
          </w:p>
        </w:tc>
        <w:tc>
          <w:tcPr>
            <w:tcW w:w="44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0.00008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厌氧储存塘</w:t>
            </w:r>
          </w:p>
        </w:tc>
        <w:tc>
          <w:tcPr>
            <w:tcW w:w="57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455</w:t>
            </w:r>
          </w:p>
        </w:tc>
        <w:tc>
          <w:tcPr>
            <w:tcW w:w="40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16</w:t>
            </w:r>
            <w:r>
              <w:rPr>
                <w:rFonts w:hint="eastAsia" w:ascii="Times New Roman" w:hAnsi="Times New Roman" w:cs="Times New Roman"/>
                <w:color w:val="000000" w:themeColor="text1"/>
                <w:sz w:val="21"/>
                <w:lang w:val="en-US"/>
                <w14:textFill>
                  <w14:solidFill>
                    <w14:schemeClr w14:val="tx1"/>
                  </w14:solidFill>
                </w14:textFill>
              </w:rPr>
              <w:t>0</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w:t>
            </w:r>
            <w:r>
              <w:rPr>
                <w:rFonts w:ascii="Times New Roman" w:hAnsi="Times New Roman" w:cs="Times New Roman"/>
                <w:color w:val="000000" w:themeColor="text1"/>
                <w:sz w:val="21"/>
                <w:lang w:val="en-US"/>
                <w14:textFill>
                  <w14:solidFill>
                    <w14:schemeClr w14:val="tx1"/>
                  </w14:solidFill>
                </w14:textFill>
              </w:rPr>
              <w:t>0</w:t>
            </w:r>
          </w:p>
        </w:tc>
        <w:tc>
          <w:tcPr>
            <w:tcW w:w="55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90</w:t>
            </w:r>
          </w:p>
        </w:tc>
        <w:tc>
          <w:tcPr>
            <w:tcW w:w="69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1</w:t>
            </w:r>
          </w:p>
        </w:tc>
        <w:tc>
          <w:tcPr>
            <w:tcW w:w="5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7200</w:t>
            </w:r>
          </w:p>
        </w:tc>
        <w:tc>
          <w:tcPr>
            <w:tcW w:w="35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正常</w:t>
            </w:r>
          </w:p>
        </w:tc>
        <w:tc>
          <w:tcPr>
            <w:tcW w:w="44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0.00</w:t>
            </w:r>
            <w:r>
              <w:rPr>
                <w:rFonts w:hint="eastAsia" w:ascii="Times New Roman" w:hAnsi="Times New Roman" w:cs="Times New Roman"/>
                <w:color w:val="000000" w:themeColor="text1"/>
                <w:sz w:val="21"/>
                <w:lang w:val="en-US" w:eastAsia="zh-CN"/>
                <w14:textFill>
                  <w14:solidFill>
                    <w14:schemeClr w14:val="tx1"/>
                  </w14:solidFill>
                </w14:textFill>
              </w:rPr>
              <w:t>33</w:t>
            </w:r>
          </w:p>
        </w:tc>
        <w:tc>
          <w:tcPr>
            <w:tcW w:w="44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0.0</w:t>
            </w:r>
            <w:r>
              <w:rPr>
                <w:rFonts w:hint="eastAsia" w:ascii="Times New Roman" w:hAnsi="Times New Roman" w:cs="Times New Roman"/>
                <w:color w:val="000000" w:themeColor="text1"/>
                <w:sz w:val="21"/>
                <w:lang w:val="en-US" w:eastAsia="zh-CN"/>
                <w14:textFill>
                  <w14:solidFill>
                    <w14:schemeClr w14:val="tx1"/>
                  </w14:solidFill>
                </w14:textFill>
              </w:rPr>
              <w:t>21</w:t>
            </w:r>
          </w:p>
        </w:tc>
      </w:tr>
    </w:tbl>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（3）估算模式计算结果</w:t>
      </w:r>
    </w:p>
    <w:p>
      <w:pPr>
        <w:spacing w:line="520" w:lineRule="exact"/>
        <w:ind w:firstLine="4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本项目废气Pmax和D10%预测和计算结果详见表2.5-4。</w:t>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表2</w:t>
      </w:r>
      <w:r>
        <w:rPr>
          <w:rFonts w:cs="Times New Roman"/>
          <w:color w:val="000000" w:themeColor="text1"/>
          <w14:textFill>
            <w14:solidFill>
              <w14:schemeClr w14:val="tx1"/>
            </w14:solidFill>
          </w14:textFill>
        </w:rPr>
        <w:t>.5-4</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P</w:t>
      </w:r>
      <w:r>
        <w:rPr>
          <w:rFonts w:cs="Times New Roman"/>
          <w:color w:val="000000" w:themeColor="text1"/>
          <w:vertAlign w:val="subscript"/>
          <w:lang w:val="zh-CN"/>
          <w14:textFill>
            <w14:solidFill>
              <w14:schemeClr w14:val="tx1"/>
            </w14:solidFill>
          </w14:textFill>
        </w:rPr>
        <w:t>max</w:t>
      </w:r>
      <w:r>
        <w:rPr>
          <w:rFonts w:cs="Times New Roman"/>
          <w:color w:val="000000" w:themeColor="text1"/>
          <w:lang w:val="zh-CN"/>
          <w14:textFill>
            <w14:solidFill>
              <w14:schemeClr w14:val="tx1"/>
            </w14:solidFill>
          </w14:textFill>
        </w:rPr>
        <w:t>和D</w:t>
      </w:r>
      <w:r>
        <w:rPr>
          <w:rFonts w:cs="Times New Roman"/>
          <w:color w:val="000000" w:themeColor="text1"/>
          <w:vertAlign w:val="subscript"/>
          <w:lang w:val="zh-CN"/>
          <w14:textFill>
            <w14:solidFill>
              <w14:schemeClr w14:val="tx1"/>
            </w14:solidFill>
          </w14:textFill>
        </w:rPr>
        <w:t>10%</w:t>
      </w:r>
      <w:r>
        <w:rPr>
          <w:rFonts w:cs="Times New Roman"/>
          <w:color w:val="000000" w:themeColor="text1"/>
          <w:lang w:val="zh-CN"/>
          <w14:textFill>
            <w14:solidFill>
              <w14:schemeClr w14:val="tx1"/>
            </w14:solidFill>
          </w14:textFill>
        </w:rPr>
        <w:t>预测和计算结果一览表</w:t>
      </w:r>
    </w:p>
    <w:tbl>
      <w:tblPr>
        <w:tblStyle w:val="27"/>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03"/>
        <w:gridCol w:w="1422"/>
        <w:gridCol w:w="1423"/>
        <w:gridCol w:w="1423"/>
        <w:gridCol w:w="1423"/>
        <w:gridCol w:w="14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823" w:type="pct"/>
            <w:vAlign w:val="center"/>
          </w:tcPr>
          <w:p>
            <w:pPr>
              <w:pStyle w:val="5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污染源名称</w:t>
            </w:r>
          </w:p>
        </w:tc>
        <w:tc>
          <w:tcPr>
            <w:tcW w:w="834" w:type="pct"/>
            <w:vAlign w:val="center"/>
          </w:tcPr>
          <w:p>
            <w:pPr>
              <w:pStyle w:val="5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评价因子</w:t>
            </w:r>
          </w:p>
        </w:tc>
        <w:tc>
          <w:tcPr>
            <w:tcW w:w="834" w:type="pct"/>
            <w:vAlign w:val="center"/>
          </w:tcPr>
          <w:p>
            <w:pPr>
              <w:pStyle w:val="50"/>
              <w:rPr>
                <w:rFonts w:ascii="Times New Roman" w:hAnsi="Times New Roman"/>
                <w:b/>
                <w:bCs/>
                <w:color w:val="000000" w:themeColor="text1"/>
                <w:szCs w:val="21"/>
                <w:lang w:eastAsia="zh-CN"/>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评价标准</w:t>
            </w:r>
            <w:r>
              <w:rPr>
                <w:rFonts w:hint="eastAsia" w:ascii="Times New Roman" w:hAnsi="Times New Roman"/>
                <w:b/>
                <w:bCs/>
                <w:color w:val="000000" w:themeColor="text1"/>
                <w:szCs w:val="21"/>
                <w:lang w:eastAsia="zh-CN"/>
                <w14:textFill>
                  <w14:solidFill>
                    <w14:schemeClr w14:val="tx1"/>
                  </w14:solidFill>
                </w14:textFill>
              </w:rPr>
              <w:t>（</w:t>
            </w:r>
            <w:r>
              <w:rPr>
                <w:rFonts w:ascii="Times New Roman" w:hAnsi="Times New Roman"/>
                <w:b/>
                <w:bCs/>
                <w:color w:val="000000" w:themeColor="text1"/>
                <w:szCs w:val="21"/>
                <w14:textFill>
                  <w14:solidFill>
                    <w14:schemeClr w14:val="tx1"/>
                  </w14:solidFill>
                </w14:textFill>
              </w:rPr>
              <w:t>μg/m³</w:t>
            </w:r>
            <w:r>
              <w:rPr>
                <w:rFonts w:hint="eastAsia" w:ascii="Times New Roman" w:hAnsi="Times New Roman"/>
                <w:b/>
                <w:bCs/>
                <w:color w:val="000000" w:themeColor="text1"/>
                <w:szCs w:val="21"/>
                <w:lang w:eastAsia="zh-CN"/>
                <w14:textFill>
                  <w14:solidFill>
                    <w14:schemeClr w14:val="tx1"/>
                  </w14:solidFill>
                </w14:textFill>
              </w:rPr>
              <w:t>）</w:t>
            </w:r>
          </w:p>
        </w:tc>
        <w:tc>
          <w:tcPr>
            <w:tcW w:w="834" w:type="pct"/>
            <w:vAlign w:val="center"/>
          </w:tcPr>
          <w:p>
            <w:pPr>
              <w:pStyle w:val="50"/>
              <w:rPr>
                <w:rFonts w:ascii="Times New Roman" w:hAnsi="Times New Roman"/>
                <w:b/>
                <w:bCs/>
                <w:color w:val="000000" w:themeColor="text1"/>
                <w:szCs w:val="21"/>
                <w:lang w:eastAsia="zh-CN"/>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C</w:t>
            </w:r>
            <w:r>
              <w:rPr>
                <w:rFonts w:ascii="Times New Roman" w:hAnsi="Times New Roman"/>
                <w:b/>
                <w:bCs/>
                <w:color w:val="000000" w:themeColor="text1"/>
                <w:szCs w:val="21"/>
                <w:vertAlign w:val="subscript"/>
                <w14:textFill>
                  <w14:solidFill>
                    <w14:schemeClr w14:val="tx1"/>
                  </w14:solidFill>
                </w14:textFill>
              </w:rPr>
              <w:t>max</w:t>
            </w:r>
            <w:r>
              <w:rPr>
                <w:rFonts w:hint="eastAsia" w:ascii="Times New Roman" w:hAnsi="Times New Roman"/>
                <w:b/>
                <w:bCs/>
                <w:color w:val="000000" w:themeColor="text1"/>
                <w:szCs w:val="21"/>
                <w:lang w:eastAsia="zh-CN"/>
                <w14:textFill>
                  <w14:solidFill>
                    <w14:schemeClr w14:val="tx1"/>
                  </w14:solidFill>
                </w14:textFill>
              </w:rPr>
              <w:t>（</w:t>
            </w:r>
            <w:r>
              <w:rPr>
                <w:rFonts w:ascii="Times New Roman" w:hAnsi="Times New Roman"/>
                <w:b/>
                <w:bCs/>
                <w:color w:val="000000" w:themeColor="text1"/>
                <w:szCs w:val="21"/>
                <w14:textFill>
                  <w14:solidFill>
                    <w14:schemeClr w14:val="tx1"/>
                  </w14:solidFill>
                </w14:textFill>
              </w:rPr>
              <w:t>μg/m³</w:t>
            </w:r>
            <w:r>
              <w:rPr>
                <w:rFonts w:hint="eastAsia" w:ascii="Times New Roman" w:hAnsi="Times New Roman"/>
                <w:b/>
                <w:bCs/>
                <w:color w:val="000000" w:themeColor="text1"/>
                <w:szCs w:val="21"/>
                <w:lang w:eastAsia="zh-CN"/>
                <w14:textFill>
                  <w14:solidFill>
                    <w14:schemeClr w14:val="tx1"/>
                  </w14:solidFill>
                </w14:textFill>
              </w:rPr>
              <w:t>）</w:t>
            </w:r>
          </w:p>
        </w:tc>
        <w:tc>
          <w:tcPr>
            <w:tcW w:w="834" w:type="pct"/>
            <w:vAlign w:val="center"/>
          </w:tcPr>
          <w:p>
            <w:pPr>
              <w:pStyle w:val="50"/>
              <w:rPr>
                <w:rFonts w:ascii="Times New Roman" w:hAnsi="Times New Roman"/>
                <w:b/>
                <w:bCs/>
                <w:color w:val="000000" w:themeColor="text1"/>
                <w:szCs w:val="21"/>
                <w:lang w:eastAsia="zh-CN"/>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P</w:t>
            </w:r>
            <w:r>
              <w:rPr>
                <w:rFonts w:ascii="Times New Roman" w:hAnsi="Times New Roman"/>
                <w:b/>
                <w:bCs/>
                <w:color w:val="000000" w:themeColor="text1"/>
                <w:szCs w:val="21"/>
                <w:vertAlign w:val="subscript"/>
                <w14:textFill>
                  <w14:solidFill>
                    <w14:schemeClr w14:val="tx1"/>
                  </w14:solidFill>
                </w14:textFill>
              </w:rPr>
              <w:t>max</w:t>
            </w:r>
            <w:r>
              <w:rPr>
                <w:rFonts w:hint="eastAsia" w:ascii="Times New Roman" w:hAnsi="Times New Roman"/>
                <w:b/>
                <w:bCs/>
                <w:color w:val="000000" w:themeColor="text1"/>
                <w:szCs w:val="21"/>
                <w:lang w:eastAsia="zh-CN"/>
                <w14:textFill>
                  <w14:solidFill>
                    <w14:schemeClr w14:val="tx1"/>
                  </w14:solidFill>
                </w14:textFill>
              </w:rPr>
              <w:t>（</w:t>
            </w:r>
            <w:r>
              <w:rPr>
                <w:rFonts w:ascii="Times New Roman" w:hAnsi="Times New Roman"/>
                <w:b/>
                <w:bCs/>
                <w:color w:val="000000" w:themeColor="text1"/>
                <w:szCs w:val="21"/>
                <w14:textFill>
                  <w14:solidFill>
                    <w14:schemeClr w14:val="tx1"/>
                  </w14:solidFill>
                </w14:textFill>
              </w:rPr>
              <w:t>%</w:t>
            </w:r>
            <w:r>
              <w:rPr>
                <w:rFonts w:hint="eastAsia" w:ascii="Times New Roman" w:hAnsi="Times New Roman"/>
                <w:b/>
                <w:bCs/>
                <w:color w:val="000000" w:themeColor="text1"/>
                <w:szCs w:val="21"/>
                <w:lang w:eastAsia="zh-CN"/>
                <w14:textFill>
                  <w14:solidFill>
                    <w14:schemeClr w14:val="tx1"/>
                  </w14:solidFill>
                </w14:textFill>
              </w:rPr>
              <w:t>）</w:t>
            </w:r>
          </w:p>
        </w:tc>
        <w:tc>
          <w:tcPr>
            <w:tcW w:w="836" w:type="pct"/>
            <w:vAlign w:val="center"/>
          </w:tcPr>
          <w:p>
            <w:pPr>
              <w:pStyle w:val="50"/>
              <w:rPr>
                <w:rFonts w:ascii="Times New Roman" w:hAnsi="Times New Roman"/>
                <w:b/>
                <w:bCs/>
                <w:color w:val="000000" w:themeColor="text1"/>
                <w:szCs w:val="21"/>
                <w:lang w:eastAsia="zh-CN"/>
                <w14:textFill>
                  <w14:solidFill>
                    <w14:schemeClr w14:val="tx1"/>
                  </w14:solidFill>
                </w14:textFill>
              </w:rPr>
            </w:pPr>
            <w:r>
              <w:rPr>
                <w:rFonts w:ascii="Times New Roman" w:hAnsi="Times New Roman"/>
                <w:b/>
                <w:bCs/>
                <w:color w:val="000000" w:themeColor="text1"/>
                <w:szCs w:val="21"/>
                <w:lang w:eastAsia="zh-CN"/>
                <w14:textFill>
                  <w14:solidFill>
                    <w14:schemeClr w14:val="tx1"/>
                  </w14:solidFill>
                </w14:textFill>
              </w:rPr>
              <w:t>最大浓度出现距离（m）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823" w:type="pct"/>
            <w:vMerge w:val="restar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圈舍恶臭</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0.3</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2.91</w:t>
            </w:r>
          </w:p>
        </w:tc>
        <w:tc>
          <w:tcPr>
            <w:tcW w:w="836"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150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823" w:type="pct"/>
            <w:vMerge w:val="continue"/>
            <w:vAlign w:val="center"/>
          </w:tcPr>
          <w:p>
            <w:pPr>
              <w:pStyle w:val="50"/>
              <w:rPr>
                <w:rFonts w:ascii="Times New Roman" w:hAnsi="Times New Roman"/>
                <w:color w:val="000000" w:themeColor="text1"/>
                <w:szCs w:val="21"/>
                <w14:textFill>
                  <w14:solidFill>
                    <w14:schemeClr w14:val="tx1"/>
                  </w14:solidFill>
                </w14:textFill>
              </w:rPr>
            </w:pP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200.0</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3.4</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1.71</w:t>
            </w:r>
          </w:p>
        </w:tc>
        <w:tc>
          <w:tcPr>
            <w:tcW w:w="836"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150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823" w:type="pct"/>
            <w:vMerge w:val="restar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堆肥场恶臭</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0.5</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5.05</w:t>
            </w:r>
          </w:p>
        </w:tc>
        <w:tc>
          <w:tcPr>
            <w:tcW w:w="836"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823" w:type="pct"/>
            <w:vMerge w:val="continue"/>
            <w:vAlign w:val="center"/>
          </w:tcPr>
          <w:p>
            <w:pPr>
              <w:pStyle w:val="50"/>
              <w:rPr>
                <w:rFonts w:ascii="Times New Roman" w:hAnsi="Times New Roman"/>
                <w:color w:val="000000" w:themeColor="text1"/>
                <w:szCs w:val="21"/>
                <w14:textFill>
                  <w14:solidFill>
                    <w14:schemeClr w14:val="tx1"/>
                  </w14:solidFill>
                </w14:textFill>
              </w:rPr>
            </w:pP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200.0</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6</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3</w:t>
            </w:r>
          </w:p>
        </w:tc>
        <w:tc>
          <w:tcPr>
            <w:tcW w:w="836"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823" w:type="pct"/>
            <w:vMerge w:val="restar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厌氧储存塘恶臭</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t>
            </w:r>
            <w:r>
              <w:rPr>
                <w:rFonts w:ascii="Times New Roman" w:hAnsi="Times New Roman"/>
                <w:color w:val="000000" w:themeColor="text1"/>
                <w:szCs w:val="21"/>
                <w:vertAlign w:val="subscript"/>
                <w14:textFill>
                  <w14:solidFill>
                    <w14:schemeClr w14:val="tx1"/>
                  </w14:solidFill>
                </w14:textFill>
              </w:rPr>
              <w:t>2</w:t>
            </w:r>
            <w:r>
              <w:rPr>
                <w:rFonts w:ascii="Times New Roman" w:hAnsi="Times New Roman"/>
                <w:color w:val="000000" w:themeColor="text1"/>
                <w:szCs w:val="21"/>
                <w14:textFill>
                  <w14:solidFill>
                    <w14:schemeClr w14:val="tx1"/>
                  </w14:solidFill>
                </w14:textFill>
              </w:rPr>
              <w:t>S</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10.0</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1.5</w:t>
            </w:r>
          </w:p>
        </w:tc>
        <w:tc>
          <w:tcPr>
            <w:tcW w:w="834"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0.29</w:t>
            </w:r>
          </w:p>
        </w:tc>
        <w:tc>
          <w:tcPr>
            <w:tcW w:w="836"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150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823" w:type="pct"/>
            <w:vMerge w:val="continue"/>
            <w:vAlign w:val="center"/>
          </w:tcPr>
          <w:p>
            <w:pPr>
              <w:pStyle w:val="50"/>
              <w:rPr>
                <w:rFonts w:ascii="Times New Roman" w:hAnsi="Times New Roman"/>
                <w:color w:val="000000" w:themeColor="text1"/>
                <w:szCs w:val="21"/>
                <w14:textFill>
                  <w14:solidFill>
                    <w14:schemeClr w14:val="tx1"/>
                  </w14:solidFill>
                </w14:textFill>
              </w:rPr>
            </w:pP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200.0</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6</w:t>
            </w:r>
          </w:p>
        </w:tc>
        <w:tc>
          <w:tcPr>
            <w:tcW w:w="834" w:type="pct"/>
            <w:vAlign w:val="center"/>
          </w:tcPr>
          <w:p>
            <w:pPr>
              <w:pStyle w:val="5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1.94</w:t>
            </w:r>
          </w:p>
        </w:tc>
        <w:tc>
          <w:tcPr>
            <w:tcW w:w="836" w:type="pct"/>
            <w:vAlign w:val="center"/>
          </w:tcPr>
          <w:p>
            <w:pPr>
              <w:pStyle w:val="50"/>
              <w:rPr>
                <w:rFonts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150</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（4）评价等级确定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由上表预测结果可知，本项目Pmax最大值出现为</w:t>
      </w:r>
      <w:r>
        <w:rPr>
          <w:rFonts w:hint="eastAsia" w:ascii="Times New Roman" w:hAnsi="Times New Roman" w:cs="Times New Roman"/>
          <w:color w:val="000000" w:themeColor="text1"/>
          <w14:textFill>
            <w14:solidFill>
              <w14:schemeClr w14:val="tx1"/>
            </w14:solidFill>
          </w14:textFill>
        </w:rPr>
        <w:t>堆肥场产生的硫化氢</w:t>
      </w:r>
      <w:r>
        <w:rPr>
          <w:rFonts w:ascii="Times New Roman" w:hAnsi="Times New Roman" w:cs="Times New Roman"/>
          <w:color w:val="000000" w:themeColor="text1"/>
          <w14:textFill>
            <w14:solidFill>
              <w14:schemeClr w14:val="tx1"/>
            </w14:solidFill>
          </w14:textFill>
        </w:rPr>
        <w:t>，Pmax=</w:t>
      </w:r>
      <w:r>
        <w:rPr>
          <w:rFonts w:hint="eastAsia" w:ascii="Times New Roman" w:hAnsi="Times New Roman" w:cs="Times New Roman"/>
          <w:color w:val="000000" w:themeColor="text1"/>
          <w14:textFill>
            <w14:solidFill>
              <w14:schemeClr w14:val="tx1"/>
            </w14:solidFill>
          </w14:textFill>
        </w:rPr>
        <w:t>5.05</w:t>
      </w:r>
      <w:r>
        <w:rPr>
          <w:rFonts w:ascii="Times New Roman" w:hAnsi="Times New Roman" w:cs="Times New Roman"/>
          <w:color w:val="000000" w:themeColor="text1"/>
          <w14:textFill>
            <w14:solidFill>
              <w14:schemeClr w14:val="tx1"/>
            </w14:solidFill>
          </w14:textFill>
        </w:rPr>
        <w:t>%，Cmax为</w:t>
      </w:r>
      <w:r>
        <w:rPr>
          <w:rFonts w:hint="eastAsia" w:ascii="Times New Roman" w:hAnsi="Times New Roman" w:cs="Times New Roman"/>
          <w:color w:val="000000" w:themeColor="text1"/>
          <w14:textFill>
            <w14:solidFill>
              <w14:schemeClr w14:val="tx1"/>
            </w14:solidFill>
          </w14:textFill>
        </w:rPr>
        <w:t>0.5</w:t>
      </w:r>
      <w:r>
        <w:rPr>
          <w:rFonts w:ascii="Times New Roman" w:hAnsi="Times New Roman" w:cs="Times New Roman"/>
          <w:color w:val="000000" w:themeColor="text1"/>
          <w14:textFill>
            <w14:solidFill>
              <w14:schemeClr w14:val="tx1"/>
            </w14:solidFill>
          </w14:textFill>
        </w:rPr>
        <w:t>ug/m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；且本项目不属于“电力、钢铁、水泥、石化、化工、平板玻璃、有色等高耗能行业的多源项目或以使用高污染燃料为主的多源项目”，根据《环境影响评价技术导则 大气环境》（HJ2.2-2018）分级判据，确定本项目大气环境影响评价工作等级为</w:t>
      </w:r>
      <w:r>
        <w:rPr>
          <w:rFonts w:hint="eastAsia" w:ascii="Times New Roman" w:hAnsi="Times New Roman" w:cs="Times New Roman"/>
          <w:color w:val="000000" w:themeColor="text1"/>
          <w14:textFill>
            <w14:solidFill>
              <w14:schemeClr w14:val="tx1"/>
            </w14:solidFill>
          </w14:textFill>
        </w:rPr>
        <w:t>二</w:t>
      </w:r>
      <w:r>
        <w:rPr>
          <w:rFonts w:ascii="Times New Roman" w:hAnsi="Times New Roman" w:cs="Times New Roman"/>
          <w:color w:val="000000" w:themeColor="text1"/>
          <w14:textFill>
            <w14:solidFill>
              <w14:schemeClr w14:val="tx1"/>
            </w14:solidFill>
          </w14:textFill>
        </w:rPr>
        <w:t>级。</w:t>
      </w:r>
    </w:p>
    <w:p>
      <w:pPr>
        <w:pStyle w:val="7"/>
        <w:rPr>
          <w:rFonts w:cs="Times New Roman"/>
          <w:color w:val="000000" w:themeColor="text1"/>
          <w14:textFill>
            <w14:solidFill>
              <w14:schemeClr w14:val="tx1"/>
            </w14:solidFill>
          </w14:textFill>
        </w:rPr>
      </w:pPr>
      <w:bookmarkStart w:id="125" w:name="_Toc202"/>
      <w:bookmarkStart w:id="126" w:name="_Toc19751"/>
      <w:r>
        <w:rPr>
          <w:rFonts w:cs="Times New Roman"/>
          <w:color w:val="000000" w:themeColor="text1"/>
          <w14:textFill>
            <w14:solidFill>
              <w14:schemeClr w14:val="tx1"/>
            </w14:solidFill>
          </w14:textFill>
        </w:rPr>
        <w:t>2.5.1.2 评价范围</w:t>
      </w:r>
      <w:bookmarkEnd w:id="125"/>
      <w:bookmarkEnd w:id="12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大气环境评价范围根据《环境影响评价技术导则大气环境》（HJ2.2-2018）规定的评价范围的确定方法，结合评价等级，本项目大气环境影响评价工作等级为</w:t>
      </w:r>
      <w:r>
        <w:rPr>
          <w:rFonts w:hint="eastAsia" w:ascii="Times New Roman" w:hAnsi="Times New Roman" w:cs="Times New Roman"/>
          <w:color w:val="000000" w:themeColor="text1"/>
          <w14:textFill>
            <w14:solidFill>
              <w14:schemeClr w14:val="tx1"/>
            </w14:solidFill>
          </w14:textFill>
        </w:rPr>
        <w:t>二</w:t>
      </w:r>
      <w:r>
        <w:rPr>
          <w:rFonts w:ascii="Times New Roman" w:hAnsi="Times New Roman" w:cs="Times New Roman"/>
          <w:color w:val="000000" w:themeColor="text1"/>
          <w14:textFill>
            <w14:solidFill>
              <w14:schemeClr w14:val="tx1"/>
            </w14:solidFill>
          </w14:textFill>
        </w:rPr>
        <w:t>级，以本项目中心为评价范围中心，边长5km的矩形区域。</w:t>
      </w:r>
    </w:p>
    <w:p>
      <w:pPr>
        <w:pStyle w:val="6"/>
        <w:spacing w:line="413" w:lineRule="auto"/>
        <w:rPr>
          <w:rFonts w:ascii="Times New Roman" w:hAnsi="Times New Roman" w:cs="Times New Roman"/>
          <w:color w:val="000000" w:themeColor="text1"/>
          <w14:textFill>
            <w14:solidFill>
              <w14:schemeClr w14:val="tx1"/>
            </w14:solidFill>
          </w14:textFill>
        </w:rPr>
      </w:pPr>
      <w:bookmarkStart w:id="127" w:name="_Toc29030"/>
      <w:bookmarkStart w:id="128" w:name="_Toc5221"/>
      <w:bookmarkStart w:id="129" w:name="_Toc19790"/>
      <w:r>
        <w:rPr>
          <w:rFonts w:ascii="Times New Roman" w:hAnsi="Times New Roman" w:cs="Times New Roman"/>
          <w:color w:val="000000" w:themeColor="text1"/>
          <w14:textFill>
            <w14:solidFill>
              <w14:schemeClr w14:val="tx1"/>
            </w14:solidFill>
          </w14:textFill>
        </w:rPr>
        <w:t>2.5.2 水环境影响评价等级和范围</w:t>
      </w:r>
      <w:bookmarkEnd w:id="127"/>
      <w:bookmarkEnd w:id="128"/>
      <w:bookmarkEnd w:id="129"/>
    </w:p>
    <w:p>
      <w:pPr>
        <w:pStyle w:val="7"/>
        <w:rPr>
          <w:rFonts w:cs="Times New Roman"/>
          <w:color w:val="000000" w:themeColor="text1"/>
          <w14:textFill>
            <w14:solidFill>
              <w14:schemeClr w14:val="tx1"/>
            </w14:solidFill>
          </w14:textFill>
        </w:rPr>
      </w:pPr>
      <w:bookmarkStart w:id="130" w:name="_Toc25977"/>
      <w:bookmarkStart w:id="131" w:name="_Toc6912"/>
      <w:r>
        <w:rPr>
          <w:rFonts w:cs="Times New Roman"/>
          <w:color w:val="000000" w:themeColor="text1"/>
          <w14:textFill>
            <w14:solidFill>
              <w14:schemeClr w14:val="tx1"/>
            </w14:solidFill>
          </w14:textFill>
        </w:rPr>
        <w:t>2.5.2.1 地表水环境评价等级和范围</w:t>
      </w:r>
      <w:bookmarkEnd w:id="130"/>
      <w:bookmarkEnd w:id="13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地表水环境》（HJ2.3-2018）中表1“水污染影响型建设项目评价等级判定”（详见表2.5-5），本项目拟建于昌吉农业园区牛圈子湖示范一区，项目建成运营后的生产废水、生活污水，水质复杂程度简单，采用“《畜禽粪污资源 化利用行动方案》（2017-2020）中推荐的“污水肥料化利用”处理模式处理后全部资源化利用，不排放。因此，按照《环境影响评价技术导则－地面水环境》（HJ/T2.3-2018）相关内容判定，确定地表水评价工作等级为三级B。</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表2.5-5   污染影响型敏感程度分级表</w:t>
      </w:r>
    </w:p>
    <w:tbl>
      <w:tblPr>
        <w:tblStyle w:val="27"/>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0"/>
        <w:gridCol w:w="1720"/>
        <w:gridCol w:w="5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blHeader/>
        </w:trPr>
        <w:tc>
          <w:tcPr>
            <w:tcW w:w="763" w:type="pct"/>
            <w:vMerge w:val="restar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bookmarkStart w:id="132" w:name="_Toc23136"/>
            <w:bookmarkStart w:id="133" w:name="_Toc6278"/>
            <w:r>
              <w:rPr>
                <w:rFonts w:ascii="Times New Roman" w:hAnsi="Times New Roman" w:cs="Times New Roman"/>
                <w:b/>
                <w:bCs/>
                <w:color w:val="000000" w:themeColor="text1"/>
                <w:sz w:val="21"/>
                <w:szCs w:val="21"/>
                <w14:textFill>
                  <w14:solidFill>
                    <w14:schemeClr w14:val="tx1"/>
                  </w14:solidFill>
                </w14:textFill>
              </w:rPr>
              <w:t>评价等级</w:t>
            </w:r>
          </w:p>
        </w:tc>
        <w:tc>
          <w:tcPr>
            <w:tcW w:w="4236" w:type="pct"/>
            <w:gridSpan w:val="2"/>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763" w:type="pct"/>
            <w:vMerge w:val="continue"/>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1033"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排放方式</w:t>
            </w:r>
          </w:p>
        </w:tc>
        <w:tc>
          <w:tcPr>
            <w:tcW w:w="3203"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废水排放量Q/（m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blHeader/>
        </w:trPr>
        <w:tc>
          <w:tcPr>
            <w:tcW w:w="76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103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直接排放</w:t>
            </w:r>
          </w:p>
        </w:tc>
        <w:tc>
          <w:tcPr>
            <w:tcW w:w="320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blHeader/>
        </w:trPr>
        <w:tc>
          <w:tcPr>
            <w:tcW w:w="76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103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直接排放</w:t>
            </w:r>
          </w:p>
        </w:tc>
        <w:tc>
          <w:tcPr>
            <w:tcW w:w="320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76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三级A</w:t>
            </w:r>
          </w:p>
        </w:tc>
        <w:tc>
          <w:tcPr>
            <w:tcW w:w="103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直接排放</w:t>
            </w:r>
          </w:p>
        </w:tc>
        <w:tc>
          <w:tcPr>
            <w:tcW w:w="320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blHeader/>
        </w:trPr>
        <w:tc>
          <w:tcPr>
            <w:tcW w:w="76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三级B</w:t>
            </w:r>
          </w:p>
        </w:tc>
        <w:tc>
          <w:tcPr>
            <w:tcW w:w="103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间接排放</w:t>
            </w:r>
          </w:p>
        </w:tc>
        <w:tc>
          <w:tcPr>
            <w:tcW w:w="320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4" w:hRule="atLeast"/>
          <w:tblHeader/>
        </w:trPr>
        <w:tc>
          <w:tcPr>
            <w:tcW w:w="5000" w:type="pct"/>
            <w:gridSpan w:val="3"/>
            <w:vAlign w:val="center"/>
          </w:tcPr>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注1：水污染物当量数等于该污染物的年排放量处以该污染物的污染当量值（见附录A）， 计算排放污染物的污染物当量数，应区分第一类水污染物和其他类水污染物，统计第一类污染物当量数总和，然后与其他污染物按照污染物当量数从大到小排序，取最大当量数作为建设项目评价等级确定的依据。</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注3：厂区存在堆积物（露天堆放的原料、燃料、废渣等以及垃圾堆放场）、降尘污染的，应将初期雨污水纳入废水排放量，相应的主要污染物纳入水污染当量计算。</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注4：建设项目直接排放第一类污染物的，其评价等级为一级；建设项目直接排放的污染物为受纳水体超标因子的，评价等级不低于二级。</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注5：直接排放受纳水体影响范围涉及饮用水水源保护区、饮用水取水口、重点保护与珍稀水生生物的栖息地、重要水生生物的自然产卵场等保护目标时，评价等级不低于二级。</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注6：建设项目向河流、湖库排放温排水引起受纳水体水温变化超过水环境质量标准要求，且评价范围有水温敏感目标时，评价等级为一级。</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注7：建设项目利用海水作为调节温度介质，排水量≥500万m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/d，评价等级为一级；排水量＜500万m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/d，评价等级为二级。</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注8：仅涉及清净下水排放的，如其排放水质满足受纳水体水环境质量标准要求的，评价等级为三级A。</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注9：依托现有排放口，且对外环境未新增排放污染物的直接排放建设项目，评价等级参照间接排放，定为三级B。</w:t>
            </w:r>
          </w:p>
          <w:p>
            <w:pPr>
              <w:spacing w:line="240" w:lineRule="auto"/>
              <w:ind w:firstLine="42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注10：建设项目生产工艺中有废水产生，但作为回水利用，不排放到外环境的，按三级B评价。</w:t>
            </w:r>
          </w:p>
        </w:tc>
      </w:tr>
    </w:tbl>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p>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2.5.2.2 地下水环境评价等级和范围</w:t>
      </w:r>
      <w:bookmarkEnd w:id="132"/>
      <w:bookmarkEnd w:id="13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（1）评价等级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按照《环境影响评价技术导则</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地下水环境》（HJ 610-2016）附表A（地下水环境影响评价行业分类表），本项目属于</w:t>
      </w:r>
      <w:r>
        <w:rPr>
          <w:rFonts w:hint="eastAsia" w:ascii="宋体" w:hAnsi="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B</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农、林、牧、渔、海洋中的14、畜禽养殖场、养殖小区，编制报告书</w:t>
      </w:r>
      <w:r>
        <w:rPr>
          <w:rFonts w:hint="eastAsia" w:ascii="宋体" w:hAnsi="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根据导则规定地下水环境影响评价项目类别为III类，环境敏感程度按该导则中规定的内容判别，具体见2.5-6，经调查项目区及周边无集中式水源地分布，没有分散式饮用水水源地，无特殊地下水资源分布，因此，地下水属不敏感区，据此确定本项目地下水评价等级为三级。</w:t>
      </w:r>
    </w:p>
    <w:p>
      <w:pPr>
        <w:pStyle w:val="39"/>
        <w:spacing w:before="0" w:after="0" w:line="520" w:lineRule="exact"/>
        <w:rPr>
          <w:rFonts w:cs="Times New Roman"/>
          <w:color w:val="000000" w:themeColor="text1"/>
          <w14:textFill>
            <w14:solidFill>
              <w14:schemeClr w14:val="tx1"/>
            </w14:solidFill>
          </w14:textFill>
        </w:rPr>
      </w:pPr>
      <w:bookmarkStart w:id="134" w:name="_Toc16353"/>
      <w:r>
        <w:rPr>
          <w:rFonts w:cs="Times New Roman"/>
          <w:color w:val="000000" w:themeColor="text1"/>
          <w14:textFill>
            <w14:solidFill>
              <w14:schemeClr w14:val="tx1"/>
            </w14:solidFill>
          </w14:textFill>
        </w:rPr>
        <w:t>表2.5-6   地下水环境敏感程度分级</w:t>
      </w:r>
    </w:p>
    <w:tbl>
      <w:tblPr>
        <w:tblStyle w:val="27"/>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232"/>
        <w:gridCol w:w="708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blHeader/>
        </w:trPr>
        <w:tc>
          <w:tcPr>
            <w:tcW w:w="74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敏感程度</w:t>
            </w:r>
          </w:p>
        </w:tc>
        <w:tc>
          <w:tcPr>
            <w:tcW w:w="42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74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敏感</w:t>
            </w:r>
          </w:p>
        </w:tc>
        <w:tc>
          <w:tcPr>
            <w:tcW w:w="42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集中式饮用水水源地（包括已建成的在用、备用、应急水源地，在建和规划的水源地）准保护区；除集中式饮用水水源以外的国家或地方政府设定的与地下水环境相关的其它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trPr>
        <w:tc>
          <w:tcPr>
            <w:tcW w:w="74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较敏感</w:t>
            </w:r>
          </w:p>
        </w:tc>
        <w:tc>
          <w:tcPr>
            <w:tcW w:w="42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集中式饮用水水源地（包括已建成的在用、备用、应急水源，在建和规划的水源地）准保护区以外的补给径流区；未划定准保护区的集中式饮用水水源，其保护区以外的补给径流区；分散式饮用水水源地；特殊地下水资源（如矿泉水、温泉等）保护区以外的分布区等其它未列入上述敏感分级的环境敏感区</w:t>
            </w:r>
            <w:r>
              <w:rPr>
                <w:rFonts w:ascii="Times New Roman" w:hAnsi="Times New Roman" w:cs="Times New Roman"/>
                <w:color w:val="000000" w:themeColor="text1"/>
                <w:sz w:val="21"/>
                <w:szCs w:val="21"/>
                <w:vertAlign w:val="superscript"/>
                <w14:textFill>
                  <w14:solidFill>
                    <w14:schemeClr w14:val="tx1"/>
                  </w14:solidFill>
                </w14:textFill>
              </w:rPr>
              <w:t>a</w:t>
            </w: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4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不敏感</w:t>
            </w:r>
          </w:p>
        </w:tc>
        <w:tc>
          <w:tcPr>
            <w:tcW w:w="42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上述地区之外的其它地区。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6" w:hRule="atLeast"/>
        </w:trPr>
        <w:tc>
          <w:tcPr>
            <w:tcW w:w="5000"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注：a“环境敏感区”是指《建设项目环境影响评价分类管理名录》中所界定的涉及地下水的环境敏感区</w:t>
            </w:r>
          </w:p>
        </w:tc>
      </w:tr>
    </w:tbl>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表2.5-7   评价工作等级分级表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92"/>
        <w:gridCol w:w="2031"/>
        <w:gridCol w:w="2027"/>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318"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项目类别环境敏感程度</w:t>
            </w:r>
          </w:p>
        </w:tc>
        <w:tc>
          <w:tcPr>
            <w:tcW w:w="122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Ⅰ类项目</w:t>
            </w:r>
          </w:p>
        </w:tc>
        <w:tc>
          <w:tcPr>
            <w:tcW w:w="1219"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Ⅱ类项目</w:t>
            </w:r>
          </w:p>
        </w:tc>
        <w:tc>
          <w:tcPr>
            <w:tcW w:w="124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敏感</w:t>
            </w:r>
          </w:p>
        </w:tc>
        <w:tc>
          <w:tcPr>
            <w:tcW w:w="12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w:t>
            </w:r>
          </w:p>
        </w:tc>
        <w:tc>
          <w:tcPr>
            <w:tcW w:w="1219"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w:t>
            </w:r>
          </w:p>
        </w:tc>
        <w:tc>
          <w:tcPr>
            <w:tcW w:w="124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较敏感</w:t>
            </w:r>
          </w:p>
        </w:tc>
        <w:tc>
          <w:tcPr>
            <w:tcW w:w="12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w:t>
            </w:r>
          </w:p>
        </w:tc>
        <w:tc>
          <w:tcPr>
            <w:tcW w:w="1219"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w:t>
            </w:r>
          </w:p>
        </w:tc>
        <w:tc>
          <w:tcPr>
            <w:tcW w:w="124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不敏感</w:t>
            </w:r>
          </w:p>
        </w:tc>
        <w:tc>
          <w:tcPr>
            <w:tcW w:w="12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w:t>
            </w:r>
          </w:p>
        </w:tc>
        <w:tc>
          <w:tcPr>
            <w:tcW w:w="1219"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w:t>
            </w:r>
          </w:p>
        </w:tc>
        <w:tc>
          <w:tcPr>
            <w:tcW w:w="124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（2）评价范围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按《环境影响评价技术导则 地下水环境》（HJ610-2016）中的规定，本项目为三级评价，评价范围小于6km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，本次确定地下水的评价范围为项目场址上游1km，下游2km，两侧各1km的范围。</w:t>
      </w:r>
    </w:p>
    <w:p>
      <w:pPr>
        <w:pStyle w:val="6"/>
        <w:spacing w:line="413" w:lineRule="auto"/>
        <w:rPr>
          <w:rFonts w:ascii="Times New Roman" w:hAnsi="Times New Roman" w:cs="Times New Roman"/>
          <w:color w:val="000000" w:themeColor="text1"/>
          <w14:textFill>
            <w14:solidFill>
              <w14:schemeClr w14:val="tx1"/>
            </w14:solidFill>
          </w14:textFill>
        </w:rPr>
      </w:pPr>
      <w:bookmarkStart w:id="135" w:name="_Toc10791"/>
      <w:bookmarkStart w:id="136" w:name="_Toc28321"/>
      <w:r>
        <w:rPr>
          <w:rFonts w:ascii="Times New Roman" w:hAnsi="Times New Roman" w:cs="Times New Roman"/>
          <w:color w:val="000000" w:themeColor="text1"/>
          <w14:textFill>
            <w14:solidFill>
              <w14:schemeClr w14:val="tx1"/>
            </w14:solidFill>
          </w14:textFill>
        </w:rPr>
        <w:t>2.5.3 声环境影响评价等级和范围</w:t>
      </w:r>
      <w:bookmarkEnd w:id="134"/>
      <w:bookmarkEnd w:id="135"/>
      <w:bookmarkEnd w:id="136"/>
    </w:p>
    <w:p>
      <w:pPr>
        <w:pStyle w:val="7"/>
        <w:rPr>
          <w:rFonts w:cs="Times New Roman"/>
          <w:color w:val="000000" w:themeColor="text1"/>
          <w14:textFill>
            <w14:solidFill>
              <w14:schemeClr w14:val="tx1"/>
            </w14:solidFill>
          </w14:textFill>
        </w:rPr>
      </w:pPr>
      <w:bookmarkStart w:id="137" w:name="_Toc2509"/>
      <w:bookmarkStart w:id="138" w:name="_Toc14524"/>
      <w:r>
        <w:rPr>
          <w:rFonts w:cs="Times New Roman"/>
          <w:color w:val="000000" w:themeColor="text1"/>
          <w14:textFill>
            <w14:solidFill>
              <w14:schemeClr w14:val="tx1"/>
            </w14:solidFill>
          </w14:textFill>
        </w:rPr>
        <w:t>2.5.3.1 评价等级</w:t>
      </w:r>
      <w:bookmarkEnd w:id="137"/>
      <w:bookmarkEnd w:id="13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本项目位于昌吉农业园区牛圈子湖示范一区，评价范围内无声环境敏感目标，周围受影响人口数量变化不大，因此，按《环境影响评价技术导则 声环境》（HJ2.4-2009）规定，噪声环境影响评价等级确定为二级。</w:t>
      </w:r>
    </w:p>
    <w:p>
      <w:pPr>
        <w:pStyle w:val="7"/>
        <w:rPr>
          <w:rFonts w:cs="Times New Roman"/>
          <w:color w:val="000000" w:themeColor="text1"/>
          <w14:textFill>
            <w14:solidFill>
              <w14:schemeClr w14:val="tx1"/>
            </w14:solidFill>
          </w14:textFill>
        </w:rPr>
      </w:pPr>
      <w:bookmarkStart w:id="139" w:name="_Toc26259"/>
      <w:bookmarkStart w:id="140" w:name="_Toc21462"/>
      <w:r>
        <w:rPr>
          <w:rFonts w:cs="Times New Roman"/>
          <w:color w:val="000000" w:themeColor="text1"/>
          <w14:textFill>
            <w14:solidFill>
              <w14:schemeClr w14:val="tx1"/>
            </w14:solidFill>
          </w14:textFill>
        </w:rPr>
        <w:t>2.5.3.2 评价范围</w:t>
      </w:r>
      <w:bookmarkEnd w:id="139"/>
      <w:bookmarkEnd w:id="14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声环境评价范围为</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外200m范围；</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噪声评价范围为</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外1m。</w:t>
      </w:r>
    </w:p>
    <w:p>
      <w:pPr>
        <w:pStyle w:val="6"/>
        <w:spacing w:line="413" w:lineRule="auto"/>
        <w:rPr>
          <w:rFonts w:ascii="Times New Roman" w:hAnsi="Times New Roman" w:cs="Times New Roman"/>
          <w:color w:val="000000" w:themeColor="text1"/>
          <w14:textFill>
            <w14:solidFill>
              <w14:schemeClr w14:val="tx1"/>
            </w14:solidFill>
          </w14:textFill>
        </w:rPr>
      </w:pPr>
      <w:bookmarkStart w:id="141" w:name="_Toc30973"/>
      <w:bookmarkStart w:id="142" w:name="_Toc9288"/>
      <w:bookmarkStart w:id="143" w:name="_Toc20215"/>
      <w:r>
        <w:rPr>
          <w:rFonts w:ascii="Times New Roman" w:hAnsi="Times New Roman" w:cs="Times New Roman"/>
          <w:color w:val="000000" w:themeColor="text1"/>
          <w14:textFill>
            <w14:solidFill>
              <w14:schemeClr w14:val="tx1"/>
            </w14:solidFill>
          </w14:textFill>
        </w:rPr>
        <w:t>2.5.4 土壤环境影响评价等级和范围</w:t>
      </w:r>
      <w:bookmarkEnd w:id="141"/>
      <w:bookmarkEnd w:id="142"/>
      <w:bookmarkEnd w:id="14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（1）建设项目占地规模判定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土壤环境（试行）》（HJ964-2018），污染影响型建设项目占地规模分为大型（≥50hm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）、中型（5～50hm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）、小型（≤5hm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本项目占地面积</w:t>
      </w:r>
      <w:r>
        <w:rPr>
          <w:rFonts w:hint="eastAsia" w:ascii="Times New Roman" w:hAnsi="Times New Roman" w:cs="Times New Roman"/>
          <w:color w:val="000000" w:themeColor="text1"/>
          <w:lang w:val="en-US" w:eastAsia="zh-CN"/>
          <w14:textFill>
            <w14:solidFill>
              <w14:schemeClr w14:val="tx1"/>
            </w14:solidFill>
          </w14:textFill>
        </w:rPr>
        <w:t>22.7</w:t>
      </w:r>
      <w:r>
        <w:rPr>
          <w:rFonts w:ascii="Times New Roman" w:hAnsi="Times New Roman" w:cs="Times New Roman"/>
          <w:color w:val="000000" w:themeColor="text1"/>
          <w14:textFill>
            <w14:solidFill>
              <w14:schemeClr w14:val="tx1"/>
            </w14:solidFill>
          </w14:textFill>
        </w:rPr>
        <w:t>hm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，属于中型建设项目。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（2）建设项目敏感性判定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建设项目所在地周边的土壤环境敏感程度分为敏感、较敏感、不敏感，其敏感程度分级见表2.5-8。</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表2.5-8   污染影响型敏感程度分级表</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6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75"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敏感程度</w:t>
            </w:r>
          </w:p>
        </w:tc>
        <w:tc>
          <w:tcPr>
            <w:tcW w:w="3824"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敏感</w:t>
            </w:r>
          </w:p>
        </w:tc>
        <w:tc>
          <w:tcPr>
            <w:tcW w:w="382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建设项目周边存在耕地、园地、牧草地、饮用水水源地或居民区、学校、医院、疗养院、养老院等土壤环境敏感目标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较敏感</w:t>
            </w:r>
          </w:p>
        </w:tc>
        <w:tc>
          <w:tcPr>
            <w:tcW w:w="382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建设项目周边存在其他土壤环境敏感目标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不敏感</w:t>
            </w:r>
          </w:p>
        </w:tc>
        <w:tc>
          <w:tcPr>
            <w:tcW w:w="382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其他情况</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本建设项目周边2km范围内有耕地，因此本项目敏感程度为敏感。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（3）评价工作等级判定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土壤环境》（HJ964-2018）中“5.2.1”要求，对照“附录A（规范性附录）”中识别建设项目所属行业的土壤环境影响评价项目类别，本项目为年出栏20万头商品猪建设项目，根据导则附录A中判定属于土壤环境影响评价项目类别中的Ⅱ类项目。根据《环境影响评价技术导则 土壤环境》（HJ964-2018）要求，本项目土壤评价工作等级划分判定详见表2.5-9。</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表2.5-9   土壤污染影响型评价工作等级划分表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767"/>
        <w:gridCol w:w="767"/>
        <w:gridCol w:w="767"/>
        <w:gridCol w:w="767"/>
        <w:gridCol w:w="767"/>
        <w:gridCol w:w="767"/>
        <w:gridCol w:w="767"/>
        <w:gridCol w:w="767"/>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46" w:type="pct"/>
            <w:vMerge w:val="restar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1350" w:type="pct"/>
            <w:gridSpan w:val="3"/>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eastAsia="仿宋" w:cs="Times New Roman"/>
                <w:b/>
                <w:bCs/>
                <w:color w:val="000000" w:themeColor="text1"/>
                <w:sz w:val="21"/>
                <w:szCs w:val="21"/>
                <w14:textFill>
                  <w14:solidFill>
                    <w14:schemeClr w14:val="tx1"/>
                  </w14:solidFill>
                </w14:textFill>
              </w:rPr>
              <w:t>Ⅰ</w:t>
            </w:r>
            <w:r>
              <w:rPr>
                <w:rFonts w:ascii="Times New Roman" w:hAnsi="Times New Roman" w:cs="Times New Roman"/>
                <w:b/>
                <w:bCs/>
                <w:color w:val="000000" w:themeColor="text1"/>
                <w:sz w:val="21"/>
                <w:szCs w:val="21"/>
                <w14:textFill>
                  <w14:solidFill>
                    <w14:schemeClr w14:val="tx1"/>
                  </w14:solidFill>
                </w14:textFill>
              </w:rPr>
              <w:t>类</w:t>
            </w:r>
          </w:p>
        </w:tc>
        <w:tc>
          <w:tcPr>
            <w:tcW w:w="1350" w:type="pct"/>
            <w:gridSpan w:val="3"/>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eastAsia="仿宋" w:cs="Times New Roman"/>
                <w:b/>
                <w:bCs/>
                <w:color w:val="000000" w:themeColor="text1"/>
                <w:sz w:val="21"/>
                <w:szCs w:val="21"/>
                <w14:textFill>
                  <w14:solidFill>
                    <w14:schemeClr w14:val="tx1"/>
                  </w14:solidFill>
                </w14:textFill>
              </w:rPr>
              <w:t>Ⅱ</w:t>
            </w:r>
            <w:r>
              <w:rPr>
                <w:rFonts w:ascii="Times New Roman" w:hAnsi="Times New Roman" w:cs="Times New Roman"/>
                <w:b/>
                <w:bCs/>
                <w:color w:val="000000" w:themeColor="text1"/>
                <w:sz w:val="21"/>
                <w:szCs w:val="21"/>
                <w14:textFill>
                  <w14:solidFill>
                    <w14:schemeClr w14:val="tx1"/>
                  </w14:solidFill>
                </w14:textFill>
              </w:rPr>
              <w:t>类</w:t>
            </w:r>
          </w:p>
        </w:tc>
        <w:tc>
          <w:tcPr>
            <w:tcW w:w="1351" w:type="pct"/>
            <w:gridSpan w:val="3"/>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eastAsia="仿宋" w:cs="Times New Roman"/>
                <w:b/>
                <w:bCs/>
                <w:color w:val="000000" w:themeColor="text1"/>
                <w:sz w:val="21"/>
                <w:szCs w:val="21"/>
                <w14:textFill>
                  <w14:solidFill>
                    <w14:schemeClr w14:val="tx1"/>
                  </w14:solidFill>
                </w14:textFill>
              </w:rPr>
              <w:t>Ⅲ</w:t>
            </w:r>
            <w:r>
              <w:rPr>
                <w:rFonts w:ascii="Times New Roman" w:hAnsi="Times New Roman" w:cs="Times New Roman"/>
                <w:b/>
                <w:bCs/>
                <w:color w:val="000000" w:themeColor="text1"/>
                <w:sz w:val="21"/>
                <w:szCs w:val="21"/>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pct"/>
            <w:vMerge w:val="continue"/>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大</w:t>
            </w:r>
          </w:p>
        </w:tc>
        <w:tc>
          <w:tcPr>
            <w:tcW w:w="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中</w:t>
            </w:r>
          </w:p>
        </w:tc>
        <w:tc>
          <w:tcPr>
            <w:tcW w:w="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小</w:t>
            </w:r>
          </w:p>
        </w:tc>
        <w:tc>
          <w:tcPr>
            <w:tcW w:w="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大</w:t>
            </w:r>
          </w:p>
        </w:tc>
        <w:tc>
          <w:tcPr>
            <w:tcW w:w="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中</w:t>
            </w:r>
          </w:p>
        </w:tc>
        <w:tc>
          <w:tcPr>
            <w:tcW w:w="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小</w:t>
            </w:r>
          </w:p>
        </w:tc>
        <w:tc>
          <w:tcPr>
            <w:tcW w:w="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大</w:t>
            </w:r>
          </w:p>
        </w:tc>
        <w:tc>
          <w:tcPr>
            <w:tcW w:w="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中</w:t>
            </w:r>
          </w:p>
        </w:tc>
        <w:tc>
          <w:tcPr>
            <w:tcW w:w="45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敏感</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45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较敏感</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45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不敏感</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45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pPr>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注：“-”表示可不开展土壤环境影响评价工作。</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土壤环境（试行）》（HJ964－2018）附录A，本项目出栏规模经折合成育成肥猪规模属于Ⅱ类项目，结合占地规模与敏感程度，本项目土壤环境影响评价等级为二级。</w:t>
      </w:r>
    </w:p>
    <w:p>
      <w:pPr>
        <w:spacing w:line="520" w:lineRule="exact"/>
        <w:rPr>
          <w:rFonts w:ascii="Times New Roman" w:hAnsi="Times New Roman" w:cs="Times New Roman"/>
          <w:color w:val="000000" w:themeColor="text1"/>
          <w14:textFill>
            <w14:solidFill>
              <w14:schemeClr w14:val="tx1"/>
            </w14:solidFill>
          </w14:textFill>
        </w:rPr>
      </w:pPr>
      <w:bookmarkStart w:id="144" w:name="_Toc15430"/>
      <w:r>
        <w:rPr>
          <w:rFonts w:ascii="Times New Roman" w:hAnsi="Times New Roman" w:cs="Times New Roman"/>
          <w:color w:val="000000" w:themeColor="text1"/>
          <w14:textFill>
            <w14:solidFill>
              <w14:schemeClr w14:val="tx1"/>
            </w14:solidFill>
          </w14:textFill>
        </w:rPr>
        <w:t>（4）评价范围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土壤环境（试行）》（HJ964－2018），项目土壤环境评价范围确定为厂区及向外扩展0.2km的区域。</w:t>
      </w:r>
    </w:p>
    <w:p>
      <w:pPr>
        <w:pStyle w:val="6"/>
        <w:spacing w:line="413" w:lineRule="auto"/>
        <w:rPr>
          <w:rFonts w:ascii="Times New Roman" w:hAnsi="Times New Roman" w:cs="Times New Roman"/>
          <w:color w:val="000000" w:themeColor="text1"/>
          <w14:textFill>
            <w14:solidFill>
              <w14:schemeClr w14:val="tx1"/>
            </w14:solidFill>
          </w14:textFill>
        </w:rPr>
      </w:pPr>
      <w:bookmarkStart w:id="145" w:name="_Toc4714"/>
      <w:bookmarkStart w:id="146" w:name="_Toc1329"/>
      <w:r>
        <w:rPr>
          <w:rFonts w:ascii="Times New Roman" w:hAnsi="Times New Roman" w:cs="Times New Roman"/>
          <w:color w:val="000000" w:themeColor="text1"/>
          <w14:textFill>
            <w14:solidFill>
              <w14:schemeClr w14:val="tx1"/>
            </w14:solidFill>
          </w14:textFill>
        </w:rPr>
        <w:t>2.5.5 生态影响评价工作等级和范围</w:t>
      </w:r>
      <w:bookmarkEnd w:id="144"/>
      <w:bookmarkEnd w:id="145"/>
      <w:bookmarkEnd w:id="146"/>
    </w:p>
    <w:p>
      <w:pPr>
        <w:pStyle w:val="7"/>
        <w:rPr>
          <w:rFonts w:cs="Times New Roman"/>
          <w:color w:val="000000" w:themeColor="text1"/>
          <w14:textFill>
            <w14:solidFill>
              <w14:schemeClr w14:val="tx1"/>
            </w14:solidFill>
          </w14:textFill>
        </w:rPr>
      </w:pPr>
      <w:bookmarkStart w:id="147" w:name="_Toc7499"/>
      <w:bookmarkStart w:id="148" w:name="_Toc7027"/>
      <w:r>
        <w:rPr>
          <w:rFonts w:cs="Times New Roman"/>
          <w:color w:val="000000" w:themeColor="text1"/>
          <w14:textFill>
            <w14:solidFill>
              <w14:schemeClr w14:val="tx1"/>
            </w14:solidFill>
          </w14:textFill>
        </w:rPr>
        <w:t>2.5.5.1 评价等级</w:t>
      </w:r>
      <w:bookmarkEnd w:id="147"/>
      <w:bookmarkEnd w:id="14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生态影响》（HJ19-2011）中的规定，项目占地面积为</w:t>
      </w:r>
      <w:r>
        <w:rPr>
          <w:rFonts w:hint="eastAsia" w:ascii="Times New Roman" w:hAnsi="Times New Roman" w:cs="Times New Roman"/>
          <w:color w:val="000000" w:themeColor="text1"/>
          <w:lang w:val="en-US" w:eastAsia="zh-CN"/>
          <w14:textFill>
            <w14:solidFill>
              <w14:schemeClr w14:val="tx1"/>
            </w14:solidFill>
          </w14:textFill>
        </w:rPr>
        <w:t>340.54</w:t>
      </w:r>
      <w:r>
        <w:rPr>
          <w:rFonts w:ascii="Times New Roman" w:hAnsi="Times New Roman" w:cs="Times New Roman"/>
          <w:color w:val="000000" w:themeColor="text1"/>
          <w14:textFill>
            <w14:solidFill>
              <w14:schemeClr w14:val="tx1"/>
            </w14:solidFill>
          </w14:textFill>
        </w:rPr>
        <w:t>亩（约</w:t>
      </w:r>
      <w:r>
        <w:rPr>
          <w:rFonts w:hint="eastAsia" w:ascii="Times New Roman" w:hAnsi="Times New Roman" w:cs="Times New Roman"/>
          <w:color w:val="000000" w:themeColor="text1"/>
          <w:lang w:val="en-US" w:eastAsia="zh-CN"/>
          <w14:textFill>
            <w14:solidFill>
              <w14:schemeClr w14:val="tx1"/>
            </w14:solidFill>
          </w14:textFill>
        </w:rPr>
        <w:t>22.7</w:t>
      </w:r>
      <w:r>
        <w:rPr>
          <w:rFonts w:ascii="Times New Roman" w:hAnsi="Times New Roman" w:cs="Times New Roman"/>
          <w:color w:val="000000" w:themeColor="text1"/>
          <w14:textFill>
            <w14:solidFill>
              <w14:schemeClr w14:val="tx1"/>
            </w14:solidFill>
          </w14:textFill>
        </w:rPr>
        <w:t>万m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），用地面积在&lt;2km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范围内；评价区不属于自然保护区、风景名胜区、饮用水源保护区等敏感目标，属一般区域，故生态环境影响评价工作等级定为三级。具体判定依据见表2.5-</w:t>
      </w:r>
      <w:r>
        <w:rPr>
          <w:rFonts w:hint="eastAsia" w:ascii="Times New Roman" w:hAnsi="Times New Roman" w:cs="Times New Roman"/>
          <w:color w:val="000000" w:themeColor="text1"/>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w:t>
      </w:r>
      <w:r>
        <w:rPr>
          <w:rFonts w:hint="eastAsia" w:cs="Times New Roman"/>
          <w:color w:val="000000" w:themeColor="text1"/>
          <w14:textFill>
            <w14:solidFill>
              <w14:schemeClr w14:val="tx1"/>
            </w14:solidFill>
          </w14:textFill>
        </w:rPr>
        <w:t>10</w:t>
      </w:r>
      <w:r>
        <w:rPr>
          <w:rFonts w:cs="Times New Roman"/>
          <w:color w:val="000000" w:themeColor="text1"/>
          <w14:textFill>
            <w14:solidFill>
              <w14:schemeClr w14:val="tx1"/>
            </w14:solidFill>
          </w14:textFill>
        </w:rPr>
        <w:t xml:space="preserve">   生态影响评价工作等级划分表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2252"/>
        <w:gridCol w:w="2252"/>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blHeader/>
        </w:trPr>
        <w:tc>
          <w:tcPr>
            <w:tcW w:w="1034" w:type="pct"/>
            <w:vMerge w:val="restar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影响区域生态敏感性</w:t>
            </w:r>
          </w:p>
        </w:tc>
        <w:tc>
          <w:tcPr>
            <w:tcW w:w="3965" w:type="pct"/>
            <w:gridSpan w:val="3"/>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生态占地（水域）范围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034" w:type="pct"/>
            <w:vMerge w:val="continue"/>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132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面积≥20km</w:t>
            </w:r>
            <w:r>
              <w:rPr>
                <w:rFonts w:ascii="Times New Roman" w:hAnsi="Times New Roman" w:cs="Times New Roman"/>
                <w:b/>
                <w:bCs/>
                <w:color w:val="000000" w:themeColor="text1"/>
                <w:sz w:val="21"/>
                <w:szCs w:val="21"/>
                <w:vertAlign w:val="superscript"/>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或长度≥100km</w:t>
            </w:r>
          </w:p>
        </w:tc>
        <w:tc>
          <w:tcPr>
            <w:tcW w:w="132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面积2km</w:t>
            </w:r>
            <w:r>
              <w:rPr>
                <w:rFonts w:ascii="Times New Roman" w:hAnsi="Times New Roman" w:cs="Times New Roman"/>
                <w:b/>
                <w:bCs/>
                <w:color w:val="000000" w:themeColor="text1"/>
                <w:sz w:val="21"/>
                <w:szCs w:val="21"/>
                <w:vertAlign w:val="superscript"/>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～20km</w:t>
            </w:r>
            <w:r>
              <w:rPr>
                <w:rFonts w:ascii="Times New Roman" w:hAnsi="Times New Roman" w:cs="Times New Roman"/>
                <w:b/>
                <w:bCs/>
                <w:color w:val="000000" w:themeColor="text1"/>
                <w:sz w:val="21"/>
                <w:szCs w:val="21"/>
                <w:vertAlign w:val="superscript"/>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或长度50km～100km</w:t>
            </w:r>
          </w:p>
        </w:tc>
        <w:tc>
          <w:tcPr>
            <w:tcW w:w="1322"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面积≤2km</w:t>
            </w:r>
            <w:r>
              <w:rPr>
                <w:rFonts w:ascii="Times New Roman" w:hAnsi="Times New Roman" w:cs="Times New Roman"/>
                <w:b/>
                <w:bCs/>
                <w:color w:val="000000" w:themeColor="text1"/>
                <w:sz w:val="21"/>
                <w:szCs w:val="21"/>
                <w:vertAlign w:val="superscript"/>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特殊生态敏感区</w:t>
            </w:r>
          </w:p>
        </w:tc>
        <w:tc>
          <w:tcPr>
            <w:tcW w:w="13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13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132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重要生态敏感区</w:t>
            </w:r>
          </w:p>
        </w:tc>
        <w:tc>
          <w:tcPr>
            <w:tcW w:w="13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13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132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一般区域</w:t>
            </w:r>
          </w:p>
        </w:tc>
        <w:tc>
          <w:tcPr>
            <w:tcW w:w="13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132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132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r>
    </w:tbl>
    <w:p>
      <w:pPr>
        <w:pStyle w:val="7"/>
        <w:rPr>
          <w:rFonts w:cs="Times New Roman"/>
          <w:color w:val="000000" w:themeColor="text1"/>
          <w14:textFill>
            <w14:solidFill>
              <w14:schemeClr w14:val="tx1"/>
            </w14:solidFill>
          </w14:textFill>
        </w:rPr>
      </w:pPr>
      <w:bookmarkStart w:id="149" w:name="_Toc27262"/>
      <w:bookmarkStart w:id="150" w:name="_Toc20423"/>
      <w:r>
        <w:rPr>
          <w:rFonts w:cs="Times New Roman"/>
          <w:color w:val="000000" w:themeColor="text1"/>
          <w14:textFill>
            <w14:solidFill>
              <w14:schemeClr w14:val="tx1"/>
            </w14:solidFill>
          </w14:textFill>
        </w:rPr>
        <w:t>2.5.5.2 评价范围</w:t>
      </w:r>
      <w:bookmarkEnd w:id="149"/>
      <w:bookmarkEnd w:id="15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生态环境》（HJ19-2011），生态影响评价应能充分体现生态完整性原则，并体现开采活动的直接影响区和间接影响区，确定本次生态影响评价范围。综合考虑项目影响区气候条件、生态单元、地理单元都较为单一。因此根据本项目的特点、生态影响区域及周边生态环境现状，确定评价范围为项目厂区范围并向外延300m、项目液体有机肥还田区域。</w:t>
      </w:r>
    </w:p>
    <w:p>
      <w:pPr>
        <w:pStyle w:val="6"/>
        <w:spacing w:line="413" w:lineRule="auto"/>
        <w:rPr>
          <w:rFonts w:ascii="Times New Roman" w:hAnsi="Times New Roman" w:cs="Times New Roman"/>
          <w:color w:val="000000" w:themeColor="text1"/>
          <w14:textFill>
            <w14:solidFill>
              <w14:schemeClr w14:val="tx1"/>
            </w14:solidFill>
          </w14:textFill>
        </w:rPr>
      </w:pPr>
      <w:bookmarkStart w:id="151" w:name="_Toc29993"/>
      <w:bookmarkStart w:id="152" w:name="_Toc20893"/>
      <w:bookmarkStart w:id="153" w:name="_Toc30484"/>
      <w:r>
        <w:rPr>
          <w:rFonts w:ascii="Times New Roman" w:hAnsi="Times New Roman" w:cs="Times New Roman"/>
          <w:color w:val="000000" w:themeColor="text1"/>
          <w14:textFill>
            <w14:solidFill>
              <w14:schemeClr w14:val="tx1"/>
            </w14:solidFill>
          </w14:textFill>
        </w:rPr>
        <w:t>2.5.6 环境风险评价等级</w:t>
      </w:r>
      <w:bookmarkEnd w:id="151"/>
      <w:bookmarkEnd w:id="152"/>
      <w:bookmarkEnd w:id="15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根据《建设项目环境风险评价技术导则》（HJ169-2018）规定，根据建设项目涉及的物质及工艺系统危险性和所在地的环境敏感性确定环境风险潜势，再根据表2.5-</w:t>
      </w:r>
      <w:r>
        <w:rPr>
          <w:rFonts w:hint="eastAsia" w:ascii="Times New Roman" w:hAnsi="Times New Roman" w:cs="Times New Roman"/>
          <w:color w:val="000000" w:themeColor="text1"/>
          <w14:textFill>
            <w14:solidFill>
              <w14:schemeClr w14:val="tx1"/>
            </w14:solidFill>
          </w14:textFill>
        </w:rPr>
        <w:t>11</w:t>
      </w:r>
      <w:r>
        <w:rPr>
          <w:rFonts w:ascii="Times New Roman" w:hAnsi="Times New Roman" w:cs="Times New Roman"/>
          <w:color w:val="000000" w:themeColor="text1"/>
          <w14:textFill>
            <w14:solidFill>
              <w14:schemeClr w14:val="tx1"/>
            </w14:solidFill>
          </w14:textFill>
        </w:rPr>
        <w:t>确定评价工作等级。</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w:t>
      </w:r>
      <w:r>
        <w:rPr>
          <w:rFonts w:hint="eastAsia" w:cs="Times New Roman"/>
          <w:color w:val="000000" w:themeColor="text1"/>
          <w14:textFill>
            <w14:solidFill>
              <w14:schemeClr w14:val="tx1"/>
            </w14:solidFill>
          </w14:textFill>
        </w:rPr>
        <w:t>11</w:t>
      </w:r>
      <w:r>
        <w:rPr>
          <w:rFonts w:cs="Times New Roman"/>
          <w:color w:val="000000" w:themeColor="text1"/>
          <w14:textFill>
            <w14:solidFill>
              <w14:schemeClr w14:val="tx1"/>
            </w14:solidFill>
          </w14:textFill>
        </w:rPr>
        <w:t xml:space="preserve">   环境风险评价工作级别</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1887"/>
        <w:gridCol w:w="948"/>
        <w:gridCol w:w="873"/>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 w:hRule="atLeast"/>
          <w:tblHeader/>
        </w:trPr>
        <w:tc>
          <w:tcPr>
            <w:tcW w:w="1567"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环境风险潜势</w:t>
            </w:r>
          </w:p>
        </w:tc>
        <w:tc>
          <w:tcPr>
            <w:tcW w:w="1107"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IV、IV</w:t>
            </w:r>
            <w:r>
              <w:rPr>
                <w:rFonts w:ascii="Times New Roman" w:hAnsi="Times New Roman" w:cs="Times New Roman"/>
                <w:b/>
                <w:bCs/>
                <w:color w:val="000000" w:themeColor="text1"/>
                <w:szCs w:val="21"/>
                <w:vertAlign w:val="superscript"/>
                <w14:textFill>
                  <w14:solidFill>
                    <w14:schemeClr w14:val="tx1"/>
                  </w14:solidFill>
                </w14:textFill>
              </w:rPr>
              <w:t>+</w:t>
            </w:r>
          </w:p>
        </w:tc>
        <w:tc>
          <w:tcPr>
            <w:tcW w:w="556"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III</w:t>
            </w:r>
          </w:p>
        </w:tc>
        <w:tc>
          <w:tcPr>
            <w:tcW w:w="512"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II</w:t>
            </w:r>
          </w:p>
        </w:tc>
        <w:tc>
          <w:tcPr>
            <w:tcW w:w="1256"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7"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评价工作等级</w:t>
            </w:r>
          </w:p>
        </w:tc>
        <w:tc>
          <w:tcPr>
            <w:tcW w:w="1107"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w:t>
            </w:r>
          </w:p>
        </w:tc>
        <w:tc>
          <w:tcPr>
            <w:tcW w:w="55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w:t>
            </w:r>
          </w:p>
        </w:tc>
        <w:tc>
          <w:tcPr>
            <w:tcW w:w="512"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w:t>
            </w:r>
          </w:p>
        </w:tc>
        <w:tc>
          <w:tcPr>
            <w:tcW w:w="125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简单分析</w:t>
            </w:r>
            <w:r>
              <w:rPr>
                <w:rFonts w:ascii="Times New Roman" w:hAnsi="Times New Roman" w:cs="Times New Roman"/>
                <w:color w:val="000000" w:themeColor="text1"/>
                <w:szCs w:val="21"/>
                <w:vertAlign w:val="superscript"/>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pStyle w:val="4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a 是相对于详细评价工作内容而言，在描述危险物质、环境影响途径、环境危害后果、风险防范措施等方面给出定性的说明。</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依据《建设项目环境风险评价技术导则》（HJ 169-2018）中附录B的表B.1和表B.2，本项目的风险物质为H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14:textFill>
            <w14:solidFill>
              <w14:schemeClr w14:val="tx1"/>
            </w14:solidFill>
          </w14:textFill>
        </w:rPr>
        <w:t>产生的</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产生后即排放，不存储。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本项目风险物质数量与临界量比值祥见表2.5-</w:t>
      </w:r>
      <w:r>
        <w:rPr>
          <w:rFonts w:hint="eastAsia" w:ascii="Times New Roman" w:hAnsi="Times New Roman" w:cs="Times New Roman"/>
          <w:color w:val="000000" w:themeColor="text1"/>
          <w14:textFill>
            <w14:solidFill>
              <w14:schemeClr w14:val="tx1"/>
            </w14:solidFill>
          </w14:textFill>
        </w:rPr>
        <w:t>12</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w:t>
      </w:r>
      <w:r>
        <w:rPr>
          <w:rFonts w:hint="eastAsia" w:cs="Times New Roman"/>
          <w:color w:val="000000" w:themeColor="text1"/>
          <w14:textFill>
            <w14:solidFill>
              <w14:schemeClr w14:val="tx1"/>
            </w14:solidFill>
          </w14:textFill>
        </w:rPr>
        <w:t>12</w:t>
      </w:r>
      <w:r>
        <w:rPr>
          <w:rFonts w:cs="Times New Roman"/>
          <w:color w:val="000000" w:themeColor="text1"/>
          <w14:textFill>
            <w14:solidFill>
              <w14:schemeClr w14:val="tx1"/>
            </w14:solidFill>
          </w14:textFill>
        </w:rPr>
        <w:t xml:space="preserve">   本项目危险物质数量与临界量比值</w:t>
      </w:r>
    </w:p>
    <w:tbl>
      <w:tblPr>
        <w:tblStyle w:val="2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84"/>
        <w:gridCol w:w="2576"/>
        <w:gridCol w:w="2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2214" w:type="pct"/>
            <w:tcBorders>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危险物质名称</w:t>
            </w:r>
          </w:p>
        </w:tc>
        <w:tc>
          <w:tcPr>
            <w:tcW w:w="1548" w:type="pct"/>
            <w:tcBorders>
              <w:left w:val="single" w:color="000000" w:sz="6" w:space="0"/>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最大存在量（t）</w:t>
            </w:r>
          </w:p>
        </w:tc>
        <w:tc>
          <w:tcPr>
            <w:tcW w:w="1236" w:type="pct"/>
            <w:tcBorders>
              <w:left w:val="single" w:color="000000" w:sz="6" w:space="0"/>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临界量（t）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14" w:type="pct"/>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S</w:t>
            </w:r>
          </w:p>
        </w:tc>
        <w:tc>
          <w:tcPr>
            <w:tcW w:w="1548" w:type="pct"/>
            <w:tcBorders>
              <w:top w:val="single" w:color="000000" w:sz="6" w:space="0"/>
              <w:left w:val="single" w:color="000000" w:sz="6" w:space="0"/>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p>
        </w:tc>
        <w:tc>
          <w:tcPr>
            <w:tcW w:w="1236" w:type="pct"/>
            <w:tcBorders>
              <w:top w:val="single" w:color="000000" w:sz="6" w:space="0"/>
              <w:left w:val="single" w:color="000000" w:sz="6" w:space="0"/>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w w:val="99"/>
                <w:sz w:val="21"/>
                <w:szCs w:val="21"/>
                <w:lang w:val="en-US"/>
                <w14:textFill>
                  <w14:solidFill>
                    <w14:schemeClr w14:val="tx1"/>
                  </w14:solidFill>
                </w14:textFill>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14" w:type="pct"/>
            <w:tcBorders>
              <w:top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NH</w:t>
            </w:r>
            <w:r>
              <w:rPr>
                <w:rFonts w:hint="eastAsia" w:ascii="Times New Roman" w:hAnsi="Times New Roman" w:cs="Times New Roman"/>
                <w:color w:val="000000" w:themeColor="text1"/>
                <w:sz w:val="21"/>
                <w:szCs w:val="21"/>
                <w:vertAlign w:val="subscript"/>
                <w14:textFill>
                  <w14:solidFill>
                    <w14:schemeClr w14:val="tx1"/>
                  </w14:solidFill>
                </w14:textFill>
              </w:rPr>
              <w:t>3</w:t>
            </w:r>
          </w:p>
        </w:tc>
        <w:tc>
          <w:tcPr>
            <w:tcW w:w="1548" w:type="pct"/>
            <w:tcBorders>
              <w:top w:val="single" w:color="000000" w:sz="6" w:space="0"/>
              <w:left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w:t>
            </w:r>
          </w:p>
        </w:tc>
        <w:tc>
          <w:tcPr>
            <w:tcW w:w="1236" w:type="pct"/>
            <w:tcBorders>
              <w:top w:val="single" w:color="000000" w:sz="6" w:space="0"/>
              <w:left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color w:val="000000" w:themeColor="text1"/>
                <w:w w:val="99"/>
                <w:sz w:val="21"/>
                <w:szCs w:val="21"/>
                <w:lang w:val="en-US"/>
                <w14:textFill>
                  <w14:solidFill>
                    <w14:schemeClr w14:val="tx1"/>
                  </w14:solidFill>
                </w14:textFill>
              </w:rPr>
            </w:pPr>
            <w:r>
              <w:rPr>
                <w:rFonts w:hint="eastAsia" w:ascii="Times New Roman" w:hAnsi="Times New Roman" w:cs="Times New Roman"/>
                <w:color w:val="000000" w:themeColor="text1"/>
                <w:w w:val="99"/>
                <w:sz w:val="21"/>
                <w:szCs w:val="21"/>
                <w:lang w:val="en-US"/>
                <w14:textFill>
                  <w14:solidFill>
                    <w14:schemeClr w14:val="tx1"/>
                  </w14:solidFill>
                </w14:textFill>
              </w:rPr>
              <w:t>5</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参照《建设项目环境风险评价技术导则》（HJ169-2018），根据建设项目涉及物质及工艺系统危险性和所在地的环境敏感性确定环境风险潜势，再判定评价等级；参照附录B确定的危险物质临界量，Q</w:t>
      </w:r>
      <w:r>
        <w:rPr>
          <w:rFonts w:hint="eastAsia" w:ascii="Times New Roman" w:hAnsi="Times New Roman" w:cs="Times New Roman"/>
          <w:color w:val="000000" w:themeColor="text1"/>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&lt;1，确定本项目风险评价等价为简单分析。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项目评价范围见图2.</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-1。</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154" w:name="_Toc20196"/>
      <w:bookmarkStart w:id="155" w:name="_Toc10091"/>
      <w:bookmarkStart w:id="156" w:name="_Toc15096"/>
      <w:bookmarkStart w:id="157" w:name="_Toc12782"/>
      <w:bookmarkStart w:id="158" w:name="_Toc11403_WPSOffice_Level2"/>
      <w:bookmarkStart w:id="159" w:name="_Toc809_WPSOffice_Level2"/>
      <w:bookmarkStart w:id="160" w:name="_Toc10013"/>
      <w:bookmarkStart w:id="161" w:name="_Toc1784"/>
      <w:bookmarkStart w:id="162" w:name="_Toc7995"/>
      <w:bookmarkStart w:id="163" w:name="_Toc6710"/>
      <w:bookmarkStart w:id="164" w:name="_Toc24871"/>
      <w:bookmarkStart w:id="165" w:name="_Toc9552"/>
      <w:bookmarkStart w:id="166" w:name="_Toc20379"/>
      <w:bookmarkStart w:id="167" w:name="_Toc22507"/>
      <w:bookmarkStart w:id="168" w:name="_Toc13164"/>
      <w:bookmarkStart w:id="169" w:name="_Toc8623"/>
      <w:bookmarkStart w:id="170" w:name="_Toc13357"/>
      <w:r>
        <w:rPr>
          <w:rFonts w:ascii="Times New Roman" w:hAnsi="Times New Roman" w:cs="Times New Roman"/>
          <w:color w:val="000000" w:themeColor="text1"/>
          <w:kern w:val="0"/>
          <w:szCs w:val="30"/>
          <w14:textFill>
            <w14:solidFill>
              <w14:schemeClr w14:val="tx1"/>
            </w14:solidFill>
          </w14:textFill>
        </w:rPr>
        <w:t>2.6 环境功能区划</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pStyle w:val="6"/>
        <w:spacing w:line="413" w:lineRule="auto"/>
        <w:rPr>
          <w:rFonts w:ascii="Times New Roman" w:hAnsi="Times New Roman" w:cs="Times New Roman"/>
          <w:color w:val="000000" w:themeColor="text1"/>
          <w14:textFill>
            <w14:solidFill>
              <w14:schemeClr w14:val="tx1"/>
            </w14:solidFill>
          </w14:textFill>
        </w:rPr>
      </w:pPr>
      <w:bookmarkStart w:id="171" w:name="_Toc25177"/>
      <w:bookmarkStart w:id="172" w:name="_Toc23555"/>
      <w:bookmarkStart w:id="173" w:name="_Toc11436"/>
      <w:r>
        <w:rPr>
          <w:rFonts w:ascii="Times New Roman" w:hAnsi="Times New Roman" w:cs="Times New Roman"/>
          <w:color w:val="000000" w:themeColor="text1"/>
          <w14:textFill>
            <w14:solidFill>
              <w14:schemeClr w14:val="tx1"/>
            </w14:solidFill>
          </w14:textFill>
        </w:rPr>
        <w:t>2.6.1 环境空气功能区划</w:t>
      </w:r>
      <w:bookmarkEnd w:id="171"/>
      <w:bookmarkEnd w:id="172"/>
      <w:bookmarkEnd w:id="17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空气质量标准》（GB3095-2012）中有关环境空气质量功能分类规定：“二类区为城镇规划中确定的居住区、商业交通居民混合区、文化区、一般工业区和农村地区”，结合本区域的具体情况，本评价区环境空气质量功能区应划为二类区，执行《环境空气质量标准》（GB3095-2012）中二级标准。</w:t>
      </w:r>
    </w:p>
    <w:p>
      <w:pPr>
        <w:pStyle w:val="6"/>
        <w:spacing w:line="413" w:lineRule="auto"/>
        <w:rPr>
          <w:rFonts w:ascii="Times New Roman" w:hAnsi="Times New Roman" w:cs="Times New Roman"/>
          <w:color w:val="000000" w:themeColor="text1"/>
          <w14:textFill>
            <w14:solidFill>
              <w14:schemeClr w14:val="tx1"/>
            </w14:solidFill>
          </w14:textFill>
        </w:rPr>
      </w:pPr>
      <w:bookmarkStart w:id="174" w:name="_Toc20568"/>
      <w:bookmarkStart w:id="175" w:name="_Toc17000"/>
      <w:bookmarkStart w:id="176" w:name="_Toc6587"/>
      <w:r>
        <w:rPr>
          <w:rFonts w:ascii="Times New Roman" w:hAnsi="Times New Roman" w:cs="Times New Roman"/>
          <w:color w:val="000000" w:themeColor="text1"/>
          <w14:textFill>
            <w14:solidFill>
              <w14:schemeClr w14:val="tx1"/>
            </w14:solidFill>
          </w14:textFill>
        </w:rPr>
        <w:t>2.6.2 水环境功能区划</w:t>
      </w:r>
      <w:bookmarkEnd w:id="174"/>
      <w:bookmarkEnd w:id="175"/>
      <w:bookmarkEnd w:id="17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根据建设项目所在区域地下水功能，项目区地下水质量类别为Ⅲ类功能区。</w:t>
      </w:r>
    </w:p>
    <w:p>
      <w:pPr>
        <w:pStyle w:val="6"/>
        <w:spacing w:line="413" w:lineRule="auto"/>
        <w:rPr>
          <w:rFonts w:ascii="Times New Roman" w:hAnsi="Times New Roman" w:cs="Times New Roman"/>
          <w:color w:val="000000" w:themeColor="text1"/>
          <w14:textFill>
            <w14:solidFill>
              <w14:schemeClr w14:val="tx1"/>
            </w14:solidFill>
          </w14:textFill>
        </w:rPr>
      </w:pPr>
      <w:bookmarkStart w:id="177" w:name="_Toc27886"/>
      <w:bookmarkStart w:id="178" w:name="_Toc25397"/>
      <w:bookmarkStart w:id="179" w:name="_Toc13496"/>
      <w:r>
        <w:rPr>
          <w:rFonts w:ascii="Times New Roman" w:hAnsi="Times New Roman" w:cs="Times New Roman"/>
          <w:color w:val="000000" w:themeColor="text1"/>
          <w14:textFill>
            <w14:solidFill>
              <w14:schemeClr w14:val="tx1"/>
            </w14:solidFill>
          </w14:textFill>
        </w:rPr>
        <w:t>2.6.3 声环境功能区划</w:t>
      </w:r>
      <w:bookmarkEnd w:id="177"/>
      <w:bookmarkEnd w:id="178"/>
      <w:bookmarkEnd w:id="17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w:t>
      </w:r>
      <w:r>
        <w:rPr>
          <w:rFonts w:hint="eastAsia"/>
          <w:lang w:val="en-US" w:eastAsia="zh-CN"/>
        </w:rPr>
        <w:t>畜禽</w:t>
      </w:r>
      <w:r>
        <w:rPr>
          <w:rFonts w:hint="eastAsia" w:ascii="Times New Roman" w:hAnsi="Times New Roman" w:cs="Times New Roman"/>
          <w:color w:val="000000" w:themeColor="text1"/>
          <w:lang w:val="en-US" w:eastAsia="zh-CN"/>
          <w14:textFill>
            <w14:solidFill>
              <w14:schemeClr w14:val="tx1"/>
            </w14:solidFill>
          </w14:textFill>
        </w:rPr>
        <w:t>养殖</w:t>
      </w:r>
      <w:r>
        <w:rPr>
          <w:rFonts w:ascii="Times New Roman" w:hAnsi="Times New Roman" w:cs="Times New Roman"/>
          <w:color w:val="000000" w:themeColor="text1"/>
          <w14:textFill>
            <w14:solidFill>
              <w14:schemeClr w14:val="tx1"/>
            </w14:solidFill>
          </w14:textFill>
        </w:rPr>
        <w:t>类建设项目，依据《声环境质量标准》（GB3096-2008），项目所在区域属</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类功能区。</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180" w:name="_Toc23916"/>
      <w:bookmarkStart w:id="181" w:name="_Toc11099_WPSOffice_Level2"/>
      <w:bookmarkStart w:id="182" w:name="_Toc28129"/>
      <w:bookmarkStart w:id="183" w:name="_Toc2405_WPSOffice_Level2"/>
      <w:bookmarkStart w:id="184" w:name="_Toc24382"/>
      <w:bookmarkStart w:id="185" w:name="_Toc4450"/>
      <w:bookmarkStart w:id="186" w:name="_Toc32519"/>
      <w:bookmarkStart w:id="187" w:name="_Toc17385"/>
      <w:bookmarkStart w:id="188" w:name="_Toc727"/>
      <w:bookmarkStart w:id="189" w:name="_Toc22788"/>
      <w:bookmarkStart w:id="190" w:name="_Toc7262"/>
      <w:bookmarkStart w:id="191" w:name="_Toc21289"/>
      <w:bookmarkStart w:id="192" w:name="_Toc19197"/>
      <w:bookmarkStart w:id="193" w:name="_Toc4949"/>
      <w:bookmarkStart w:id="194" w:name="_Toc7335"/>
      <w:r>
        <w:rPr>
          <w:rFonts w:ascii="Times New Roman" w:hAnsi="Times New Roman" w:cs="Times New Roman"/>
          <w:color w:val="000000" w:themeColor="text1"/>
          <w:kern w:val="0"/>
          <w:szCs w:val="30"/>
          <w14:textFill>
            <w14:solidFill>
              <w14:schemeClr w14:val="tx1"/>
            </w14:solidFill>
          </w14:textFill>
        </w:rPr>
        <w:t xml:space="preserve">2.7 </w:t>
      </w:r>
      <w:bookmarkEnd w:id="180"/>
      <w:bookmarkEnd w:id="181"/>
      <w:bookmarkEnd w:id="182"/>
      <w:bookmarkEnd w:id="183"/>
      <w:bookmarkEnd w:id="184"/>
      <w:bookmarkEnd w:id="185"/>
      <w:bookmarkEnd w:id="186"/>
      <w:bookmarkEnd w:id="187"/>
      <w:bookmarkEnd w:id="188"/>
      <w:bookmarkEnd w:id="189"/>
      <w:r>
        <w:rPr>
          <w:rFonts w:ascii="Times New Roman" w:hAnsi="Times New Roman" w:cs="Times New Roman"/>
          <w:color w:val="000000" w:themeColor="text1"/>
          <w:kern w:val="0"/>
          <w:szCs w:val="30"/>
          <w14:textFill>
            <w14:solidFill>
              <w14:schemeClr w14:val="tx1"/>
            </w14:solidFill>
          </w14:textFill>
        </w:rPr>
        <w:t>环境保护目标</w:t>
      </w:r>
      <w:bookmarkEnd w:id="190"/>
      <w:bookmarkEnd w:id="191"/>
      <w:bookmarkEnd w:id="192"/>
      <w:bookmarkEnd w:id="193"/>
      <w:bookmarkEnd w:id="194"/>
    </w:p>
    <w:p>
      <w:pPr>
        <w:pStyle w:val="6"/>
        <w:spacing w:line="413" w:lineRule="auto"/>
        <w:rPr>
          <w:rFonts w:ascii="Times New Roman" w:hAnsi="Times New Roman" w:cs="Times New Roman"/>
          <w:color w:val="000000" w:themeColor="text1"/>
          <w14:textFill>
            <w14:solidFill>
              <w14:schemeClr w14:val="tx1"/>
            </w14:solidFill>
          </w14:textFill>
        </w:rPr>
      </w:pPr>
      <w:bookmarkStart w:id="195" w:name="_Toc504733649"/>
      <w:bookmarkStart w:id="196" w:name="_Toc2807"/>
      <w:bookmarkStart w:id="197" w:name="_Toc24144"/>
      <w:r>
        <w:rPr>
          <w:rFonts w:ascii="Times New Roman" w:hAnsi="Times New Roman" w:cs="Times New Roman"/>
          <w:color w:val="000000" w:themeColor="text1"/>
          <w14:textFill>
            <w14:solidFill>
              <w14:schemeClr w14:val="tx1"/>
            </w14:solidFill>
          </w14:textFill>
        </w:rPr>
        <w:t>2.7.</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 xml:space="preserve"> 水环境保护目标</w:t>
      </w:r>
      <w:bookmarkEnd w:id="195"/>
      <w:bookmarkEnd w:id="196"/>
      <w:bookmarkEnd w:id="197"/>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本项目水环境保护目标为地下水环境质量不因项目的建设而下降，满足</w:t>
      </w:r>
      <w:r>
        <w:rPr>
          <w:rFonts w:ascii="Times New Roman" w:hAnsi="Times New Roman" w:cs="Times New Roman"/>
          <w:color w:val="000000" w:themeColor="text1"/>
          <w:spacing w:val="6"/>
          <w14:textFill>
            <w14:solidFill>
              <w14:schemeClr w14:val="tx1"/>
            </w14:solidFill>
          </w14:textFill>
        </w:rPr>
        <w:t>《地下水质量标准》（GB/T14848-2017）中的</w:t>
      </w:r>
      <w:r>
        <w:rPr>
          <w:rFonts w:ascii="Times New Roman" w:hAnsi="Times New Roman" w:eastAsia="仿宋" w:cs="Times New Roman"/>
          <w:color w:val="000000" w:themeColor="text1"/>
          <w:spacing w:val="6"/>
          <w14:textFill>
            <w14:solidFill>
              <w14:schemeClr w14:val="tx1"/>
            </w14:solidFill>
          </w14:textFill>
        </w:rPr>
        <w:t>Ⅲ</w:t>
      </w:r>
      <w:r>
        <w:rPr>
          <w:rFonts w:ascii="Times New Roman" w:hAnsi="Times New Roman" w:cs="Times New Roman"/>
          <w:color w:val="000000" w:themeColor="text1"/>
          <w:spacing w:val="6"/>
          <w14:textFill>
            <w14:solidFill>
              <w14:schemeClr w14:val="tx1"/>
            </w14:solidFill>
          </w14:textFill>
        </w:rPr>
        <w:t>类标准。</w:t>
      </w:r>
    </w:p>
    <w:p>
      <w:pPr>
        <w:pStyle w:val="6"/>
        <w:spacing w:line="413" w:lineRule="auto"/>
        <w:rPr>
          <w:rFonts w:ascii="Times New Roman" w:hAnsi="Times New Roman" w:cs="Times New Roman"/>
          <w:color w:val="000000" w:themeColor="text1"/>
          <w14:textFill>
            <w14:solidFill>
              <w14:schemeClr w14:val="tx1"/>
            </w14:solidFill>
          </w14:textFill>
        </w:rPr>
      </w:pPr>
      <w:bookmarkStart w:id="198" w:name="_Toc18493"/>
      <w:bookmarkStart w:id="199" w:name="_Toc17150"/>
      <w:bookmarkStart w:id="200" w:name="_Toc504733650"/>
      <w:r>
        <w:rPr>
          <w:rFonts w:ascii="Times New Roman" w:hAnsi="Times New Roman" w:cs="Times New Roman"/>
          <w:color w:val="000000" w:themeColor="text1"/>
          <w14:textFill>
            <w14:solidFill>
              <w14:schemeClr w14:val="tx1"/>
            </w14:solidFill>
          </w14:textFill>
        </w:rPr>
        <w:t>2.7.2 大气环境保护目标</w:t>
      </w:r>
      <w:bookmarkEnd w:id="198"/>
      <w:bookmarkEnd w:id="199"/>
      <w:bookmarkEnd w:id="200"/>
    </w:p>
    <w:p>
      <w:pPr>
        <w:spacing w:line="520" w:lineRule="exact"/>
        <w:ind w:firstLine="456"/>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spacing w:val="-6"/>
          <w:kern w:val="0"/>
          <w14:textFill>
            <w14:solidFill>
              <w14:schemeClr w14:val="tx1"/>
            </w14:solidFill>
          </w14:textFill>
        </w:rPr>
        <w:t>大气的保护目标为区域内空气质量，使其满足《环境空气质量标准》二级标准。</w:t>
      </w:r>
    </w:p>
    <w:p>
      <w:pPr>
        <w:pStyle w:val="6"/>
        <w:spacing w:line="413" w:lineRule="auto"/>
        <w:rPr>
          <w:rFonts w:ascii="Times New Roman" w:hAnsi="Times New Roman" w:cs="Times New Roman"/>
          <w:color w:val="000000" w:themeColor="text1"/>
          <w14:textFill>
            <w14:solidFill>
              <w14:schemeClr w14:val="tx1"/>
            </w14:solidFill>
          </w14:textFill>
        </w:rPr>
      </w:pPr>
      <w:bookmarkStart w:id="201" w:name="_Toc22865"/>
      <w:bookmarkStart w:id="202" w:name="_Toc504733651"/>
      <w:bookmarkStart w:id="203" w:name="_Toc27608"/>
      <w:r>
        <w:rPr>
          <w:rFonts w:ascii="Times New Roman" w:hAnsi="Times New Roman" w:cs="Times New Roman"/>
          <w:color w:val="000000" w:themeColor="text1"/>
          <w14:textFill>
            <w14:solidFill>
              <w14:schemeClr w14:val="tx1"/>
            </w14:solidFill>
          </w14:textFill>
        </w:rPr>
        <w:t>2.7.3 声环境保护目标</w:t>
      </w:r>
      <w:bookmarkEnd w:id="201"/>
      <w:bookmarkEnd w:id="202"/>
      <w:bookmarkEnd w:id="203"/>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声环境保护目标为</w:t>
      </w:r>
      <w:r>
        <w:rPr>
          <w:rFonts w:hint="eastAsia" w:ascii="Times New Roman" w:hAnsi="Times New Roman" w:cs="Times New Roman"/>
          <w:color w:val="000000" w:themeColor="text1"/>
          <w:kern w:val="0"/>
          <w:lang w:eastAsia="zh-CN"/>
          <w14:textFill>
            <w14:solidFill>
              <w14:schemeClr w14:val="tx1"/>
            </w14:solidFill>
          </w14:textFill>
        </w:rPr>
        <w:t>厂界</w:t>
      </w:r>
      <w:r>
        <w:rPr>
          <w:rFonts w:ascii="Times New Roman" w:hAnsi="Times New Roman" w:cs="Times New Roman"/>
          <w:color w:val="000000" w:themeColor="text1"/>
          <w:kern w:val="0"/>
          <w14:textFill>
            <w14:solidFill>
              <w14:schemeClr w14:val="tx1"/>
            </w14:solidFill>
          </w14:textFill>
        </w:rPr>
        <w:t>四周声环境，保证声环境质量满足《声环境质量标准》（GB3096-2008）</w:t>
      </w:r>
      <w:r>
        <w:rPr>
          <w:rFonts w:hint="eastAsia" w:ascii="Times New Roman" w:hAnsi="Times New Roman" w:cs="Times New Roman"/>
          <w:color w:val="000000" w:themeColor="text1"/>
          <w:kern w:val="0"/>
          <w14:textFill>
            <w14:solidFill>
              <w14:schemeClr w14:val="tx1"/>
            </w14:solidFill>
          </w14:textFill>
        </w:rPr>
        <w:t>2</w:t>
      </w:r>
      <w:r>
        <w:rPr>
          <w:rFonts w:ascii="Times New Roman" w:hAnsi="Times New Roman" w:cs="Times New Roman"/>
          <w:color w:val="000000" w:themeColor="text1"/>
          <w:kern w:val="0"/>
          <w14:textFill>
            <w14:solidFill>
              <w14:schemeClr w14:val="tx1"/>
            </w14:solidFill>
          </w14:textFill>
        </w:rPr>
        <w:t>类区标准要求。</w:t>
      </w:r>
    </w:p>
    <w:p>
      <w:pPr>
        <w:pStyle w:val="6"/>
        <w:spacing w:line="413" w:lineRule="auto"/>
        <w:rPr>
          <w:rFonts w:ascii="Times New Roman" w:hAnsi="Times New Roman" w:cs="Times New Roman"/>
          <w:color w:val="000000" w:themeColor="text1"/>
          <w14:textFill>
            <w14:solidFill>
              <w14:schemeClr w14:val="tx1"/>
            </w14:solidFill>
          </w14:textFill>
        </w:rPr>
      </w:pPr>
      <w:bookmarkStart w:id="204" w:name="_Toc504733652"/>
      <w:bookmarkStart w:id="205" w:name="_Toc18831"/>
      <w:bookmarkStart w:id="206" w:name="_Toc19150"/>
      <w:r>
        <w:rPr>
          <w:rFonts w:ascii="Times New Roman" w:hAnsi="Times New Roman" w:cs="Times New Roman"/>
          <w:color w:val="000000" w:themeColor="text1"/>
          <w14:textFill>
            <w14:solidFill>
              <w14:schemeClr w14:val="tx1"/>
            </w14:solidFill>
          </w14:textFill>
        </w:rPr>
        <w:t>2.7.4 固体废物环境保护目标</w:t>
      </w:r>
      <w:bookmarkEnd w:id="204"/>
      <w:bookmarkEnd w:id="205"/>
      <w:bookmarkEnd w:id="206"/>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bCs/>
          <w:color w:val="000000" w:themeColor="text1"/>
          <w:kern w:val="0"/>
          <w14:textFill>
            <w14:solidFill>
              <w14:schemeClr w14:val="tx1"/>
            </w14:solidFill>
          </w14:textFill>
        </w:rPr>
        <w:t>落实本项目固体废物“减量化、资源化和无害化”的途径和数量。防止发生二次污染。</w:t>
      </w:r>
    </w:p>
    <w:p>
      <w:pPr>
        <w:pStyle w:val="6"/>
        <w:spacing w:line="413" w:lineRule="auto"/>
        <w:rPr>
          <w:rFonts w:ascii="Times New Roman" w:hAnsi="Times New Roman" w:cs="Times New Roman"/>
          <w:color w:val="000000" w:themeColor="text1"/>
          <w14:textFill>
            <w14:solidFill>
              <w14:schemeClr w14:val="tx1"/>
            </w14:solidFill>
          </w14:textFill>
        </w:rPr>
      </w:pPr>
      <w:bookmarkStart w:id="207" w:name="_Toc18118"/>
      <w:bookmarkStart w:id="208" w:name="_Toc21477"/>
      <w:bookmarkStart w:id="209" w:name="_Toc504733653"/>
      <w:r>
        <w:rPr>
          <w:rFonts w:ascii="Times New Roman" w:hAnsi="Times New Roman" w:cs="Times New Roman"/>
          <w:color w:val="000000" w:themeColor="text1"/>
          <w14:textFill>
            <w14:solidFill>
              <w14:schemeClr w14:val="tx1"/>
            </w14:solidFill>
          </w14:textFill>
        </w:rPr>
        <w:t>2.7.5 生态环境保护目标</w:t>
      </w:r>
      <w:bookmarkEnd w:id="207"/>
      <w:bookmarkEnd w:id="208"/>
      <w:bookmarkEnd w:id="209"/>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保障本项目的建设对评价区域周边生态不构成显著的影响，不影响项目区周边的生态系统类型。</w:t>
      </w:r>
    </w:p>
    <w:p>
      <w:pPr>
        <w:pStyle w:val="6"/>
        <w:spacing w:line="413" w:lineRule="auto"/>
        <w:rPr>
          <w:rFonts w:ascii="Times New Roman" w:hAnsi="Times New Roman" w:cs="Times New Roman"/>
          <w:color w:val="000000" w:themeColor="text1"/>
          <w14:textFill>
            <w14:solidFill>
              <w14:schemeClr w14:val="tx1"/>
            </w14:solidFill>
          </w14:textFill>
        </w:rPr>
      </w:pPr>
      <w:bookmarkStart w:id="210" w:name="_Toc26054"/>
      <w:bookmarkStart w:id="211" w:name="_Toc1442"/>
      <w:bookmarkStart w:id="212" w:name="_Toc504733654"/>
      <w:r>
        <w:rPr>
          <w:rFonts w:ascii="Times New Roman" w:hAnsi="Times New Roman" w:cs="Times New Roman"/>
          <w:color w:val="000000" w:themeColor="text1"/>
          <w14:textFill>
            <w14:solidFill>
              <w14:schemeClr w14:val="tx1"/>
            </w14:solidFill>
          </w14:textFill>
        </w:rPr>
        <w:t>2.7.6 环境风险保护目标</w:t>
      </w:r>
      <w:bookmarkEnd w:id="210"/>
      <w:bookmarkEnd w:id="211"/>
      <w:bookmarkEnd w:id="212"/>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保障项目运营过程中发生风险事故得到有效预防和控制，不会对评价范围内环境敏感点带来不利影响。</w:t>
      </w:r>
    </w:p>
    <w:p>
      <w:pPr>
        <w:pStyle w:val="6"/>
        <w:spacing w:line="413" w:lineRule="auto"/>
        <w:rPr>
          <w:rFonts w:ascii="Times New Roman" w:hAnsi="Times New Roman" w:cs="Times New Roman"/>
          <w:color w:val="000000" w:themeColor="text1"/>
          <w14:textFill>
            <w14:solidFill>
              <w14:schemeClr w14:val="tx1"/>
            </w14:solidFill>
          </w14:textFill>
        </w:rPr>
      </w:pPr>
      <w:bookmarkStart w:id="213" w:name="_Toc6234"/>
      <w:bookmarkStart w:id="214" w:name="_Toc504733655"/>
      <w:bookmarkStart w:id="215" w:name="_Toc30658"/>
      <w:r>
        <w:rPr>
          <w:rFonts w:ascii="Times New Roman" w:hAnsi="Times New Roman" w:cs="Times New Roman"/>
          <w:color w:val="000000" w:themeColor="text1"/>
          <w14:textFill>
            <w14:solidFill>
              <w14:schemeClr w14:val="tx1"/>
            </w14:solidFill>
          </w14:textFill>
        </w:rPr>
        <w:t>2.7.7 环境保护目标汇总</w:t>
      </w:r>
      <w:bookmarkEnd w:id="213"/>
      <w:bookmarkEnd w:id="214"/>
      <w:bookmarkEnd w:id="215"/>
    </w:p>
    <w:p>
      <w:pPr>
        <w:pStyle w:val="41"/>
        <w:spacing w:line="52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snapToGrid/>
          <w:color w:val="000000" w:themeColor="text1"/>
          <w:kern w:val="0"/>
          <w14:textFill>
            <w14:solidFill>
              <w14:schemeClr w14:val="tx1"/>
            </w14:solidFill>
          </w14:textFill>
        </w:rPr>
        <w:t>根据厂址周围环境状况和敏感点具体分布情况，确定</w:t>
      </w:r>
      <w:bookmarkStart w:id="216" w:name="_Toc155101581"/>
      <w:r>
        <w:rPr>
          <w:rFonts w:ascii="Times New Roman" w:hAnsi="Times New Roman" w:eastAsia="宋体" w:cs="Times New Roman"/>
          <w:snapToGrid/>
          <w:color w:val="000000" w:themeColor="text1"/>
          <w:kern w:val="0"/>
          <w14:textFill>
            <w14:solidFill>
              <w14:schemeClr w14:val="tx1"/>
            </w14:solidFill>
          </w14:textFill>
        </w:rPr>
        <w:t>本项目环境空气、地下水的环境保护目标，本项目环境空气、环境风险以及声环境评价范围内没有环境敏感目标，项目周围最近的环境保护目标情况详见表</w:t>
      </w:r>
      <w:bookmarkEnd w:id="216"/>
      <w:r>
        <w:rPr>
          <w:rFonts w:ascii="Times New Roman" w:hAnsi="Times New Roman" w:eastAsia="宋体" w:cs="Times New Roman"/>
          <w:snapToGrid/>
          <w:color w:val="000000" w:themeColor="text1"/>
          <w:kern w:val="0"/>
          <w14:textFill>
            <w14:solidFill>
              <w14:schemeClr w14:val="tx1"/>
            </w14:solidFill>
          </w14:textFill>
        </w:rPr>
        <w:t>2.</w:t>
      </w:r>
      <w:r>
        <w:rPr>
          <w:rFonts w:hint="eastAsia" w:ascii="Times New Roman" w:hAnsi="Times New Roman" w:eastAsia="宋体" w:cs="Times New Roman"/>
          <w:snapToGrid/>
          <w:color w:val="000000" w:themeColor="text1"/>
          <w:kern w:val="0"/>
          <w14:textFill>
            <w14:solidFill>
              <w14:schemeClr w14:val="tx1"/>
            </w14:solidFill>
          </w14:textFill>
        </w:rPr>
        <w:t>7</w:t>
      </w:r>
      <w:r>
        <w:rPr>
          <w:rFonts w:ascii="Times New Roman" w:hAnsi="Times New Roman" w:eastAsia="宋体" w:cs="Times New Roman"/>
          <w:snapToGrid/>
          <w:color w:val="000000" w:themeColor="text1"/>
          <w:kern w:val="0"/>
          <w14:textFill>
            <w14:solidFill>
              <w14:schemeClr w14:val="tx1"/>
            </w14:solidFill>
          </w14:textFill>
        </w:rPr>
        <w:t>-1。项目周边敏感目标分布详见图2.</w:t>
      </w:r>
      <w:r>
        <w:rPr>
          <w:rFonts w:hint="eastAsia" w:ascii="Times New Roman" w:hAnsi="Times New Roman" w:eastAsia="宋体" w:cs="Times New Roman"/>
          <w:snapToGrid/>
          <w:color w:val="000000" w:themeColor="text1"/>
          <w:kern w:val="0"/>
          <w14:textFill>
            <w14:solidFill>
              <w14:schemeClr w14:val="tx1"/>
            </w14:solidFill>
          </w14:textFill>
        </w:rPr>
        <w:t>7</w:t>
      </w:r>
      <w:r>
        <w:rPr>
          <w:rFonts w:ascii="Times New Roman" w:hAnsi="Times New Roman" w:eastAsia="宋体" w:cs="Times New Roman"/>
          <w:snapToGrid/>
          <w:color w:val="000000" w:themeColor="text1"/>
          <w:kern w:val="0"/>
          <w14:textFill>
            <w14:solidFill>
              <w14:schemeClr w14:val="tx1"/>
            </w14:solidFill>
          </w14:textFill>
        </w:rPr>
        <w:t>-1。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w:t>
      </w: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-1   主要环境保护目标</w:t>
      </w:r>
    </w:p>
    <w:tbl>
      <w:tblPr>
        <w:tblStyle w:val="27"/>
        <w:tblW w:w="52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9"/>
        <w:gridCol w:w="1377"/>
        <w:gridCol w:w="1277"/>
        <w:gridCol w:w="1282"/>
        <w:gridCol w:w="720"/>
        <w:gridCol w:w="1004"/>
        <w:gridCol w:w="850"/>
        <w:gridCol w:w="825"/>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41" w:type="pct"/>
            <w:vMerge w:val="restar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环境要素</w:t>
            </w:r>
          </w:p>
        </w:tc>
        <w:tc>
          <w:tcPr>
            <w:tcW w:w="796" w:type="pct"/>
            <w:vMerge w:val="restar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环境保护对象名称</w:t>
            </w:r>
          </w:p>
        </w:tc>
        <w:tc>
          <w:tcPr>
            <w:tcW w:w="1479" w:type="pct"/>
            <w:gridSpan w:val="2"/>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经纬度</w:t>
            </w:r>
          </w:p>
        </w:tc>
        <w:tc>
          <w:tcPr>
            <w:tcW w:w="416" w:type="pct"/>
            <w:vMerge w:val="restar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保护对象</w:t>
            </w:r>
          </w:p>
        </w:tc>
        <w:tc>
          <w:tcPr>
            <w:tcW w:w="580" w:type="pct"/>
            <w:vMerge w:val="restar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保护</w:t>
            </w:r>
            <w:r>
              <w:rPr>
                <w:rFonts w:ascii="Times New Roman" w:hAnsi="Times New Roman" w:cs="Times New Roman"/>
                <w:b/>
                <w:bCs/>
                <w:color w:val="000000" w:themeColor="text1"/>
                <w:kern w:val="0"/>
                <w:sz w:val="21"/>
                <w:szCs w:val="21"/>
                <w14:textFill>
                  <w14:solidFill>
                    <w14:schemeClr w14:val="tx1"/>
                  </w14:solidFill>
                </w14:textFill>
              </w:rPr>
              <w:t>规模</w:t>
            </w:r>
          </w:p>
        </w:tc>
        <w:tc>
          <w:tcPr>
            <w:tcW w:w="491" w:type="pct"/>
            <w:vMerge w:val="restar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环境功能区</w:t>
            </w:r>
          </w:p>
        </w:tc>
        <w:tc>
          <w:tcPr>
            <w:tcW w:w="477" w:type="pct"/>
            <w:vMerge w:val="restar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相对厂界方位</w:t>
            </w:r>
          </w:p>
        </w:tc>
        <w:tc>
          <w:tcPr>
            <w:tcW w:w="417" w:type="pct"/>
            <w:vMerge w:val="restar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41" w:type="pct"/>
            <w:vMerge w:val="continue"/>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p>
        </w:tc>
        <w:tc>
          <w:tcPr>
            <w:tcW w:w="796" w:type="pct"/>
            <w:vMerge w:val="continue"/>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p>
        </w:tc>
        <w:tc>
          <w:tcPr>
            <w:tcW w:w="738" w:type="pc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经度</w:t>
            </w:r>
          </w:p>
        </w:tc>
        <w:tc>
          <w:tcPr>
            <w:tcW w:w="740" w:type="pc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r>
              <w:rPr>
                <w:rFonts w:ascii="Times New Roman" w:hAnsi="Times New Roman" w:cs="Times New Roman"/>
                <w:b/>
                <w:bCs/>
                <w:color w:val="000000" w:themeColor="text1"/>
                <w:kern w:val="0"/>
                <w:sz w:val="21"/>
                <w:szCs w:val="21"/>
                <w:lang w:val="zh-CN"/>
                <w14:textFill>
                  <w14:solidFill>
                    <w14:schemeClr w14:val="tx1"/>
                  </w14:solidFill>
                </w14:textFill>
              </w:rPr>
              <w:t>纬度</w:t>
            </w:r>
          </w:p>
        </w:tc>
        <w:tc>
          <w:tcPr>
            <w:tcW w:w="416" w:type="pct"/>
            <w:vMerge w:val="continue"/>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p>
        </w:tc>
        <w:tc>
          <w:tcPr>
            <w:tcW w:w="580" w:type="pct"/>
            <w:vMerge w:val="continue"/>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p>
        </w:tc>
        <w:tc>
          <w:tcPr>
            <w:tcW w:w="491" w:type="pct"/>
            <w:vMerge w:val="continue"/>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p>
        </w:tc>
        <w:tc>
          <w:tcPr>
            <w:tcW w:w="477" w:type="pct"/>
            <w:vMerge w:val="continue"/>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p>
        </w:tc>
        <w:tc>
          <w:tcPr>
            <w:tcW w:w="417" w:type="pct"/>
            <w:vMerge w:val="continue"/>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lang w:val="zh-CN"/>
                <w14:textFill>
                  <w14:solidFill>
                    <w14:schemeClr w14:val="tx1"/>
                  </w14:solidFill>
                </w14:textFill>
              </w:rPr>
              <w:t>大气环境</w:t>
            </w:r>
          </w:p>
        </w:tc>
        <w:tc>
          <w:tcPr>
            <w:tcW w:w="796"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共青团农场富强四队</w:t>
            </w:r>
          </w:p>
        </w:tc>
        <w:tc>
          <w:tcPr>
            <w:tcW w:w="738"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87.18477</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740"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44.29370</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416"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村庄</w:t>
            </w:r>
          </w:p>
        </w:tc>
        <w:tc>
          <w:tcPr>
            <w:tcW w:w="580"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31</w:t>
            </w:r>
            <w:r>
              <w:rPr>
                <w:rFonts w:ascii="Times New Roman" w:hAnsi="Times New Roman" w:cs="Times New Roman"/>
                <w:color w:val="000000" w:themeColor="text1"/>
                <w:kern w:val="0"/>
                <w:sz w:val="21"/>
                <w:szCs w:val="21"/>
                <w14:textFill>
                  <w14:solidFill>
                    <w14:schemeClr w14:val="tx1"/>
                  </w14:solidFill>
                </w14:textFill>
              </w:rPr>
              <w:t>2人</w:t>
            </w:r>
          </w:p>
        </w:tc>
        <w:tc>
          <w:tcPr>
            <w:tcW w:w="49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lang w:val="zh-CN"/>
                <w14:textFill>
                  <w14:solidFill>
                    <w14:schemeClr w14:val="tx1"/>
                  </w14:solidFill>
                </w14:textFill>
              </w:rPr>
              <w:t>二类区</w:t>
            </w:r>
          </w:p>
        </w:tc>
        <w:tc>
          <w:tcPr>
            <w:tcW w:w="47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SE</w:t>
            </w:r>
          </w:p>
        </w:tc>
        <w:tc>
          <w:tcPr>
            <w:tcW w:w="41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水环境</w:t>
            </w:r>
          </w:p>
        </w:tc>
        <w:tc>
          <w:tcPr>
            <w:tcW w:w="796"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厂址区域内地下水</w:t>
            </w:r>
          </w:p>
        </w:tc>
        <w:tc>
          <w:tcPr>
            <w:tcW w:w="738"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87.13464</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740"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44.31959</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996" w:type="pct"/>
            <w:gridSpan w:val="2"/>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项目场区周边1.5km范围地下水</w:t>
            </w:r>
          </w:p>
        </w:tc>
        <w:tc>
          <w:tcPr>
            <w:tcW w:w="49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地下水</w:t>
            </w:r>
            <w:r>
              <w:rPr>
                <w:rFonts w:ascii="Times New Roman" w:hAnsi="Times New Roman" w:cs="Times New Roman"/>
                <w:color w:val="000000" w:themeColor="text1"/>
                <w:kern w:val="0"/>
                <w:sz w:val="21"/>
                <w:szCs w:val="21"/>
                <w:lang w:val="zh-CN"/>
                <w14:textFill>
                  <w14:solidFill>
                    <w14:schemeClr w14:val="tx1"/>
                  </w14:solidFill>
                </w14:textFill>
              </w:rPr>
              <w:t>Ⅲ类</w:t>
            </w:r>
          </w:p>
        </w:tc>
        <w:tc>
          <w:tcPr>
            <w:tcW w:w="47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w:t>
            </w:r>
          </w:p>
        </w:tc>
        <w:tc>
          <w:tcPr>
            <w:tcW w:w="41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声环境</w:t>
            </w:r>
          </w:p>
        </w:tc>
        <w:tc>
          <w:tcPr>
            <w:tcW w:w="796"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共青团农场富强四队</w:t>
            </w:r>
          </w:p>
        </w:tc>
        <w:tc>
          <w:tcPr>
            <w:tcW w:w="738"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87.18477</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740"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44.29370</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416"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村庄</w:t>
            </w:r>
          </w:p>
        </w:tc>
        <w:tc>
          <w:tcPr>
            <w:tcW w:w="580"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31</w:t>
            </w:r>
            <w:r>
              <w:rPr>
                <w:rFonts w:ascii="Times New Roman" w:hAnsi="Times New Roman" w:cs="Times New Roman"/>
                <w:color w:val="000000" w:themeColor="text1"/>
                <w:kern w:val="0"/>
                <w:sz w:val="21"/>
                <w:szCs w:val="21"/>
                <w14:textFill>
                  <w14:solidFill>
                    <w14:schemeClr w14:val="tx1"/>
                  </w14:solidFill>
                </w14:textFill>
              </w:rPr>
              <w:t>2人</w:t>
            </w:r>
          </w:p>
        </w:tc>
        <w:tc>
          <w:tcPr>
            <w:tcW w:w="49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w:t>
            </w:r>
            <w:r>
              <w:rPr>
                <w:rFonts w:ascii="Times New Roman" w:hAnsi="Times New Roman" w:cs="Times New Roman"/>
                <w:color w:val="000000" w:themeColor="text1"/>
                <w:kern w:val="0"/>
                <w:sz w:val="21"/>
                <w:szCs w:val="21"/>
                <w:lang w:val="zh-CN"/>
                <w14:textFill>
                  <w14:solidFill>
                    <w14:schemeClr w14:val="tx1"/>
                  </w14:solidFill>
                </w14:textFill>
              </w:rPr>
              <w:t>类区</w:t>
            </w:r>
          </w:p>
        </w:tc>
        <w:tc>
          <w:tcPr>
            <w:tcW w:w="47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SE</w:t>
            </w:r>
          </w:p>
        </w:tc>
        <w:tc>
          <w:tcPr>
            <w:tcW w:w="41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1" w:type="pct"/>
            <w:vMerge w:val="restar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生态</w:t>
            </w:r>
            <w:r>
              <w:rPr>
                <w:rFonts w:hint="eastAsia" w:ascii="Times New Roman" w:hAnsi="Times New Roman" w:cs="Times New Roman"/>
                <w:color w:val="000000" w:themeColor="text1"/>
                <w:kern w:val="0"/>
                <w:sz w:val="21"/>
                <w:szCs w:val="21"/>
                <w14:textFill>
                  <w14:solidFill>
                    <w14:schemeClr w14:val="tx1"/>
                  </w14:solidFill>
                </w14:textFill>
              </w:rPr>
              <w:t>环境</w:t>
            </w:r>
          </w:p>
        </w:tc>
        <w:tc>
          <w:tcPr>
            <w:tcW w:w="796"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农田</w:t>
            </w:r>
          </w:p>
        </w:tc>
        <w:tc>
          <w:tcPr>
            <w:tcW w:w="738"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87.13772</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740"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44.31467</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996" w:type="pct"/>
            <w:gridSpan w:val="2"/>
            <w:vMerge w:val="restar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项目有机肥还田灌溉涉及的农田</w:t>
            </w:r>
          </w:p>
        </w:tc>
        <w:tc>
          <w:tcPr>
            <w:tcW w:w="49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w:t>
            </w:r>
          </w:p>
        </w:tc>
        <w:tc>
          <w:tcPr>
            <w:tcW w:w="47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SE</w:t>
            </w:r>
          </w:p>
        </w:tc>
        <w:tc>
          <w:tcPr>
            <w:tcW w:w="41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1"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796"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农田</w:t>
            </w:r>
          </w:p>
        </w:tc>
        <w:tc>
          <w:tcPr>
            <w:tcW w:w="738"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87.13686</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740"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44.32007</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996" w:type="pct"/>
            <w:gridSpan w:val="2"/>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9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w:t>
            </w:r>
          </w:p>
        </w:tc>
        <w:tc>
          <w:tcPr>
            <w:tcW w:w="47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W</w:t>
            </w:r>
          </w:p>
        </w:tc>
        <w:tc>
          <w:tcPr>
            <w:tcW w:w="41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181m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土壤环境</w:t>
            </w:r>
          </w:p>
        </w:tc>
        <w:tc>
          <w:tcPr>
            <w:tcW w:w="796" w:type="pct"/>
            <w:vAlign w:val="center"/>
          </w:tcPr>
          <w:p>
            <w:pPr>
              <w:adjustRightInd w:val="0"/>
              <w:spacing w:line="240" w:lineRule="auto"/>
              <w:ind w:firstLine="0" w:firstLineChars="0"/>
              <w:jc w:val="center"/>
              <w:rPr>
                <w:rFonts w:hint="eastAsia"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项目场界</w:t>
            </w:r>
          </w:p>
        </w:tc>
        <w:tc>
          <w:tcPr>
            <w:tcW w:w="3862" w:type="pct"/>
            <w:gridSpan w:val="7"/>
            <w:vAlign w:val="center"/>
          </w:tcPr>
          <w:p>
            <w:pPr>
              <w:adjustRightInd w:val="0"/>
              <w:spacing w:line="240" w:lineRule="auto"/>
              <w:ind w:firstLine="0" w:firstLineChars="0"/>
              <w:jc w:val="center"/>
              <w:rPr>
                <w:rFonts w:hint="eastAsia"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项目区范围内及场址周边</w:t>
            </w:r>
            <w:r>
              <w:rPr>
                <w:rFonts w:hint="eastAsia" w:ascii="Times New Roman" w:hAnsi="Times New Roman" w:cs="Times New Roman"/>
                <w:color w:val="000000" w:themeColor="text1"/>
                <w:kern w:val="0"/>
                <w:sz w:val="21"/>
                <w:szCs w:val="21"/>
                <w:lang w:val="en-US" w:eastAsia="zh-CN"/>
                <w14:textFill>
                  <w14:solidFill>
                    <w14:schemeClr w14:val="tx1"/>
                  </w14:solidFill>
                </w14:textFill>
              </w:rPr>
              <w:t>0.2</w:t>
            </w:r>
            <w:r>
              <w:rPr>
                <w:rFonts w:hint="eastAsia" w:ascii="Times New Roman" w:hAnsi="Times New Roman" w:cs="Times New Roman"/>
                <w:color w:val="000000" w:themeColor="text1"/>
                <w:kern w:val="0"/>
                <w:sz w:val="21"/>
                <w:szCs w:val="21"/>
                <w14:textFill>
                  <w14:solidFill>
                    <w14:schemeClr w14:val="tx1"/>
                  </w14:solidFill>
                </w14:textFill>
              </w:rPr>
              <w:t>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9" w:type="dxa"/>
            <w:vAlign w:val="center"/>
          </w:tcPr>
          <w:p>
            <w:pPr>
              <w:adjustRightInd w:val="0"/>
              <w:spacing w:line="240" w:lineRule="auto"/>
              <w:ind w:firstLine="0" w:firstLineChars="0"/>
              <w:jc w:val="center"/>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环境风险</w:t>
            </w:r>
          </w:p>
        </w:tc>
        <w:tc>
          <w:tcPr>
            <w:tcW w:w="1377" w:type="dxa"/>
            <w:vAlign w:val="center"/>
          </w:tcPr>
          <w:p>
            <w:pPr>
              <w:adjustRightInd w:val="0"/>
              <w:spacing w:line="240" w:lineRule="auto"/>
              <w:ind w:firstLine="0" w:firstLineChars="0"/>
              <w:jc w:val="center"/>
              <w:rPr>
                <w:rFonts w:hint="eastAsia"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地下水</w:t>
            </w:r>
          </w:p>
        </w:tc>
        <w:tc>
          <w:tcPr>
            <w:tcW w:w="6683" w:type="dxa"/>
            <w:gridSpan w:val="7"/>
            <w:vAlign w:val="center"/>
          </w:tcPr>
          <w:p>
            <w:pPr>
              <w:adjustRightInd w:val="0"/>
              <w:spacing w:line="240" w:lineRule="auto"/>
              <w:ind w:firstLine="0" w:firstLineChars="0"/>
              <w:jc w:val="center"/>
              <w:rPr>
                <w:rFonts w:hint="eastAsia"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控制突发性事件或事故对周边的影响</w:t>
            </w:r>
          </w:p>
        </w:tc>
      </w:tr>
    </w:tbl>
    <w:p>
      <w:pPr>
        <w:pStyle w:val="41"/>
        <w:spacing w:line="520" w:lineRule="exact"/>
        <w:rPr>
          <w:rFonts w:ascii="Times New Roman" w:hAnsi="Times New Roman" w:eastAsia="宋体" w:cs="Times New Roman"/>
          <w:snapToGrid/>
          <w:color w:val="000000" w:themeColor="text1"/>
          <w:kern w:val="0"/>
          <w14:textFill>
            <w14:solidFill>
              <w14:schemeClr w14:val="tx1"/>
            </w14:solidFill>
          </w14:textFill>
        </w:rPr>
      </w:pPr>
    </w:p>
    <w:p>
      <w:pPr>
        <w:pStyle w:val="41"/>
        <w:spacing w:line="520" w:lineRule="exact"/>
        <w:rPr>
          <w:rFonts w:ascii="Times New Roman" w:hAnsi="Times New Roman" w:eastAsia="宋体" w:cs="Times New Roman"/>
          <w:snapToGrid/>
          <w:color w:val="000000" w:themeColor="text1"/>
          <w:kern w:val="0"/>
          <w14:textFill>
            <w14:solidFill>
              <w14:schemeClr w14:val="tx1"/>
            </w14:solidFill>
          </w14:textFill>
        </w:rPr>
      </w:pPr>
    </w:p>
    <w:p>
      <w:pPr>
        <w:pStyle w:val="41"/>
        <w:spacing w:line="520" w:lineRule="exact"/>
        <w:rPr>
          <w:rFonts w:ascii="Times New Roman" w:hAnsi="Times New Roman" w:eastAsia="宋体" w:cs="Times New Roman"/>
          <w:snapToGrid/>
          <w:color w:val="000000" w:themeColor="text1"/>
          <w:kern w:val="0"/>
          <w14:textFill>
            <w14:solidFill>
              <w14:schemeClr w14:val="tx1"/>
            </w14:solidFill>
          </w14:textFill>
        </w:rPr>
      </w:pPr>
    </w:p>
    <w:p>
      <w:pPr>
        <w:pStyle w:val="41"/>
        <w:spacing w:line="520" w:lineRule="exact"/>
        <w:rPr>
          <w:rFonts w:ascii="Times New Roman" w:hAnsi="Times New Roman" w:eastAsia="宋体" w:cs="Times New Roman"/>
          <w:snapToGrid/>
          <w:color w:val="000000" w:themeColor="text1"/>
          <w:kern w:val="0"/>
          <w14:textFill>
            <w14:solidFill>
              <w14:schemeClr w14:val="tx1"/>
            </w14:solidFill>
          </w14:textFill>
        </w:rPr>
      </w:pPr>
    </w:p>
    <w:p>
      <w:pPr>
        <w:pStyle w:val="41"/>
        <w:spacing w:line="520" w:lineRule="exact"/>
        <w:rPr>
          <w:rFonts w:ascii="Times New Roman" w:hAnsi="Times New Roman" w:eastAsia="宋体" w:cs="Times New Roman"/>
          <w:snapToGrid/>
          <w:color w:val="000000" w:themeColor="text1"/>
          <w:kern w:val="0"/>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
        <w:keepNext w:val="0"/>
        <w:keepLines w:val="0"/>
        <w:jc w:val="center"/>
        <w:rPr>
          <w:rFonts w:ascii="Times New Roman" w:hAnsi="Times New Roman" w:cs="Times New Roman"/>
          <w:color w:val="000000" w:themeColor="text1"/>
          <w:szCs w:val="32"/>
          <w14:textFill>
            <w14:solidFill>
              <w14:schemeClr w14:val="tx1"/>
            </w14:solidFill>
          </w14:textFill>
        </w:rPr>
      </w:pPr>
      <w:bookmarkStart w:id="217" w:name="_Toc24719"/>
      <w:bookmarkStart w:id="218" w:name="_Toc3241_WPSOffice_Level1"/>
      <w:bookmarkStart w:id="219" w:name="_Toc23001"/>
      <w:bookmarkStart w:id="220" w:name="_Toc14137"/>
      <w:bookmarkStart w:id="221" w:name="_Toc9262"/>
      <w:bookmarkStart w:id="222" w:name="_Toc4816"/>
      <w:bookmarkStart w:id="223" w:name="_Toc17229"/>
      <w:bookmarkStart w:id="224" w:name="_Toc1950"/>
      <w:bookmarkStart w:id="225" w:name="_Toc15812"/>
      <w:bookmarkStart w:id="226" w:name="_Toc13995"/>
      <w:bookmarkStart w:id="227" w:name="_Toc27385"/>
      <w:bookmarkStart w:id="228" w:name="_Toc17212"/>
      <w:bookmarkStart w:id="229" w:name="_Toc30941"/>
      <w:bookmarkStart w:id="230" w:name="_Toc23015"/>
      <w:bookmarkStart w:id="231" w:name="_Toc10394_WPSOffice_Level1"/>
      <w:bookmarkStart w:id="232" w:name="_Toc1440"/>
      <w:r>
        <w:rPr>
          <w:rFonts w:ascii="Times New Roman" w:hAnsi="Times New Roman" w:cs="Times New Roman"/>
          <w:color w:val="000000" w:themeColor="text1"/>
          <w:szCs w:val="32"/>
          <w14:textFill>
            <w14:solidFill>
              <w14:schemeClr w14:val="tx1"/>
            </w14:solidFill>
          </w14:textFill>
        </w:rPr>
        <w:t>3 建设项目工程分析</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233" w:name="_Toc26846"/>
      <w:bookmarkStart w:id="234" w:name="_Toc7755"/>
      <w:bookmarkStart w:id="235" w:name="_Toc2528"/>
      <w:bookmarkStart w:id="236" w:name="_Toc10405"/>
      <w:bookmarkStart w:id="237" w:name="_Toc5142"/>
      <w:bookmarkStart w:id="238" w:name="_Toc17426_WPSOffice_Level2"/>
      <w:bookmarkStart w:id="239" w:name="_Toc31699"/>
      <w:bookmarkStart w:id="240" w:name="_Toc29373"/>
      <w:bookmarkStart w:id="241" w:name="_Toc3825"/>
      <w:bookmarkStart w:id="242" w:name="_Toc17823"/>
      <w:bookmarkStart w:id="243" w:name="_Toc14251"/>
      <w:bookmarkStart w:id="244" w:name="_Toc4997"/>
      <w:bookmarkStart w:id="245" w:name="_Toc25865"/>
      <w:bookmarkStart w:id="246" w:name="_Toc4989_WPSOffice_Level2"/>
      <w:bookmarkStart w:id="247" w:name="_Toc1705"/>
      <w:bookmarkStart w:id="248" w:name="_Toc23816"/>
      <w:r>
        <w:rPr>
          <w:rFonts w:ascii="Times New Roman" w:hAnsi="Times New Roman" w:cs="Times New Roman"/>
          <w:color w:val="000000" w:themeColor="text1"/>
          <w:kern w:val="0"/>
          <w:szCs w:val="30"/>
          <w14:textFill>
            <w14:solidFill>
              <w14:schemeClr w14:val="tx1"/>
            </w14:solidFill>
          </w14:textFill>
        </w:rPr>
        <w:t>3.1 建设项目概况</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pStyle w:val="6"/>
        <w:spacing w:line="413" w:lineRule="auto"/>
        <w:rPr>
          <w:rFonts w:ascii="Times New Roman" w:hAnsi="Times New Roman" w:cs="Times New Roman"/>
          <w:color w:val="000000" w:themeColor="text1"/>
          <w14:textFill>
            <w14:solidFill>
              <w14:schemeClr w14:val="tx1"/>
            </w14:solidFill>
          </w14:textFill>
        </w:rPr>
      </w:pPr>
      <w:bookmarkStart w:id="249" w:name="_Toc248875472"/>
      <w:bookmarkStart w:id="250" w:name="_Toc9234"/>
      <w:bookmarkStart w:id="251" w:name="_Toc26143"/>
      <w:bookmarkStart w:id="252" w:name="_Toc15311"/>
      <w:bookmarkStart w:id="253" w:name="_Toc24467"/>
      <w:r>
        <w:rPr>
          <w:rFonts w:ascii="Times New Roman" w:hAnsi="Times New Roman" w:cs="Times New Roman"/>
          <w:color w:val="000000" w:themeColor="text1"/>
          <w14:textFill>
            <w14:solidFill>
              <w14:schemeClr w14:val="tx1"/>
            </w14:solidFill>
          </w14:textFill>
        </w:rPr>
        <w:t>3.1.1 项目</w:t>
      </w:r>
      <w:bookmarkEnd w:id="249"/>
      <w:r>
        <w:rPr>
          <w:rFonts w:ascii="Times New Roman" w:hAnsi="Times New Roman" w:cs="Times New Roman"/>
          <w:color w:val="000000" w:themeColor="text1"/>
          <w14:textFill>
            <w14:solidFill>
              <w14:schemeClr w14:val="tx1"/>
            </w14:solidFill>
          </w14:textFill>
        </w:rPr>
        <w:t>基本情况</w:t>
      </w:r>
      <w:bookmarkEnd w:id="250"/>
      <w:bookmarkEnd w:id="251"/>
      <w:bookmarkEnd w:id="252"/>
      <w:bookmarkEnd w:id="25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项目名称：泰昆农牧年出栏20万头商品猪建设项目；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建设单位：</w:t>
      </w:r>
      <w:r>
        <w:rPr>
          <w:rFonts w:hint="eastAsia" w:ascii="Times New Roman" w:hAnsi="Times New Roman" w:cs="Times New Roman"/>
          <w:color w:val="000000" w:themeColor="text1"/>
          <w14:textFill>
            <w14:solidFill>
              <w14:schemeClr w14:val="tx1"/>
            </w14:solidFill>
          </w14:textFill>
        </w:rPr>
        <w:t>昌吉州泰昆农牧科技有限公司</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建设性质：新建；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建设地点：位于昌吉农业园区牛圈子湖示范一区，项目区</w:t>
      </w:r>
      <w:r>
        <w:rPr>
          <w:rFonts w:hint="eastAsia" w:ascii="Times New Roman" w:hAnsi="Times New Roman" w:cs="Times New Roman"/>
          <w:color w:val="000000" w:themeColor="text1"/>
          <w14:textFill>
            <w14:solidFill>
              <w14:schemeClr w14:val="tx1"/>
            </w14:solidFill>
          </w14:textFill>
        </w:rPr>
        <w:t>北</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东</w:t>
      </w:r>
      <w:r>
        <w:rPr>
          <w:rFonts w:ascii="Times New Roman" w:hAnsi="Times New Roman" w:cs="Times New Roman"/>
          <w:color w:val="000000" w:themeColor="text1"/>
          <w14:textFill>
            <w14:solidFill>
              <w14:schemeClr w14:val="tx1"/>
            </w14:solidFill>
          </w14:textFill>
        </w:rPr>
        <w:t>侧均为空地，项目区南、</w:t>
      </w:r>
      <w:r>
        <w:rPr>
          <w:rFonts w:hint="eastAsia" w:ascii="Times New Roman" w:hAnsi="Times New Roman" w:cs="Times New Roman"/>
          <w:color w:val="000000" w:themeColor="text1"/>
          <w14:textFill>
            <w14:solidFill>
              <w14:schemeClr w14:val="tx1"/>
            </w14:solidFill>
          </w14:textFill>
        </w:rPr>
        <w:t>西</w:t>
      </w:r>
      <w:r>
        <w:rPr>
          <w:rFonts w:ascii="Times New Roman" w:hAnsi="Times New Roman" w:cs="Times New Roman"/>
          <w:color w:val="000000" w:themeColor="text1"/>
          <w14:textFill>
            <w14:solidFill>
              <w14:schemeClr w14:val="tx1"/>
            </w14:solidFill>
          </w14:textFill>
        </w:rPr>
        <w:t>侧均为农田，中心坐标：东经87°8′28.70″，北纬44°19′5.85″。项目地理位置见图3.1-1，周边环境关系图详见图3.1-2。</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占地面积：</w:t>
      </w:r>
      <w:r>
        <w:rPr>
          <w:rFonts w:hint="eastAsia" w:ascii="Times New Roman" w:hAnsi="Times New Roman" w:cs="Times New Roman"/>
          <w:color w:val="000000" w:themeColor="text1"/>
          <w:lang w:val="en-US" w:eastAsia="zh-CN"/>
          <w14:textFill>
            <w14:solidFill>
              <w14:schemeClr w14:val="tx1"/>
            </w14:solidFill>
          </w14:textFill>
        </w:rPr>
        <w:t>340.54</w:t>
      </w:r>
      <w:r>
        <w:rPr>
          <w:rFonts w:ascii="Times New Roman" w:hAnsi="Times New Roman" w:cs="Times New Roman"/>
          <w:color w:val="000000" w:themeColor="text1"/>
          <w14:textFill>
            <w14:solidFill>
              <w14:schemeClr w14:val="tx1"/>
            </w14:solidFill>
          </w14:textFill>
        </w:rPr>
        <w:t>亩；</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建设周期：本项目建设期为18个月，从2021年7月起至2022年10月止；</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项目投资：本项目总投资为16000万元，其中环保投资为</w:t>
      </w:r>
      <w:r>
        <w:rPr>
          <w:rFonts w:hint="eastAsia" w:ascii="Times New Roman" w:hAnsi="Times New Roman" w:cs="Times New Roman"/>
          <w:color w:val="000000" w:themeColor="text1"/>
          <w14:textFill>
            <w14:solidFill>
              <w14:schemeClr w14:val="tx1"/>
            </w14:solidFill>
          </w14:textFill>
        </w:rPr>
        <w:t>308</w:t>
      </w:r>
      <w:r>
        <w:rPr>
          <w:rFonts w:ascii="Times New Roman" w:hAnsi="Times New Roman" w:cs="Times New Roman"/>
          <w:color w:val="000000" w:themeColor="text1"/>
          <w14:textFill>
            <w14:solidFill>
              <w14:schemeClr w14:val="tx1"/>
            </w14:solidFill>
          </w14:textFill>
        </w:rPr>
        <w:t>万元，环保投资占工程总投资的</w:t>
      </w:r>
      <w:r>
        <w:rPr>
          <w:rFonts w:hint="eastAsia" w:ascii="Times New Roman" w:hAnsi="Times New Roman" w:cs="Times New Roman"/>
          <w:color w:val="000000" w:themeColor="text1"/>
          <w14:textFill>
            <w14:solidFill>
              <w14:schemeClr w14:val="tx1"/>
            </w14:solidFill>
          </w14:textFill>
        </w:rPr>
        <w:t>1.93</w:t>
      </w:r>
      <w:r>
        <w:rPr>
          <w:rFonts w:ascii="Times New Roman" w:hAnsi="Times New Roman" w:eastAsia="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pPr>
        <w:pStyle w:val="6"/>
        <w:spacing w:line="413" w:lineRule="auto"/>
        <w:rPr>
          <w:rFonts w:ascii="Times New Roman" w:hAnsi="Times New Roman" w:cs="Times New Roman"/>
          <w:color w:val="000000" w:themeColor="text1"/>
          <w14:textFill>
            <w14:solidFill>
              <w14:schemeClr w14:val="tx1"/>
            </w14:solidFill>
          </w14:textFill>
        </w:rPr>
      </w:pPr>
      <w:bookmarkStart w:id="254" w:name="_Toc17712"/>
      <w:bookmarkStart w:id="255" w:name="_Toc61321725"/>
      <w:bookmarkStart w:id="256" w:name="_Toc158533252"/>
      <w:bookmarkStart w:id="257" w:name="_Toc25230"/>
      <w:bookmarkStart w:id="258" w:name="_Toc75537561"/>
      <w:bookmarkStart w:id="259" w:name="_Toc61531739"/>
      <w:bookmarkStart w:id="260" w:name="_Toc61615429"/>
      <w:bookmarkStart w:id="261" w:name="_Toc14067"/>
      <w:bookmarkStart w:id="262" w:name="_Toc73779812"/>
      <w:bookmarkStart w:id="263" w:name="_Toc248875473"/>
      <w:bookmarkStart w:id="264" w:name="_Toc74566604"/>
      <w:bookmarkStart w:id="265" w:name="_Toc73156822"/>
      <w:bookmarkStart w:id="266" w:name="_Toc61943249"/>
      <w:bookmarkStart w:id="267" w:name="_Toc74449425"/>
      <w:bookmarkStart w:id="268" w:name="_Toc30831"/>
      <w:r>
        <w:rPr>
          <w:rFonts w:ascii="Times New Roman" w:hAnsi="Times New Roman" w:cs="Times New Roman"/>
          <w:color w:val="000000" w:themeColor="text1"/>
          <w14:textFill>
            <w14:solidFill>
              <w14:schemeClr w14:val="tx1"/>
            </w14:solidFill>
          </w14:textFill>
        </w:rPr>
        <w:t>3.1.2 建设内容及规模</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项目总占地面积约</w:t>
      </w:r>
      <w:r>
        <w:rPr>
          <w:rFonts w:hint="eastAsia" w:ascii="Times New Roman" w:hAnsi="Times New Roman" w:cs="Times New Roman"/>
          <w:color w:val="000000" w:themeColor="text1"/>
          <w:lang w:val="en-US" w:eastAsia="zh-CN"/>
          <w14:textFill>
            <w14:solidFill>
              <w14:schemeClr w14:val="tx1"/>
            </w14:solidFill>
          </w14:textFill>
        </w:rPr>
        <w:t>340.54</w:t>
      </w:r>
      <w:r>
        <w:rPr>
          <w:rFonts w:ascii="Times New Roman" w:hAnsi="Times New Roman" w:cs="Times New Roman"/>
          <w:color w:val="000000" w:themeColor="text1"/>
          <w14:textFill>
            <w14:solidFill>
              <w14:schemeClr w14:val="tx1"/>
            </w14:solidFill>
          </w14:textFill>
        </w:rPr>
        <w:t>亩，总建筑面积约6万m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，项目分</w:t>
      </w:r>
      <w:r>
        <w:rPr>
          <w:rFonts w:hint="eastAsia" w:ascii="Times New Roman" w:hAnsi="Times New Roman" w:cs="Times New Roman"/>
          <w:color w:val="000000" w:themeColor="text1"/>
          <w:lang w:val="en-US" w:eastAsia="zh-CN"/>
          <w14:textFill>
            <w14:solidFill>
              <w14:schemeClr w14:val="tx1"/>
            </w14:solidFill>
          </w14:textFill>
        </w:rPr>
        <w:t>两</w:t>
      </w:r>
      <w:r>
        <w:rPr>
          <w:rFonts w:ascii="Times New Roman" w:hAnsi="Times New Roman" w:cs="Times New Roman"/>
          <w:color w:val="000000" w:themeColor="text1"/>
          <w14:textFill>
            <w14:solidFill>
              <w14:schemeClr w14:val="tx1"/>
            </w14:solidFill>
          </w14:textFill>
        </w:rPr>
        <w:t>期建设，</w:t>
      </w:r>
      <w:r>
        <w:rPr>
          <w:rFonts w:hint="eastAsia" w:ascii="Times New Roman" w:hAnsi="Times New Roman" w:cs="Times New Roman"/>
          <w:color w:val="000000" w:themeColor="text1"/>
          <w:lang w:val="en-US" w:eastAsia="zh-CN"/>
          <w14:textFill>
            <w14:solidFill>
              <w14:schemeClr w14:val="tx1"/>
            </w14:solidFill>
          </w14:textFill>
        </w:rPr>
        <w:t>一期</w:t>
      </w:r>
      <w:r>
        <w:rPr>
          <w:rFonts w:ascii="Times New Roman" w:hAnsi="Times New Roman" w:cs="Times New Roman"/>
          <w:color w:val="000000" w:themeColor="text1"/>
          <w14:textFill>
            <w14:solidFill>
              <w14:schemeClr w14:val="tx1"/>
            </w14:solidFill>
          </w14:textFill>
        </w:rPr>
        <w:t>拟建设</w:t>
      </w:r>
      <w:r>
        <w:rPr>
          <w:rFonts w:hint="eastAsia" w:ascii="Times New Roman" w:hAnsi="Times New Roman" w:cs="Times New Roman"/>
          <w:color w:val="000000" w:themeColor="text1"/>
          <w:lang w:val="en-US"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栋猪舍、办公楼、内勤宿舍、食堂及其他配套设备、附属设施等</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年出栏10万头商品猪</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二期拟建设10栋猪舍，年出栏</w:t>
      </w:r>
      <w:r>
        <w:rPr>
          <w:rFonts w:ascii="Times New Roman" w:hAnsi="Times New Roman" w:cs="Times New Roman"/>
          <w:color w:val="000000" w:themeColor="text1"/>
          <w14:textFill>
            <w14:solidFill>
              <w14:schemeClr w14:val="tx1"/>
            </w14:solidFill>
          </w14:textFill>
        </w:rPr>
        <w:t>10万头商品猪。</w:t>
      </w:r>
      <w:r>
        <w:rPr>
          <w:rFonts w:hint="eastAsia" w:ascii="Times New Roman" w:hAnsi="Times New Roman" w:cs="Times New Roman"/>
          <w:color w:val="000000" w:themeColor="text1"/>
          <w:lang w:val="en-US" w:eastAsia="zh-CN"/>
          <w14:textFill>
            <w14:solidFill>
              <w14:schemeClr w14:val="tx1"/>
            </w14:solidFill>
          </w14:textFill>
        </w:rPr>
        <w:t>项目整体</w:t>
      </w:r>
      <w:r>
        <w:rPr>
          <w:rFonts w:ascii="Times New Roman" w:hAnsi="Times New Roman" w:cs="Times New Roman"/>
          <w:color w:val="000000" w:themeColor="text1"/>
          <w14:textFill>
            <w14:solidFill>
              <w14:schemeClr w14:val="tx1"/>
            </w14:solidFill>
          </w14:textFill>
        </w:rPr>
        <w:t>建成后可年出栏20万头商品猪。项目主要由主体工程、辅助工程、公用工程、储运工程及环保工程五部分组成。项目工程组成内容见表3.1-1。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表3.1-1   建设项目工程内容一览表</w:t>
      </w:r>
    </w:p>
    <w:tbl>
      <w:tblPr>
        <w:tblStyle w:val="27"/>
        <w:tblW w:w="51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4"/>
        <w:gridCol w:w="772"/>
        <w:gridCol w:w="6356"/>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338" w:type="pc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工程</w:t>
            </w:r>
          </w:p>
          <w:p>
            <w:pPr>
              <w:adjustRightInd w:val="0"/>
              <w:spacing w:line="240" w:lineRule="auto"/>
              <w:ind w:firstLine="0" w:firstLineChars="0"/>
              <w:jc w:val="center"/>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类别</w:t>
            </w:r>
          </w:p>
        </w:tc>
        <w:tc>
          <w:tcPr>
            <w:tcW w:w="447" w:type="pc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工程</w:t>
            </w:r>
          </w:p>
          <w:p>
            <w:pPr>
              <w:adjustRightInd w:val="0"/>
              <w:spacing w:line="240" w:lineRule="auto"/>
              <w:ind w:firstLine="0" w:firstLineChars="0"/>
              <w:jc w:val="center"/>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名称</w:t>
            </w:r>
          </w:p>
        </w:tc>
        <w:tc>
          <w:tcPr>
            <w:tcW w:w="3681" w:type="pc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工程内容及规模</w:t>
            </w:r>
          </w:p>
        </w:tc>
        <w:tc>
          <w:tcPr>
            <w:tcW w:w="531" w:type="pct"/>
            <w:vAlign w:val="center"/>
          </w:tcPr>
          <w:p>
            <w:pPr>
              <w:adjustRightInd w:val="0"/>
              <w:spacing w:line="240" w:lineRule="auto"/>
              <w:ind w:firstLine="0" w:firstLineChars="0"/>
              <w:jc w:val="center"/>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restar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主体</w:t>
            </w:r>
          </w:p>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工程</w:t>
            </w:r>
          </w:p>
        </w:tc>
        <w:tc>
          <w:tcPr>
            <w:tcW w:w="447" w:type="pct"/>
            <w:vMerge w:val="restar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育肥舍</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新建10栋猪舍，建筑面积为29430.25m</w:t>
            </w:r>
            <w:r>
              <w:rPr>
                <w:rFonts w:ascii="Times New Roman" w:hAnsi="Times New Roman" w:cs="Times New Roman"/>
                <w:color w:val="000000" w:themeColor="text1"/>
                <w:kern w:val="0"/>
                <w:sz w:val="21"/>
                <w:szCs w:val="21"/>
                <w:vertAlign w:val="superscript"/>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，年出栏10万头商品猪</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新建10栋猪舍，建筑面积为29430.25m</w:t>
            </w:r>
            <w:r>
              <w:rPr>
                <w:rFonts w:ascii="Times New Roman" w:hAnsi="Times New Roman" w:cs="Times New Roman"/>
                <w:color w:val="000000" w:themeColor="text1"/>
                <w:kern w:val="0"/>
                <w:sz w:val="21"/>
                <w:szCs w:val="21"/>
                <w:vertAlign w:val="superscript"/>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，年出栏10万头商品猪</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二期建设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restar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辅助</w:t>
            </w:r>
          </w:p>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工程</w:t>
            </w: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办公楼</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分为内勤办公区和外勤办公区，占地面积分别为725.65m</w:t>
            </w:r>
            <w:r>
              <w:rPr>
                <w:rFonts w:ascii="Times New Roman" w:hAnsi="Times New Roman" w:cs="Times New Roman"/>
                <w:color w:val="000000" w:themeColor="text1"/>
                <w:kern w:val="0"/>
                <w:sz w:val="21"/>
                <w:szCs w:val="21"/>
                <w:vertAlign w:val="superscript"/>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、334.26m</w:t>
            </w:r>
            <w:r>
              <w:rPr>
                <w:rFonts w:ascii="Times New Roman" w:hAnsi="Times New Roman" w:cs="Times New Roman"/>
                <w:color w:val="000000" w:themeColor="text1"/>
                <w:kern w:val="0"/>
                <w:sz w:val="21"/>
                <w:szCs w:val="21"/>
                <w:vertAlign w:val="superscript"/>
                <w14:textFill>
                  <w14:solidFill>
                    <w14:schemeClr w14:val="tx1"/>
                  </w14:solidFill>
                </w14:textFill>
              </w:rPr>
              <w:t>2</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食堂</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分为场内食堂和场外食堂</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干湿分离车间</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新建干湿分离车间，占地面积为258.46m</w:t>
            </w:r>
            <w:r>
              <w:rPr>
                <w:rFonts w:ascii="Times New Roman" w:hAnsi="Times New Roman" w:cs="Times New Roman"/>
                <w:color w:val="000000" w:themeColor="text1"/>
                <w:kern w:val="0"/>
                <w:sz w:val="21"/>
                <w:szCs w:val="21"/>
                <w:vertAlign w:val="superscript"/>
                <w14:textFill>
                  <w14:solidFill>
                    <w14:schemeClr w14:val="tx1"/>
                  </w14:solidFill>
                </w14:textFill>
              </w:rPr>
              <w:t>2</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锅炉房</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配置1台6t/h电锅炉，</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锅炉房</w:t>
            </w:r>
            <w:r>
              <w:rPr>
                <w:rFonts w:ascii="Times New Roman" w:hAnsi="Times New Roman" w:cs="Times New Roman"/>
                <w:color w:val="000000" w:themeColor="text1"/>
                <w:kern w:val="0"/>
                <w:sz w:val="21"/>
                <w:szCs w:val="21"/>
                <w14:textFill>
                  <w14:solidFill>
                    <w14:schemeClr w14:val="tx1"/>
                  </w14:solidFill>
                </w14:textFill>
              </w:rPr>
              <w:t>建筑面积为625m</w:t>
            </w:r>
            <w:r>
              <w:rPr>
                <w:rFonts w:ascii="Times New Roman" w:hAnsi="Times New Roman" w:cs="Times New Roman"/>
                <w:color w:val="000000" w:themeColor="text1"/>
                <w:kern w:val="0"/>
                <w:sz w:val="21"/>
                <w:szCs w:val="21"/>
                <w:vertAlign w:val="superscript"/>
                <w14:textFill>
                  <w14:solidFill>
                    <w14:schemeClr w14:val="tx1"/>
                  </w14:solidFill>
                </w14:textFill>
              </w:rPr>
              <w:t>2</w:t>
            </w:r>
            <w:r>
              <w:rPr>
                <w:rFonts w:hint="eastAsia" w:ascii="Times New Roman" w:hAnsi="Times New Roman" w:cs="Times New Roman"/>
                <w:color w:val="000000" w:themeColor="text1"/>
                <w:kern w:val="0"/>
                <w:sz w:val="21"/>
                <w:szCs w:val="21"/>
                <w:vertAlign w:val="baseline"/>
                <w:lang w:eastAsia="zh-CN"/>
                <w14:textFill>
                  <w14:solidFill>
                    <w14:schemeClr w14:val="tx1"/>
                  </w14:solidFill>
                </w14:textFill>
              </w:rPr>
              <w:t>，</w:t>
            </w:r>
            <w:r>
              <w:rPr>
                <w:rFonts w:ascii="Times New Roman" w:hAnsi="Times New Roman" w:cs="Times New Roman"/>
                <w:color w:val="000000" w:themeColor="text1"/>
                <w:kern w:val="0"/>
                <w:sz w:val="21"/>
                <w:szCs w:val="21"/>
                <w14:textFill>
                  <w14:solidFill>
                    <w14:schemeClr w14:val="tx1"/>
                  </w14:solidFill>
                </w14:textFill>
              </w:rPr>
              <w:t>为办公生活区、各</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圈舍</w:t>
            </w:r>
            <w:r>
              <w:rPr>
                <w:rFonts w:ascii="Times New Roman" w:hAnsi="Times New Roman" w:cs="Times New Roman"/>
                <w:color w:val="000000" w:themeColor="text1"/>
                <w:kern w:val="0"/>
                <w:sz w:val="21"/>
                <w:szCs w:val="21"/>
                <w14:textFill>
                  <w14:solidFill>
                    <w14:schemeClr w14:val="tx1"/>
                  </w14:solidFill>
                </w14:textFill>
              </w:rPr>
              <w:t>冬季供热。</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储运工程</w:t>
            </w: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饲料间</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新建液态料用房，占地面积为83.75m</w:t>
            </w:r>
            <w:r>
              <w:rPr>
                <w:rFonts w:ascii="Times New Roman" w:hAnsi="Times New Roman" w:cs="Times New Roman"/>
                <w:color w:val="000000" w:themeColor="text1"/>
                <w:kern w:val="0"/>
                <w:sz w:val="21"/>
                <w:szCs w:val="21"/>
                <w:vertAlign w:val="superscript"/>
                <w14:textFill>
                  <w14:solidFill>
                    <w14:schemeClr w14:val="tx1"/>
                  </w14:solidFill>
                </w14:textFill>
              </w:rPr>
              <w:t>2</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restar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公用</w:t>
            </w:r>
          </w:p>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工程</w:t>
            </w: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给水</w:t>
            </w:r>
          </w:p>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系统</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项目区南面地下水井</w:t>
            </w:r>
            <w:r>
              <w:rPr>
                <w:rFonts w:hint="eastAsia" w:ascii="Times New Roman" w:hAnsi="Times New Roman" w:cs="Times New Roman"/>
                <w:color w:val="000000" w:themeColor="text1"/>
                <w:kern w:val="0"/>
                <w:sz w:val="21"/>
                <w:szCs w:val="21"/>
                <w14:textFill>
                  <w14:solidFill>
                    <w14:schemeClr w14:val="tx1"/>
                  </w14:solidFill>
                </w14:textFill>
              </w:rPr>
              <w:t>供给</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排水</w:t>
            </w:r>
          </w:p>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系统</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本项目圈舍排出的粪污首先通过干湿分离机进行固液分离，分离后的干粪送堆肥场处理，分离的液体进入液体有机肥固液分离设备、厌氧存储塘进行发酵处理，最终形成有机肥，全部用于周边农田还田，无废水排放。</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供电</w:t>
            </w:r>
          </w:p>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系统</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市政电网提供</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供热</w:t>
            </w:r>
          </w:p>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系统</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采用一台6t/h电锅炉供暖</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restar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环保</w:t>
            </w:r>
          </w:p>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工程</w:t>
            </w: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废气</w:t>
            </w:r>
          </w:p>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处理</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圈舍产生的恶臭采用通风系统、除臭剂、消毒剂处理后达标排放；堆肥场产生的恶臭采用复合发酵除臭菌剂、除臭剂后达标排放；厌氧储存塘采用覆膜处理后达标排放；加强场区绿化；食堂油烟经油烟净化器处理达标后由专用烟道引至屋顶排放。</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废水</w:t>
            </w:r>
          </w:p>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处理</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养殖废水与生活污水采用</w:t>
            </w:r>
            <w:r>
              <w:rPr>
                <w:rFonts w:ascii="Times New Roman" w:hAnsi="Times New Roman" w:cs="Times New Roman"/>
                <w:color w:val="000000" w:themeColor="text1"/>
                <w:kern w:val="0"/>
                <w:sz w:val="21"/>
                <w:szCs w:val="21"/>
                <w:lang w:val="zh-CN"/>
                <w14:textFill>
                  <w14:solidFill>
                    <w14:schemeClr w14:val="tx1"/>
                  </w14:solidFill>
                </w14:textFill>
              </w:rPr>
              <w:t>“固液分离＋厌氧储存塘发酵”污水处理工程</w:t>
            </w:r>
            <w:r>
              <w:rPr>
                <w:rFonts w:hint="eastAsia" w:ascii="Times New Roman" w:hAnsi="Times New Roman" w:cs="Times New Roman"/>
                <w:color w:val="000000" w:themeColor="text1"/>
                <w:kern w:val="0"/>
                <w:sz w:val="21"/>
                <w:szCs w:val="21"/>
                <w14:textFill>
                  <w14:solidFill>
                    <w14:schemeClr w14:val="tx1"/>
                  </w14:solidFill>
                </w14:textFill>
              </w:rPr>
              <w:t>处理后，用于周边农田灌溉，不外排。</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噪声</w:t>
            </w:r>
          </w:p>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处理</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lang w:val="zh-CN"/>
                <w14:textFill>
                  <w14:solidFill>
                    <w14:schemeClr w14:val="tx1"/>
                  </w14:solidFill>
                </w14:textFill>
              </w:rPr>
              <w:t>厂房隔声、加装隔声罩、减振垫等降噪设施</w:t>
            </w:r>
            <w:r>
              <w:rPr>
                <w:rFonts w:hint="eastAsia" w:ascii="Times New Roman" w:hAnsi="Times New Roman" w:cs="Times New Roman"/>
                <w:color w:val="000000" w:themeColor="text1"/>
                <w:kern w:val="0"/>
                <w:sz w:val="21"/>
                <w:szCs w:val="21"/>
                <w:lang w:val="zh-CN"/>
                <w14:textFill>
                  <w14:solidFill>
                    <w14:schemeClr w14:val="tx1"/>
                  </w14:solidFill>
                </w14:textFill>
              </w:rPr>
              <w:t>。</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38" w:type="pct"/>
            <w:vMerge w:val="continue"/>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p>
        </w:tc>
        <w:tc>
          <w:tcPr>
            <w:tcW w:w="447"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固废</w:t>
            </w:r>
          </w:p>
          <w:p>
            <w:pPr>
              <w:adjustRightInd w:val="0"/>
              <w:spacing w:line="240" w:lineRule="auto"/>
              <w:ind w:firstLine="0" w:firstLineChars="0"/>
              <w:jc w:val="center"/>
              <w:rPr>
                <w:rFonts w:ascii="Times New Roman" w:hAnsi="Times New Roman" w:cs="Times New Roman"/>
                <w:color w:val="000000" w:themeColor="text1"/>
                <w:kern w:val="0"/>
                <w:sz w:val="21"/>
                <w:szCs w:val="21"/>
                <w:lang w:val="zh-CN"/>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处理</w:t>
            </w:r>
          </w:p>
        </w:tc>
        <w:tc>
          <w:tcPr>
            <w:tcW w:w="368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lang w:val="zh-CN"/>
                <w14:textFill>
                  <w14:solidFill>
                    <w14:schemeClr w14:val="tx1"/>
                  </w14:solidFill>
                </w14:textFill>
              </w:rPr>
              <w:t>猪粪集中清运至堆肥场发酵处理，经腐熟无害化后做为农肥还田</w:t>
            </w:r>
            <w:r>
              <w:rPr>
                <w:rFonts w:hint="eastAsia" w:ascii="Times New Roman" w:hAnsi="Times New Roman" w:cs="Times New Roman"/>
                <w:color w:val="000000" w:themeColor="text1"/>
                <w:kern w:val="0"/>
                <w:sz w:val="21"/>
                <w:szCs w:val="21"/>
                <w:lang w:val="zh-CN"/>
                <w14:textFill>
                  <w14:solidFill>
                    <w14:schemeClr w14:val="tx1"/>
                  </w14:solidFill>
                </w14:textFill>
              </w:rPr>
              <w:t>；病死猪尸体采用高温与生物降解畜禽无害化处理技术和设施对病死猪尸体进行处理，经处理后产生的残渣和油脂根据卫生部门和防疫部门的相关要求进行处置；兽用医疗废物</w:t>
            </w:r>
            <w:r>
              <w:rPr>
                <w:rFonts w:hint="eastAsia" w:ascii="Times New Roman" w:hAnsi="Times New Roman" w:cs="Times New Roman"/>
                <w:color w:val="000000" w:themeColor="text1"/>
                <w:kern w:val="0"/>
                <w:sz w:val="21"/>
                <w:szCs w:val="21"/>
                <w14:textFill>
                  <w14:solidFill>
                    <w14:schemeClr w14:val="tx1"/>
                  </w14:solidFill>
                </w14:textFill>
              </w:rPr>
              <w:t>暂存于医疗废物储存间，定期交有资质单位处置；污泥与发酵后的猪粪一起作为有机肥还田；生活垃圾集中收集后，定期委托环卫部门统一清运至昌吉市垃圾填埋场。</w:t>
            </w:r>
          </w:p>
        </w:tc>
        <w:tc>
          <w:tcPr>
            <w:tcW w:w="531" w:type="pct"/>
            <w:vAlign w:val="center"/>
          </w:tcPr>
          <w:p>
            <w:pPr>
              <w:adjustRightInd w:val="0"/>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一期建设</w:t>
            </w:r>
          </w:p>
        </w:tc>
      </w:tr>
    </w:tbl>
    <w:p>
      <w:pPr>
        <w:pStyle w:val="6"/>
        <w:spacing w:line="413" w:lineRule="auto"/>
        <w:rPr>
          <w:rFonts w:ascii="Times New Roman" w:hAnsi="Times New Roman" w:cs="Times New Roman"/>
          <w:color w:val="000000" w:themeColor="text1"/>
          <w14:textFill>
            <w14:solidFill>
              <w14:schemeClr w14:val="tx1"/>
            </w14:solidFill>
          </w14:textFill>
        </w:rPr>
      </w:pPr>
      <w:bookmarkStart w:id="269" w:name="_Toc19363"/>
      <w:bookmarkStart w:id="270" w:name="_Toc24674"/>
      <w:bookmarkStart w:id="271" w:name="_Toc12587"/>
      <w:r>
        <w:rPr>
          <w:rFonts w:ascii="Times New Roman" w:hAnsi="Times New Roman" w:cs="Times New Roman"/>
          <w:color w:val="000000" w:themeColor="text1"/>
          <w14:textFill>
            <w14:solidFill>
              <w14:schemeClr w14:val="tx1"/>
            </w14:solidFill>
          </w14:textFill>
        </w:rPr>
        <w:t>3.1.3 产品方案</w:t>
      </w:r>
      <w:bookmarkEnd w:id="269"/>
      <w:bookmarkEnd w:id="27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本项目常年存栏8万头生猪，</w:t>
      </w:r>
      <w:r>
        <w:rPr>
          <w:rFonts w:hint="eastAsia" w:ascii="Times New Roman" w:hAnsi="Times New Roman" w:cs="Times New Roman"/>
          <w:color w:val="000000" w:themeColor="text1"/>
          <w:lang w:val="en-US" w:eastAsia="zh-CN"/>
          <w14:textFill>
            <w14:solidFill>
              <w14:schemeClr w14:val="tx1"/>
            </w14:solidFill>
          </w14:textFill>
        </w:rPr>
        <w:t>分两期建设，一期建成后可出栏10万头现代化商品猪，二期建成后</w:t>
      </w:r>
      <w:r>
        <w:rPr>
          <w:rFonts w:ascii="Times New Roman" w:hAnsi="Times New Roman" w:cs="Times New Roman"/>
          <w:color w:val="000000" w:themeColor="text1"/>
          <w14:textFill>
            <w14:solidFill>
              <w14:schemeClr w14:val="tx1"/>
            </w14:solidFill>
          </w14:textFill>
        </w:rPr>
        <w:t>可出栏</w:t>
      </w:r>
      <w:r>
        <w:rPr>
          <w:rFonts w:hint="eastAsia" w:ascii="Times New Roman" w:hAnsi="Times New Roman"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0万头现代化商品猪，</w:t>
      </w:r>
      <w:r>
        <w:rPr>
          <w:rFonts w:hint="eastAsia" w:ascii="Times New Roman" w:hAnsi="Times New Roman" w:cs="Times New Roman"/>
          <w:color w:val="000000" w:themeColor="text1"/>
          <w:lang w:val="en-US" w:eastAsia="zh-CN"/>
          <w14:textFill>
            <w14:solidFill>
              <w14:schemeClr w14:val="tx1"/>
            </w14:solidFill>
          </w14:textFill>
        </w:rPr>
        <w:t>待项目整体建成后可出栏20万头现代化商品猪。</w:t>
      </w:r>
      <w:r>
        <w:rPr>
          <w:rFonts w:ascii="Times New Roman" w:hAnsi="Times New Roman" w:cs="Times New Roman"/>
          <w:color w:val="000000" w:themeColor="text1"/>
          <w14:textFill>
            <w14:solidFill>
              <w14:schemeClr w14:val="tx1"/>
            </w14:solidFill>
          </w14:textFill>
        </w:rPr>
        <w:t>存栏120天，一年2.5批。设计养殖方案见表3.1-2。</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表3.1-2   建设项目设计养殖规模一览表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949"/>
        <w:gridCol w:w="2086"/>
        <w:gridCol w:w="1980"/>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0" w:type="pct"/>
            <w:vAlign w:val="center"/>
          </w:tcPr>
          <w:p>
            <w:pPr>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种类</w:t>
            </w:r>
          </w:p>
        </w:tc>
        <w:tc>
          <w:tcPr>
            <w:tcW w:w="1144" w:type="pct"/>
            <w:vAlign w:val="center"/>
          </w:tcPr>
          <w:p>
            <w:pPr>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存栏量（万头/a）</w:t>
            </w:r>
          </w:p>
        </w:tc>
        <w:tc>
          <w:tcPr>
            <w:tcW w:w="1224"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出栏量（万头/a）</w:t>
            </w:r>
          </w:p>
        </w:tc>
        <w:tc>
          <w:tcPr>
            <w:tcW w:w="1162"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存栏周期（天）</w:t>
            </w:r>
          </w:p>
        </w:tc>
        <w:tc>
          <w:tcPr>
            <w:tcW w:w="728" w:type="pct"/>
            <w:vAlign w:val="center"/>
          </w:tcPr>
          <w:p>
            <w:pPr>
              <w:adjustRightInd w:val="0"/>
              <w:snapToGrid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生猪</w:t>
            </w:r>
          </w:p>
        </w:tc>
        <w:tc>
          <w:tcPr>
            <w:tcW w:w="1144"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1224"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c>
          <w:tcPr>
            <w:tcW w:w="1162"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120</w:t>
            </w:r>
          </w:p>
        </w:tc>
        <w:tc>
          <w:tcPr>
            <w:tcW w:w="728"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bl>
    <w:p>
      <w:pPr>
        <w:pStyle w:val="6"/>
        <w:spacing w:line="413" w:lineRule="auto"/>
        <w:rPr>
          <w:rFonts w:ascii="Times New Roman" w:hAnsi="Times New Roman" w:cs="Times New Roman"/>
          <w:color w:val="000000" w:themeColor="text1"/>
          <w14:textFill>
            <w14:solidFill>
              <w14:schemeClr w14:val="tx1"/>
            </w14:solidFill>
          </w14:textFill>
        </w:rPr>
      </w:pPr>
      <w:bookmarkStart w:id="272" w:name="_Toc15101"/>
      <w:bookmarkStart w:id="273" w:name="_Toc6205"/>
      <w:r>
        <w:rPr>
          <w:rFonts w:ascii="Times New Roman" w:hAnsi="Times New Roman" w:cs="Times New Roman"/>
          <w:color w:val="000000" w:themeColor="text1"/>
          <w14:textFill>
            <w14:solidFill>
              <w14:schemeClr w14:val="tx1"/>
            </w14:solidFill>
          </w14:textFill>
        </w:rPr>
        <w:t>3.1.4 主要原辅材料消耗</w:t>
      </w:r>
      <w:bookmarkEnd w:id="271"/>
      <w:bookmarkEnd w:id="272"/>
      <w:bookmarkEnd w:id="27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本项目养殖场猪饲料采用成品料，该成品饲料由新疆泰昆集团昌吉饲料有限责任公司提供，本项目不涉及饲料加工。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本项目所有猪只饲养过程中使用的主要原辅料为混合饲料，主要成分为玉米、豆粕、麦皮，全部由外购，饲料均安全合格，饲料中重金属、抗生素、生长激素、各种营养成分等指标均在安全范围内。</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根据建设单位提供的资料，</w:t>
      </w:r>
      <w:r>
        <w:rPr>
          <w:rFonts w:ascii="Times New Roman" w:hAnsi="Times New Roman" w:cs="Times New Roman"/>
          <w:color w:val="000000" w:themeColor="text1"/>
          <w14:textFill>
            <w14:solidFill>
              <w14:schemeClr w14:val="tx1"/>
            </w14:solidFill>
          </w14:textFill>
        </w:rPr>
        <w:t>本项目常年存栏量为8万头，年需饲料约为6</w:t>
      </w:r>
      <w:r>
        <w:rPr>
          <w:rFonts w:hint="eastAsia" w:ascii="Times New Roman" w:hAnsi="Times New Roman" w:cs="Times New Roman"/>
          <w:color w:val="000000" w:themeColor="text1"/>
          <w14:textFill>
            <w14:solidFill>
              <w14:schemeClr w14:val="tx1"/>
            </w14:solidFill>
          </w14:textFill>
        </w:rPr>
        <w:t>0000</w:t>
      </w:r>
      <w:r>
        <w:rPr>
          <w:rFonts w:ascii="Times New Roman" w:hAnsi="Times New Roman" w:cs="Times New Roman"/>
          <w:color w:val="000000" w:themeColor="text1"/>
          <w14:textFill>
            <w14:solidFill>
              <w14:schemeClr w14:val="tx1"/>
            </w14:solidFill>
          </w14:textFill>
        </w:rPr>
        <w:t>t，本项目年出栏2.5批，有65天不进行养殖，所以本项目生产天数为300天。本项目饲料用量清单见表3.1-</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pStyle w:val="9"/>
        <w:spacing w:line="500" w:lineRule="exact"/>
        <w:ind w:firstLine="422"/>
        <w:contextualSpacing/>
        <w:jc w:val="center"/>
        <w:rPr>
          <w:rFonts w:ascii="Times New Roman" w:hAnsi="Times New Roman" w:cs="Times New Roman"/>
          <w:b/>
          <w:color w:val="000000" w:themeColor="text1"/>
          <w:kern w:val="0"/>
          <w:sz w:val="21"/>
          <w:szCs w:val="21"/>
          <w14:textFill>
            <w14:solidFill>
              <w14:schemeClr w14:val="tx1"/>
            </w14:solidFill>
          </w14:textFill>
        </w:rPr>
      </w:pPr>
      <w:r>
        <w:rPr>
          <w:rFonts w:ascii="Times New Roman" w:hAnsi="Times New Roman" w:cs="Times New Roman"/>
          <w:b/>
          <w:color w:val="000000" w:themeColor="text1"/>
          <w:kern w:val="0"/>
          <w:sz w:val="21"/>
          <w:szCs w:val="21"/>
          <w14:textFill>
            <w14:solidFill>
              <w14:schemeClr w14:val="tx1"/>
            </w14:solidFill>
          </w14:textFill>
        </w:rPr>
        <w:t>表3.1-</w:t>
      </w:r>
      <w:r>
        <w:rPr>
          <w:rFonts w:hint="eastAsia" w:ascii="Times New Roman" w:hAnsi="Times New Roman" w:cs="Times New Roman"/>
          <w:b/>
          <w:color w:val="000000" w:themeColor="text1"/>
          <w:kern w:val="0"/>
          <w:sz w:val="21"/>
          <w:szCs w:val="21"/>
          <w14:textFill>
            <w14:solidFill>
              <w14:schemeClr w14:val="tx1"/>
            </w14:solidFill>
          </w14:textFill>
        </w:rPr>
        <w:t>3</w:t>
      </w:r>
      <w:r>
        <w:rPr>
          <w:rFonts w:ascii="Times New Roman" w:hAnsi="Times New Roman" w:cs="Times New Roman"/>
          <w:b/>
          <w:color w:val="000000" w:themeColor="text1"/>
          <w:kern w:val="0"/>
          <w:sz w:val="21"/>
          <w:szCs w:val="21"/>
          <w14:textFill>
            <w14:solidFill>
              <w14:schemeClr w14:val="tx1"/>
            </w14:solidFill>
          </w14:textFill>
        </w:rPr>
        <w:t xml:space="preserve">    本项目原料消耗量</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343"/>
        <w:gridCol w:w="1327"/>
        <w:gridCol w:w="683"/>
        <w:gridCol w:w="975"/>
        <w:gridCol w:w="1416"/>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dxa"/>
            <w:vMerge w:val="restart"/>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序号</w:t>
            </w:r>
          </w:p>
        </w:tc>
        <w:tc>
          <w:tcPr>
            <w:tcW w:w="1343" w:type="dxa"/>
            <w:vMerge w:val="restart"/>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原材料</w:t>
            </w:r>
          </w:p>
        </w:tc>
        <w:tc>
          <w:tcPr>
            <w:tcW w:w="1327" w:type="dxa"/>
            <w:vMerge w:val="restart"/>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单位消耗量</w:t>
            </w:r>
          </w:p>
        </w:tc>
        <w:tc>
          <w:tcPr>
            <w:tcW w:w="1658" w:type="dxa"/>
            <w:gridSpan w:val="2"/>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消耗量</w:t>
            </w:r>
          </w:p>
        </w:tc>
        <w:tc>
          <w:tcPr>
            <w:tcW w:w="1416" w:type="dxa"/>
            <w:vMerge w:val="restart"/>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物质状态及储存方式</w:t>
            </w:r>
          </w:p>
        </w:tc>
        <w:tc>
          <w:tcPr>
            <w:tcW w:w="1066" w:type="dxa"/>
            <w:vMerge w:val="restart"/>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运输方式</w:t>
            </w:r>
          </w:p>
        </w:tc>
        <w:tc>
          <w:tcPr>
            <w:tcW w:w="1066" w:type="dxa"/>
            <w:vMerge w:val="restart"/>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dxa"/>
            <w:vMerge w:val="continue"/>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p>
        </w:tc>
        <w:tc>
          <w:tcPr>
            <w:tcW w:w="1343" w:type="dxa"/>
            <w:vMerge w:val="continue"/>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p>
        </w:tc>
        <w:tc>
          <w:tcPr>
            <w:tcW w:w="1327" w:type="dxa"/>
            <w:vMerge w:val="continue"/>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p>
        </w:tc>
        <w:tc>
          <w:tcPr>
            <w:tcW w:w="683"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单位</w:t>
            </w:r>
          </w:p>
        </w:tc>
        <w:tc>
          <w:tcPr>
            <w:tcW w:w="975"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r>
              <w:rPr>
                <w:rFonts w:ascii="Times New Roman" w:hAnsi="Times New Roman" w:cs="Times New Roman"/>
                <w:b/>
                <w:bCs/>
                <w:color w:val="000000" w:themeColor="text1"/>
                <w:kern w:val="0"/>
                <w:sz w:val="21"/>
                <w:szCs w:val="21"/>
                <w14:textFill>
                  <w14:solidFill>
                    <w14:schemeClr w14:val="tx1"/>
                  </w14:solidFill>
                </w14:textFill>
              </w:rPr>
              <w:t>消耗量</w:t>
            </w:r>
          </w:p>
        </w:tc>
        <w:tc>
          <w:tcPr>
            <w:tcW w:w="1416" w:type="dxa"/>
            <w:vMerge w:val="continue"/>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p>
        </w:tc>
        <w:tc>
          <w:tcPr>
            <w:tcW w:w="1066" w:type="dxa"/>
            <w:vMerge w:val="continue"/>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p>
        </w:tc>
        <w:tc>
          <w:tcPr>
            <w:tcW w:w="1066" w:type="dxa"/>
            <w:vMerge w:val="continue"/>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b/>
                <w:bCs/>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1</w:t>
            </w:r>
          </w:p>
        </w:tc>
        <w:tc>
          <w:tcPr>
            <w:tcW w:w="1343"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猪饲料</w:t>
            </w:r>
          </w:p>
        </w:tc>
        <w:tc>
          <w:tcPr>
            <w:tcW w:w="1327"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2.5kg/d·头</w:t>
            </w:r>
          </w:p>
        </w:tc>
        <w:tc>
          <w:tcPr>
            <w:tcW w:w="683"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t/a</w:t>
            </w:r>
          </w:p>
        </w:tc>
        <w:tc>
          <w:tcPr>
            <w:tcW w:w="975"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6</w:t>
            </w:r>
            <w:r>
              <w:rPr>
                <w:rFonts w:hint="eastAsia" w:ascii="Times New Roman" w:hAnsi="Times New Roman" w:cs="Times New Roman"/>
                <w:color w:val="000000" w:themeColor="text1"/>
                <w:kern w:val="0"/>
                <w:sz w:val="21"/>
                <w:szCs w:val="21"/>
                <w14:textFill>
                  <w14:solidFill>
                    <w14:schemeClr w14:val="tx1"/>
                  </w14:solidFill>
                </w14:textFill>
              </w:rPr>
              <w:t>0000</w:t>
            </w:r>
          </w:p>
        </w:tc>
        <w:tc>
          <w:tcPr>
            <w:tcW w:w="1416"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固体袋装</w:t>
            </w:r>
          </w:p>
        </w:tc>
        <w:tc>
          <w:tcPr>
            <w:tcW w:w="1066"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汽车运输</w:t>
            </w:r>
          </w:p>
        </w:tc>
        <w:tc>
          <w:tcPr>
            <w:tcW w:w="1066" w:type="dxa"/>
            <w:tcBorders>
              <w:tl2br w:val="nil"/>
              <w:tr2bl w:val="nil"/>
            </w:tcBorders>
            <w:vAlign w:val="center"/>
          </w:tcPr>
          <w:p>
            <w:pPr>
              <w:tabs>
                <w:tab w:val="left" w:pos="5212"/>
              </w:tabs>
              <w:spacing w:line="240" w:lineRule="auto"/>
              <w:ind w:firstLine="0" w:firstLineChars="0"/>
              <w:jc w:val="center"/>
              <w:textAlignment w:val="baseline"/>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饲料间</w:t>
            </w:r>
          </w:p>
        </w:tc>
      </w:tr>
    </w:tbl>
    <w:p>
      <w:pPr>
        <w:pStyle w:val="6"/>
        <w:spacing w:line="413" w:lineRule="auto"/>
        <w:rPr>
          <w:rFonts w:ascii="Times New Roman" w:hAnsi="Times New Roman" w:cs="Times New Roman"/>
          <w:color w:val="000000" w:themeColor="text1"/>
          <w14:textFill>
            <w14:solidFill>
              <w14:schemeClr w14:val="tx1"/>
            </w14:solidFill>
          </w14:textFill>
        </w:rPr>
      </w:pPr>
      <w:bookmarkStart w:id="274" w:name="_Toc21495"/>
      <w:bookmarkStart w:id="275" w:name="_Toc25982"/>
      <w:bookmarkStart w:id="276" w:name="_Toc2866"/>
      <w:r>
        <w:rPr>
          <w:rFonts w:ascii="Times New Roman" w:hAnsi="Times New Roman" w:cs="Times New Roman"/>
          <w:color w:val="000000" w:themeColor="text1"/>
          <w14:textFill>
            <w14:solidFill>
              <w14:schemeClr w14:val="tx1"/>
            </w14:solidFill>
          </w14:textFill>
        </w:rPr>
        <w:t>3.1</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 xml:space="preserve"> 主要生产设备</w:t>
      </w:r>
      <w:bookmarkEnd w:id="274"/>
      <w:bookmarkEnd w:id="275"/>
      <w:bookmarkEnd w:id="27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主要生产设备包括养殖设备、消毒设备及公共配套设备。主要的养殖设备为大栏、自动料线、自动水线、排污设备、水帘等；主要生产、消毒设备为装卸猪升降平台、消毒冲洗设备等；环保设备固液分离机、移动式粪污翻倒机等；公共配套设备为猪场控制软件等。主要设备见表3.1-</w:t>
      </w: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w:t>
      </w:r>
    </w:p>
    <w:p>
      <w:pPr>
        <w:pStyle w:val="9"/>
        <w:spacing w:line="500" w:lineRule="exact"/>
        <w:ind w:firstLine="422"/>
        <w:contextualSpacing/>
        <w:jc w:val="center"/>
        <w:rPr>
          <w:rFonts w:ascii="Times New Roman" w:hAnsi="Times New Roman" w:cs="Times New Roman"/>
          <w:b/>
          <w:color w:val="000000" w:themeColor="text1"/>
          <w:kern w:val="0"/>
          <w:sz w:val="21"/>
          <w:szCs w:val="21"/>
          <w14:textFill>
            <w14:solidFill>
              <w14:schemeClr w14:val="tx1"/>
            </w14:solidFill>
          </w14:textFill>
        </w:rPr>
      </w:pPr>
      <w:r>
        <w:rPr>
          <w:rFonts w:ascii="Times New Roman" w:hAnsi="Times New Roman" w:cs="Times New Roman"/>
          <w:b/>
          <w:color w:val="000000" w:themeColor="text1"/>
          <w:kern w:val="0"/>
          <w:sz w:val="21"/>
          <w:szCs w:val="21"/>
          <w14:textFill>
            <w14:solidFill>
              <w14:schemeClr w14:val="tx1"/>
            </w14:solidFill>
          </w14:textFill>
        </w:rPr>
        <w:t>表3.1-</w:t>
      </w:r>
      <w:r>
        <w:rPr>
          <w:rFonts w:hint="eastAsia" w:ascii="Times New Roman" w:hAnsi="Times New Roman" w:cs="Times New Roman"/>
          <w:b/>
          <w:color w:val="000000" w:themeColor="text1"/>
          <w:kern w:val="0"/>
          <w:sz w:val="21"/>
          <w:szCs w:val="21"/>
          <w14:textFill>
            <w14:solidFill>
              <w14:schemeClr w14:val="tx1"/>
            </w14:solidFill>
          </w14:textFill>
        </w:rPr>
        <w:t>4</w:t>
      </w:r>
      <w:r>
        <w:rPr>
          <w:rFonts w:ascii="Times New Roman" w:hAnsi="Times New Roman" w:cs="Times New Roman"/>
          <w:b/>
          <w:color w:val="000000" w:themeColor="text1"/>
          <w:kern w:val="0"/>
          <w:sz w:val="21"/>
          <w:szCs w:val="21"/>
          <w14:textFill>
            <w14:solidFill>
              <w14:schemeClr w14:val="tx1"/>
            </w14:solidFill>
          </w14:textFill>
        </w:rPr>
        <w:t xml:space="preserve">    主要设备一览表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0"/>
        <w:gridCol w:w="1002"/>
        <w:gridCol w:w="1013"/>
        <w:gridCol w:w="3234"/>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541"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序号</w:t>
            </w:r>
          </w:p>
        </w:tc>
        <w:tc>
          <w:tcPr>
            <w:tcW w:w="1211" w:type="pct"/>
            <w:gridSpan w:val="2"/>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类型</w:t>
            </w:r>
          </w:p>
        </w:tc>
        <w:tc>
          <w:tcPr>
            <w:tcW w:w="1944"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项目名称</w:t>
            </w:r>
          </w:p>
        </w:tc>
        <w:tc>
          <w:tcPr>
            <w:tcW w:w="1301"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602"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养殖设备</w:t>
            </w:r>
          </w:p>
        </w:tc>
        <w:tc>
          <w:tcPr>
            <w:tcW w:w="609"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育肥猪舍</w:t>
            </w: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大栏</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602"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609"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自动料线</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602"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609"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自动水线</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602"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609"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水帘</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64幅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602"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609"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排污设备</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20</w:t>
            </w:r>
            <w:r>
              <w:rPr>
                <w:rFonts w:ascii="Times New Roman" w:hAnsi="Times New Roman" w:cs="Times New Roman"/>
                <w:color w:val="000000" w:themeColor="text1"/>
                <w:sz w:val="21"/>
                <w:szCs w:val="21"/>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1211" w:type="pct"/>
            <w:gridSpan w:val="2"/>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消毒、公共设备</w:t>
            </w: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风机</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c>
          <w:tcPr>
            <w:tcW w:w="1211" w:type="pct"/>
            <w:gridSpan w:val="2"/>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消毒冲洗设备</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20</w:t>
            </w:r>
            <w:r>
              <w:rPr>
                <w:rFonts w:ascii="Times New Roman" w:hAnsi="Times New Roman" w:cs="Times New Roman"/>
                <w:color w:val="000000" w:themeColor="text1"/>
                <w:sz w:val="2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1211" w:type="pct"/>
            <w:gridSpan w:val="2"/>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装卸猪升降平台</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10</w:t>
            </w:r>
            <w:r>
              <w:rPr>
                <w:rFonts w:ascii="Times New Roman" w:hAnsi="Times New Roman" w:cs="Times New Roman"/>
                <w:color w:val="000000" w:themeColor="text1"/>
                <w:sz w:val="2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w:t>
            </w:r>
          </w:p>
        </w:tc>
        <w:tc>
          <w:tcPr>
            <w:tcW w:w="1211" w:type="pct"/>
            <w:gridSpan w:val="2"/>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猪场管理软件</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211" w:type="pct"/>
            <w:gridSpan w:val="2"/>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场区监控系统</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w:t>
            </w:r>
          </w:p>
        </w:tc>
        <w:tc>
          <w:tcPr>
            <w:tcW w:w="1211" w:type="pct"/>
            <w:gridSpan w:val="2"/>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环保设备</w:t>
            </w: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固液分离机</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w:t>
            </w:r>
          </w:p>
        </w:tc>
        <w:tc>
          <w:tcPr>
            <w:tcW w:w="1211" w:type="pct"/>
            <w:gridSpan w:val="2"/>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粪污运输车</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w:t>
            </w:r>
          </w:p>
        </w:tc>
        <w:tc>
          <w:tcPr>
            <w:tcW w:w="1211" w:type="pct"/>
            <w:gridSpan w:val="2"/>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漏粪地板</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漏粪板约为10600块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w:t>
            </w:r>
          </w:p>
        </w:tc>
        <w:tc>
          <w:tcPr>
            <w:tcW w:w="1211" w:type="pct"/>
            <w:gridSpan w:val="2"/>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94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动物尸体无害化处理一体机</w:t>
            </w:r>
          </w:p>
        </w:tc>
        <w:tc>
          <w:tcPr>
            <w:tcW w:w="1301"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1台</w:t>
            </w:r>
          </w:p>
        </w:tc>
      </w:tr>
    </w:tbl>
    <w:p>
      <w:pPr>
        <w:pStyle w:val="6"/>
        <w:spacing w:line="413" w:lineRule="auto"/>
        <w:rPr>
          <w:rFonts w:ascii="Times New Roman" w:hAnsi="Times New Roman" w:cs="Times New Roman"/>
          <w:color w:val="000000" w:themeColor="text1"/>
          <w14:textFill>
            <w14:solidFill>
              <w14:schemeClr w14:val="tx1"/>
            </w14:solidFill>
          </w14:textFill>
        </w:rPr>
      </w:pPr>
      <w:bookmarkStart w:id="277" w:name="_Toc6011"/>
      <w:bookmarkStart w:id="278" w:name="_Toc1508"/>
      <w:bookmarkStart w:id="279" w:name="_Toc8706"/>
      <w:r>
        <w:rPr>
          <w:rFonts w:ascii="Times New Roman" w:hAnsi="Times New Roman" w:cs="Times New Roman"/>
          <w:color w:val="000000" w:themeColor="text1"/>
          <w14:textFill>
            <w14:solidFill>
              <w14:schemeClr w14:val="tx1"/>
            </w14:solidFill>
          </w14:textFill>
        </w:rPr>
        <w:t>3.1.</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 xml:space="preserve"> 项目生产制度及劳动定员</w:t>
      </w:r>
      <w:bookmarkEnd w:id="277"/>
      <w:bookmarkEnd w:id="278"/>
      <w:bookmarkEnd w:id="279"/>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本项目新增劳动定员35人，每天工作8小时，一班制，全年工作300天。</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280" w:name="_Toc29067_WPSOffice_Level2"/>
      <w:bookmarkStart w:id="281" w:name="_Toc17807"/>
      <w:bookmarkStart w:id="282" w:name="_Toc18221"/>
      <w:bookmarkStart w:id="283" w:name="_Toc1873"/>
      <w:bookmarkStart w:id="284" w:name="_Toc11060"/>
      <w:bookmarkStart w:id="285" w:name="_Toc27163"/>
      <w:r>
        <w:rPr>
          <w:rFonts w:ascii="Times New Roman" w:hAnsi="Times New Roman" w:cs="Times New Roman"/>
          <w:color w:val="000000" w:themeColor="text1"/>
          <w:kern w:val="0"/>
          <w:szCs w:val="30"/>
          <w14:textFill>
            <w14:solidFill>
              <w14:schemeClr w14:val="tx1"/>
            </w14:solidFill>
          </w14:textFill>
        </w:rPr>
        <w:t xml:space="preserve">3.2 </w:t>
      </w:r>
      <w:bookmarkEnd w:id="280"/>
      <w:r>
        <w:rPr>
          <w:rFonts w:ascii="Times New Roman" w:hAnsi="Times New Roman" w:cs="Times New Roman"/>
          <w:color w:val="000000" w:themeColor="text1"/>
          <w:kern w:val="0"/>
          <w:szCs w:val="30"/>
          <w14:textFill>
            <w14:solidFill>
              <w14:schemeClr w14:val="tx1"/>
            </w14:solidFill>
          </w14:textFill>
        </w:rPr>
        <w:t>公用工程</w:t>
      </w:r>
      <w:bookmarkEnd w:id="281"/>
      <w:bookmarkEnd w:id="282"/>
      <w:bookmarkEnd w:id="283"/>
      <w:bookmarkEnd w:id="284"/>
      <w:bookmarkEnd w:id="285"/>
    </w:p>
    <w:p>
      <w:pPr>
        <w:pStyle w:val="6"/>
        <w:spacing w:line="413" w:lineRule="auto"/>
        <w:rPr>
          <w:rFonts w:ascii="Times New Roman" w:hAnsi="Times New Roman" w:cs="Times New Roman"/>
          <w:color w:val="000000" w:themeColor="text1"/>
          <w14:textFill>
            <w14:solidFill>
              <w14:schemeClr w14:val="tx1"/>
            </w14:solidFill>
          </w14:textFill>
        </w:rPr>
      </w:pPr>
      <w:bookmarkStart w:id="286" w:name="_Toc16284"/>
      <w:bookmarkStart w:id="287" w:name="_Toc3182"/>
      <w:bookmarkStart w:id="288" w:name="_Toc23043"/>
      <w:r>
        <w:rPr>
          <w:rFonts w:ascii="Times New Roman" w:hAnsi="Times New Roman" w:cs="Times New Roman"/>
          <w:color w:val="000000" w:themeColor="text1"/>
          <w14:textFill>
            <w14:solidFill>
              <w14:schemeClr w14:val="tx1"/>
            </w14:solidFill>
          </w14:textFill>
        </w:rPr>
        <w:t>3.2.1 给排水工程</w:t>
      </w:r>
      <w:bookmarkEnd w:id="286"/>
      <w:bookmarkEnd w:id="287"/>
      <w:bookmarkEnd w:id="28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（1）供水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全场新鲜水总用量约为60</w:t>
      </w:r>
      <w:r>
        <w:rPr>
          <w:rFonts w:hint="eastAsia" w:ascii="Times New Roman" w:hAnsi="Times New Roman" w:cs="Times New Roman"/>
          <w:color w:val="000000" w:themeColor="text1"/>
          <w14:textFill>
            <w14:solidFill>
              <w14:schemeClr w14:val="tx1"/>
            </w14:solidFill>
          </w14:textFill>
        </w:rPr>
        <w:t>7.1</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w:t>
      </w:r>
      <w:r>
        <w:rPr>
          <w:rFonts w:hint="eastAsia" w:ascii="Times New Roman" w:hAnsi="Times New Roman" w:cs="Times New Roman"/>
          <w:color w:val="000000" w:themeColor="text1"/>
          <w14:textFill>
            <w14:solidFill>
              <w14:schemeClr w14:val="tx1"/>
            </w14:solidFill>
          </w14:textFill>
        </w:rPr>
        <w:t>（18.213万m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，用水包括养殖用水（猪饮用水、猪舍冲洗水、消毒用水、水帘降温用水）、绿化用水、员工生活用水等。项目生活用水及生产用水引自项目区南面地下水井。</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1）养殖用水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①猪只饮用水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根据《生猪养殖饮用水及排水数据定额》，本项目投入运营后存栏猪8万头，本工程种猪饮水情况见表3.2-1。</w:t>
      </w:r>
    </w:p>
    <w:p>
      <w:pPr>
        <w:pStyle w:val="9"/>
        <w:spacing w:line="520" w:lineRule="exact"/>
        <w:ind w:firstLine="0" w:firstLineChars="0"/>
        <w:contextualSpacing/>
        <w:jc w:val="center"/>
        <w:rPr>
          <w:rFonts w:ascii="Times New Roman" w:hAnsi="Times New Roman" w:cs="Times New Roman"/>
          <w:b/>
          <w:color w:val="000000" w:themeColor="text1"/>
          <w:kern w:val="0"/>
          <w:sz w:val="21"/>
          <w:szCs w:val="21"/>
          <w14:textFill>
            <w14:solidFill>
              <w14:schemeClr w14:val="tx1"/>
            </w14:solidFill>
          </w14:textFill>
        </w:rPr>
      </w:pPr>
      <w:r>
        <w:rPr>
          <w:rFonts w:ascii="Times New Roman" w:hAnsi="Times New Roman" w:cs="Times New Roman"/>
          <w:b/>
          <w:color w:val="000000" w:themeColor="text1"/>
          <w:kern w:val="0"/>
          <w:sz w:val="21"/>
          <w:szCs w:val="21"/>
          <w14:textFill>
            <w14:solidFill>
              <w14:schemeClr w14:val="tx1"/>
            </w14:solidFill>
          </w14:textFill>
        </w:rPr>
        <w:t>表3.2-1    主要设备一览表</w:t>
      </w:r>
    </w:p>
    <w:tbl>
      <w:tblPr>
        <w:tblStyle w:val="27"/>
        <w:tblW w:w="50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8"/>
        <w:gridCol w:w="1108"/>
        <w:gridCol w:w="1111"/>
        <w:gridCol w:w="1096"/>
        <w:gridCol w:w="987"/>
        <w:gridCol w:w="987"/>
        <w:gridCol w:w="987"/>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982" w:type="pct"/>
            <w:gridSpan w:val="3"/>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用水定额（</w:t>
            </w:r>
            <w:r>
              <w:rPr>
                <w:rFonts w:ascii="Times New Roman" w:hAnsi="Times New Roman" w:cs="Times New Roman"/>
                <w:b/>
                <w:bCs/>
                <w:color w:val="000000" w:themeColor="text1"/>
                <w14:textFill>
                  <w14:solidFill>
                    <w14:schemeClr w14:val="tx1"/>
                  </w14:solidFill>
                </w14:textFill>
              </w:rPr>
              <w:t>m</w:t>
            </w:r>
            <w:r>
              <w:rPr>
                <w:rFonts w:ascii="Times New Roman" w:hAnsi="Times New Roman" w:cs="Times New Roman"/>
                <w:b/>
                <w:bCs/>
                <w:color w:val="000000" w:themeColor="text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/百头·d）</w:t>
            </w:r>
          </w:p>
        </w:tc>
        <w:tc>
          <w:tcPr>
            <w:tcW w:w="653" w:type="pct"/>
            <w:vMerge w:val="restar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用水单位（万头）</w:t>
            </w:r>
          </w:p>
        </w:tc>
        <w:tc>
          <w:tcPr>
            <w:tcW w:w="2363" w:type="pct"/>
            <w:gridSpan w:val="4"/>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饮水量（万</w:t>
            </w:r>
            <w:r>
              <w:rPr>
                <w:rFonts w:ascii="Times New Roman" w:hAnsi="Times New Roman" w:cs="Times New Roman"/>
                <w:b/>
                <w:bCs/>
                <w:color w:val="000000" w:themeColor="text1"/>
                <w14:textFill>
                  <w14:solidFill>
                    <w14:schemeClr w14:val="tx1"/>
                  </w14:solidFill>
                </w14:textFill>
              </w:rPr>
              <w:t>m</w:t>
            </w:r>
            <w:r>
              <w:rPr>
                <w:rFonts w:ascii="Times New Roman" w:hAnsi="Times New Roman" w:cs="Times New Roman"/>
                <w:b/>
                <w:bCs/>
                <w:color w:val="000000" w:themeColor="text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夏季</w:t>
            </w:r>
          </w:p>
        </w:tc>
        <w:tc>
          <w:tcPr>
            <w:tcW w:w="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冬季</w:t>
            </w:r>
          </w:p>
        </w:tc>
        <w:tc>
          <w:tcPr>
            <w:tcW w:w="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春秋季</w:t>
            </w:r>
          </w:p>
        </w:tc>
        <w:tc>
          <w:tcPr>
            <w:tcW w:w="653"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58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夏季</w:t>
            </w:r>
          </w:p>
        </w:tc>
        <w:tc>
          <w:tcPr>
            <w:tcW w:w="58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冬季</w:t>
            </w:r>
          </w:p>
        </w:tc>
        <w:tc>
          <w:tcPr>
            <w:tcW w:w="58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春秋季</w:t>
            </w:r>
          </w:p>
        </w:tc>
        <w:tc>
          <w:tcPr>
            <w:tcW w:w="599"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0.65</w:t>
            </w:r>
          </w:p>
        </w:tc>
        <w:tc>
          <w:tcPr>
            <w:tcW w:w="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0.65</w:t>
            </w:r>
          </w:p>
        </w:tc>
        <w:tc>
          <w:tcPr>
            <w:tcW w:w="66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0.65</w:t>
            </w:r>
          </w:p>
        </w:tc>
        <w:tc>
          <w:tcPr>
            <w:tcW w:w="65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58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5.2</w:t>
            </w:r>
          </w:p>
        </w:tc>
        <w:tc>
          <w:tcPr>
            <w:tcW w:w="58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5.2</w:t>
            </w:r>
          </w:p>
        </w:tc>
        <w:tc>
          <w:tcPr>
            <w:tcW w:w="58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5.2</w:t>
            </w:r>
          </w:p>
        </w:tc>
        <w:tc>
          <w:tcPr>
            <w:tcW w:w="599"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8"/>
            <w:vAlign w:val="center"/>
          </w:tcPr>
          <w:p>
            <w:pPr>
              <w:pStyle w:val="4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备注：本项目生产天数为300天，夏季、冬季、春秋季各按100天计算。</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类比新疆泰昆集团有限责任公司已投入运营的种猪</w:t>
      </w:r>
      <w:r>
        <w:rPr>
          <w:rFonts w:hint="eastAsia" w:ascii="Times New Roman" w:hAnsi="Times New Roman" w:cs="Times New Roman"/>
          <w:color w:val="000000" w:themeColor="text1"/>
          <w:lang w:val="en-US" w:eastAsia="zh-CN"/>
          <w14:textFill>
            <w14:solidFill>
              <w14:schemeClr w14:val="tx1"/>
            </w14:solidFill>
          </w14:textFill>
        </w:rPr>
        <w:t>育肥</w:t>
      </w:r>
      <w:r>
        <w:rPr>
          <w:rFonts w:ascii="Times New Roman" w:hAnsi="Times New Roman" w:cs="Times New Roman"/>
          <w:color w:val="000000" w:themeColor="text1"/>
          <w14:textFill>
            <w14:solidFill>
              <w14:schemeClr w14:val="tx1"/>
            </w14:solidFill>
          </w14:textFill>
        </w:rPr>
        <w:t>场，本项目猪饮水量15.6万m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②猪舍冲洗用水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粪便经漏缝地板+虹吸管吸入集粪池，粪尿混合物用机械分离，先采用机械（人工辅助）清除猪舍粪便，再用水冲洗，以减少冲洗水用量，从而减少污水量的产生量。根据《生猪养殖饮用水及排水数据定额》，猪舍冲洗夏季用水0.6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/百头·d，冬季用水0.4m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/百头·d，春秋季用水0.5m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/百头·d，项目每栋猪舍只在育肥猪出栏之后、仔猪进栏之前进行冲洗一次，一年共冲洗2-3次，冲洗用水量取0.6m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/百头·d，项目年存栏量为8万头，则本项目猪舍冲洗用水量为1440m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③消毒用水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消毒用水类比新疆泰昆集团有限责任公司已投入运营的种猪</w:t>
      </w:r>
      <w:r>
        <w:rPr>
          <w:rFonts w:hint="eastAsia" w:ascii="Times New Roman" w:hAnsi="Times New Roman" w:cs="Times New Roman"/>
          <w:color w:val="000000" w:themeColor="text1"/>
          <w:lang w:val="en-US" w:eastAsia="zh-CN"/>
          <w14:textFill>
            <w14:solidFill>
              <w14:schemeClr w14:val="tx1"/>
            </w14:solidFill>
          </w14:textFill>
        </w:rPr>
        <w:t>育肥</w:t>
      </w:r>
      <w:r>
        <w:rPr>
          <w:rFonts w:ascii="Times New Roman" w:hAnsi="Times New Roman" w:cs="Times New Roman"/>
          <w:color w:val="000000" w:themeColor="text1"/>
          <w14:textFill>
            <w14:solidFill>
              <w14:schemeClr w14:val="tx1"/>
            </w14:solidFill>
          </w14:textFill>
        </w:rPr>
        <w:t>场，则消毒水量约2m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/d。总用水量为600m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④水帘降温用水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本项目通风降温系统使用“负压风机+水帘”系统，循环用水量约30m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/d，通风降温系统用水为循环使用，不排放，每天补充15%的损耗用水量，约4.5m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/d（540m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/a）。降温水帘只在每年6月～9月使用，每年降温天数按4个月计。</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2）绿化用水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项目建成后绿化面积占全场总面积的15%，即75亩，灌溉定额按照300m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/亩计算，则绿化用水量为2.25万m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3）生活用水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项目区设置有员工食堂和宿舍，本项目工作人员共35人，用水量按100L/d·人计算，职工生活用水量为3.5m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/d，年用水量约为1050m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（2）排水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本项目猪舍采用</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工艺，粪便经漏缝地板+虹吸管吸入集粪池，粪尿混合物用固液分离机机械分离，以减少冲洗水用量，从而减少污水量的产生量</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符合《畜禽养殖业污染物排放标准》（GB18596-2001）中表4规定，本项目冲洗水按照要求节约用水。尿粪污经固液分离机分离后，固形物用粪车集中运至堆肥场堆肥。其它废水全部进入厌氧存储塘进行厌氧发酵无害化处理，最终形成液体肥，还田施用于周边农田，无污水排放。生活污水经化粪池处理后，排入粪污处理系统一并处理后作为有机肥还田。</w:t>
      </w:r>
    </w:p>
    <w:p>
      <w:pPr>
        <w:spacing w:line="520" w:lineRule="exact"/>
        <w:rPr>
          <w:rFonts w:hint="eastAsia" w:ascii="Times New Roman" w:hAnsi="Times New Roman" w:cs="Times New Roman"/>
          <w:color w:val="000000" w:themeColor="text1"/>
          <w14:textFill>
            <w14:solidFill>
              <w14:schemeClr w14:val="tx1"/>
            </w14:solidFill>
          </w14:textFill>
        </w:rPr>
      </w:pPr>
      <w:bookmarkStart w:id="289" w:name="_Toc8321"/>
      <w:bookmarkStart w:id="290" w:name="_Toc27713"/>
      <w:bookmarkStart w:id="291" w:name="_Toc11781"/>
      <w:r>
        <w:rPr>
          <w:rFonts w:hint="eastAsia" w:ascii="Times New Roman" w:hAnsi="Times New Roman" w:cs="Times New Roman"/>
          <w:color w:val="000000" w:themeColor="text1"/>
          <w:lang w:val="en-US" w:eastAsia="zh-CN"/>
          <w14:textFill>
            <w14:solidFill>
              <w14:schemeClr w14:val="tx1"/>
            </w14:solidFill>
          </w14:textFill>
        </w:rPr>
        <w:t>根据下文“3.5 污染源分析”可知，本项目养殖废水</w:t>
      </w:r>
      <w:r>
        <w:rPr>
          <w:rFonts w:hint="eastAsia" w:ascii="Times New Roman" w:hAnsi="Times New Roman" w:cs="Times New Roman"/>
          <w:color w:val="000000" w:themeColor="text1"/>
          <w14:textFill>
            <w14:solidFill>
              <w14:schemeClr w14:val="tx1"/>
            </w14:solidFill>
          </w14:textFill>
        </w:rPr>
        <w:t>年产生量为</w:t>
      </w:r>
      <w:r>
        <w:rPr>
          <w:rFonts w:hint="eastAsia" w:ascii="Times New Roman" w:hAnsi="Times New Roman" w:cs="Times New Roman"/>
          <w:color w:val="000000" w:themeColor="text1"/>
          <w:lang w:val="en-US" w:eastAsia="zh-CN"/>
          <w14:textFill>
            <w14:solidFill>
              <w14:schemeClr w14:val="tx1"/>
            </w14:solidFill>
          </w14:textFill>
        </w:rPr>
        <w:t>10.02万</w:t>
      </w:r>
      <w:r>
        <w:rPr>
          <w:rFonts w:hint="eastAsia"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，采用“固液分离＋覆膜厌氧储存塘”工艺对污水进行处理后作为液体肥料用于农田施肥，冬季废水存于场区氧化塘。</w:t>
      </w:r>
    </w:p>
    <w:p>
      <w:pPr>
        <w:spacing w:line="520" w:lineRule="exact"/>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项目所在地冬季非灌溉季节约为</w:t>
      </w:r>
      <w:r>
        <w:rPr>
          <w:rFonts w:hint="eastAsia" w:ascii="Times New Roman" w:hAnsi="Times New Roman"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个月，按照本项目猪场污水日排放量计算，冬季废水产生量约为</w:t>
      </w:r>
      <w:r>
        <w:rPr>
          <w:rFonts w:hint="eastAsia" w:ascii="Times New Roman" w:hAnsi="Times New Roman" w:cs="Times New Roman"/>
          <w:color w:val="000000" w:themeColor="text1"/>
          <w:lang w:val="en-US" w:eastAsia="zh-CN"/>
          <w14:textFill>
            <w14:solidFill>
              <w14:schemeClr w14:val="tx1"/>
            </w14:solidFill>
          </w14:textFill>
        </w:rPr>
        <w:t>47868</w:t>
      </w:r>
      <w:r>
        <w:rPr>
          <w:rFonts w:hint="eastAsia"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。本项目建设</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个厌氧储存塘，</w:t>
      </w:r>
      <w:r>
        <w:rPr>
          <w:rFonts w:hint="eastAsia" w:ascii="Times New Roman" w:hAnsi="Times New Roman" w:cs="Times New Roman"/>
          <w:color w:val="000000" w:themeColor="text1"/>
          <w:lang w:val="en-US" w:eastAsia="zh-CN"/>
          <w14:textFill>
            <w14:solidFill>
              <w14:schemeClr w14:val="tx1"/>
            </w14:solidFill>
          </w14:textFill>
        </w:rPr>
        <w:t>总</w:t>
      </w:r>
      <w:r>
        <w:rPr>
          <w:rFonts w:hint="eastAsia" w:ascii="Times New Roman" w:hAnsi="Times New Roman" w:cs="Times New Roman"/>
          <w:color w:val="000000" w:themeColor="text1"/>
          <w14:textFill>
            <w14:solidFill>
              <w14:schemeClr w14:val="tx1"/>
            </w14:solidFill>
          </w14:textFill>
        </w:rPr>
        <w:t>设计容量5</w:t>
      </w:r>
      <w:r>
        <w:rPr>
          <w:rFonts w:hint="eastAsia" w:ascii="Times New Roman" w:hAnsi="Times New Roman" w:cs="Times New Roman"/>
          <w:color w:val="000000" w:themeColor="text1"/>
          <w:lang w:val="en-US" w:eastAsia="zh-CN"/>
          <w14:textFill>
            <w14:solidFill>
              <w14:schemeClr w14:val="tx1"/>
            </w14:solidFill>
          </w14:textFill>
        </w:rPr>
        <w:t>0</w:t>
      </w:r>
      <w:r>
        <w:rPr>
          <w:rFonts w:hint="eastAsia" w:ascii="Times New Roman" w:hAnsi="Times New Roman" w:cs="Times New Roman"/>
          <w:color w:val="000000" w:themeColor="text1"/>
          <w14:textFill>
            <w14:solidFill>
              <w14:schemeClr w14:val="tx1"/>
            </w14:solidFill>
          </w14:textFill>
        </w:rPr>
        <w:t>000m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，完全可满足储存冬季液体粪污水的需要。</w:t>
      </w:r>
    </w:p>
    <w:p>
      <w:pPr>
        <w:spacing w:line="520" w:lineRule="exact"/>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本项目采用干清粪工艺后，项目废水主要包括</w:t>
      </w:r>
      <w:r>
        <w:rPr>
          <w:rFonts w:hint="eastAsia" w:ascii="Times New Roman" w:hAnsi="Times New Roman" w:cs="Times New Roman"/>
          <w:color w:val="000000" w:themeColor="text1"/>
          <w:lang w:val="en-US" w:eastAsia="zh-CN"/>
          <w14:textFill>
            <w14:solidFill>
              <w14:schemeClr w14:val="tx1"/>
            </w14:solidFill>
          </w14:textFill>
        </w:rPr>
        <w:t>养殖废水（猪尿、猪粪滤液、猪舍冲洗水）和</w:t>
      </w:r>
      <w:r>
        <w:rPr>
          <w:rFonts w:hint="eastAsia" w:ascii="Times New Roman" w:hAnsi="Times New Roman" w:cs="Times New Roman"/>
          <w:color w:val="000000" w:themeColor="text1"/>
          <w14:textFill>
            <w14:solidFill>
              <w14:schemeClr w14:val="tx1"/>
            </w14:solidFill>
          </w14:textFill>
        </w:rPr>
        <w:t>少量的生活污水。项目年产生废水约</w:t>
      </w:r>
      <w:r>
        <w:rPr>
          <w:rFonts w:hint="eastAsia" w:ascii="Times New Roman" w:hAnsi="Times New Roman" w:cs="Times New Roman"/>
          <w:color w:val="000000" w:themeColor="text1"/>
          <w:lang w:val="en-US" w:eastAsia="zh-CN"/>
          <w14:textFill>
            <w14:solidFill>
              <w14:schemeClr w14:val="tx1"/>
            </w14:solidFill>
          </w14:textFill>
        </w:rPr>
        <w:t>10.10万</w:t>
      </w:r>
      <w:r>
        <w:rPr>
          <w:rFonts w:hint="eastAsia"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本项目水平衡图详见图3.2-1。</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114300" distR="114300">
                <wp:extent cx="5274310" cy="5433060"/>
                <wp:effectExtent l="0" t="0" r="0" b="0"/>
                <wp:docPr id="6" name="画布 6"/>
                <wp:cNvGraphicFramePr/>
                <a:graphic xmlns:a="http://schemas.openxmlformats.org/drawingml/2006/main">
                  <a:graphicData uri="http://schemas.microsoft.com/office/word/2010/wordprocessingCanvas">
                    <wpc:wpc>
                      <wpc:bg/>
                      <wpc:whole/>
                      <wps:wsp>
                        <wps:cNvPr id="101" name="直接箭头连接符 101"/>
                        <wps:cNvCnPr/>
                        <wps:spPr>
                          <a:xfrm>
                            <a:off x="1052195" y="590550"/>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2" name="文本框 102"/>
                        <wps:cNvSpPr txBox="1"/>
                        <wps:spPr>
                          <a:xfrm>
                            <a:off x="1617980" y="436880"/>
                            <a:ext cx="977900" cy="292100"/>
                          </a:xfrm>
                          <a:prstGeom prst="rect">
                            <a:avLst/>
                          </a:prstGeom>
                          <a:no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2"/>
                                </w:rPr>
                              </w:pPr>
                              <w:r>
                                <w:rPr>
                                  <w:rFonts w:hint="eastAsia"/>
                                  <w:szCs w:val="22"/>
                                </w:rPr>
                                <w:t>猪只饮用水</w:t>
                              </w:r>
                            </w:p>
                          </w:txbxContent>
                        </wps:txbx>
                        <wps:bodyPr upright="1"/>
                      </wps:wsp>
                      <wps:wsp>
                        <wps:cNvPr id="103" name="文本框 103"/>
                        <wps:cNvSpPr txBox="1"/>
                        <wps:spPr>
                          <a:xfrm>
                            <a:off x="3123565" y="1246505"/>
                            <a:ext cx="62484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336.72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曲线连接符 104"/>
                        <wps:cNvCnPr/>
                        <wps:spPr>
                          <a:xfrm flipV="1">
                            <a:off x="2141855" y="236855"/>
                            <a:ext cx="266700" cy="203200"/>
                          </a:xfrm>
                          <a:prstGeom prst="curvedConnector3">
                            <a:avLst>
                              <a:gd name="adj1" fmla="val 50120"/>
                            </a:avLst>
                          </a:prstGeom>
                          <a:ln w="6350" cap="flat" cmpd="sng">
                            <a:solidFill>
                              <a:srgbClr val="000000"/>
                            </a:solidFill>
                            <a:prstDash val="sysDash"/>
                            <a:miter/>
                            <a:headEnd type="none" w="med" len="med"/>
                            <a:tailEnd type="arrow" w="med" len="med"/>
                          </a:ln>
                        </wps:spPr>
                        <wps:bodyPr/>
                      </wps:wsp>
                      <wps:wsp>
                        <wps:cNvPr id="105" name="文本框 105"/>
                        <wps:cNvSpPr txBox="1"/>
                        <wps:spPr>
                          <a:xfrm>
                            <a:off x="2094230" y="9525"/>
                            <a:ext cx="1110615" cy="292100"/>
                          </a:xfrm>
                          <a:prstGeom prst="rect">
                            <a:avLst/>
                          </a:prstGeom>
                          <a:noFill/>
                          <a:ln w="6350">
                            <a:noFill/>
                          </a:ln>
                        </wps:spPr>
                        <wps:txbx>
                          <w:txbxContent>
                            <w:p>
                              <w:pPr>
                                <w:spacing w:line="240" w:lineRule="auto"/>
                                <w:ind w:firstLine="0" w:firstLineChars="0"/>
                                <w:jc w:val="center"/>
                                <w:rPr>
                                  <w:rFonts w:ascii="Times New Roman" w:hAnsi="Times New Roman" w:cs="Times New Roman"/>
                                  <w:szCs w:val="22"/>
                                </w:rPr>
                              </w:pPr>
                              <w:r>
                                <w:rPr>
                                  <w:rFonts w:ascii="Times New Roman" w:hAnsi="Times New Roman" w:cs="Times New Roman"/>
                                  <w:szCs w:val="22"/>
                                </w:rPr>
                                <w:t>190.4</w:t>
                              </w:r>
                            </w:p>
                          </w:txbxContent>
                        </wps:txbx>
                        <wps:bodyPr upright="1"/>
                      </wps:wsp>
                      <wps:wsp>
                        <wps:cNvPr id="107" name="文本框 107"/>
                        <wps:cNvSpPr txBox="1"/>
                        <wps:spPr>
                          <a:xfrm>
                            <a:off x="1046480" y="32258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5</w:t>
                              </w:r>
                              <w:r>
                                <w:rPr>
                                  <w:rFonts w:ascii="Times New Roman" w:hAnsi="Times New Roman" w:cs="Times New Roman"/>
                                  <w:szCs w:val="22"/>
                                </w:rPr>
                                <w:t>2</w:t>
                              </w:r>
                              <w:r>
                                <w:rPr>
                                  <w:rFonts w:hint="eastAsia" w:ascii="Times New Roman" w:hAnsi="Times New Roman" w:cs="Times New Roman"/>
                                  <w:szCs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直接箭头连接符 108"/>
                        <wps:cNvCnPr/>
                        <wps:spPr>
                          <a:xfrm>
                            <a:off x="2618105" y="1760855"/>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9" name="直接箭头连接符 109"/>
                        <wps:cNvCnPr/>
                        <wps:spPr>
                          <a:xfrm>
                            <a:off x="1056005" y="1779905"/>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0" name="直接箭头连接符 110"/>
                        <wps:cNvCnPr/>
                        <wps:spPr>
                          <a:xfrm>
                            <a:off x="2608580" y="617855"/>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1" name="文本框 111"/>
                        <wps:cNvSpPr txBox="1"/>
                        <wps:spPr>
                          <a:xfrm>
                            <a:off x="2580005" y="32258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281.6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肘形连接符 112"/>
                        <wps:cNvCnPr>
                          <a:stCxn id="102" idx="2"/>
                        </wps:cNvCnPr>
                        <wps:spPr>
                          <a:xfrm rot="5400000" flipV="1">
                            <a:off x="2447290" y="388620"/>
                            <a:ext cx="408305" cy="108839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3" name="文本框 113"/>
                        <wps:cNvSpPr txBox="1"/>
                        <wps:spPr>
                          <a:xfrm>
                            <a:off x="2465705" y="579755"/>
                            <a:ext cx="815340" cy="292100"/>
                          </a:xfrm>
                          <a:prstGeom prst="rect">
                            <a:avLst/>
                          </a:prstGeom>
                          <a:noFill/>
                          <a:ln w="6350">
                            <a:noFill/>
                          </a:ln>
                        </wps:spPr>
                        <wps:txbx>
                          <w:txbxContent>
                            <w:p>
                              <w:pPr>
                                <w:spacing w:line="240" w:lineRule="auto"/>
                                <w:ind w:firstLine="0" w:firstLineChars="0"/>
                                <w:jc w:val="center"/>
                                <w:rPr>
                                  <w:sz w:val="21"/>
                                  <w:szCs w:val="20"/>
                                </w:rPr>
                              </w:pPr>
                              <w:r>
                                <w:rPr>
                                  <w:rFonts w:hint="eastAsia"/>
                                  <w:sz w:val="21"/>
                                  <w:szCs w:val="20"/>
                                </w:rPr>
                                <w:t>猪尿</w:t>
                              </w:r>
                            </w:p>
                          </w:txbxContent>
                        </wps:txbx>
                        <wps:bodyPr upright="1"/>
                      </wps:wsp>
                      <wps:wsp>
                        <wps:cNvPr id="114" name="文本框 114"/>
                        <wps:cNvSpPr txBox="1"/>
                        <wps:spPr>
                          <a:xfrm>
                            <a:off x="2075180" y="865505"/>
                            <a:ext cx="1110615" cy="292100"/>
                          </a:xfrm>
                          <a:prstGeom prst="rect">
                            <a:avLst/>
                          </a:prstGeom>
                          <a:noFill/>
                          <a:ln w="6350">
                            <a:noFill/>
                          </a:ln>
                        </wps:spPr>
                        <wps:txbx>
                          <w:txbxContent>
                            <w:p>
                              <w:pPr>
                                <w:spacing w:line="240" w:lineRule="auto"/>
                                <w:ind w:firstLine="0" w:firstLineChars="0"/>
                                <w:jc w:val="center"/>
                                <w:rPr>
                                  <w:szCs w:val="22"/>
                                </w:rPr>
                              </w:pPr>
                              <w:r>
                                <w:rPr>
                                  <w:rFonts w:hint="eastAsia"/>
                                  <w:szCs w:val="22"/>
                                </w:rPr>
                                <w:t>猪粪滤液</w:t>
                              </w:r>
                              <w:r>
                                <w:rPr>
                                  <w:rFonts w:ascii="Times New Roman" w:hAnsi="Times New Roman" w:cs="Times New Roman"/>
                                  <w:szCs w:val="22"/>
                                </w:rPr>
                                <w:t>48</w:t>
                              </w:r>
                            </w:p>
                          </w:txbxContent>
                        </wps:txbx>
                        <wps:bodyPr upright="1"/>
                      </wps:wsp>
                      <wps:wsp>
                        <wps:cNvPr id="115" name="直接连接符 115"/>
                        <wps:cNvCnPr/>
                        <wps:spPr>
                          <a:xfrm flipH="1">
                            <a:off x="1038225" y="584835"/>
                            <a:ext cx="13970" cy="4556125"/>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文本框 116"/>
                        <wps:cNvSpPr txBox="1"/>
                        <wps:spPr>
                          <a:xfrm>
                            <a:off x="1627505" y="1608455"/>
                            <a:ext cx="977900" cy="292100"/>
                          </a:xfrm>
                          <a:prstGeom prst="rect">
                            <a:avLst/>
                          </a:prstGeom>
                          <a:no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2"/>
                                </w:rPr>
                              </w:pPr>
                              <w:r>
                                <w:rPr>
                                  <w:rFonts w:hint="eastAsia"/>
                                  <w:szCs w:val="22"/>
                                </w:rPr>
                                <w:t>猪舍冲洗水</w:t>
                              </w:r>
                            </w:p>
                          </w:txbxContent>
                        </wps:txbx>
                        <wps:bodyPr upright="1"/>
                      </wps:wsp>
                      <wps:wsp>
                        <wps:cNvPr id="117" name="直接箭头连接符 117"/>
                        <wps:cNvCnPr/>
                        <wps:spPr>
                          <a:xfrm>
                            <a:off x="1046480" y="4094480"/>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8" name="直接箭头连接符 118"/>
                        <wps:cNvCnPr/>
                        <wps:spPr>
                          <a:xfrm>
                            <a:off x="2608580" y="2560955"/>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9" name="直接箭头连接符 119"/>
                        <wps:cNvCnPr/>
                        <wps:spPr>
                          <a:xfrm>
                            <a:off x="1056005" y="3351530"/>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1" name="直接箭头连接符 121"/>
                        <wps:cNvCnPr/>
                        <wps:spPr>
                          <a:xfrm>
                            <a:off x="1056005" y="2580005"/>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2" name="文本框 122"/>
                        <wps:cNvSpPr txBox="1"/>
                        <wps:spPr>
                          <a:xfrm>
                            <a:off x="2599055" y="1532255"/>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4.32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文本框 123"/>
                        <wps:cNvSpPr txBox="1"/>
                        <wps:spPr>
                          <a:xfrm>
                            <a:off x="1046480" y="152273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曲线连接符 124"/>
                        <wps:cNvCnPr/>
                        <wps:spPr>
                          <a:xfrm flipV="1">
                            <a:off x="2065655" y="1398905"/>
                            <a:ext cx="266700" cy="203200"/>
                          </a:xfrm>
                          <a:prstGeom prst="curvedConnector3">
                            <a:avLst>
                              <a:gd name="adj1" fmla="val 50120"/>
                            </a:avLst>
                          </a:prstGeom>
                          <a:ln w="6350" cap="flat" cmpd="sng">
                            <a:solidFill>
                              <a:srgbClr val="000000"/>
                            </a:solidFill>
                            <a:prstDash val="sysDash"/>
                            <a:miter/>
                            <a:headEnd type="none" w="med" len="med"/>
                            <a:tailEnd type="arrow" w="med" len="med"/>
                          </a:ln>
                        </wps:spPr>
                        <wps:bodyPr/>
                      </wps:wsp>
                      <wps:wsp>
                        <wps:cNvPr id="125" name="文本框 125"/>
                        <wps:cNvSpPr txBox="1"/>
                        <wps:spPr>
                          <a:xfrm>
                            <a:off x="2256155" y="123698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0.48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126"/>
                        <wps:cNvSpPr txBox="1"/>
                        <wps:spPr>
                          <a:xfrm>
                            <a:off x="1627505" y="2408555"/>
                            <a:ext cx="977900" cy="292100"/>
                          </a:xfrm>
                          <a:prstGeom prst="rect">
                            <a:avLst/>
                          </a:prstGeom>
                          <a:no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2"/>
                                </w:rPr>
                              </w:pPr>
                              <w:r>
                                <w:rPr>
                                  <w:rFonts w:hint="eastAsia"/>
                                  <w:szCs w:val="22"/>
                                </w:rPr>
                                <w:t>生活用水</w:t>
                              </w:r>
                            </w:p>
                          </w:txbxContent>
                        </wps:txbx>
                        <wps:bodyPr upright="1"/>
                      </wps:wsp>
                      <wps:wsp>
                        <wps:cNvPr id="127" name="文本框 127"/>
                        <wps:cNvSpPr txBox="1"/>
                        <wps:spPr>
                          <a:xfrm>
                            <a:off x="1046480" y="232283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曲线连接符 128"/>
                        <wps:cNvCnPr/>
                        <wps:spPr>
                          <a:xfrm flipV="1">
                            <a:off x="2065655" y="2199005"/>
                            <a:ext cx="266700" cy="203200"/>
                          </a:xfrm>
                          <a:prstGeom prst="curvedConnector3">
                            <a:avLst>
                              <a:gd name="adj1" fmla="val 50120"/>
                            </a:avLst>
                          </a:prstGeom>
                          <a:ln w="6350" cap="flat" cmpd="sng">
                            <a:solidFill>
                              <a:srgbClr val="000000"/>
                            </a:solidFill>
                            <a:prstDash val="sysDash"/>
                            <a:miter/>
                            <a:headEnd type="none" w="med" len="med"/>
                            <a:tailEnd type="arrow" w="med" len="med"/>
                          </a:ln>
                        </wps:spPr>
                        <wps:bodyPr/>
                      </wps:wsp>
                      <wps:wsp>
                        <wps:cNvPr id="129" name="文本框 129"/>
                        <wps:cNvSpPr txBox="1"/>
                        <wps:spPr>
                          <a:xfrm>
                            <a:off x="2208530" y="203708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 name="文本框 130"/>
                        <wps:cNvSpPr txBox="1"/>
                        <wps:spPr>
                          <a:xfrm>
                            <a:off x="1617980" y="3170555"/>
                            <a:ext cx="977900" cy="292100"/>
                          </a:xfrm>
                          <a:prstGeom prst="rect">
                            <a:avLst/>
                          </a:prstGeom>
                          <a:no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2"/>
                                </w:rPr>
                              </w:pPr>
                              <w:r>
                                <w:rPr>
                                  <w:rFonts w:hint="eastAsia"/>
                                  <w:szCs w:val="22"/>
                                </w:rPr>
                                <w:t>消毒用水</w:t>
                              </w:r>
                            </w:p>
                          </w:txbxContent>
                        </wps:txbx>
                        <wps:bodyPr upright="1"/>
                      </wps:wsp>
                      <wps:wsp>
                        <wps:cNvPr id="131" name="文本框 131"/>
                        <wps:cNvSpPr txBox="1"/>
                        <wps:spPr>
                          <a:xfrm>
                            <a:off x="1075055" y="308483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曲线连接符 132"/>
                        <wps:cNvCnPr/>
                        <wps:spPr>
                          <a:xfrm flipV="1">
                            <a:off x="2094230" y="2961005"/>
                            <a:ext cx="266700" cy="203200"/>
                          </a:xfrm>
                          <a:prstGeom prst="curvedConnector3">
                            <a:avLst>
                              <a:gd name="adj1" fmla="val 50120"/>
                            </a:avLst>
                          </a:prstGeom>
                          <a:ln w="6350" cap="flat" cmpd="sng">
                            <a:solidFill>
                              <a:srgbClr val="000000"/>
                            </a:solidFill>
                            <a:prstDash val="sysDash"/>
                            <a:miter/>
                            <a:headEnd type="none" w="med" len="med"/>
                            <a:tailEnd type="arrow" w="med" len="med"/>
                          </a:ln>
                        </wps:spPr>
                        <wps:bodyPr/>
                      </wps:wsp>
                      <wps:wsp>
                        <wps:cNvPr id="133" name="文本框 133"/>
                        <wps:cNvSpPr txBox="1"/>
                        <wps:spPr>
                          <a:xfrm>
                            <a:off x="2199005" y="279908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134"/>
                        <wps:cNvSpPr txBox="1"/>
                        <wps:spPr>
                          <a:xfrm>
                            <a:off x="2580005" y="2313305"/>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1608455" y="3913505"/>
                            <a:ext cx="1120140" cy="292100"/>
                          </a:xfrm>
                          <a:prstGeom prst="rect">
                            <a:avLst/>
                          </a:prstGeom>
                          <a:no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2"/>
                                </w:rPr>
                              </w:pPr>
                              <w:r>
                                <w:rPr>
                                  <w:rFonts w:hint="eastAsia"/>
                                  <w:szCs w:val="22"/>
                                </w:rPr>
                                <w:t>水帘降温用水</w:t>
                              </w:r>
                            </w:p>
                          </w:txbxContent>
                        </wps:txbx>
                        <wps:bodyPr upright="1"/>
                      </wps:wsp>
                      <wps:wsp>
                        <wps:cNvPr id="136" name="文本框 136"/>
                        <wps:cNvSpPr txBox="1"/>
                        <wps:spPr>
                          <a:xfrm>
                            <a:off x="1046480" y="3837305"/>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曲线连接符 137"/>
                        <wps:cNvCnPr/>
                        <wps:spPr>
                          <a:xfrm flipV="1">
                            <a:off x="2046605" y="3703955"/>
                            <a:ext cx="266700" cy="203200"/>
                          </a:xfrm>
                          <a:prstGeom prst="curvedConnector3">
                            <a:avLst>
                              <a:gd name="adj1" fmla="val 50120"/>
                            </a:avLst>
                          </a:prstGeom>
                          <a:ln w="6350" cap="flat" cmpd="sng">
                            <a:solidFill>
                              <a:srgbClr val="000000"/>
                            </a:solidFill>
                            <a:prstDash val="sysDash"/>
                            <a:miter/>
                            <a:headEnd type="none" w="med" len="med"/>
                            <a:tailEnd type="arrow" w="med" len="med"/>
                          </a:ln>
                        </wps:spPr>
                        <wps:bodyPr/>
                      </wps:wsp>
                      <wps:wsp>
                        <wps:cNvPr id="138" name="文本框 138"/>
                        <wps:cNvSpPr txBox="1"/>
                        <wps:spPr>
                          <a:xfrm>
                            <a:off x="2189480" y="354203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直接箭头连接符 139"/>
                        <wps:cNvCnPr/>
                        <wps:spPr>
                          <a:xfrm>
                            <a:off x="3189605" y="1513205"/>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1" name="直接连接符 141"/>
                        <wps:cNvCnPr/>
                        <wps:spPr>
                          <a:xfrm flipH="1">
                            <a:off x="3176270" y="610870"/>
                            <a:ext cx="9525" cy="196215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文本框 143"/>
                        <wps:cNvSpPr txBox="1"/>
                        <wps:spPr>
                          <a:xfrm>
                            <a:off x="3780155" y="1341755"/>
                            <a:ext cx="1139190" cy="292100"/>
                          </a:xfrm>
                          <a:prstGeom prst="rect">
                            <a:avLst/>
                          </a:prstGeom>
                          <a:no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2"/>
                                </w:rPr>
                              </w:pPr>
                              <w:r>
                                <w:rPr>
                                  <w:rFonts w:hint="eastAsia"/>
                                  <w:szCs w:val="22"/>
                                </w:rPr>
                                <w:t>粪污处理系统</w:t>
                              </w:r>
                            </w:p>
                          </w:txbxContent>
                        </wps:txbx>
                        <wps:bodyPr upright="1"/>
                      </wps:wsp>
                      <wps:wsp>
                        <wps:cNvPr id="145" name="直接箭头连接符 145"/>
                        <wps:cNvCnPr>
                          <a:stCxn id="143" idx="2"/>
                        </wps:cNvCnPr>
                        <wps:spPr>
                          <a:xfrm flipH="1">
                            <a:off x="4347845" y="1633855"/>
                            <a:ext cx="1905" cy="5410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6" name="文本框 146"/>
                        <wps:cNvSpPr txBox="1"/>
                        <wps:spPr>
                          <a:xfrm>
                            <a:off x="3837305" y="2170430"/>
                            <a:ext cx="977900" cy="292100"/>
                          </a:xfrm>
                          <a:prstGeom prst="rect">
                            <a:avLst/>
                          </a:prstGeom>
                          <a:no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2"/>
                                </w:rPr>
                              </w:pPr>
                              <w:r>
                                <w:rPr>
                                  <w:rFonts w:hint="eastAsia"/>
                                  <w:szCs w:val="22"/>
                                </w:rPr>
                                <w:t>液肥还田</w:t>
                              </w:r>
                            </w:p>
                          </w:txbxContent>
                        </wps:txbx>
                        <wps:bodyPr upright="1"/>
                      </wps:wsp>
                      <wps:wsp>
                        <wps:cNvPr id="149" name="直接箭头连接符 149"/>
                        <wps:cNvCnPr/>
                        <wps:spPr>
                          <a:xfrm>
                            <a:off x="131445" y="2986405"/>
                            <a:ext cx="93218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0" name="直接箭头连接符 150"/>
                        <wps:cNvCnPr/>
                        <wps:spPr>
                          <a:xfrm>
                            <a:off x="1036955" y="5142230"/>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1" name="文本框 151"/>
                        <wps:cNvSpPr txBox="1"/>
                        <wps:spPr>
                          <a:xfrm>
                            <a:off x="1598930" y="4989830"/>
                            <a:ext cx="977900" cy="292100"/>
                          </a:xfrm>
                          <a:prstGeom prst="rect">
                            <a:avLst/>
                          </a:prstGeom>
                          <a:noFill/>
                          <a:ln w="6350" cap="flat" cmpd="sng">
                            <a:solidFill>
                              <a:srgbClr val="000000"/>
                            </a:solidFill>
                            <a:prstDash val="solid"/>
                            <a:round/>
                            <a:headEnd type="none" w="med" len="med"/>
                            <a:tailEnd type="none" w="med" len="med"/>
                          </a:ln>
                        </wps:spPr>
                        <wps:txbx>
                          <w:txbxContent>
                            <w:p>
                              <w:pPr>
                                <w:spacing w:line="240" w:lineRule="auto"/>
                                <w:ind w:firstLine="0" w:firstLineChars="0"/>
                                <w:jc w:val="center"/>
                                <w:rPr>
                                  <w:szCs w:val="22"/>
                                </w:rPr>
                              </w:pPr>
                              <w:r>
                                <w:rPr>
                                  <w:rFonts w:hint="eastAsia"/>
                                  <w:szCs w:val="22"/>
                                </w:rPr>
                                <w:t>绿化用水</w:t>
                              </w:r>
                            </w:p>
                          </w:txbxContent>
                        </wps:txbx>
                        <wps:bodyPr upright="1"/>
                      </wps:wsp>
                      <wps:wsp>
                        <wps:cNvPr id="152" name="文本框 152"/>
                        <wps:cNvSpPr txBox="1"/>
                        <wps:spPr>
                          <a:xfrm>
                            <a:off x="1017905" y="485648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曲线连接符 153"/>
                        <wps:cNvCnPr/>
                        <wps:spPr>
                          <a:xfrm flipV="1">
                            <a:off x="2037080" y="4780280"/>
                            <a:ext cx="266700" cy="203200"/>
                          </a:xfrm>
                          <a:prstGeom prst="curvedConnector3">
                            <a:avLst>
                              <a:gd name="adj1" fmla="val 50120"/>
                            </a:avLst>
                          </a:prstGeom>
                          <a:ln w="6350" cap="flat" cmpd="sng">
                            <a:solidFill>
                              <a:srgbClr val="000000"/>
                            </a:solidFill>
                            <a:prstDash val="sysDash"/>
                            <a:miter/>
                            <a:headEnd type="none" w="med" len="med"/>
                            <a:tailEnd type="arrow" w="med" len="med"/>
                          </a:ln>
                        </wps:spPr>
                        <wps:bodyPr/>
                      </wps:wsp>
                      <wps:wsp>
                        <wps:cNvPr id="154" name="文本框 154"/>
                        <wps:cNvSpPr txBox="1"/>
                        <wps:spPr>
                          <a:xfrm>
                            <a:off x="2179955" y="4618355"/>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155"/>
                        <wps:cNvSpPr txBox="1"/>
                        <wps:spPr>
                          <a:xfrm>
                            <a:off x="287020" y="2632710"/>
                            <a:ext cx="558800" cy="292100"/>
                          </a:xfrm>
                          <a:prstGeom prst="rect">
                            <a:avLst/>
                          </a:prstGeom>
                          <a:noFill/>
                          <a:ln w="6350">
                            <a:noFill/>
                          </a:ln>
                          <a:effectLst/>
                        </wps:spPr>
                        <wps:txb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607.1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直接连接符 8"/>
                        <wps:cNvCnPr>
                          <a:stCxn id="135" idx="3"/>
                        </wps:cNvCnPr>
                        <wps:spPr>
                          <a:xfrm flipV="1">
                            <a:off x="2728595" y="4058920"/>
                            <a:ext cx="462280" cy="635"/>
                          </a:xfrm>
                          <a:prstGeom prst="line">
                            <a:avLst/>
                          </a:prstGeom>
                        </wps:spPr>
                        <wps:style>
                          <a:lnRef idx="1">
                            <a:schemeClr val="dk1"/>
                          </a:lnRef>
                          <a:fillRef idx="0">
                            <a:schemeClr val="dk1"/>
                          </a:fillRef>
                          <a:effectRef idx="0">
                            <a:schemeClr val="dk1"/>
                          </a:effectRef>
                          <a:fontRef idx="minor">
                            <a:schemeClr val="tx1"/>
                          </a:fontRef>
                        </wps:style>
                        <wps:bodyPr/>
                      </wps:wsp>
                      <wps:wsp>
                        <wps:cNvPr id="39" name="直接连接符 39"/>
                        <wps:cNvCnPr/>
                        <wps:spPr>
                          <a:xfrm>
                            <a:off x="3181350" y="4058920"/>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52" name="直接连接符 52"/>
                        <wps:cNvCnPr/>
                        <wps:spPr>
                          <a:xfrm flipH="1" flipV="1">
                            <a:off x="2152650" y="4506595"/>
                            <a:ext cx="103822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72" name="直接箭头连接符 72"/>
                        <wps:cNvCnPr/>
                        <wps:spPr>
                          <a:xfrm flipH="1" flipV="1">
                            <a:off x="2149475" y="4205605"/>
                            <a:ext cx="3175" cy="3009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3" name="文本框 73"/>
                        <wps:cNvSpPr txBox="1"/>
                        <wps:spPr>
                          <a:xfrm>
                            <a:off x="2503805" y="4208780"/>
                            <a:ext cx="558800" cy="292100"/>
                          </a:xfrm>
                          <a:prstGeom prst="rect">
                            <a:avLst/>
                          </a:prstGeom>
                          <a:noFill/>
                          <a:ln w="6350">
                            <a:noFill/>
                          </a:ln>
                          <a:effectLst/>
                        </wps:spPr>
                        <wps:txbx>
                          <w:txbxContent>
                            <w:p>
                              <w:pPr>
                                <w:spacing w:line="240" w:lineRule="auto"/>
                                <w:ind w:firstLine="0" w:firstLineChars="0"/>
                                <w:jc w:val="center"/>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427.8pt;width:415.3pt;" coordsize="5274310,5433060" editas="canvas" o:gfxdata="UEsDBAoAAAAAAIdO4kAAAAAAAAAAAAAAAAAEAAAAZHJzL1BLAwQUAAAACACHTuJAas3HrdcAAAAF&#10;AQAADwAAAGRycy9kb3ducmV2LnhtbE2PQUvDQBCF70L/wzIFL2J3qzSUmE0PhdIiQjHVnrfZMQlm&#10;Z9PsNqn/3tGLXoY3vOG9b7LV1bViwD40njTMZwoEUultQ5WGt8PmfgkiREPWtJ5QwxcGWOWTm8yk&#10;1o/0ikMRK8EhFFKjoY6xS6UMZY3OhJnvkNj78L0zkde+krY3I4e7Vj4olUhnGuKG2nS4rrH8LC5O&#10;w1juh+PhZSv3d8edp/PuvC7en7W+nc7VE4iI1/h3DD/4jA45M538hWwQrQZ+JP5O9paPKgFxYrFY&#10;JCDzTP6nz78BUEsDBBQAAAAIAIdO4kDpiRvLfAsAANR8AAAOAAAAZHJzL2Uyb0RvYy54bWztXU2P&#10;3EgZviPxH6y+k3FVufzRymQVJpuAFLGRwsfZ43Z/ILdtbE9mZo8gwY0TQkiLkEDAaeGA9oBAaH9N&#10;kv0ZPFXldrnddqbdO5lsz1YOE3fZbburHr8fz/vhhx9drRPrVVyUqyw9nZAH9sSK0yibrdLF6eQn&#10;P376PX9ilVWYzsIkS+PTyXVcTj569N3vPLzMpzHNllkyiwsLJ0nL6WV+OllWVT49OSmjZbwOywdZ&#10;HqfYOc+KdVjhY7E4mRXhJc6+Tk6obbsnl1kxy4ssissSo0/Uzkl9xmKfE2bz+SqKn2TRxTpOK3XW&#10;Ik7CCj+pXK7ycvJI3u18HkfVJ/N5GVdWcjrBL63kX1wE2+fi78mjh+F0UYT5chXVtxDucwud37QO&#10;Vyku2pzqSViF1kWx2jnVehUVWZnNqwdRtj5RP0TOCH4FsTtz86zILnL5WxbTy0XeTDoWqjPrB582&#10;+tGrF4W1mp1O3ImVhmss+Nvf/ff1v39luWJuLvPFFIc8K/KX+YuiHlioT+LnXs2LtfgfP8S6krN6&#10;3cxqfFVZEQY59RxGMOER9nGHMdut5z1aYnF2vhctP77hmyebC5+I+2tu5zIHIks9TeXXm6aXyzCP&#10;5eyXYg7qaSI2aSbqsy/e/PZvb//5j9d//eKrL/8ktj//uyUOkBMlv3WW1tNWTkvMYM+cEZtTEvCJ&#10;JWYnsDmvJ6eZPo9wu549uav59eE0L8rqWZytLbFxOimrIlwtltVZlqZAflYQicnw1fOywi3hi5sv&#10;iPtIs6erJMF4OE1S6xIIYLi2FYV4qOd4mLC5zgGMMl1MrDBZQFpEVSHPWGbJaia+Lb5cFovzs6Sw&#10;XoV4xp7Kf2ICcLWtw8Sln4TlUh0nd4nDwul6VUGgJKv16cS3xT81XIWr5ON0ZlXXOUAZFkV2ORF3&#10;uY5nEyuJcTdiS10oSXE9sfxqjsXWeTa7llMvxwELAeY7wQfd4OPN73/z5o+fv/nzr4EJKu5U3ACQ&#10;JB4lq7r6foaHo8HKEDpc4gU+lgXocJjrY1NO2gYdgecFG3TQgBI1e8MQKYCL2wKFXPxBJMil3AB2&#10;PyRA3KUz+fOWcTjTi59CEfWvfTjdhsnwkZiSHpRUV+dX9cIowFgXeSEeoXpl7hw8rA887EDwMEIZ&#10;d5VoIdRxuc230eNSx3dq2fL+0CNw0gibeh3CaSy1cy2Ztp/d3VUpMqwIbrTMo6crCJLnYVm9CAuo&#10;agzCmKk+wZ95kkE+ZPXWxFpmxad94+J4qAbsBaig+iHifnERFoBY8sMUSiMgjpiUSn5wuEfxoWjv&#10;OW/vSS/WZxkkH9QC7k5uiuOrZLM5L7L1z2DzPBZXxa4wjXDt0wkErNo8q5RBApspih8/lgfBOsjD&#10;6nn6Mo/EqdUUPr6osvlKinIt4mrJd5cSzmlA+tm/3v7ny7buc1pQHdB91jxZ5T/d/KracqDEIT5X&#10;UKWQc9jcknPUdb1GztkMhqTYPyznooviVTxrFCHTMk9M5WJW2zrh7OdYt/k6AZKgvyxuE6y2OrNU&#10;m/Iaba15o6q8Jal4XQplqSZBakg5HYfKxSNSn8CAskPb6lOi4QD1Se3AoQwPHdRnwGkHVIQQ2yW4&#10;oLBM71b+dayVXYn3gfWQ17cKnoDjAatAbMd1aiOGUcq7RgznsGuwSHe/DEYNHbEaAlFRe6wDjpjf&#10;wuuAMhLSeqOCXOLDGZOygniuvaODuPHEjssTC24CSDAKIACHazcA8QI460o/b5wxA5DjctUFKfVO&#10;CYIDtMbbR4JAaNR6Dn67ESBy+ro++vHYoqSh+lq2KAY1JsZQOcLu2YgPYwUpd10578YZ3yMYMEBH&#10;k4Zu/OqXf3j9v7+0nHHs0kgV0ku6ptXZVSoJf0FKYgMkpDxOeiRgJ9WBmpBRXLslGRjuSFYPHnOf&#10;C+84Hg2Ur8V831WONCzsms13bJ8J7SmsfGL7PsOxuL9hH/4cwZ3Gg6fag1dfajvlDbtkqOxNHG5U&#10;RGgIW31sJDmUjRQEpFebT9wLvC7F4xPOPgwZ+Q13xonm23REAYP64R6lhmyPk9pI8V2EmzpGrCFF&#10;FkOPQ0NNvZUOZ1vUtgmqAUNRCs0fdHhPYjMfjIiK/vmOz7qrwQKvZkYczl2iKKxhmZmsECoRcv4u&#10;g34HhHp6g351bKDzOH6wSB5pQuJt86+Oix8QyaOeeNgEFUnALmA5xROs9aMJ5W1FfI89lEcaClVJ&#10;i508ARygJfiAzGjRU20S1QGtLQjVLfwY9uHI2Ieb+Esylr/U7AMFUxV0BYwByJEB5Cb+khzOXzLG&#10;YW4bCSIl6HYOyfHwU7ThpwZUDA4Yp2I0wb1hq4yKgYl2tABpyKGWBUvbtNAoz5GLkEdtwXJBYXYs&#10;WBPHNelEUTyYzjzgVtM+lgmDWnKNAWnbTCacUm9HyZlkA5PzNh6kmoPr5rzRNhM34Mf1E+a2i+zM&#10;Wp6ywN+JJ5ukN2l93P+kN0EA7iS9KarvgHQrKGZktdW4QjKlyB/fNuOMCDQicLwI7KND6W3QoRSh&#10;Qd41Jg0deq/oUNrQoW1XpE2BHmrlUXgiiCwbEWeSKfaurBxyRRpK9s2OlbcHGXujlYdCP1Rrdbxm&#10;Y+V9W6y8hs9ti8A2hztGBFIKpVmXNlCbebax8kSFqCnu2rO4fEAECkTtuCJKux7gipBW+SojyP4x&#10;Vt5W7XKXWj72oDdrIhItEYfBQ7k8kTGhHFmGjAlj5aHC1Yi4r2vlMR0V6Vp52KWhOo7L04WGNHBR&#10;h2+svG9nASvrC2dgUONqlJVXewwia4yKkiNj5RkROKKF0JCVp8MZOqWYtQMZo0DaqmyhjKDDT0f4&#10;mcCwCQyPDwwjF7rHFZHQOsgVUTm3QpKygKDXUQekBK0fyPsvQOhvsCRLc0wvndusXmF98QoMHqaI&#10;23kFzGdIK+jAx8g4I+MOkHE6LLLji7SDI+N8Ecd1AU8p6Tyb7SQCG8YZMiCc3v+8AqbjGS0zrx3J&#10;GGXmET9o2rhwB6SzCboZOmb/dqZDvkgTFhnIYmbtEMmAIGwVyjDAdCP+CCfoFdbV1KaPy1H1cXEa&#10;Unmn7hK7tDk3AI3euksEI1wqKivhDYCt87EpdcKmWF02C1Ol6oFL0YFV7DZll3fRQNXpI9AwqBd6&#10;jNJinm83yXDMITtl54TAGxRtC95v9zHj9t1R/12nYQ0G1AkO0FASMkP63rothsDf3m0xRCOMbk23&#10;wxwP5b11pS9jO32AADfsFXjjDrpw3CBbTFfnUnbOFpzPB6sFd/rIBAxqJI0SSjWBIFl9hMWdriVt&#10;kh/vVfKjc5OJiwM0kgbsmJaJSxhaFCsBQwPfdboWbsCobPEhRIxfl2kNGy9GwHwDBIxovf/OXnTK&#10;BK2J7z0gYiPxv86d4MShogsuIKbbTZhq8OOqBueNF9RKrcGglhtjNBDhqDcCJIQGcrC5k1pjNNC9&#10;0kBc57xoJhCDB6LHxlspaobZ8bls7rwtXEyFkakwGl1hxLXn3w2GYJeG6oD2G0i/V6nRUtCBC6Dd&#10;BBoTDJFP7v0PhvC+nBcMalyNUaAUEnBjXznoHM66mc0mHmziwePjwcJi30m/V9A6IOeFgtcGvSRp&#10;BpdRT/WzbvkARk0bNT1WTTcx5W40ph1X7uFVRTqX5FWlKr+h3XBvg2GP+rx+Ux4oDz/Y6TDsohK0&#10;ZvLxMjsh2YdZD9MpU72w8xYaBSNAu8Vd6Mao40O3IjFPeaV9K1wvrnwp1w20uVnfW1tf7Tx2H/kt&#10;D/JdZrmMkfQb6OjSgzfTqTXnaImCJ1xapJtQbNMiV7CZm5c4mef6DkKxXkMa9IfSsF8bz4euvhM4&#10;nqKykVGE/nOd1UegHnvF0jPbRv3Du4W6obI/PJXtaS++oZowppEyys3iaJC9YZpQ8QwPfls6GDfr&#10;frlZsAvly66l6baAdY4Xc4u3abc/Y7v9MvJH/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DQAAW0NvbnRlbnRfVHlwZXNdLnhtbFBLAQIUAAoA&#10;AAAAAIdO4kAAAAAAAAAAAAAAAAAGAAAAAAAAAAAAEAAAAM4MAABfcmVscy9QSwECFAAUAAAACACH&#10;TuJAihRmPNEAAACUAQAACwAAAAAAAAABACAAAADyDAAAX3JlbHMvLnJlbHNQSwECFAAKAAAAAACH&#10;TuJAAAAAAAAAAAAAAAAABAAAAAAAAAAAABAAAAAAAAAAZHJzL1BLAQIUABQAAAAIAIdO4kBqzcet&#10;1wAAAAUBAAAPAAAAAAAAAAEAIAAAACIAAABkcnMvZG93bnJldi54bWxQSwECFAAUAAAACACHTuJA&#10;6Ykby3wLAADUfAAADgAAAAAAAAABACAAAAAmAQAAZHJzL2Uyb0RvYy54bWxQSwUGAAAAAAYABgBZ&#10;AQAAFA8AAAAA&#10;">
                <o:lock v:ext="edit" aspectratio="f"/>
                <v:shape id="_x0000_s1026" o:spid="_x0000_s1026" style="position:absolute;left:0;top:0;height:5433060;width:5274310;" filled="f" stroked="f" coordsize="21600,21600" o:gfxdata="UEsDBAoAAAAAAIdO4kAAAAAAAAAAAAAAAAAEAAAAZHJzL1BLAwQUAAAACACHTuJAas3HrdcAAAAF&#10;AQAADwAAAGRycy9kb3ducmV2LnhtbE2PQUvDQBCF70L/wzIFL2J3qzSUmE0PhdIiQjHVnrfZMQlm&#10;Z9PsNqn/3tGLXoY3vOG9b7LV1bViwD40njTMZwoEUultQ5WGt8PmfgkiREPWtJ5QwxcGWOWTm8yk&#10;1o/0ikMRK8EhFFKjoY6xS6UMZY3OhJnvkNj78L0zkde+krY3I4e7Vj4olUhnGuKG2nS4rrH8LC5O&#10;w1juh+PhZSv3d8edp/PuvC7en7W+nc7VE4iI1/h3DD/4jA45M538hWwQrQZ+JP5O9paPKgFxYrFY&#10;JCDzTP6nz78BUEsDBBQAAAAIAIdO4kDXaY0HKwsAABt8AAAOAAAAZHJzL2Uyb0RvYy54bWztXU2P&#10;nMgZvkfKf0Dc46GqKD5GHq+ccZxEsrKWnI8zQ9M9HdHQAeZrjzkktz2uIm0UKVGS0yaHaE+Rov01&#10;O96fkaeqgKJp8DS94/H2bPkwpqtooKmH9+N5P3j60fUqtS6Tolzm2YlNnji2lWRxPltmixP7V798&#10;+aPAtsoqymZRmmfJiX2TlPZHz374g6dX6+OE5ud5OksKCwfJyuOr9Yl9XlXr46OjMj5PVlH5JF8n&#10;GSbnebGKKnwsFkezIrrC0VfpEXUc7+gqL2brIo+TssToCzVp10csdjlgPp8v4+RFHl+skqxSRy2S&#10;NKrwk8rz5bq0n8mrnc+TuPp4Pi+TykpPbPzSSv7FSbB9Jv4ePXsaHS+KaH2+jOtLiHa5hN5vWkXL&#10;DCdtD/UiqiLrolhuHWq1jIu8zOfVkzhfHakfIu8IfgVxevfmNMouI/VjYtzr5gKxdY/HPVvgHuCQ&#10;x1dY2kRuY2HLdbvE5bc72ZvzaJ3IBSmP419cvi6s5Qy4c4htZdEKAHv7+Ze3n/7j7b//9fXfv/zm&#10;q7+I7S/+aYkd6ovBt06z10X9qVy/LsSdvp4XK/E/7qF1LQ7IKQm5bd2c2Dx0OK/XNrmurBjz3Cfc&#10;warHmJdTR/oQ66KsfprkK0tsnNhlVUTLxXl1mmcZAJQXRC5tdPmqrHAR+GLzBXH+LH+5TFOMR8dp&#10;Zl2d2B7Dua04wrMxByaxuVrjF5fZwraidIGHLq4KecQyT5cz8W3x5bJYnJ2mhXUZAaov5T9xA3C2&#10;jd3EqV9E5bnaT04pEK+WFZ7LdLk6sQNH/FPDVbRMf5LNrOpmjXsdFUV+ZYurXCUz20oTXI3YUidK&#10;M5zval0eq3ssts7y2Y289XIcsBBYeRB80AYft5/98fbPX9z+9Q/ABBVXKi4AmHgDIFjV9Y9zsfrN&#10;+Bg6POKHAZYFq+8yL8CmXLEGHaHvhw06aEiJunvjECmAi/sChVz8USTIpWwAuxsSivwim8mfd55E&#10;M734GeT58NpHx5swGd8Tt2QAJdX12XW9MAow1sW6EI9QvTIPDh42BB7WgGQieBihjHtKtBDqetzh&#10;m+jxqBu4tWx5f+jZEDb1OkTHiVRytWTafHa3V6XIsSK40HIdv1xCkLyKyup1VEDjYRA2QfUx/szT&#10;HPIhr7ds6zwvPhkaF/tDNWAWoIIGhYj73UVUAGLpzzMojZC44qZU8oPLfYoPRXfmrDuTXaxOc0g+&#10;qAVcndwU+1dpszkv8tVvYDo8F2fFVJTFOPeJDQGrNk8rpddhesTJ8+dyJyjZdVS9yt4IlanEeJY/&#10;v6jy+VKKci3iasn3kBLObUH6+X/e/verru5zO1Ad0X3WPF2uf938qloLUuKSgCuoUsg5bG7IOep5&#10;fivnHAZ7TMyPy7n4orhMZq0iZFrmCTQuZrUKj2a/xbrNVymQBP1lcYdgtdWRpdqU5+hqzTtV5T1J&#10;xZtSKEt1E6SGlLdjX7l4QOoTGFDmVVd9SjTsoT6pE7qU4aGD+gw57YGKEOJ4BCcUttXDyr+etbIt&#10;8T6wHvKHVsEXcNxjFYjjem5txDBKed+I4Rx2DRbp4ZfBqKEDVkPw99/tiAUdvI4oIyGtGxXkkQDO&#10;mJQVxPecLR1kPLED88TCuwASTgIIwOE5LUD8EM660s+NM2YAclgAIdA575Qg2EFrvF0kCIRGrefg&#10;txsBIm9f30c/HFuUtFRfxxbFoMbEFCpH2D2N+DBWkHLXlfNunPEdOPUROpq0dOM3v//T1//7W8cZ&#10;x5RGqpBe0jWtTq+zmsnGV5czkJByP+mR1Iy1svK7lKQlGRjuSlYPHvOQC++6Pg2Vr8WCwFOONCzs&#10;msh2nYAJ7SmsfOIEAcO+uL5xH/4MMZLWg6fag1df6jrlhsp+L6EOMsRGYlCjapL8AwHp1+YT90O/&#10;T/EEhLMPQ0Z+x51xovk2HVHA4J7L4Pic1EZK4CHc1DNiDSmyGBO1LTWlIn9dUdslqEYMRSk0f9bj&#10;PYnDAjAiKvoXuAHrrwYL/ZoZcTn3iKKwxmVmukSoRMj5hwz67RHqGQz61bGB3uP4wSJ5xGvcg675&#10;5+353BGP+uJhE1QkAbuA5RRH0vrRhPI2Ir6HHsojLYU6kieAHbQEH5EZHXqqS6K6oLUFobqBH8M+&#10;HBj7cBd/Sabyl5p9oGCqwr6AMQA5MIDcxV+S/flLxjjMbSNBpATdzCE5HH6KtvzUiIrBDtNUjCa4&#10;G7bKqBiYaAcLkJYc6liwtEsLTXLguQh51BYsFxRmz4I1cVyTThQno1nBI241HWKZMKgl1xSQds1k&#10;win1t5ScSTYwOW/TQao5uH7OG+0ycSN+3DBh7njIzqzlKQuDrXiySXqT1sfjT3oTBOBW0pui+vZI&#10;t4JiRlZbjSskU4r88U0zzohAIwKni8AhOpTeBx1KERrkfWPS0KGPig6lLR3adUW6FOi+Vh6FJ4LI&#10;shFxJpli5wLFMVekpWRvt6y8HcjYO608FPqhWqvnNRsr7/ti5bV8blcEdjncKSKQUijNurSBOsx3&#10;jJUnKkRNcdeONdojIlAgassVUdp1D1eEdMpXGUH2j7HyNmqX+9TyoQe9WRuR6Ig4DO7L5YmMCeXI&#10;MmRMGCsPFa5GxH1bK4/pqEjfysOUhuo0Lk8XGtLQQx2+sfK+nwWsbCicgUGNq0lWXu0xiKwxKkqO&#10;jJVnROCETjxjVp4OZ+iUYtYNZEwCaaeyhTLCRJq/9Oma1H8TGDaB4emBYeRCD7giElp7uSIq51ZI&#10;UhYS9DrqgZSg9QN5/wUIww2WZGmO6aXTNGOb1G1sTMYNxSvY3vGKbg+DgCGtoAcfI+OMjNtDxumw&#10;yJYv0g2OTPNFXM8DPKWk8x22lQhsGGdpnTz+vAKm4xkdM68byZhk5pEgbNu4cBekswm6GTpm966g&#10;Y3q6DYuMZDGzbohkRBB2CmUYYNqIP8IJeoX1NbXpqHlQHTXdllTeqrvElOZVRqAxWHeJYATq8VSx&#10;Oti6AJsbHqtsFqZK1UOPogOrmDZllw/RQNUdItAwqBd6itJifuC0yXDMJVtl54TAGxRtC95v9zHj&#10;9j1Q/123ZQ1G1Al20FASMkP63rothsDfzm0xRCOMfk23y1wf5b11pS9jW32AADfMCrxxF62B75At&#10;pqtzKTtnC87ng9WCu0NkAgY1kiYJpZpAkKw+wuJu35I2yY+PKvnRvcvExQ4aSSN2TMfEJQwtipWA&#10;oWHguX0LN2RUtvgQIiaoy7TGjRcjYL4DAka03n9nLzplgtbE9w4QcZD4X+dOcOJS0QUXENPtJkw1&#10;+GFVg/PWC+qk1mBQy40pGohw1BsBEkIDudjcSq0xGuhRaSCuc140E4jBPdHj4K0UNcPsBlw2d94U&#10;LqbCyFQYTa4w4trz7wdDMKWhOqL9RtLvVWq0FHTgAmg/gcYEQ+ST+/iDIXwo5wWDGldTFCiFBGzs&#10;Kxedw1k/s9nEg008eHo8WFjsW+n3Clp75LxQ8NqglyTN4DHqq37WHR/AqGmjpqeq6Tam3I/GdOPK&#10;A7yqSOeSvKpU5Xe0Gx5sMOzTgNdvygPlEYRbHYY9VILWTD5eZick+zjrYTplqvde3kOqFQK0G9yF&#10;bow6PXQrEvOUVzq0wvXiypdy3UGbm/W9t/XVzmP/kd/wIN9llssYybCBji49eDOdWnOOlih4wqVF&#10;2iQPty1yBZvZvMTJPNcPEIr1W9JgOJSGeW0877v6buj6ispGRhH6z/VWH4F6zIqlZ46D+od3C3VD&#10;ZX94KtvXXnxLNWFMI2WSm8XRILthmlDxDA9+UzoYN+txuVmwC2Pxymhpui1gneP91uKl1N3P2O6+&#10;0/vZ/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bDQAAW0NvbnRlbnRfVHlwZXNdLnhtbFBLAQIUAAoAAAAAAIdO4kAAAAAAAAAAAAAAAAAGAAAA&#10;AAAAAAAAEAAAAH0MAABfcmVscy9QSwECFAAUAAAACACHTuJAihRmPNEAAACUAQAACwAAAAAAAAAB&#10;ACAAAAChDAAAX3JlbHMvLnJlbHNQSwECFAAKAAAAAACHTuJAAAAAAAAAAAAAAAAABAAAAAAAAAAA&#10;ABAAAAAAAAAAZHJzL1BLAQIUABQAAAAIAIdO4kBqzcet1wAAAAUBAAAPAAAAAAAAAAEAIAAAACIA&#10;AABkcnMvZG93bnJldi54bWxQSwECFAAUAAAACACHTuJA12mNBysLAAAbfAAADgAAAAAAAAABACAA&#10;AAAmAQAAZHJzL2Uyb0RvYy54bWxQSwUGAAAAAAYABgBZAQAAww4AAAAA&#10;">
                  <v:fill on="f" focussize="0,0"/>
                  <v:stroke on="f"/>
                  <v:imagedata o:title=""/>
                  <o:lock v:ext="edit" aspectratio="f"/>
                </v:shape>
                <v:shape id="_x0000_s1026" o:spid="_x0000_s1026" o:spt="32" type="#_x0000_t32" style="position:absolute;left:1052195;top:590550;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HGPbXcaAgAA/gMAAA4AAABkcnMvZTJvRG9jLnhtbK1TzY7T&#10;MBC+I/EOlu806aIsu1XTPbQsFwSVgAdwHSex5D/NeJv2JXgBJE7ACTjtnaeB5TEYO6ULy2UP5OCM&#10;PZ5v5vtmPL/YWcO2ClB7V/PppORMOekb7bqav3l9+eiMM4zCNcJ4p2q+V8gvFg8fzIcwUye+96ZR&#10;wAjE4WwINe9jDLOiQNkrK3Dig3LkbD1YEWkLXdGAGAjdmuKkLE+LwUMTwEuFSKer0ckPiHAfQN+2&#10;WqqVl1dWuTiigjIiEiXsdUC+yNW2rZLxZduiiszUnJjGvFISsjdpLRZzMetAhF7LQwniPiXc4WSF&#10;dpT0CLUSUbAr0P9AWS3Bo2/jRHpbjESyIsRiWt7R5lUvgspcSGoMR9Hx/8HKF9s1MN3QJJRTzpyw&#10;1PKbd9c/3n68+frl+4frn9/eJ/vzJ5YukFxDwBlFLd0aDjsMa0jcdy3Y9CdWbJcAq5PpecXZvubV&#10;eVlVB7XVLjJJ/urJtCqpD5L82VXcQgTA+Ex5y5JRc4wgdNfHpXeOWuphmsUW2+cYqQgK/B2Q8jt/&#10;qY3JnTWODTU/fUy5mRQ0rS1NCZk2EGN0HWfCdPQMZISMiN7oJkUnHIRuszTAtiINT/6SAJTtr2sp&#10;9UpgP97LrnGsrI70Uoy2NT87RotZFNo8dQ2L+0BaCwA/8FSlVQ1nRlE1yRoTGUf5kuKjxsna+Gaf&#10;pc/nNBa5osMIp7n7c5+jb5/t4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Y6/Z1gAAAAUBAAAP&#10;AAAAAAAAAAEAIAAAACIAAABkcnMvZG93bnJldi54bWxQSwECFAAUAAAACACHTuJAcY9tdxoCAAD+&#10;AwAADgAAAAAAAAABACAAAAAlAQAAZHJzL2Uyb0RvYy54bWxQSwUGAAAAAAYABgBZAQAAsQUAAAAA&#10;">
                  <v:fill on="f" focussize="0,0"/>
                  <v:stroke weight="0.5pt" color="#000000 [3200]" miterlimit="8" joinstyle="miter" endarrow="open"/>
                  <v:imagedata o:title=""/>
                  <o:lock v:ext="edit" aspectratio="f"/>
                </v:shape>
                <v:shape id="_x0000_s1026" o:spid="_x0000_s1026" o:spt="202" type="#_x0000_t202" style="position:absolute;left:1617980;top:436880;height:292100;width:977900;" filled="f" stroked="t" coordsize="21600,21600" o:gfxdata="UEsDBAoAAAAAAIdO4kAAAAAAAAAAAAAAAAAEAAAAZHJzL1BLAwQUAAAACACHTuJAbES679YAAAAF&#10;AQAADwAAAGRycy9kb3ducmV2LnhtbE2PQU/DMAyF70j8h8hI3FgyUMvUNd0BsQMSQmJDjGPaek1F&#10;4pQm6wa/HsMFLtaznvXe53J18k5MOMY+kIb5TIFAakLbU6fhZbu+WoCIyVBrXCDU8IkRVtX5WWmK&#10;NhzpGadN6gSHUCyMBpvSUEgZG4vexFkYkNjbh9GbxOvYyXY0Rw73Tl4rlUtveuIGawa8s9i8bw5e&#10;w+Pr7uN+/fSmdli7PpvcrX34qrW+vJirJYiEp/R3DD/4jA4VM9XhQG0UTgM/kn4ne4sblYOoWWRZ&#10;DrIq5X/66htQSwMEFAAAAAgAh07iQJRIm3MMAgAAGwQAAA4AAABkcnMvZTJvRG9jLnhtbK1Ty67T&#10;MBDdI/EPlvc0aS70paZXgnLZIEC68AGu7SSW/JLHbdIfgD9gxYY939XvYOz0Ptl0QRfpxHNyZs6Z&#10;8fp6MJocZADlbE2nk5ISabkTyrY1/fb15tWCEojMCqadlTU9SqDXm5cv1r1fycp1TgsZCJJYWPW+&#10;pl2MflUUwDtpGEyclxaTjQuGRXwNbSEC65Hd6KIqy1nRuyB8cFwC4Ol2TNIzY7iE0DWN4nLr+N5I&#10;G0fWIDWLKAk65YFucrdNI3n83DQgI9E1RaUxP7EIxrv0LDZrtmoD853i5xbYJS0802SYslj0nmrL&#10;IiP7oP6hMooHB66JE+5MMQrJjqCKafnMm9uOeZm1oNXg702H/0fLPx2+BKIEbkJZUWKZwZGffv44&#10;/fpz+v2dpEO0qPewQuStR2wc3roB4XfngIdJ+dAEk/5RE0n52XS+XKDNx5q+vpotMMxeyyESjvnl&#10;fL4sMc0xXy2rKcaYLx54fID4QTpDUlDTgKPMDrPDR4gj9A6Sylp3o7TOJbQlfU1nV28SPcMVbXA1&#10;MDQeZYJtMw04rUT6JH0Mod2904EcWFqT/Dt38wSW6m0ZdCMup0ZRwe2tyLU7ycR7K0g8ejTS4g2i&#10;qRkjBSVa4oVLUUZGpvQlSLREW3QmzWD0OkVx2A1Ik8KdE0ecy94H1XboVJ5MhuPOZEvP+52W8vF7&#10;Jn2405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ES679YAAAAFAQAADwAAAAAAAAABACAAAAAi&#10;AAAAZHJzL2Rvd25yZXYueG1sUEsBAhQAFAAAAAgAh07iQJRIm3MMAgAAGwQAAA4AAAAAAAAAAQAg&#10;AAAAJQEAAGRycy9lMm9Eb2MueG1sUEsFBgAAAAAGAAYAWQEAAKMFAAAAAA==&#10;">
                  <v:fill on="f" focussize="0,0"/>
                  <v:stroke weight="0.5pt" color="#000000" joinstyle="round"/>
                  <v:imagedata o:title=""/>
                  <o:lock v:ext="edit" aspectratio="f"/>
                  <v:textbox>
                    <w:txbxContent>
                      <w:p>
                        <w:pPr>
                          <w:spacing w:line="240" w:lineRule="auto"/>
                          <w:ind w:firstLine="0" w:firstLineChars="0"/>
                          <w:jc w:val="center"/>
                          <w:rPr>
                            <w:szCs w:val="22"/>
                          </w:rPr>
                        </w:pPr>
                        <w:r>
                          <w:rPr>
                            <w:rFonts w:hint="eastAsia"/>
                            <w:szCs w:val="22"/>
                          </w:rPr>
                          <w:t>猪只饮用水</w:t>
                        </w:r>
                      </w:p>
                    </w:txbxContent>
                  </v:textbox>
                </v:shape>
                <v:shape id="_x0000_s1026" o:spid="_x0000_s1026" o:spt="202" type="#_x0000_t202" style="position:absolute;left:3123565;top:1246505;height:292100;width:62484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CxE0xUTwIAAIMEAAAOAAAAZHJzL2Uyb0RvYy54bWytVEtu&#10;2zAQ3RfoHQjuG8nyp4kROXATpCgQNAHcomuaoiIB/JWkI6UHaG+QVTfd91w+Rx8pOzHSLrLohh5y&#10;nmbmvZnx6VmvJLkTzrdGl3R0lFMiNDdVq29L+vnT5ZtjSnxgumLSaFHSe+Hp2eL1q9POzkVhGiMr&#10;4QiCaD/vbEmbEOw8yzxvhGL+yFih4ayNUyzg6m6zyrEO0ZXMijyfZZ1xlXWGC+/xejE46S6ie0lA&#10;U9ctFxeGb5TQYYjqhGQBlHzTWk8Xqdq6Fjxc17UXgciSgmlIJ5LAXsczW5yy+a1jtmn5rgT2khKe&#10;cVKs1Uj6GOqCBUY2rv0rlGq5M97U4YgblQ1EkiJgMcqfabNqmBWJC6T29lF0///C8o93N460FSYh&#10;H1OimULLtw8/tj9/b399J/EREnXWz4FcWWBD/870gO/fPR4j8752Kv6CE4F/PCrG09mUkntgi8ls&#10;mk8HsUUfCAdgVkyOJ2gDB6A4KUZ5akb2FMg6H94Lo0g0SurQyyQxu7vyAUUBuofEvNpctlKmfkpN&#10;OiQYT/P0waMHX0gdsSJNxi5MJDeQiFbo1/2O8dpU9yDszDA13vLLFqVcMR9umMOYoHosUrjGUUuD&#10;lGZnUdIY9+1f7xGP7sFLSYexK6n/umFOUCI/aPT1ZDSJooR0mUzfFri4Q8/60KM36txgskdYWcuT&#10;GfFB7s3aGfUF+7aMWeFimiN3ScPePA/DMmBfuVguEwiTaVm40ivLY+hB3OUmmLpNukeZBm3QhHjB&#10;bKZ27PYoDv/hPaGe/js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NYwIj1wAAAAUBAAAPAAAA&#10;AAAAAAEAIAAAACIAAABkcnMvZG93bnJldi54bWxQSwECFAAUAAAACACHTuJAsRNMVE8CAACD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336.72</w:t>
                        </w:r>
                      </w:p>
                    </w:txbxContent>
                  </v:textbox>
                </v:shape>
                <v:shape id="_x0000_s1026" o:spid="_x0000_s1026" o:spt="38" type="#_x0000_t38" style="position:absolute;left:2141855;top:236855;flip:y;height:203200;width:266700;" filled="f" stroked="t" coordsize="21600,21600" o:gfxdata="UEsDBAoAAAAAAIdO4kAAAAAAAAAAAAAAAAAEAAAAZHJzL1BLAwQUAAAACACHTuJApAn259YAAAAF&#10;AQAADwAAAGRycy9kb3ducmV2LnhtbE2PQUvDQBCF74L/YRnBi9jdWpKWmE2RQo8N2Cp43GbHJLo7&#10;G7LbtP57Ry96Gd7whve+KdcX78SEY+wDaZjPFAikJtieWg0vh+39CkRMhqxxgVDDF0ZYV9dXpSls&#10;ONMzTvvUCg6hWBgNXUpDIWVsOvQmzsKAxN57GL1JvI6ttKM5c7h38kGpXHrTEzd0ZsBNh83n/uQ1&#10;1JvtYvlx97ZbTlnd1lS7p2z3qvXtzVw9gkh4SX/H8IPP6FAx0zGcyEbhNPAj6Xeyt1qoHMSRRZbl&#10;IKtS/qevvgFQSwMEFAAAAAgAh07iQBGNfQIwAgAAOwQAAA4AAABkcnMvZTJvRG9jLnhtbK1TzW4T&#10;MRC+I/EOlu9kd5MmVFE2PSSUC4JK/Nwd25s18p88TjZ5CV4AiRucOPXIpW/T8hiMvdsWCoce2MNq&#10;xjP+Zr5vxouzg9FkLwMoZ2tajUpKpOVOKLut6ft3589OKYHIrGDaWVnTowR6tnz6ZNH5uRy71mkh&#10;A0EQC/PO17SN0c+LAngrDYOR89JisHHBsIhu2BYisA7RjS7GZTkrOheED45LADxd90E6IIbHALqm&#10;UVyuHd8ZaWOPGqRmESlBqzzQZe62aSSPb5oGZCS6psg05j8WQXuT/sVywebbwHyr+NACe0wLDzgZ&#10;piwWvYNas8jILqi/oIziwYFr4og7U/REsiLIoiofaPO2ZV5mLig1+DvR4f/B8tf7i0CUwE0oTyix&#10;zODIrz9f3vy4+nn15frT15vv30gKoVCdhznmr+xFGDzwFyGxPjTBkEYr/wFxsg7IjBxqOq5OqtPp&#10;lJIj2pNZMrPi8hAJT/HZ7HmJs+ApXk5wP1K86BETsg8QX0pnSDJqyndhL8XKWYuTdWGSa7H9K4hZ&#10;fDEQYOJjRUljNM5yzzSZltX4FnnIxhq32OmqtqSr6WwyTc0wXOsG1wlN41EasNtcCJxW4lxpnW5A&#10;2G5WOhDEx0XK39D7H2mpyJpB2+fBEZLTi2BUlCHL0UomXlhB4tGj/BbfHU3tGCko0RKfabJyZmRK&#10;32eyEFz371Tkpy1KmYbWjylZGyeOeXr5HHcqiz3sf1ra3/18+/7N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An259YAAAAFAQAADwAAAAAAAAABACAAAAAiAAAAZHJzL2Rvd25yZXYueG1sUEsB&#10;AhQAFAAAAAgAh07iQBGNfQIwAgAAOwQAAA4AAAAAAAAAAQAgAAAAJQEAAGRycy9lMm9Eb2MueG1s&#10;UEsFBgAAAAAGAAYAWQEAAMcFAAAAAA==&#10;" adj="10826">
                  <v:fill on="f" focussize="0,0"/>
                  <v:stroke weight="0.5pt" color="#000000" joinstyle="miter" dashstyle="3 1" endarrow="open"/>
                  <v:imagedata o:title=""/>
                  <o:lock v:ext="edit" aspectratio="f"/>
                </v:shape>
                <v:shape id="_x0000_s1026" o:spid="_x0000_s1026" o:spt="202" type="#_x0000_t202" style="position:absolute;left:2094230;top:9525;height:292100;width:1110615;"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AvWEoGwAEAAGQDAAAOAAAAZHJzL2Uyb0RvYy54bWytU82O&#10;0zAQviPxDpbvNE6WVjRquhKqlgsCpGUfwHXsxpLtsWy3SV8A3oATF+48V5+DsdvtouWyBy7OeH6+&#10;me8bZ3U7WUMOMkQNrqP1jFEinYBeu11HH77evXlHSUzc9dyAkx09ykhv169frUbfygYGML0MBEFc&#10;bEff0SEl31ZVFIO0PM7AS4dBBcHyhNewq/rAR0S3pmoYW1QjhN4HEDJG9G7OQXpBDC8BBKW0kBsQ&#10;eytdOqMGaXhCSnHQPtJ1mVYpKdJnpaJMxHQUmaZyYhO0t/ms1ive7gL3gxaXEfhLRnjGyXLtsOkV&#10;asMTJ/ug/4GyWgSIoNJMgK3ORIoiyKJmz7S5H7iXhQtKHf1V9Pj/YMWnw5dAdI8vgc0pcdziyk8/&#10;vp9+/j79+kayEyUafWwx895jbprew4Tpj/6Izsx8UsHmL3IiGG/Y8m1zgzIfO7qcNwWGt3JKROTq&#10;umaLGhsKDDfLpmZlFdUTjA8xfZBgSTY6GnCTRWB++BgTjoSpjym5q4M7bUzZpnFk7OjiZs5KwTWC&#10;FcZhYSZzHjpbadpOF4Zb6I9IcO+D3g3Ys1As6Sh+6Xh5KHm7f98L6NPPs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WMCI9cAAAAFAQAADwAAAAAAAAABACAAAAAiAAAAZHJzL2Rvd25yZXYueG1s&#10;UEsBAhQAFAAAAAgAh07iQC9YSgbAAQAAZAMAAA4AAAAAAAAAAQAgAAAAJgEAAGRycy9lMm9Eb2Mu&#10;eG1sUEsFBgAAAAAGAAYAWQEAAFgFA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ascii="Times New Roman" w:hAnsi="Times New Roman" w:cs="Times New Roman"/>
                            <w:szCs w:val="22"/>
                          </w:rPr>
                          <w:t>190.4</w:t>
                        </w:r>
                      </w:p>
                    </w:txbxContent>
                  </v:textbox>
                </v:shape>
                <v:shape id="_x0000_s1026" o:spid="_x0000_s1026" o:spt="202" type="#_x0000_t202" style="position:absolute;left:1046480;top:32258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D6Kq0ZSgIAAIIEAAAOAAAAZHJzL2Uyb0RvYy54bWytVEtu&#10;2zAQ3RfoHQjua8mKnThG5MBN4KJA0ARwi65piooE8FeSjpQeoL1BV91033PlHH2k7DhIu8iiG3qG&#10;b/yGbz46O++VJHfC+dboko5HOSVCc1O1+raknz6u3swo8YHpikmjRUnvhafni9evzjo7F4VpjKyE&#10;IyDRft7ZkjYh2HmWed4IxfzIWKEB1sYpFuC626xyrAO7klmR58dZZ1xlneHCe9xeDiDdMbqXEJq6&#10;brm4NHyrhA4DqxOSBUjyTWs9XaTX1rXg4bquvQhElhRKQzqRBPYmntnijM1vHbNNy3dPYC95wjNN&#10;irUaSR+pLllgZOvav6hUy53xpg4jblQ2CEkVgYpx/qw264ZZkbSg1N4+Ft3/P1r+4e7GkbbCJOQn&#10;lGim0PKHH98ffv5++PWNxEuUqLN+jsi1RWzo35oe4ft7j8uovK+dir/QRCKeT44nM5T5vqRHRTGF&#10;mWot+kA48Ol0NssBc+DFaTGGDTw78FjnwzthFIlGSR1amSrM7q58GEL3ITGtNqtWypRCatKV9Pho&#10;mqc/PCIglzrGijQYO5qobdAQrdBvepBEc2Oqe+h1Zhgab/mqxVOumA83zGFK8HrsUbjGUUuDlGZn&#10;UdIY9/Vf9zEezQNKSYepK6n/smVOUCLfa7T1dDyZgDYkZzI9KeC4p8jmKaK36sJgsMfYWMuTGeOD&#10;3Ju1M+oz1m0ZswJimiN3ScPevAjDLmBduVguUxAG07JwpdeWR+qhuMttMHWb6n6oDfoVHYxm6txu&#10;jeLsP/VT1OHTsf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WMCI9cAAAAFAQAADwAAAAAAAAAB&#10;ACAAAAAiAAAAZHJzL2Rvd25yZXYueG1sUEsBAhQAFAAAAAgAh07iQPoqrRlKAgAAggQAAA4AAAAA&#10;AAAAAQAgAAAAJgEAAGRycy9lMm9Eb2MueG1sUEsFBgAAAAAGAAYAWQEAAOIFA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5</w:t>
                        </w:r>
                        <w:r>
                          <w:rPr>
                            <w:rFonts w:ascii="Times New Roman" w:hAnsi="Times New Roman" w:cs="Times New Roman"/>
                            <w:szCs w:val="22"/>
                          </w:rPr>
                          <w:t>2</w:t>
                        </w:r>
                        <w:r>
                          <w:rPr>
                            <w:rFonts w:hint="eastAsia" w:ascii="Times New Roman" w:hAnsi="Times New Roman" w:cs="Times New Roman"/>
                            <w:szCs w:val="22"/>
                          </w:rPr>
                          <w:t>0</w:t>
                        </w:r>
                      </w:p>
                    </w:txbxContent>
                  </v:textbox>
                </v:shape>
                <v:shape id="_x0000_s1026" o:spid="_x0000_s1026" o:spt="32" type="#_x0000_t32" style="position:absolute;left:2618105;top:1760855;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KMIXVwdAgAA/wMAAA4AAABkcnMvZTJvRG9jLnhtbK1TzY7T&#10;MBC+I/EOlu80SVG6VdR0Dy3LBUEl4AFcx0ks+U9jb9O+BC+AxAk4Aae979PA8hg7drpdWC57IAdn&#10;bM98M98348X5XiuyE+ClNTUtJjklwnDbSNPV9P27i2dzSnxgpmHKGlHTg/D0fPn0yWJwlZja3qpG&#10;AEEQ46vB1bQPwVVZ5nkvNPMT64TBy9aCZgG30GUNsAHRtcqmeT7LBguNA8uF93i6Hi/pEREeA2jb&#10;VnKxtvxSCxNGVBCKBaTke+k8XaZq21bw8KZtvQhE1RSZhrRiErS3cc2WC1Z1wFwv+bEE9pgSHnDS&#10;TBpMeoJas8DIJch/oLTkYL1tw4RbnY1EkiLIosgfaPO2Z04kLii1dyfR/f+D5a93GyCywUnIsfGG&#10;aWz5zcerXx++3Pz4/vPz1e/rT9H+9pVEB5RrcL7CqJXZwHHn3QYi930LOv6RFdnXdDor5kVeUnJA&#10;8LNZPi/LUW6xD4SjQ3lWlDk2gqND6kR2j+HAh5fCahKNmvoATHZ9WFljsKcWiqQ2273yAavAwLuA&#10;WICxF1Kp1FplyFDT2fMy5mE4ri2OCZraIWVvOkqY6vAd8AAJ0VslmxgdcTx025UCsmNxetIXGWC2&#10;v9xi6jXz/eiXrkaiWgZ8Kkrqms5P0awKTKoXpiHh4FBsBmAHGqvUoqFECawmWmMiZTBflHwUOVpb&#10;2xyS9ukc5yJVdJzhOHh/7lP0/btd3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Y6/Z1gAAAAUB&#10;AAAPAAAAAAAAAAEAIAAAACIAAABkcnMvZG93bnJldi54bWxQSwECFAAUAAAACACHTuJAowhdXB0C&#10;AAD/AwAADgAAAAAAAAABACAAAAAlAQAAZHJzL2Uyb0RvYy54bWxQSwUGAAAAAAYABgBZAQAAtAUA&#10;AAAA&#10;">
                  <v:fill on="f" focussize="0,0"/>
                  <v:stroke weight="0.5pt" color="#000000 [3200]" miterlimit="8" joinstyle="miter" endarrow="open"/>
                  <v:imagedata o:title=""/>
                  <o:lock v:ext="edit" aspectratio="f"/>
                </v:shape>
                <v:shape id="_x0000_s1026" o:spid="_x0000_s1026" o:spt="32" type="#_x0000_t32" style="position:absolute;left:1056005;top:1779905;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BUVGlIbAgAA/wMAAA4AAABkcnMvZTJvRG9jLnhtbK1TzW4T&#10;MRC+I/EOlu90N0VpmlU3PSSUC4JIwANMvd5dS/7T2M0mL8ELIHECTtBT7zwNlMdg7A0plEsP7ME7&#10;tme+me+b8dn51mi2kRiUszWfHJWcSStco2xX87dvLp6cchYi2Aa0s7LmOxn4+eLxo7PBV/LY9U43&#10;EhmB2FANvuZ9jL4qiiB6aSAcOS8tXbYODUTaYlc0CAOhG10cl+VJMThsPDohQ6DT1XjJ94j4EEDX&#10;tkrIlRNXRto4oqLUEIlS6JUPfJGrbVsp4qu2DTIyXXNiGvNKSci+TGuxOIOqQ/C9EvsS4CEl3ONk&#10;QFlKeoBaQQR2heofKKMEuuDaeCScKUYiWRFiMSnvafO6By8zF5I6+IPo4f/BipebNTLV0CSUc84s&#10;GGr57fubH+8+3V5//f7x5ue3D8n+8pklB5Jr8KGiqKVd434X/BoT922LJv2JFdsmwOlJWU4525E9&#10;m83nZGe55TYyQQ7T2WRaUiMEOeROFHcYHkN8Lp1hyah5iAiq6+PSWUs9dTjJasPmRYiESYG/A1IB&#10;1l0orXMubdlQ85On05QHaFxbGhMyjSfKwXacge7oHYiIGTE4rZoUnXACdpdLjWwDaXrylxhQtr/c&#10;UuoVhH70y1cjUaMiPRWtTM1PD9FQRVD6mW1Y3HkSGxDdwFOVRjacaUnVJGtMpC3lS5KPIifr0jW7&#10;rH0+p7nIFe1nOA3en/scffduF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mOv2dYAAAAFAQAA&#10;DwAAAAAAAAABACAAAAAiAAAAZHJzL2Rvd25yZXYueG1sUEsBAhQAFAAAAAgAh07iQBUVGlIbAgAA&#10;/wMAAA4AAAAAAAAAAQAgAAAAJQEAAGRycy9lMm9Eb2MueG1sUEsFBgAAAAAGAAYAWQEAALIFAAAA&#10;AA==&#10;">
                  <v:fill on="f" focussize="0,0"/>
                  <v:stroke weight="0.5pt" color="#000000 [3200]" miterlimit="8" joinstyle="miter" endarrow="open"/>
                  <v:imagedata o:title=""/>
                  <o:lock v:ext="edit" aspectratio="f"/>
                </v:shape>
                <v:shape id="_x0000_s1026" o:spid="_x0000_s1026" o:spt="32" type="#_x0000_t32" style="position:absolute;left:2608580;top:617855;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NP+dQcaAgAA/gMAAA4AAABkcnMvZTJvRG9jLnhtbK1TzY7T&#10;MBC+I/EOlu80SVG6VdR0Dy3LBUEl4AFcx0ks+U9jb9O+BC+AxAk4Aae979PA8hg7drpdWC57IIdk&#10;nPF833yfx4vzvVZkJ8BLa2paTHJKhOG2kaar6ft3F8/mlPjATMOUNaKmB+Hp+fLpk8XgKjG1vVWN&#10;AIIgxleDq2kfgquyzPNeaOYn1gmDydaCZgGX0GUNsAHRtcqmeT7LBguNA8uF9/h3PSbpEREeA2jb&#10;VnKxtvxSCxNGVBCKBZTke+k8XaZu21bw8KZtvQhE1RSVhvRGEoy38Z0tF6zqgLle8mML7DEtPNCk&#10;mTRIeoJas8DIJch/oLTkYL1tw4RbnY1CkiOoosgfePO2Z04kLWi1dyfT/f+D5a93GyCywUko0BPD&#10;NB75zcerXx++3Pz4/vPz1e/rTzH+9pXEDWjX4HyFVSuzgePKuw1E7fsWdPyiKrKv6XSWz8s5gh5q&#10;OivO5mU5ui32gXDMl2dFmWOaYz4hZ/cQDnx4KawmMaipD8Bk14eVNQaP1EKRzGa7Vz5gE1h4VxD5&#10;jb2QSqWTVYYMyP68jDwMp7XFKcFQO1TsTUcJUx1eAx4gIXqrZBOrI46HbrtSQHYsDk96ogJk+2tb&#10;pF4z34/7UmoUqmXAm6Kkrun8VM2qwKR6YRoSDg69ZgB2oLFLLRpKlMBuYjQSKYN80fHR4xhtbXNI&#10;1qf/OBapo+MIx7n7c52q76/t8h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Y6/Z1gAAAAUBAAAP&#10;AAAAAAAAAAEAIAAAACIAAABkcnMvZG93bnJldi54bWxQSwECFAAUAAAACACHTuJA0/51BxoCAAD+&#10;AwAADgAAAAAAAAABACAAAAAlAQAAZHJzL2Uyb0RvYy54bWxQSwUGAAAAAAYABgBZAQAAsQUAAAAA&#10;">
                  <v:fill on="f" focussize="0,0"/>
                  <v:stroke weight="0.5pt" color="#000000 [3200]" miterlimit="8" joinstyle="miter" endarrow="open"/>
                  <v:imagedata o:title=""/>
                  <o:lock v:ext="edit" aspectratio="f"/>
                </v:shape>
                <v:shape id="_x0000_s1026" o:spid="_x0000_s1026" o:spt="202" type="#_x0000_t202" style="position:absolute;left:2580005;top:32258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A+sBXrSwIAAIIEAAAOAAAAZHJzL2Uyb0RvYy54bWytVEtu&#10;2zAQ3RfoHQjua8lKnCZG5MBNkKKA0QRIi65piooE8FeStuQeoL1BVt1033P5HH2k7MRIu8iiG3qG&#10;M34z781Q5xe9kmQtnG+NLul4lFMiNDdVq+9L+vnT9ZtTSnxgumLSaFHSjfD0Yvb61Xlnp6IwjZGV&#10;cAQg2k87W9ImBDvNMs8boZgfGSs0grVxigW47j6rHOuArmRW5PlJ1hlXWWe48B63V0OQ7hDdSwBN&#10;XbdcXBm+UkKHAdUJyQIo+aa1ns5St3UteLipay8CkSUF05BOFIG9jGc2O2fTe8ds0/JdC+wlLTzj&#10;pFirUfQR6ooFRlau/QtKtdwZb+ow4kZlA5GkCFiM82fa3DXMisQFUnv7KLr/f7D84/rWkbbCJozH&#10;lGimMPLtw4/tz9/bX99JvIREnfVTZN5Z5Ib+nemRvr/3uIzM+9qp+AtOBPFicprn+YSSTUmPiugN&#10;Wos+EI74ZHKKBEo44sVZMYaNQtkTjnU+vBdGkWiU1GGUSWG2XvgwpO5TYlltrlsp0zilJl1JT44m&#10;efrDYwTgUsdckRZjBxO5DRyiFfplvyO8NNUGfJ0ZlsZbft2ilQXz4ZY5bAm6xzsKNzhqaVDS7CxK&#10;GuO+/es+5mN4iFLSYetK6r+umBOUyA8aYz0bHx/HNU3O8eRtAccdRpaHEb1SlwaLjcGhu2TG/CD3&#10;Zu2M+oLnNo9VEWKao3ZJw968DMNbwHPlYj5PSVhMy8JC31keoQdx56tg6jbpHmUatMG8ooPVTJPb&#10;PaO4+4d+ynr6dM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1jAiPXAAAABQEAAA8AAAAAAAAA&#10;AQAgAAAAIgAAAGRycy9kb3ducmV2LnhtbFBLAQIUABQAAAAIAIdO4kA+sBXrSwIAAII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281.6</w:t>
                        </w:r>
                      </w:p>
                    </w:txbxContent>
                  </v:textbox>
                </v:shape>
                <v:shape id="_x0000_s1026" o:spid="_x0000_s1026" o:spt="33" type="#_x0000_t33" style="position:absolute;left:2447290;top:388620;flip:y;height:1088390;width:408305;rotation:-5898240f;" filled="f" stroked="t" coordsize="21600,21600" o:gfxdata="UEsDBAoAAAAAAIdO4kAAAAAAAAAAAAAAAAAEAAAAZHJzL1BLAwQUAAAACACHTuJAitv1HNUAAAAF&#10;AQAADwAAAGRycy9kb3ducmV2LnhtbE2PQU/DMAyF70j8h8hIXBBLBqwapekOg8FtEgPB1WtMW9E4&#10;pcnW8e/xuMDFsvWs975XLA6+U3saYhvYwnRiQBFXwbVcW3h9WV3OQcWE7LALTBa+KcKiPD0pMHdh&#10;5Gfab1KtxIRjjhaalPpc61g15DFOQk8s2kcYPCY5h1q7AUcx952+MibTHluWhAZ7WjZUfW52XkJ4&#10;ae7fby9WNw9PX2O2Xr95bB6tPT+bmjtQiQ7p7xmO+IIOpTBtw45dVJ0FKZJ+p2jza5OB2soym2Wg&#10;y0L/py9/AFBLAwQUAAAACACHTuJA+BufmDkCAAA6BAAADgAAAGRycy9lMm9Eb2MueG1srVPNjtMw&#10;EL4j8Q6W7zRp+kOImu6hZbkgqMTP3XWcxpL/NPY27ZUH4MyJAxKceAXE0wD7GIyd0mWXyx7IwZrJ&#10;zHwz8/nz4uKgFdkL8NKamo5HOSXCcNtIs6vpm9eXj0pKfGCmYcoaUdOj8PRi+fDBoneVKGxnVSOA&#10;IIjxVe9q2oXgqizzvBOa+ZF1wmCwtaBZQBd2WQOsR3StsiLP51lvoXFgufAe/66HID0hwn0AbdtK&#10;LtaWX2lhwoAKQrGAK/lOOk+Xadq2FTy8bFsvAlE1xU1DOrEJ2tt4ZssFq3bAXCf5aQR2nxHu7KSZ&#10;NNj0DLVmgZErkP9AacnBetuGEbc6GxZJjOAW4/wON6865kTaBan27ky6/3+w/MV+A0Q2qIRxQYlh&#10;Gq/8+t2HH98+XX//+PP9519fv5AYQqJ65yvMX5kNxFV9WB3MUJpjqWwONU152a3E6Hg3lBxa0AQs&#10;3sJsmsePklZJ9xa7J/aQDxJRptPHxRMMHms6Kct5cboncQiEY3yal5N8RgnH+Dgvywnm4nwZq2KD&#10;OJsDH54Jq0k0arpFmaysMSgHC0VqxfbPfRiK/iTHQmMvpVJJFcqQvqbzyQwH4QyV3qLC0NQO2fJm&#10;RwlTO3xCPEBC9FbJJlYncmC3XSkgexaFN+w6dLuVFluvme+GvBQaJKllwFempK5pea5mVWBSPTUN&#10;CUeH98QAbE/jlFo0lCiB00RraKQMUnLDfrS2tjluIIajh5JKpJ3kHzX7t5+ybp78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2/Uc1QAAAAUBAAAPAAAAAAAAAAEAIAAAACIAAABkcnMvZG93bnJl&#10;di54bWxQSwECFAAUAAAACACHTuJA+BufmDkCAAA6BAAADgAAAAAAAAABACAAAAAkAQAAZHJzL2Uy&#10;b0RvYy54bWxQSwUGAAAAAAYABgBZAQAAzwUAAAAA&#10;">
                  <v:fill on="f" focussize="0,0"/>
                  <v:stroke weight="0.5pt" color="#000000 [3200]" miterlimit="8" joinstyle="miter" endarrow="open"/>
                  <v:imagedata o:title=""/>
                  <o:lock v:ext="edit" aspectratio="f"/>
                </v:shape>
                <v:shape id="_x0000_s1026" o:spid="_x0000_s1026" o:spt="202" type="#_x0000_t202" style="position:absolute;left:2465705;top:579755;height:292100;width:81534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Bz2s4YwwEAAGUDAAAOAAAAZHJzL2Uyb0RvYy54bWytU0tu&#10;2zAQ3RfoHQjua30c2YlgOUBhpJuiLZD0ADRFWgT4A4e25Au0N+iqm+57Lp+jI8pximSTRTbUcD5v&#10;5r2hVreD0eQgAihnG1rMckqE5a5VdtfQ7w93H64pgchsy7SzoqFHAfR2/f7dqve1KF3ndCsCQRAL&#10;de8b2sXo6ywD3gnDYOa8sBiULhgW8Rp2WRtYj+hGZ2WeL7LehdYHxwUAejdTkJ4Rw2sAnZSKi43j&#10;eyNsnFCD0CwiJeiUB7pO00opePwqJYhIdEORaUwnNkF7O57ZesXqXWC+U/w8AnvNCM84GaYsNr1A&#10;bVhkZB/UCyijeHDgZJxxZ7KJSFIEWRT5M23uO+ZF4oJSg7+IDm8Hy78cvgWiWnwJxZwSywyu/PTr&#10;5+n339OfH2R0okS9hxoz7z3mxuGjGzD90Q/oHJkPMpjxi5wIxsurRbXMK0qODa2WN8uqmrQWQyQc&#10;49dFNb/CLXCMlzdlkaddZE84PkD8JJwho9HQgKtMCrPDZ4g4E6Y+poxtrbtTWqd1akv6hi7mVZ4K&#10;LhGs0BYLRzbT1KMVh+1wprh17REZ7n1Quw57Jo4pHdVPHc8vZVzv//cE+vR3r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WMCI9cAAAAFAQAADwAAAAAAAAABACAAAAAiAAAAZHJzL2Rvd25yZXYu&#10;eG1sUEsBAhQAFAAAAAgAh07iQHPazhjDAQAAZQMAAA4AAAAAAAAAAQAgAAAAJgEAAGRycy9lMm9E&#10;b2MueG1sUEsFBgAAAAAGAAYAWQEAAFsFAAAAAA==&#10;">
                  <v:fill on="f" focussize="0,0"/>
                  <v:stroke on="f" weight="0.5pt"/>
                  <v:imagedata o:title=""/>
                  <o:lock v:ext="edit" aspectratio="f"/>
                  <v:textbox>
                    <w:txbxContent>
                      <w:p>
                        <w:pPr>
                          <w:spacing w:line="240" w:lineRule="auto"/>
                          <w:ind w:firstLine="0" w:firstLineChars="0"/>
                          <w:jc w:val="center"/>
                          <w:rPr>
                            <w:sz w:val="21"/>
                            <w:szCs w:val="20"/>
                          </w:rPr>
                        </w:pPr>
                        <w:r>
                          <w:rPr>
                            <w:rFonts w:hint="eastAsia"/>
                            <w:sz w:val="21"/>
                            <w:szCs w:val="20"/>
                          </w:rPr>
                          <w:t>猪尿</w:t>
                        </w:r>
                      </w:p>
                    </w:txbxContent>
                  </v:textbox>
                </v:shape>
                <v:shape id="_x0000_s1026" o:spid="_x0000_s1026" o:spt="202" type="#_x0000_t202" style="position:absolute;left:2075180;top:865505;height:292100;width:1110615;"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CLaY2HwgEAAGYDAAAOAAAAZHJzL2Uyb0RvYy54bWytU82O&#10;0zAQviPxDpbvNE4gpURNV0LVckGAtMsDuI7TWLI9lu026QvAG3Diwp3n6nMwdrpdtFz2wMUZz883&#10;833jrG8mo8lR+qDAtrRcMEqkFdApu2/p1/vbVytKQuS24xqsbOlJBnqzefliPbpGVjCA7qQnCGJD&#10;M7qWDjG6piiCGKThYQFOWgz24A2PePX7ovN8RHSji4qxZTGC75wHIUNA73YO0guifw4g9L0Scgvi&#10;YKSNM6qXmkekFAblAt3kafteivi574OMRLcUmcZ8YhO0d+ksNmve7D13gxKXEfhzRnjCyXBlsekV&#10;assjJwev/oEySngI0MeFAFPMRLIiyKJkT7S5G7iTmQtKHdxV9PD/YMWn4xdPVIcvoXxDieUGV37+&#10;8f388/f51zeSnCjR6EKDmXcOc+P0HiZMf/AHdCbmU+9N+iIngvGKva3LFcp8aulqWdesnrWWUyQi&#10;1ZclW5Y1JQITqndVyfIyikcg50P8IMGQZLTU4y6zxPz4MUQcClMfUlJfC7dK67xPbcnY0uXrmuWC&#10;awQrtMXCRGceO1lx2k0XjjvoTkjx4LzaD9gzk8zpKH/ueHkqab9/3zPo4++x+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YwIj1wAAAAUBAAAPAAAAAAAAAAEAIAAAACIAAABkcnMvZG93bnJldi54&#10;bWxQSwECFAAUAAAACACHTuJAi2mNh8IBAABmAwAADgAAAAAAAAABACAAAAAmAQAAZHJzL2Uyb0Rv&#10;Yy54bWxQSwUGAAAAAAYABgBZAQAAWgUAAAAA&#10;">
                  <v:fill on="f" focussize="0,0"/>
                  <v:stroke on="f" weight="0.5pt"/>
                  <v:imagedata o:title=""/>
                  <o:lock v:ext="edit" aspectratio="f"/>
                  <v:textbox>
                    <w:txbxContent>
                      <w:p>
                        <w:pPr>
                          <w:spacing w:line="240" w:lineRule="auto"/>
                          <w:ind w:firstLine="0" w:firstLineChars="0"/>
                          <w:jc w:val="center"/>
                          <w:rPr>
                            <w:szCs w:val="22"/>
                          </w:rPr>
                        </w:pPr>
                        <w:r>
                          <w:rPr>
                            <w:rFonts w:hint="eastAsia"/>
                            <w:szCs w:val="22"/>
                          </w:rPr>
                          <w:t>猪粪滤液</w:t>
                        </w:r>
                        <w:r>
                          <w:rPr>
                            <w:rFonts w:ascii="Times New Roman" w:hAnsi="Times New Roman" w:cs="Times New Roman"/>
                            <w:szCs w:val="22"/>
                          </w:rPr>
                          <w:t>48</w:t>
                        </w:r>
                      </w:p>
                    </w:txbxContent>
                  </v:textbox>
                </v:shape>
                <v:line id="_x0000_s1026" o:spid="_x0000_s1026" o:spt="20" style="position:absolute;left:1038225;top:584835;flip:x;height:4556125;width:13970;" filled="f" stroked="t" coordsize="21600,21600" o:gfxdata="UEsDBAoAAAAAAIdO4kAAAAAAAAAAAAAAAAAEAAAAZHJzL1BLAwQUAAAACACHTuJA8P3aN9UAAAAF&#10;AQAADwAAAGRycy9kb3ducmV2LnhtbE2PzU7DMBCE70i8g7VI3KidlkZNiFO1SMANiZbe3XhJosbr&#10;EDv9efsuXOCymtWsZr4tlmfXiSMOofWkIZkoEEiVty3VGj63Lw8LECEasqbzhBouGGBZ3t4UJrf+&#10;RB943MRacAiF3GhoYuxzKUPVoDNh4nsk9r784EzkdailHcyJw10np0ql0pmWuKExPT43WB02o9Ow&#10;3mazV7sb3w7v2SOu1lkSxu+d1vd3iXoCEfEc/47hB5/RoWSmvR/JBtFp4Efi72RvMVMpiD2L+TwF&#10;WRbyP315BVBLAwQUAAAACACHTuJAGUBKj/sBAADOAwAADgAAAGRycy9lMm9Eb2MueG1srVPLbhMx&#10;FN0j8Q+W92TyaEIYZdJFo8ICQSToB9x4PDOW/JKvm0l+gh9AYgcrluz7N5TP6LUnlFI2XeCFdV8+&#10;vuf4enV+MJrtZUDlbMUnozFn0gpXK9tW/Orj5YslZxjB1qCdlRU/SuTn6+fPVr0v5dR1TtcyMAKx&#10;WPa+4l2MviwKFJ00gCPnpaVk44KBSG5oizpAT+hGF9PxeFH0LtQ+OCERKboZkvyEGJ4C6JpGCblx&#10;4tpIGwfUIDVEooSd8sjXudumkSK+bxqUkemKE9OYd7qE7F3ai/UKyjaA75Q4tQBPaeERJwPK0qX3&#10;UBuIwK6D+gfKKBEcuiaOhDPFQCQrQiwm40fafOjAy8yFpEZ/Lzr+P1jxbr8NTNU0CZM5ZxYMPfnt&#10;5x8/P339dfOF9tvv31hKkVC9x5LqL+w2nDz025BYH5pgWKOVf0M4WQdixg7kjGfL6ZSAjxWfL8+W&#10;swwEpTxEJlJ+9uolPYWg9Nl8vphQKUEXA2JC9gHja+kMS0bFtbJJEChh/xbjUPq7JIWtu1RaUxxK&#10;bVlf8cVsnvCBBrWhASHTeCKLtuUMdEs/QMSQEdFpVafT6TCGdnehA9tDmpu8To39VZau3gB2Q11O&#10;pTIojYr0SbQyFV8+PK0tsUs6Dsola+fqYxY0x+mZM//TSKY5eujn03++4fo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P3aN9UAAAAFAQAADwAAAAAAAAABACAAAAAiAAAAZHJzL2Rvd25yZXYueG1s&#10;UEsBAhQAFAAAAAgAh07iQBlASo/7AQAAzgMAAA4AAAAAAAAAAQAgAAAAJAEAAGRycy9lMm9Eb2Mu&#10;eG1sUEsFBgAAAAAGAAYAWQEAAJEFAAAAAA==&#10;">
                  <v:fill on="f" focussize="0,0"/>
                  <v:stroke weight="0.5pt" color="#000000 [3200]" miterlimit="8" joinstyle="miter"/>
                  <v:imagedata o:title=""/>
                  <o:lock v:ext="edit" aspectratio="f"/>
                </v:line>
                <v:shape id="_x0000_s1026" o:spid="_x0000_s1026" o:spt="202" type="#_x0000_t202" style="position:absolute;left:1627505;top:1608455;height:292100;width:977900;" filled="f" stroked="t" coordsize="21600,21600" o:gfxdata="UEsDBAoAAAAAAIdO4kAAAAAAAAAAAAAAAAAEAAAAZHJzL1BLAwQUAAAACACHTuJAbES679YAAAAF&#10;AQAADwAAAGRycy9kb3ducmV2LnhtbE2PQU/DMAyF70j8h8hI3FgyUMvUNd0BsQMSQmJDjGPaek1F&#10;4pQm6wa/HsMFLtaznvXe53J18k5MOMY+kIb5TIFAakLbU6fhZbu+WoCIyVBrXCDU8IkRVtX5WWmK&#10;NhzpGadN6gSHUCyMBpvSUEgZG4vexFkYkNjbh9GbxOvYyXY0Rw73Tl4rlUtveuIGawa8s9i8bw5e&#10;w+Pr7uN+/fSmdli7PpvcrX34qrW+vJirJYiEp/R3DD/4jA4VM9XhQG0UTgM/kn4ne4sblYOoWWRZ&#10;DrIq5X/66htQSwMEFAAAAAgAh07iQLsOqhUOAgAAHAQAAA4AAABkcnMvZTJvRG9jLnhtbK1Ty67T&#10;MBDdI/EPlvc0aaDtbdX0SlAuGwRIFz7AtZ3Ekl/yuE36A/AHrNiw57v6HYyd3iebLsgimdjHZ+ac&#10;Ga+vB6PJQQZQztZ0OikpkZY7oWxb029fb15dUQKRWcG0s7KmRwn0evPyxbr3K1m5zmkhA0ESC6ve&#10;17SL0a+KAngnDYOJ89LiZuOCYRF/Q1uIwHpkN7qoynJe9C4IHxyXALi6HTfpmTFcQuiaRnG5dXxv&#10;pI0ja5CaRZQEnfJAN7nappE8fm4akJHomqLSmN+YBONdehebNVu1gflO8XMJ7JISnmkyTFlMek+1&#10;ZZGRfVD/UBnFgwPXxAl3phiFZEdQxbR85s1tx7zMWtBq8Pemw/+j5Z8OXwJRAidhOqfEMoMtP/38&#10;cfr15/T7O0mLaFHvYYXIW4/YOLx1A8Lv1gEXk/KhCSZ9URNJ+/NqMStnlBxTXF69mc1Gs+UQCUfA&#10;crFYltgGjoBqWU0xxkzFA5EPED9IZ0gKahqwl9lidvgIcYTeQVJe626U1rmf2pK+pvPXs0TPcEYb&#10;nA0MjUedYNtMA04rkY6kwxDa3TsdyIGlOcnPuZonsJRvy6AbcXlrFBXc3oqcu5NMvLeCxKNHJy1e&#10;IZqKMVJQoiXeuBRlZGRKX4JES7RFZ1ITRrNTFIfdgDQp3DlxxMbsfVBth07l1mQ4Dk229DzgaSof&#10;/2fSh0u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RLrv1gAAAAUBAAAPAAAAAAAAAAEAIAAA&#10;ACIAAABkcnMvZG93bnJldi54bWxQSwECFAAUAAAACACHTuJAuw6qFQ4CAAAcBAAADgAAAAAAAAAB&#10;ACAAAAAlAQAAZHJzL2Uyb0RvYy54bWxQSwUGAAAAAAYABgBZAQAApQUAAAAA&#10;">
                  <v:fill on="f" focussize="0,0"/>
                  <v:stroke weight="0.5pt" color="#000000" joinstyle="round"/>
                  <v:imagedata o:title=""/>
                  <o:lock v:ext="edit" aspectratio="f"/>
                  <v:textbox>
                    <w:txbxContent>
                      <w:p>
                        <w:pPr>
                          <w:spacing w:line="240" w:lineRule="auto"/>
                          <w:ind w:firstLine="0" w:firstLineChars="0"/>
                          <w:jc w:val="center"/>
                          <w:rPr>
                            <w:szCs w:val="22"/>
                          </w:rPr>
                        </w:pPr>
                        <w:r>
                          <w:rPr>
                            <w:rFonts w:hint="eastAsia"/>
                            <w:szCs w:val="22"/>
                          </w:rPr>
                          <w:t>猪舍冲洗水</w:t>
                        </w:r>
                      </w:p>
                    </w:txbxContent>
                  </v:textbox>
                </v:shape>
                <v:shape id="_x0000_s1026" o:spid="_x0000_s1026" o:spt="32" type="#_x0000_t32" style="position:absolute;left:1046480;top:4094480;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C1b3NgaAgAA/wMAAA4AAABkcnMvZTJvRG9jLnhtbK1TzW4T&#10;MRC+I/EOlu90NyVNwyqbHhLKBUEk4AGmXu+uJf9p7GaTl+AFkDgBJ+DUO08D5TEYe0ML5dIDe/CO&#10;PTPfzPd5vDjbGc22EoNytuaTo5IzaYVrlO1q/ub1+aM5ZyGCbUA7K2u+l4GfLR8+WAy+kseud7qR&#10;yAjEhmrwNe9j9FVRBNFLA+HIeWnJ2To0EGmLXdEgDIRudHFclrNicNh4dEKGQKfr0ckPiHgfQNe2&#10;Ssi1E5dG2jiiotQQiVLolQ98mbttWyniy7YNMjJdc2Ia80pFyL5Ia7FcQNUh+F6JQwtwnxbucDKg&#10;LBW9gVpDBHaJ6h8oowS64Np4JJwpRiJZEWIxKe9o86oHLzMXkjr4G9HD/4MVL7YbZKqhSZiccmbB&#10;0JVfv7v68fbj9dcv3z9c/fz2PtmfP7EUQHINPlSUtbIbPOyC32DivmvRpD+xYjsCLKez6ZyE3td8&#10;Wj6ZJjvLLXeRCQo4OZ2clOQXFJBdxS2GxxCfSWdYMmoeIoLq+rhy1tKdOpxktWH7PETCpMTfCakB&#10;686V1rmWtmyo+ezxSaoDNK4tjQmZxhPlYDvOQHf0DkTEjBicVk3KTjgBu4uVRraFND35Swyo2l9h&#10;qfQaQj/GZddI1KhIT0UrU/P5TTZUEZR+ahsW957EBkQ38NSlkQ1nWlI3yRoLaUv1kuSjyMm6cM0+&#10;a5/PaS5yR4cZToP35z5n377b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Y6/Z1gAAAAUBAAAP&#10;AAAAAAAAAAEAIAAAACIAAABkcnMvZG93bnJldi54bWxQSwECFAAUAAAACACHTuJALVvc2BoCAAD/&#10;AwAADgAAAAAAAAABACAAAAAlAQAAZHJzL2Uyb0RvYy54bWxQSwUGAAAAAAYABgBZAQAAsQUAAAAA&#10;">
                  <v:fill on="f" focussize="0,0"/>
                  <v:stroke weight="0.5pt" color="#000000 [3200]" miterlimit="8" joinstyle="miter" endarrow="open"/>
                  <v:imagedata o:title=""/>
                  <o:lock v:ext="edit" aspectratio="f"/>
                </v:shape>
                <v:shape id="_x0000_s1026" o:spid="_x0000_s1026" o:spt="32" type="#_x0000_t32" style="position:absolute;left:2608580;top:2560955;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D9YmM8bAgAA/wMAAA4AAABkcnMvZTJvRG9jLnhtbK1TzW7U&#10;MBC+I/EOlu802aIsS7TZHrqUC4JKwAN4HSex5D/NuJvdl+AFkDgBJ+ipd54GymMwdpYWyqUHcnDG&#10;9sw3830zXp7srGFbBai9a/jsqORMOelb7fqGv31z9mjBGUbhWmG8Uw3fK+Qnq4cPlmOo1bEfvGkV&#10;MAJxWI+h4UOMoS4KlIOyAo98UI4uOw9WRNpCX7QgRkK3pjguy3kxemgDeKkQ6XQ9XfIDItwH0Hed&#10;lmrt5YVVLk6ooIyIRAkHHZCvcrVdp2R81XWoIjMNJ6Yxr5SE7E1ai9VS1D2IMGh5KEHcp4Q7nKzQ&#10;jpLeQK1FFOwC9D9QVkvw6Lt4JL0tJiJZEWIxK+9o83oQQWUuJDWGG9Hx/8HKl9tzYLqlSZhR452w&#10;1PLr91c/3n26vvz6/ePVz28fkv3lM0sOJNcYsKaoU3cOhx2Gc0jcdx3Y9CdWbNfw43m5qBYk9J7s&#10;al4+rapJbrWLTJJD9WRWlXQvySF3orjFCIDxufKWJaPhGEHofoin3jnqqYdZVltsX2CkKijwd0Aq&#10;wPkzbUxurXFsbPj8cZXyCBrXjsaETBuIMrqeM2F6egcyQkZEb3SbohMOQr85NcC2Ik1P/hIDyvaX&#10;W0q9FjhMfvlqImp1pKditG344iZa1FFo88y1LO4DiS0A/MhTlVa1nBlF1SRrSmQc5UuSTyIna+Pb&#10;fdY+n9Nc5IoOM5wG7899jr59t6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mOv2dYAAAAFAQAA&#10;DwAAAAAAAAABACAAAAAiAAAAZHJzL2Rvd25yZXYueG1sUEsBAhQAFAAAAAgAh07iQD9YmM8bAgAA&#10;/wMAAA4AAAAAAAAAAQAgAAAAJQEAAGRycy9lMm9Eb2MueG1sUEsFBgAAAAAGAAYAWQEAALIFAAAA&#10;AA==&#10;">
                  <v:fill on="f" focussize="0,0"/>
                  <v:stroke weight="0.5pt" color="#000000 [3200]" miterlimit="8" joinstyle="miter" endarrow="open"/>
                  <v:imagedata o:title=""/>
                  <o:lock v:ext="edit" aspectratio="f"/>
                </v:shape>
                <v:shape id="_x0000_s1026" o:spid="_x0000_s1026" o:spt="32" type="#_x0000_t32" style="position:absolute;left:1056005;top:3351530;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OFVDOocAgAA/wMAAA4AAABkcnMvZTJvRG9jLnhtbK1TzY7T&#10;MBC+I/EOlu80yVYpS9R0Dy3LBUEl4AFcx0ks+U9jb9O+BC+AxAk4Aae98zSwPAZjJ3RhueyBHJyx&#10;PfPNfN+MlxcHrchegJfW1LSY5ZQIw20jTVfTN68vH51T4gMzDVPWiJoehacXq4cPloOrxJntrWoE&#10;EAQxvhpcTfsQXJVlnvdCMz+zThi8bC1oFnALXdYAGxBdq+wszxfZYKFxYLnwHk834yWdEOE+gLZt&#10;JRcby6+0MGFEBaFYQEq+l87TVaq2bQUPL9vWi0BUTZFpSCsmQXsX12y1ZFUHzPWSTyWw+5Rwh5Nm&#10;0mDSE9SGBUauQP4DpSUH620bZtzqbCSSFEEWRX5Hm1c9cyJxQam9O4nu/x8sf7HfApENTkLxhBLD&#10;NLb85t31j7cfb75++f7h+ue399H+/IlEB5RrcL7CqLXZwrTzbguR+6EFHf/IihwQMC8XeV5Scqzp&#10;fF4W5XySWxwC4ehQPi7KHBvB0SFdZbcYDnx4Jqwm0aipD8Bk14e1NQZ7aqFIarP9cx+wCgz8HRAL&#10;MPZSKpVaqwwZarqYlzEPw3FtcUzQ1A4pe9NRwlSH74AHSIjeKtnE6IjjodutFZA9i9OTvqgAZvvL&#10;LabeMN+PfulqnCstAz4VJXVNz0/RrApMqqemIeHoUGwGYAcaq9SioUQJrCZaYyJlMF+UfBQ5Wjvb&#10;HJP26RznIlU0zXAcvD/3Kfr23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Zjr9nWAAAABQEA&#10;AA8AAAAAAAAAAQAgAAAAIgAAAGRycy9kb3ducmV2LnhtbFBLAQIUABQAAAAIAIdO4kDhVQzqHAIA&#10;AP8DAAAOAAAAAAAAAAEAIAAAACUBAABkcnMvZTJvRG9jLnhtbFBLBQYAAAAABgAGAFkBAACzBQAA&#10;AAA=&#10;">
                  <v:fill on="f" focussize="0,0"/>
                  <v:stroke weight="0.5pt" color="#000000 [3200]" miterlimit="8" joinstyle="miter" endarrow="open"/>
                  <v:imagedata o:title=""/>
                  <o:lock v:ext="edit" aspectratio="f"/>
                </v:shape>
                <v:shape id="_x0000_s1026" o:spid="_x0000_s1026" o:spt="32" type="#_x0000_t32" style="position:absolute;left:1056005;top:2580005;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FTRDkkbAgAA/wMAAA4AAABkcnMvZTJvRG9jLnhtbK1TzY7T&#10;MBC+I/EOlu80aVHKqmq6h5blgqAS8ACu4ySW/KcZb9O+BC+AxAk4Aae98zSwPAZjp+zCctkDOThj&#10;e+ab+b4ZL88P1rC9AtTe1Xw6KTlTTvpGu67mb15fPDrjDKNwjTDeqZofFfLz1cMHyyEs1Mz33jQK&#10;GIE4XAyh5n2MYVEUKHtlBU58UI4uWw9WRNpCVzQgBkK3ppiV5bwYPDQBvFSIdLoZL/kJEe4D6NtW&#10;S7Xx8tIqF0dUUEZEooS9DshXudq2VTK+bFtUkZmaE9OYV0pC9i6txWopFh2I0Gt5KkHcp4Q7nKzQ&#10;jpLeQG1EFOwS9D9QVkvw6Ns4kd4WI5GsCLGYlne0edWLoDIXkhrDjej4/2Dli/0WmG5oEmZTzpyw&#10;1PLrd1c/3n68/vrl+4ern9/eJ/vzJ5YcSK4h4IKi1m4Lpx2GLSTuhxZs+hMrdiDAspqXZcXZseaz&#10;6qxMdpZbHSKT5FA9mVYlNUKSQ+5EcYsRAOMz5S1LRs0xgtBdH9feOeqph2lWW+yfYyRMCvwdkApw&#10;/kIbk3MZx4aazx9XKY+gcW1pTMi0gSij6zgTpqN3ICNkRPRGNyk64SB0u7UBthdpevKXGFC2v9xS&#10;6o3AfvTLVyNRqyM9FaNtzRN94pprikKbp65h8RhIbAHgB56qtKrhzCiqJlljIuMoX5J8FDlZO98c&#10;s/b5nOYiV3Sa4TR4f+5z9O27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mOv2dYAAAAFAQAA&#10;DwAAAAAAAAABACAAAAAiAAAAZHJzL2Rvd25yZXYueG1sUEsBAhQAFAAAAAgAh07iQFTRDkkbAgAA&#10;/wMAAA4AAAAAAAAAAQAgAAAAJQEAAGRycy9lMm9Eb2MueG1sUEsFBgAAAAAGAAYAWQEAALIFAAAA&#10;AA==&#10;">
                  <v:fill on="f" focussize="0,0"/>
                  <v:stroke weight="0.5pt" color="#000000 [3200]" miterlimit="8" joinstyle="miter" endarrow="open"/>
                  <v:imagedata o:title=""/>
                  <o:lock v:ext="edit" aspectratio="f"/>
                </v:shape>
                <v:shape id="_x0000_s1026" o:spid="_x0000_s1026" o:spt="202" type="#_x0000_t202" style="position:absolute;left:2599055;top:1532255;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BbwOpkSwIAAIMEAAAOAAAAZHJzL2Uyb0RvYy54bWytVEtu&#10;2zAQ3RfoHQjuG8lKlNpG5MBNkKJA0ARIi65pirIE8FeSjpQeoL1BVt1033PlHH2k7MRIu8iiG3qG&#10;8/yGbz46OR2UJLfC+c7oik4OckqE5qbu9Lqinz9dvJlS4gPTNZNGi4reCU9PF69fnfR2LgrTGlkL&#10;R0Ci/by3FW1DsPMs87wVivkDY4VGsDFOsQDXrbPasR7sSmZFnh9nvXG1dYYL73F7PgbpltG9hNA0&#10;TcfFueEbJXQYWZ2QLECSbzvr6SK9tmkED1dN40UgsqJQGtKJJLBX8cwWJ2y+dsy2Hd8+gb3kCc80&#10;KdZpJH2kOmeBkY3r/qJSHXfGmyYccKOyUUiqCFRM8me1uWmZFUkLSu3tY9H9/6PlH2+vHelqTEJR&#10;UKKZQssf7n88/Pz98Os7iZcoUW/9HMgbC2wY3pkB8N29x2VUPjROxV9oIogX5WyWlyUld8CWh0UB&#10;OxVbDIFwAMpyOs3RBg5AMSsmsBHPnois8+G9MIpEo6IOvUwlZreXPozQHSTm1eaikzKlkJr0FT0+&#10;LPP0h8cIyKWOWJEmY0sTxY0iohWG1QCSaK5MfQfBzoxT4y2/6PCUS+bDNXMYE7weixSucDTSIKXZ&#10;WpS0xn37133Eo3uIUtJj7Crqv26YE5TIDxp9nU2OjuKcJueofFvAcfuR1X5Eb9SZwWRPsLKWJzPi&#10;g9yZjTPqC/ZtGbMixDRH7oqGnXkWxmXAvnKxXCYQJtOycKlvLI/UY3GXm2CaLtX9qTboV3Qwm6lz&#10;2z2Kw7/vJ9TTt2P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1jAiPXAAAABQEAAA8AAAAAAAAA&#10;AQAgAAAAIgAAAGRycy9kb3ducmV2LnhtbFBLAQIUABQAAAAIAIdO4kBbwOpkSwIAAIM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4.32</w:t>
                        </w:r>
                      </w:p>
                    </w:txbxContent>
                  </v:textbox>
                </v:shape>
                <v:shape id="_x0000_s1026" o:spid="_x0000_s1026" o:spt="202" type="#_x0000_t202" style="position:absolute;left:1046480;top:152273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CfORV2TAIAAIMEAAAOAAAAZHJzL2Uyb0RvYy54bWytVEtu&#10;2zAU3BfoHQjuG8mKnThG5MBNkKJA0ARIi65pirIE8FeSjpQeoL1BV91033PlHB1ScmKkXWTRDf3I&#10;N57Hmfeo07NeSXInnG+NLunkIKdEaG6qVm9K+unj5Zs5JT4wXTFptCjpvfD0bPn61WlnF6IwjZGV&#10;cAQk2i86W9ImBLvIMs8boZg/MFZoJGvjFAvYuk1WOdaBXcmsyPOjrDOuss5w4T1OL4YkHRndSwhN&#10;XbdcXBi+VUKHgdUJyQIk+aa1ni7Tbeta8HBd114EIksKpSGtKIJ4HddsecoWG8ds0/LxCuwlV3im&#10;SbFWo+gj1QULjGxd+xeVarkz3tThgBuVDUKSI1AxyZ95c9swK5IWWO3to+n+/9HyD3c3jrQVJqE4&#10;pEQzhZY//Pj+8PP3w69vJB7Cos76BZC3FtjQvzU94Ltzj8OovK+dir/QRGI+nx5N57D5HvGsKI4P&#10;R7NFHwgHYDabz3PkOQDFSTFBjErZE5F1PrwTRpEYlNShl8lidnflwwDdQWJdbS5bKVM/pSZdSY8O&#10;Z3n6w2MG5FJHrEiTMdJEcYOIGIV+3Y+K16a6h2Bnhqnxll+2uMoV8+GGOYwJbo+HFK6x1NKgpBkj&#10;Shrjvv7rPOLRPWQp6TB2JfVftswJSuR7jb6eTKZT0Ia0mc6OC2zcfma9n9FbdW4w2RM8WctTGPFB&#10;7sLaGfUZ720VqyLFNEftkoZdeB6Gx4D3ysVqlUCYTMvClb61PFIP5q62wdRt8j3aNHiDfsUNZjN1&#10;bnxHcfj39wn19O1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NYwIj1wAAAAUBAAAPAAAAAAAA&#10;AAEAIAAAACIAAABkcnMvZG93bnJldi54bWxQSwECFAAUAAAACACHTuJAnzkVdkwCAACD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4.8</w:t>
                        </w:r>
                      </w:p>
                    </w:txbxContent>
                  </v:textbox>
                </v:shape>
                <v:shape id="_x0000_s1026" o:spid="_x0000_s1026" o:spt="38" type="#_x0000_t38" style="position:absolute;left:2065655;top:1398905;flip:y;height:203200;width:266700;" filled="f" stroked="t" coordsize="21600,21600" o:gfxdata="UEsDBAoAAAAAAIdO4kAAAAAAAAAAAAAAAAAEAAAAZHJzL1BLAwQUAAAACACHTuJApAn259YAAAAF&#10;AQAADwAAAGRycy9kb3ducmV2LnhtbE2PQUvDQBCF74L/YRnBi9jdWpKWmE2RQo8N2Cp43GbHJLo7&#10;G7LbtP57Ry96Gd7whve+KdcX78SEY+wDaZjPFAikJtieWg0vh+39CkRMhqxxgVDDF0ZYV9dXpSls&#10;ONMzTvvUCg6hWBgNXUpDIWVsOvQmzsKAxN57GL1JvI6ttKM5c7h38kGpXHrTEzd0ZsBNh83n/uQ1&#10;1JvtYvlx97ZbTlnd1lS7p2z3qvXtzVw9gkh4SX/H8IPP6FAx0zGcyEbhNPAj6Xeyt1qoHMSRRZbl&#10;IKtS/qevvgFQSwMEFAAAAAgAh07iQD8XUPwzAgAAPAQAAA4AAABkcnMvZTJvRG9jLnhtbK1TvXIT&#10;MRDumeEdNOrxnc/ckXh8TmETGgYyw08v68cnRn8jyT77JXgBZuigoqKkydskPAYr3SWBQJGCK252&#10;tatv9/t2tTg7aIX23AdpTYunkxIjbqhl0mxb/O7t+ZMTjEIkhhFlDW/xkQd8tnz8aNG7Oa9sZxXj&#10;HgGICfPetbiL0c2LItCOaxIm1nEDQWG9JhFcvy2YJz2ga1VUZdkUvfXMeUt5CHC6HoJ4RPQPAbRC&#10;SMrXlu40N3FA9VyRCJRCJ13Ay9ytEJzG10IEHpFqMTCN+Q9FwN6kf7FckPnWE9dJOrZAHtLCPU6a&#10;SANFb6HWJBK08/IvKC2pt8GKOKFWFwORrAiwmJb3tHnTEcczF5A6uFvRw/+Dpa/2Fx5JBptQPcXI&#10;EA0jv/r0/frH5c/Lz1cfv1x/+4pSCITqXZhD/spc+NEL7sIn1gfhNRJKuveAk3UAZujQ4qps6qau&#10;MTpCYHZ6clrWg+T8EBFNCU3zrIRhUEioyhksSIoXA2SCdj7EF9xqlIwW053fc7ayxsBorZ/lYmT/&#10;MsSsPhsZEPZhipHQCoa5JwrV5bS6QR6zocYNdrqqDOpb3Mzq1AyBvRawT2BqB9oEs82FglWSnUul&#10;0o3gt5uV8gjwYZPyN/b+R1oqsiahG/LCMSRnEEHLyH3ewI4T9twwFI8O9Dfw8HBqR3OGkeLwTpOV&#10;MyOR6i6TeG/7f6cCP2VAyjS1YU7J2lh2zOPL57BUWezxAaSt/d3Pt+8e/f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An259YAAAAFAQAADwAAAAAAAAABACAAAAAiAAAAZHJzL2Rvd25yZXYueG1s&#10;UEsBAhQAFAAAAAgAh07iQD8XUPwzAgAAPAQAAA4AAAAAAAAAAQAgAAAAJQEAAGRycy9lMm9Eb2Mu&#10;eG1sUEsFBgAAAAAGAAYAWQEAAMoFAAAAAA==&#10;" adj="10826">
                  <v:fill on="f" focussize="0,0"/>
                  <v:stroke weight="0.5pt" color="#000000" joinstyle="miter" dashstyle="3 1" endarrow="open"/>
                  <v:imagedata o:title=""/>
                  <o:lock v:ext="edit" aspectratio="f"/>
                </v:shape>
                <v:shape id="_x0000_s1026" o:spid="_x0000_s1026" o:spt="202" type="#_x0000_t202" style="position:absolute;left:2256155;top:123698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B2OYLHTAIAAIMEAAAOAAAAZHJzL2Uyb0RvYy54bWytVEtu&#10;2zAQ3RfoHQjuG9lK5DpG5MBNkKJA0ARIi65pirIE8FeSjpQeoL1BVt1033PlHH2k5MRIu8iiG3qG&#10;8/yGbz46Oe2VJLfC+dbokk4PJpQIzU3V6k1JP3+6eDOnxAemKyaNFiW9E56eLl+/OunsQuSmMbIS&#10;joBE+0VnS9qEYBdZ5nkjFPMHxgqNYG2cYgGu22SVYx3YlczyyWSWdcZV1hkuvMft+RCkI6N7CaGp&#10;65aLc8O3SugwsDohWYAk37TW02V6bV0LHq7q2otAZEmhNKQTSWCv45ktT9hi45htWj4+gb3kCc80&#10;KdZqJH2kOmeBka1r/6JSLXfGmzoccKOyQUiqCFRMJ89qc9MwK5IWlNrbx6L7/0fLP95eO9JWmIS8&#10;oEQzhZY/3P94+Pn74dd3Ei9Ros76BZA3FtjQvzM94Lt7j8uovK+dir/QRBDP82I2LUB5F6kPZ8fz&#10;sdiiD4QDUBTz+QRt4ADkx/kUNjJlT0TW+fBeGEWiUVKHXqYSs9tLHwboDhLzanPRSpn6KTXpSjo7&#10;LCbpD48RkEsdsSJNxkgTxQ0iohX6dT8qXpvqDoKdGabGW37R4imXzIdr5jAmeD0WKVzhqKVBSjNa&#10;lDTGffvXfcSje4hS0mHsSuq/bpkTlMgPGn09nh4dxTlNzlHxNofj9iPr/YjeqjODyZ5iZS1PZsQH&#10;uTNrZ9QX7NsqZkWIaY7cJQ078ywMy4B95WK1SiBMpmXhUt9YHqmH4q62wdRtqnss01Ab9Cs6mM3U&#10;uXGP4vDv+wn19O1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NYwIj1wAAAAUBAAAPAAAAAAAA&#10;AAEAIAAAACIAAABkcnMvZG93bnJldi54bWxQSwECFAAUAAAACACHTuJAdjmCx0wCAACD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0.48</w:t>
                        </w:r>
                      </w:p>
                    </w:txbxContent>
                  </v:textbox>
                </v:shape>
                <v:shape id="_x0000_s1026" o:spid="_x0000_s1026" o:spt="202" type="#_x0000_t202" style="position:absolute;left:1627505;top:2408555;height:292100;width:977900;" filled="f" stroked="t" coordsize="21600,21600" o:gfxdata="UEsDBAoAAAAAAIdO4kAAAAAAAAAAAAAAAAAEAAAAZHJzL1BLAwQUAAAACACHTuJAbES679YAAAAF&#10;AQAADwAAAGRycy9kb3ducmV2LnhtbE2PQU/DMAyF70j8h8hI3FgyUMvUNd0BsQMSQmJDjGPaek1F&#10;4pQm6wa/HsMFLtaznvXe53J18k5MOMY+kIb5TIFAakLbU6fhZbu+WoCIyVBrXCDU8IkRVtX5WWmK&#10;NhzpGadN6gSHUCyMBpvSUEgZG4vexFkYkNjbh9GbxOvYyXY0Rw73Tl4rlUtveuIGawa8s9i8bw5e&#10;w+Pr7uN+/fSmdli7PpvcrX34qrW+vJirJYiEp/R3DD/4jA4VM9XhQG0UTgM/kn4ne4sblYOoWWRZ&#10;DrIq5X/66htQSwMEFAAAAAgAh07iQDVkanAQAgAAHAQAAA4AAABkcnMvZTJvRG9jLnhtbK1TzY7T&#10;MBC+I/EOlu80aSDdbdV0JSjLBQHSwgO4tpNY8p88bpO+ALwBJy7cea4+B2OnuwvLpQdySCb252/m&#10;+2a8vhmNJgcZQDnb0PmspERa7oSyXUO/fL59cU0JRGYF087Khh4l0JvN82frwa9k5XqnhQwESSys&#10;Bt/QPka/KgrgvTQMZs5Li5utC4ZF/A1dIQIbkN3ooirLRTG4IHxwXALg6nbapGfGcAmha1vF5dbx&#10;vZE2TqxBahZREvTKA93kattW8vixbUFGohuKSmN+YxKMd+ldbNZs1QXme8XPJbBLSniiyTBlMekD&#10;1ZZFRvZB/UNlFA8OXBtn3JliEpIdQRXz8ok3dz3zMmtBq8E/mA7/j5Z/OHwKRAmchGpBiWUGW376&#10;/u3049fp51eSFtGiwcMKkXcesXF87UaE368DLiblYxtM+qImkvYX1VVd1pQcG1q9Kq/rup7MlmMk&#10;HAHLq6tliW3gCbCs5hhjpuKRyAeI76QzJAUNDdjLbDE7vIc4Qe8hKa91t0rr3E9tydDQxcs60TOc&#10;0RZnA0PjUSfYLtOA00qkI+kwhG73RgdyYGlO8nOu5i9Yyrdl0E+4vDWJCm5vRc7dSybeWkHi0aOT&#10;Fq8QTcUYKSjREm9cijIyMqUvQaIl2qIzqQmT2SmK425EmhTunDhiY/Y+qK5Hp3JrMhyHJlt6HvA0&#10;lX/+Z9LHS73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Euu/WAAAABQEAAA8AAAAAAAAAAQAg&#10;AAAAIgAAAGRycy9kb3ducmV2LnhtbFBLAQIUABQAAAAIAIdO4kA1ZGpwEAIAABwEAAAOAAAAAAAA&#10;AAEAIAAAACUBAABkcnMvZTJvRG9jLnhtbFBLBQYAAAAABgAGAFkBAACnBQAAAAA=&#10;">
                  <v:fill on="f" focussize="0,0"/>
                  <v:stroke weight="0.5pt" color="#000000" joinstyle="round"/>
                  <v:imagedata o:title=""/>
                  <o:lock v:ext="edit" aspectratio="f"/>
                  <v:textbox>
                    <w:txbxContent>
                      <w:p>
                        <w:pPr>
                          <w:spacing w:line="240" w:lineRule="auto"/>
                          <w:ind w:firstLine="0" w:firstLineChars="0"/>
                          <w:jc w:val="center"/>
                          <w:rPr>
                            <w:szCs w:val="22"/>
                          </w:rPr>
                        </w:pPr>
                        <w:r>
                          <w:rPr>
                            <w:rFonts w:hint="eastAsia"/>
                            <w:szCs w:val="22"/>
                          </w:rPr>
                          <w:t>生活用水</w:t>
                        </w:r>
                      </w:p>
                    </w:txbxContent>
                  </v:textbox>
                </v:shape>
                <v:shape id="_x0000_s1026" o:spid="_x0000_s1026" o:spt="202" type="#_x0000_t202" style="position:absolute;left:1046480;top:232283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CiTvmrTAIAAIMEAAAOAAAAZHJzL2Uyb0RvYy54bWytVMFu&#10;EzEQvSPxD5bvZDfbpE2jbqrQKgipopUC4ux47exKtsfYTnfLB8AfcOLCne/KdzD2btqocOiBizP2&#10;vLzxezPei8tOK3IvnG/AlHQ8yikRhkPVmG1JP31cvZlR4gMzFVNgREkfhKeXi9evLlo7FwXUoCrh&#10;CJIYP29tSesQ7DzLPK+FZn4EVhhMSnCaBdy6bVY51iK7VlmR56dZC66yDrjwHk+v+yQdGN1LCEHK&#10;hotr4DstTOhZnVAsoCRfN9bTRbqtlIKHWym9CESVFJWGtGIRjDdxzRYXbL51zNYNH67AXnKFZ5o0&#10;awwWfaS6ZoGRnWv+otINd+BBhhEHnfVCkiOoYpw/82ZdMyuSFrTa20fT/f+j5R/u7xxpKpyE4owS&#10;wzS2fP/j+/7n7/2vbyQeokWt9XNEri1iQ/cWOoQfzj0eRuWddDr+oiYS8/nkdDJDmx9KWpwUxexk&#10;MFt0gXAETKezWY55HgHnxRhjrJQ9EVnnwzsBmsSgpA57mSxm9zc+9NADJNY1sGqUSv1UhrQlPT2Z&#10;5ukPjxkkVyZiRZqMgSaK60XEKHSbblC8geoBBTvop8ZbvmrwKjfMhzvmcEzw9viQwi0uUgGWhCGi&#10;pAb39V/nEY/dwywlLY5dSf2XHXOCEvXeYF/Px5MJ0oa0mUzPCty448zmOGN2+gpwssf4ZC1PYcQH&#10;dQilA/0Z39syVsUUMxxrlzQcwqvQPwZ8r1wslwmEk2lZuDFryyN1b+5yF0A2yfdoU+8N9itucDZT&#10;54Z3FIf/eJ9QT9+O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NYwIj1wAAAAUBAAAPAAAAAAAA&#10;AAEAIAAAACIAAABkcnMvZG93bnJldi54bWxQSwECFAAUAAAACACHTuJAok75q0wCAACD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3.5</w:t>
                        </w:r>
                      </w:p>
                    </w:txbxContent>
                  </v:textbox>
                </v:shape>
                <v:shape id="_x0000_s1026" o:spid="_x0000_s1026" o:spt="38" type="#_x0000_t38" style="position:absolute;left:2065655;top:2199005;flip:y;height:203200;width:266700;" filled="f" stroked="t" coordsize="21600,21600" o:gfxdata="UEsDBAoAAAAAAIdO4kAAAAAAAAAAAAAAAAAEAAAAZHJzL1BLAwQUAAAACACHTuJApAn259YAAAAF&#10;AQAADwAAAGRycy9kb3ducmV2LnhtbE2PQUvDQBCF74L/YRnBi9jdWpKWmE2RQo8N2Cp43GbHJLo7&#10;G7LbtP57Ry96Gd7whve+KdcX78SEY+wDaZjPFAikJtieWg0vh+39CkRMhqxxgVDDF0ZYV9dXpSls&#10;ONMzTvvUCg6hWBgNXUpDIWVsOvQmzsKAxN57GL1JvI6ttKM5c7h38kGpXHrTEzd0ZsBNh83n/uQ1&#10;1JvtYvlx97ZbTlnd1lS7p2z3qvXtzVw9gkh4SX/H8IPP6FAx0zGcyEbhNPAj6Xeyt1qoHMSRRZbl&#10;IKtS/qevvgFQSwMEFAAAAAgAh07iQLkb78UxAgAAPAQAAA4AAABkcnMvZTJvRG9jLnhtbK1TvY4T&#10;MRDukXgHyz3ZTaINXJTNFQlHgyASP71je7NG/pPHySYvwQsg0UFFRUlzb3PHYzD27t3BQXEFW6zG&#10;9udv5vtmvDg/Gk0OMoBytqbjUUmJtNwJZXc1fff24skzSiAyK5h2Vtb0JIGeLx8/WnR+LieudVrI&#10;QJDEwrzzNW1j9POiAN5Kw2DkvLR42LhgWMRl2BUisA7ZjS4mZTkrOheED45LANxd94d0YAwPIXRN&#10;o7hcO7430saeNUjNIkqCVnmgy1xt00geXzcNyEh0TVFpzH9MgvE2/Yvlgs13gflW8aEE9pAS7mky&#10;TFlMeku1ZpGRfVB/URnFgwPXxBF3puiFZEdQxbi8582blnmZtaDV4G9Nh/9Hy18dNoEogZMwwcZb&#10;ZrDlV5++X/+4/Hn5+erjl+tvX0k6QqM6D3PEr+wmDCvwm5BUH5tgSKOVf4882QdURo41nZSzalZV&#10;lJwwHp+dlWXVWy6PkfAEmM2eltgMngDlFAcknRc9ZaL2AeIL6QxJQU35PhykWDlrsbUuTHMydngJ&#10;MbsvBgVMfBhT0hiNzTwwTapyPLlhHtCY44Y7XdWWdDWdTatUDMO5bnCeMDQevQG7y4nAaSUulNbp&#10;BoTddqUDQX6cpPwNtf8BS0nWDNoeBydIi94Eo6IMeQJbycRzK0g8efTf4sOjqRwjBSVa4jtNUUZG&#10;pvQdkoXgun9DUZ+2aGXqWt+nFG2dOOX25X0cqmz28ADS1P6+zrfvHv3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QJ9ufWAAAABQEAAA8AAAAAAAAAAQAgAAAAIgAAAGRycy9kb3ducmV2LnhtbFBL&#10;AQIUABQAAAAIAIdO4kC5G+/FMQIAADwEAAAOAAAAAAAAAAEAIAAAACUBAABkcnMvZTJvRG9jLnht&#10;bFBLBQYAAAAABgAGAFkBAADIBQAAAAA=&#10;" adj="10826">
                  <v:fill on="f" focussize="0,0"/>
                  <v:stroke weight="0.5pt" color="#000000" joinstyle="miter" dashstyle="3 1" endarrow="open"/>
                  <v:imagedata o:title=""/>
                  <o:lock v:ext="edit" aspectratio="f"/>
                </v:shape>
                <v:shape id="_x0000_s1026" o:spid="_x0000_s1026" o:spt="202" type="#_x0000_t202" style="position:absolute;left:2208530;top:203708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BUPc/8TAIAAIMEAAAOAAAAZHJzL2Uyb0RvYy54bWytVEtu&#10;2zAU3BfoHQjuG8lKnDiG5cBNkKJA0ARwi65piooE8FeSjpQeoL1BV91033PlHB1ScmKkXWTRDf3I&#10;N57HmfeoxVmvJLkTzrdGl3RykFMiNDdVq29L+unj5ZsZJT4wXTFptCjpvfD0bPn61aKzc1GYxshK&#10;OAIS7eedLWkTgp1nmeeNUMwfGCs0krVxigVs3W1WOdaBXcmsyPPjrDOuss5w4T1OL4YkHRndSwhN&#10;XbdcXBi+VUKHgdUJyQIk+aa1ni7Tbeta8HBd114EIksKpSGtKIJ4E9dsuWDzW8ds0/LxCuwlV3im&#10;SbFWo+gj1QULjGxd+xeVarkz3tThgBuVDUKSI1AxyZ95s26YFUkLrPb20XT//2j5h7sbR9oKk1Cc&#10;UqKZQssffnx/+Pn74dc3Eg9hUWf9HMi1BTb0b00P+O7c4zAq72un4i80EeSLIp9ND2HzPeL88CSf&#10;jWaLPhAOwHQ6m+XI8wg4LSaIUSl7IrLOh3fCKBKDkjr0MlnM7q58GKA7SKyrzWUrZeqn1KQr6fHh&#10;NE9/eMyAXOqIFWkyRpoobhARo9Bv+lHxxlT3EOzMMDXe8ssWV7liPtwwhzHB7fGQwjWWWhqUNGNE&#10;SWPc13+dRzy6hywlHcaupP7LljlBiXyv0dfTydERaEPaHE1PCmzcfmazn9FbdW4w2RM8WctTGPFB&#10;7sLaGfUZ720VqyLFNEftkoZdeB6Gx4D3ysVqlUCYTMvClV5bHqkHc1fbYOo2+R5tGrxBv+IGs5k6&#10;N76jOPz7+4R6+nY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NYwIj1wAAAAUBAAAPAAAAAAAA&#10;AAEAIAAAACIAAABkcnMvZG93bnJldi54bWxQSwECFAAUAAAACACHTuJAVD3P/EwCAACDBAAADgAA&#10;AAAAAAABACAAAAAmAQAAZHJzL2Uyb0RvYy54bWxQSwUGAAAAAAYABgBZAQAA5AU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0.7</w:t>
                        </w:r>
                      </w:p>
                    </w:txbxContent>
                  </v:textbox>
                </v:shape>
                <v:shape id="_x0000_s1026" o:spid="_x0000_s1026" o:spt="202" type="#_x0000_t202" style="position:absolute;left:1617980;top:3170555;height:292100;width:977900;" filled="f" stroked="t" coordsize="21600,21600" o:gfxdata="UEsDBAoAAAAAAIdO4kAAAAAAAAAAAAAAAAAEAAAAZHJzL1BLAwQUAAAACACHTuJAbES679YAAAAF&#10;AQAADwAAAGRycy9kb3ducmV2LnhtbE2PQU/DMAyF70j8h8hI3FgyUMvUNd0BsQMSQmJDjGPaek1F&#10;4pQm6wa/HsMFLtaznvXe53J18k5MOMY+kIb5TIFAakLbU6fhZbu+WoCIyVBrXCDU8IkRVtX5WWmK&#10;NhzpGadN6gSHUCyMBpvSUEgZG4vexFkYkNjbh9GbxOvYyXY0Rw73Tl4rlUtveuIGawa8s9i8bw5e&#10;w+Pr7uN+/fSmdli7PpvcrX34qrW+vJirJYiEp/R3DD/4jA4VM9XhQG0UTgM/kn4ne4sblYOoWWRZ&#10;DrIq5X/66htQSwMEFAAAAAgAh07iQCGLebQQAgAAHAQAAA4AAABkcnMvZTJvRG9jLnhtbK1TzY7T&#10;MBC+I/EOlu80aau226jpSlCWCwKkhQdwbSex5D953CZ9AXgDTly481x9DsZOdxeWSw/0kE48X76Z&#10;75vx5nYwmhxlAOVsTaeTkhJpuRPKtjX98vnu1Q0lEJkVTDsra3qSQG+3L19sel/JmeucFjIQJLFQ&#10;9b6mXYy+KgrgnTQMJs5Li8nGBcMivoa2EIH1yG50MSvLZdG7IHxwXALg6W5M0gtjuIbQNY3icuf4&#10;wUgbR9YgNYsoCTrlgW5zt00jefzYNCAj0TVFpTE/sQjG+/QsthtWtYH5TvFLC+yaFp5pMkxZLPpI&#10;tWORkUNQ/1AZxYMD18QJd6YYhWRHUMW0fObNfce8zFrQavCPpsP/o+Ufjp8CUQI3YY6eWGZw5Ofv&#10;384/fp1/fiXpEC3qPVSIvPeIjcNrNyD84RzwMCkfmmDSP2oiKb+crtY3SHmq6Xy6KheLxWi2HCLh&#10;CFivVusS8xwBs/VsijFWKp6IfID4TjpDUlDTgLPMFrPje4gj9AGS6lp3p7TO89SW9DVdzheJnuGO&#10;NrgbGBqPOsG2mQacViJ9kj6G0O7f6ECOLO1J/l26+QuW6u0YdCMup0ZRwR2syLU7ycRbK0g8eXTS&#10;4hWiqRkjBSVa4o1LUUZGpvQ1SLREW3QmDWE0O0Vx2A9Ik8K9EycczMEH1XboVB5NhuPSZEsvC562&#10;8s/3TPp0qb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Euu/WAAAABQEAAA8AAAAAAAAAAQAg&#10;AAAAIgAAAGRycy9kb3ducmV2LnhtbFBLAQIUABQAAAAIAIdO4kAhi3m0EAIAABwEAAAOAAAAAAAA&#10;AAEAIAAAACUBAABkcnMvZTJvRG9jLnhtbFBLBQYAAAAABgAGAFkBAACnBQAAAAA=&#10;">
                  <v:fill on="f" focussize="0,0"/>
                  <v:stroke weight="0.5pt" color="#000000" joinstyle="round"/>
                  <v:imagedata o:title=""/>
                  <o:lock v:ext="edit" aspectratio="f"/>
                  <v:textbox>
                    <w:txbxContent>
                      <w:p>
                        <w:pPr>
                          <w:spacing w:line="240" w:lineRule="auto"/>
                          <w:ind w:firstLine="0" w:firstLineChars="0"/>
                          <w:jc w:val="center"/>
                          <w:rPr>
                            <w:szCs w:val="22"/>
                          </w:rPr>
                        </w:pPr>
                        <w:r>
                          <w:rPr>
                            <w:rFonts w:hint="eastAsia"/>
                            <w:szCs w:val="22"/>
                          </w:rPr>
                          <w:t>消毒用水</w:t>
                        </w:r>
                      </w:p>
                    </w:txbxContent>
                  </v:textbox>
                </v:shape>
                <v:shape id="_x0000_s1026" o:spid="_x0000_s1026" o:spt="202" type="#_x0000_t202" style="position:absolute;left:1075055;top:308483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ANu4cUTgIAAIMEAAAOAAAAZHJzL2Uyb0RvYy54bWytVM1u&#10;2zAMvg/YOwi6r3Z+3KZBnCJr0GFAsRbIhp0VWY4NSKImKbGzB9jeYKdddt9z5TlGyU4adDv0sItC&#10;il8+8iMpz25aJclOWFeDzungIqVEaA5FrTc5/fTx7s2EEueZLpgELXK6F47ezF+/mjVmKoZQgSyE&#10;JUii3bQxOa28N9MkcbwSirkLMEJjsASrmEfXbpLCsgbZlUyGaXqZNGALY4EL5/B22QVpz2hfQghl&#10;WXOxBL5VQvuO1QrJPEpyVW0cncdqy1Jw/1CWTngic4pKfTwxCdrrcCbzGZtuLDNVzfsS2EtKeKZJ&#10;sVpj0hPVknlGtrb+i0rV3IKD0l9wUEknJHYEVQzSZ71ZVcyIqAVb7cyp6e7/0fIPu0dL6gI3YTSg&#10;RDOFIz/8+H74+fvw6xsJl9iixrgpIlcGsb59Cy3Cj/cOL4PytrQq/KImEuLpVZZmGSX7nI7SyXgy&#10;6pstWk84ArJsMklxDBwBw+vhAG3MlDwRGev8OwGKBCOnFmcZW8x298530CMk5NVwV0sZ5yk1aXJ6&#10;OcrS+IdTBMmlDlgRN6OnCeI6EcHy7brtFa+h2KNgC93WOMPvaizlnjn/yCyuCVaPD8k/4FFKwJTQ&#10;W5RUYL/+6z7gcXoYpaTBtcup+7JlVlAi32uc6/VgPA57Gp1xdjVEx55H1ucRvVW3gJuNk8Pqohnw&#10;Xh7N0oL6jO9tEbJiiGmOuXPqj+at7x4DvlcuFosIws00zN/rleGBumvuYuuhrGPfQ5u63uC8goO7&#10;GSfXv6Ow/Od+RD19O+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1jAiPXAAAABQEAAA8AAAAA&#10;AAAAAQAgAAAAIgAAAGRycy9kb3ducmV2LnhtbFBLAQIUABQAAAAIAIdO4kANu4cU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2</w:t>
                        </w:r>
                      </w:p>
                    </w:txbxContent>
                  </v:textbox>
                </v:shape>
                <v:shape id="_x0000_s1026" o:spid="_x0000_s1026" o:spt="38" type="#_x0000_t38" style="position:absolute;left:2094230;top:2961005;flip:y;height:203200;width:266700;" filled="f" stroked="t" coordsize="21600,21600" o:gfxdata="UEsDBAoAAAAAAIdO4kAAAAAAAAAAAAAAAAAEAAAAZHJzL1BLAwQUAAAACACHTuJApAn259YAAAAF&#10;AQAADwAAAGRycy9kb3ducmV2LnhtbE2PQUvDQBCF74L/YRnBi9jdWpKWmE2RQo8N2Cp43GbHJLo7&#10;G7LbtP57Ry96Gd7whve+KdcX78SEY+wDaZjPFAikJtieWg0vh+39CkRMhqxxgVDDF0ZYV9dXpSls&#10;ONMzTvvUCg6hWBgNXUpDIWVsOvQmzsKAxN57GL1JvI6ttKM5c7h38kGpXHrTEzd0ZsBNh83n/uQ1&#10;1JvtYvlx97ZbTlnd1lS7p2z3qvXtzVw9gkh4SX/H8IPP6FAx0zGcyEbhNPAj6Xeyt1qoHMSRRZbl&#10;IKtS/qevvgFQSwMEFAAAAAgAh07iQHOA3+AxAgAAPAQAAA4AAABkcnMvZTJvRG9jLnhtbK1TvXIT&#10;MRDumeEdNOrxnc/YEI/PKWxCw0Bm+OllSecTo7/Ryj77JXgBZuigSkVJk7dJeAxWuksCgSIFV9zs&#10;alff7vftanF6MJrsZQDlbE3Ho5ISabkTym5r+v7d2ZPnlEBkVjDtrKzpUQI9XT5+tOj8XFaudVrI&#10;QBDEwrzzNW1j9POiAN5Kw2DkvLQYbFwwLKIbtoUIrEN0o4uqLGdF54LwwXEJgKfrPkgHxPAQQNc0&#10;isu14zsjbexRg9QsIiVolQe6zN02jeTxTdOAjETXFJnG/MciaG/Sv1gu2HwbmG8VH1pgD2nhHifD&#10;lMWit1BrFhnZBfUXlFE8OHBNHHFnip5IVgRZjMt72rxtmZeZC0oN/lZ0+H+w/PX+PBAlcBMmFSWW&#10;GRz51efv1z8uf15+ufr09friG0khFKrzMMf8lT0Pgwf+PCTWhyYY0mjlPyBO1gGZkUNNq/LkaTVB&#10;sY9on8zGZTntJZeHSHhKmM2elRjnKaGc4IKkeNFDJmgfIL6UzpBk1JTvwl6KlbMWR+vCJBdj+1cQ&#10;s/piYMDExzEljdE4zD3TZFqOqxvkIRtr3GCnq9qSrqazyTQ1w3CvG9wnNI1HbcBucyFwWokzpXW6&#10;AWG7WelAEB83KX9D73+kpSJrBm2fB0dITi+CUVGGvIGtZOKFFSQePepv8eHR1I6RghIt8Z0mK2dG&#10;pvRdJgvBdf9ORX7aopRpav2ckrVx4pjHl89xqbLYwwNIW/u7n2/fPfr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QJ9ufWAAAABQEAAA8AAAAAAAAAAQAgAAAAIgAAAGRycy9kb3ducmV2LnhtbFBL&#10;AQIUABQAAAAIAIdO4kBzgN/gMQIAADwEAAAOAAAAAAAAAAEAIAAAACUBAABkcnMvZTJvRG9jLnht&#10;bFBLBQYAAAAABgAGAFkBAADIBQAAAAA=&#10;" adj="10826">
                  <v:fill on="f" focussize="0,0"/>
                  <v:stroke weight="0.5pt" color="#000000" joinstyle="miter" dashstyle="3 1" endarrow="open"/>
                  <v:imagedata o:title=""/>
                  <o:lock v:ext="edit" aspectratio="f"/>
                </v:shape>
                <v:shape id="_x0000_s1026" o:spid="_x0000_s1026" o:spt="202" type="#_x0000_t202" style="position:absolute;left:2199005;top:279908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DAfODISwIAAIMEAAAOAAAAZHJzL2Uyb0RvYy54bWytVEtu&#10;2zAQ3RfoHQjua8lOnNhG5MBNkKKA0QRIi65piooE8FeStuQeoL1BV91033PlHH2k5CRIu8iiG3qG&#10;8/yGbz46O++UJDvhfGN0QcejnBKhuSkbfVfQTx+v3swo8YHpkkmjRUH3wtPz5etXZ61diImpjSyF&#10;IyDRftHagtYh2EWWeV4LxfzIWKERrIxTLMB1d1npWAt2JbNJnp9krXGldYYL73F72QfpwOheQmiq&#10;quHi0vCtEjr0rE5IFiDJ1431dJleW1WCh+uq8iIQWVAoDelEEtibeGbLM7a4c8zWDR+ewF7yhGea&#10;FGs0kj5QXbLAyNY1f1GphjvjTRVG3KisF5IqAhXj/FltbmtmRdKCUnv7UHT//2j5h92NI02JSTg6&#10;okQzhZbf//h+//P3/a9vJF6iRK31CyBvLbChe2s6wA/3HpdReVc5FX+hiSA+Gc/neT6lZA/7FPZs&#10;KLboAuEATKezWY428AiYT8awkSl7JLLOh3fCKBKNgjr0MpWY7dY+9NADJObV5qqRMvVTatIW9ORo&#10;mqc/PERALnXEijQZA00U14uIVug23aB4Y8o9BDvTT423/KrBU9bMhxvmMCZ4PRYpXOOopEFKM1iU&#10;1MZ9/dd9xKN7iFLSYuwK6r9smROUyPcafZ2Pj4/jnCbneHo6geOeRjZPI3qrLgwme4yVtTyZER/k&#10;waycUZ+xb6uYFSGmOXIXNBzMi9AvA/aVi9UqgTCZloW1vrU8UvfFXW2DqZpU91imvjboV3Qwm6lz&#10;wx7F4X/qJ9Tjt2P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1jAiPXAAAABQEAAA8AAAAAAAAA&#10;AQAgAAAAIgAAAGRycy9kb3ducmV2LnhtbFBLAQIUABQAAAAIAIdO4kDAfODISwIAAIM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2</w:t>
                        </w:r>
                      </w:p>
                    </w:txbxContent>
                  </v:textbox>
                </v:shape>
                <v:shape id="_x0000_s1026" o:spid="_x0000_s1026" o:spt="202" type="#_x0000_t202" style="position:absolute;left:2580005;top:2313305;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At0itlSQIAAIMEAAAOAAAAZHJzL2Uyb0RvYy54bWytVMtu&#10;EzEU3SPxD5b3dCav0kaZVKFVEVJEKxXE2vF4OiP5he1kJnwA/EFXbNjzXfkOjj1JGxUWXbBx7vU9&#10;OdfnPmZ20SlJNsL5xuiCDk5ySoTmpmz0fUE/f7p+c0aJD0yXTBotCroVnl7MX7+atXYqhqY2shSO&#10;gET7aWsLWodgp1nmeS0U8yfGCo1gZZxiAa67z0rHWrArmQ3z/DRrjSutM1x4j9urPkj3jO4lhKaq&#10;Gi6uDF8roUPP6oRkAZJ83VhP5+m1VSV4uKkqLwKRBYXSkE4kgb2KZzafsem9Y7Zu+P4J7CVPeKZJ&#10;sUYj6SPVFQuMrF3zF5VquDPeVOGEG5X1QlJFoGKQP6vNXc2sSFpQam8fi+7/Hy3/uLl1pCkxCaMx&#10;JZoptHz38GP38/fu13cSL1Gi1vopkHcW2NC9Mx3gh3uPy6i8q5yKv9BEEB9OzvI8n1CyhT0ajEaw&#10;U7FFFwgHYDI5A4ISHgHnwwFsxLMnIut8eC+MItEoqEMvU4nZZulDDz1AYl5trhspUwqpSVvQ09Ek&#10;T394jIBc6ogVaTL2NFFcLyJaoVt1IInmypRbCHamnxpv+XWDpyyZD7fMYUzweixSuMFRSYOUZm9R&#10;Uhv37V/3EY/uIUpJi7ErqP+6Zk5QIj9o9PV8MB7HOU3OePJ2CMcdR1bHEb1WlwaTPcDKWp7MiA/y&#10;YFbOqC/Yt0XMihDTHLkLGg7mZeiXAfvKxWKRQJhMy8JS31keqfviLtbBVE2q+1Nt0K/oYDZT5/Z7&#10;FIf/2E+op2/H/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NYwIj1wAAAAUBAAAPAAAAAAAAAAEA&#10;IAAAACIAAABkcnMvZG93bnJldi54bWxQSwECFAAUAAAACACHTuJALdIrZUkCAACDBAAADgAAAAAA&#10;AAABACAAAAAmAQAAZHJzL2Uyb0RvYy54bWxQSwUGAAAAAAYABgBZAQAA4QU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2.8</w:t>
                        </w:r>
                      </w:p>
                    </w:txbxContent>
                  </v:textbox>
                </v:shape>
                <v:shape id="_x0000_s1026" o:spid="_x0000_s1026" o:spt="202" type="#_x0000_t202" style="position:absolute;left:1608455;top:3913505;height:292100;width:1120140;" filled="f" stroked="t" coordsize="21600,21600" o:gfxdata="UEsDBAoAAAAAAIdO4kAAAAAAAAAAAAAAAAAEAAAAZHJzL1BLAwQUAAAACACHTuJAbES679YAAAAF&#10;AQAADwAAAGRycy9kb3ducmV2LnhtbE2PQU/DMAyF70j8h8hI3FgyUMvUNd0BsQMSQmJDjGPaek1F&#10;4pQm6wa/HsMFLtaznvXe53J18k5MOMY+kIb5TIFAakLbU6fhZbu+WoCIyVBrXCDU8IkRVtX5WWmK&#10;NhzpGadN6gSHUCyMBpvSUEgZG4vexFkYkNjbh9GbxOvYyXY0Rw73Tl4rlUtveuIGawa8s9i8bw5e&#10;w+Pr7uN+/fSmdli7PpvcrX34qrW+vJirJYiEp/R3DD/4jA4VM9XhQG0UTgM/kn4ne4sblYOoWWRZ&#10;DrIq5X/66htQSwMEFAAAAAgAh07iQMS2UT8RAgAAHQQAAA4AAABkcnMvZTJvRG9jLnhtbK1TS27b&#10;MBDdF+gdCO5ryU5iJILlAK2bboq2QNoD0PxIBPgDh7bkC7Q36Kqb7nsun6NDyknadONFtZBG5OOb&#10;eW+Gq9vRGrKXEbR3LZ3Pakqk415o17X0y+e7V9eUQGJOMOOdbOlBAr1dv3yxGkIjF773RshIkMRB&#10;M4SW9imFpqqA99IymPkgHW4qHy1L+Bu7SkQ2ILs11aKul9XgowjRcwmAq5tpk54Y4zmEXinN5cbz&#10;nZUuTaxRGpZQEvQ6AF2XapWSPH1UCmQipqWoNJU3JsF4m9/VesWaLrLQa34qgZ1TwjNNlmmHSR+p&#10;Niwxsov6HyqrefTgVZpxb6tJSHEEVczrZ97c9yzIogWthvBoOvw/Wv5h/ykSLXASLq4occxiy4/f&#10;vx1//Dr+/EryIlo0BGgQeR8Qm8bXfkT4wzrgYlY+qmjzFzWRvL+sry+vkPLQ0osb5KkLE2vkmAjP&#10;gDkqvsQ+cEQsbhbzunSjemIKEdI76S3JQUsjNrN4zPbvIWFVCH2A5MTO32ljSkONI0NLl5gU6RkO&#10;qcLhwNAGFAquKzTgjRb5SD4Msdu+MZHsWR6U8mSBmOIvWM63YdBPuLI1jVD0OydK7l4y8dYJkg4B&#10;rXR4h2guxkpBiZF45XJUkIlpcw4SizAOa8ldmNzOURq3I9LkcOvFATuzC1F3PTpVelPgODVFxGnC&#10;81j++V9In271+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RLrv1gAAAAUBAAAPAAAAAAAAAAEA&#10;IAAAACIAAABkcnMvZG93bnJldi54bWxQSwECFAAUAAAACACHTuJAxLZRPxECAAAdBAAADgAAAAAA&#10;AAABACAAAAAlAQAAZHJzL2Uyb0RvYy54bWxQSwUGAAAAAAYABgBZAQAAqAUAAAAA&#10;">
                  <v:fill on="f" focussize="0,0"/>
                  <v:stroke weight="0.5pt" color="#000000" joinstyle="round"/>
                  <v:imagedata o:title=""/>
                  <o:lock v:ext="edit" aspectratio="f"/>
                  <v:textbox>
                    <w:txbxContent>
                      <w:p>
                        <w:pPr>
                          <w:spacing w:line="240" w:lineRule="auto"/>
                          <w:ind w:firstLine="0" w:firstLineChars="0"/>
                          <w:jc w:val="center"/>
                          <w:rPr>
                            <w:szCs w:val="22"/>
                          </w:rPr>
                        </w:pPr>
                        <w:r>
                          <w:rPr>
                            <w:rFonts w:hint="eastAsia"/>
                            <w:szCs w:val="22"/>
                          </w:rPr>
                          <w:t>水帘降温用水</w:t>
                        </w:r>
                      </w:p>
                    </w:txbxContent>
                  </v:textbox>
                </v:shape>
                <v:shape id="_x0000_s1026" o:spid="_x0000_s1026" o:spt="202" type="#_x0000_t202" style="position:absolute;left:1046480;top:3837305;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AiWgctTQIAAIMEAAAOAAAAZHJzL2Uyb0RvYy54bWytVMtu&#10;EzEU3SPxD5b3ZCbPplEnVWgUhFTRSgWxdjyezkh+YTuZKR8Af8CKDXu+q9/BsSdpq8KiCzbOte/J&#10;uT7nXs/Zeack2QvnG6MLOhzklAjNTdno24J++rh5M6fEB6ZLJo0WBb0Tnp4vX786a+1CjExtZCkc&#10;AYn2i9YWtA7BLrLM81oo5gfGCo1kZZxiAVt3m5WOtWBXMhvl+SxrjSutM1x4j9N1n6QHRvcSQlNV&#10;DRdrw3dK6NCzOiFZgCRfN9bTZbptVQkerqrKi0BkQaE0pBVFEG/jmi3P2OLWMVs3/HAF9pIrPNOk&#10;WKNR9IFqzQIjO9f8RaUa7ow3VRhwo7JeSHIEKob5M29uamZF0gKrvX0w3f8/Wv5hf+1IU2ISxjNK&#10;NFNo+f2P7/c/f9//+kbiISxqrV8AeWOBDd1b0wF+PPc4jMq7yqn4C00k5vPJbDKHzXcFHc/HJ+N8&#10;2pstukA4ANPpfJ4jzwEYnY6GiFEpeySyzod3wigSg4I69DJZzPaXPvTQIyTW1WbTSJn6KTVpCzob&#10;T/P0h4cMyKWOWJEm40ATxfUiYhS6bXdQvDXlHQQ700+Nt3zT4CqXzIdr5jAmuD0eUrjCUkmDkuYQ&#10;UVIb9/Vf5xGP7iFLSYuxK6j/smNOUCLfa/T1dDiZgDakzWR6MsLGPc1sn2b0Tl0YTPYQT9byFEZ8&#10;kMewckZ9xntbxapIMc1Ru6DhGF6E/jHgvXKxWiUQJtOycKlvLI/UvbmrXTBVk3yPNvXeoF9xg9lM&#10;nTu8ozj8T/cJ9fjtW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WMCI9cAAAAFAQAADwAAAAAA&#10;AAABACAAAAAiAAAAZHJzL2Rvd25yZXYueG1sUEsBAhQAFAAAAAgAh07iQCJaBy1NAgAAgw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1.8</w:t>
                        </w:r>
                      </w:p>
                    </w:txbxContent>
                  </v:textbox>
                </v:shape>
                <v:shape id="_x0000_s1026" o:spid="_x0000_s1026" o:spt="38" type="#_x0000_t38" style="position:absolute;left:2046605;top:3703955;flip:y;height:203200;width:266700;" filled="f" stroked="t" coordsize="21600,21600" o:gfxdata="UEsDBAoAAAAAAIdO4kAAAAAAAAAAAAAAAAAEAAAAZHJzL1BLAwQUAAAACACHTuJApAn259YAAAAF&#10;AQAADwAAAGRycy9kb3ducmV2LnhtbE2PQUvDQBCF74L/YRnBi9jdWpKWmE2RQo8N2Cp43GbHJLo7&#10;G7LbtP57Ry96Gd7whve+KdcX78SEY+wDaZjPFAikJtieWg0vh+39CkRMhqxxgVDDF0ZYV9dXpSls&#10;ONMzTvvUCg6hWBgNXUpDIWVsOvQmzsKAxN57GL1JvI6ttKM5c7h38kGpXHrTEzd0ZsBNh83n/uQ1&#10;1JvtYvlx97ZbTlnd1lS7p2z3qvXtzVw9gkh4SX/H8IPP6FAx0zGcyEbhNPAj6Xeyt1qoHMSRRZbl&#10;IKtS/qevvgFQSwMEFAAAAAgAh07iQItRUhQzAgAAPAQAAA4AAABkcnMvZTJvRG9jLnhtbK1Tu44T&#10;MRTtkfgHyz2ZSYZMIMpki4SlQRCJR+/4kTHyS7aTSX6CH0Cig2orSpr9m10+g2vP7C4sFFswxeja&#10;Pj73nnOvF2dHrdCB+yCtafB4VGLEDbVMml2D3787f/IMoxCJYURZwxt84gGfLR8/WnRuzie2tYpx&#10;j4DEhHnnGtzG6OZFEWjLNQkj67iBQ2G9JhGWflcwTzpg16qYlGVddNYz5y3lIcDuuj/EA6N/CKEV&#10;QlK+tnSvuYk9q+eKRJAUWukCXuZqheA0vhEi8IhUg0FpzH9IAvE2/Yvlgsx3nrhW0qEE8pAS7mnS&#10;RBpIeku1JpGgvZd/UWlJvQ1WxBG1uuiFZEdAxbi8583bljietYDVwd2aHv4fLX192HgkGUxCNcPI&#10;EA0tv/r8/frH5c/LL1efvl5ffEPpCIzqXJgDfmU2flgFt/FJ9VF4jYSS7gPwZB9AGTo2eFI+rety&#10;itGpwdWsrJ5Pp73l/BgRTYC6npXQDAqASVnBgKTzoqdM1M6H+JJbjVLQYLr3B85W1hhorfVVTkYO&#10;r0LM7rNBAWEfxxgJraCZB6LQtBxPbpgHNOS44U5XlUFdg+tqmoohMNcC5glC7cCbYHY5UbBKsnOp&#10;VLoR/G67Uh4BP0xS/oba/4ClJGsS2h4XTiEtehO0jNznCWw5YS8MQ/HkwH8DDw+ncjRnGCkO7zRF&#10;GRmJVHdI4r3t/g0FfcqAlalrfZ9StLXslNuX92GostnDA0hT+/s637579M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An259YAAAAFAQAADwAAAAAAAAABACAAAAAiAAAAZHJzL2Rvd25yZXYueG1s&#10;UEsBAhQAFAAAAAgAh07iQItRUhQzAgAAPAQAAA4AAAAAAAAAAQAgAAAAJQEAAGRycy9lMm9Eb2Mu&#10;eG1sUEsFBgAAAAAGAAYAWQEAAMoFAAAAAA==&#10;" adj="10826">
                  <v:fill on="f" focussize="0,0"/>
                  <v:stroke weight="0.5pt" color="#000000" joinstyle="miter" dashstyle="3 1" endarrow="open"/>
                  <v:imagedata o:title=""/>
                  <o:lock v:ext="edit" aspectratio="f"/>
                </v:shape>
                <v:shape id="_x0000_s1026" o:spid="_x0000_s1026" o:spt="202" type="#_x0000_t202" style="position:absolute;left:2189480;top:354203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DuIswPTQIAAIMEAAAOAAAAZHJzL2Uyb0RvYy54bWytVEtu&#10;2zAU3BfoHQjuG8mynTpG5MBNkKJA0ARwi65piooE8FeSjpQeoL1BVt1033PlHB1SchKkXWTRDf3I&#10;N57Hmfeo45NeSXIjnG+NLunkIKdEaG6qVl+X9POn8zcLSnxgumLSaFHSW+Hpyer1q+POLkVhGiMr&#10;4QhItF92tqRNCHaZZZ43QjF/YKzQSNbGKRawdddZ5VgHdiWzIs8Ps864yjrDhfc4PRuSdGR0LyE0&#10;dd1ycWb4TgkdBlYnJAuQ5JvWerpKt61rwcNlXXsRiCwplIa0ogjibVyz1TFbXjtmm5aPV2AvucIz&#10;TYq1GkUfqM5YYGTn2r+oVMud8aYOB9yobBCSHIGKSf7Mm03DrEhaYLW3D6b7/0fLP95cOdJWmIQp&#10;Gq+ZQsvv737c//x9/+s7iYewqLN+CeTGAhv6d6YHfH/ucRiV97VT8ReaCPLFZHE0W8Dm25JO57Mi&#10;n45miz4QDsB8vljkyHMAiqNighiVskci63x4L4wiMSipQy+TxezmwocBuofEutqct1KmfkpNupIe&#10;Tud5+sNDBuRSR6xIkzHSRHGDiBiFftuPiremuoVgZ4ap8Zaft7jKBfPhijmMCW6PhxQusdTSoKQZ&#10;I0oa47796zzi0T1kKekwdiX1X3fMCUrkB42+Hk1mM9CGtJnN3xbYuKeZ7dOM3qlTg8me4MlansKI&#10;D3If1s6oL3hv61gVKaY5apc07MPTMDwGvFcu1usEwmRaFi70xvJIPZi73gVTt8n3aNPgDfoVN5jN&#10;1LnxHcXhf7pPqMdvx+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WMCI9cAAAAFAQAADwAAAAAA&#10;AAABACAAAAAiAAAAZHJzL2Rvd25yZXYueG1sUEsBAhQAFAAAAAgAh07iQO4izA9NAgAAgw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1.8</w:t>
                        </w:r>
                      </w:p>
                    </w:txbxContent>
                  </v:textbox>
                </v:shape>
                <v:shape id="_x0000_s1026" o:spid="_x0000_s1026" o:spt="32" type="#_x0000_t32" style="position:absolute;left:3189605;top:1513205;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CM7N/QdAgAA/wMAAA4AAABkcnMvZTJvRG9jLnhtbK1TzY7T&#10;MBC+I/EOlu80SauWbtR0Dy3LBUEl4AFcx0ks+U9jb9O+BC+AxAk4wZ72ztOwu4/B2CldWC57IAdn&#10;bM98M98348X5XiuyE+ClNRUtRjklwnBbS9NW9P27i2dzSnxgpmbKGlHRg/D0fPn0yaJ3pRjbzqpa&#10;AEEQ48veVbQLwZVZ5nknNPMj64TBy8aCZgG30GY1sB7RtcrGeT7Legu1A8uF93i6Hi7pEREeA2ib&#10;RnKxtvxSCxMGVBCKBaTkO+k8XaZqm0bw8KZpvAhEVRSZhrRiErS3cc2WC1a2wFwn+bEE9pgSHnDS&#10;TBpMeoJas8DIJch/oLTkYL1twohbnQ1EkiLIosgfaPO2Y04kLii1dyfR/f+D5a93GyCyxkmYnFFi&#10;mMaW3368vvnw5fbq+8/P13c/PkX721cSHVCu3vkSo1ZmA8eddxuI3PcN6PhHVmRf0UkxP5vlU0oO&#10;CD4tJmO0k9xiHwhHh+nzYppjIzg6pE5k9xgOfHgprCbRqKgPwGTbhZU1BntqoUhqs90rHxATA38H&#10;xAKMvZBKpVzKkL6is8k05mE4rg2OCZraIWVvWkqYavEd8AAJ0Vsl6xgdcTy025UCsmNxetIXGWC2&#10;v9xi6jXz3eCXrgaiWgZ8Kkrqis5P0awMTKoXpibh4FBsBmB7GqvUoqZECawmWkMiZTBflHwQOVpb&#10;Wx+S9ukc5yJVdJzhOHh/7lP0/btd/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Y6/Z1gAAAAUB&#10;AAAPAAAAAAAAAAEAIAAAACIAAABkcnMvZG93bnJldi54bWxQSwECFAAUAAAACACHTuJAIzs39B0C&#10;AAD/AwAADgAAAAAAAAABACAAAAAlAQAAZHJzL2Uyb0RvYy54bWxQSwUGAAAAAAYABgBZAQAAtAUA&#10;AAAA&#10;">
                  <v:fill on="f" focussize="0,0"/>
                  <v:stroke weight="0.5pt" color="#000000 [3200]" miterlimit="8" joinstyle="miter" endarrow="open"/>
                  <v:imagedata o:title=""/>
                  <o:lock v:ext="edit" aspectratio="f"/>
                </v:shape>
                <v:line id="_x0000_s1026" o:spid="_x0000_s1026" o:spt="20" style="position:absolute;left:3176270;top:610870;flip:x;height:1962150;width:9525;" filled="f" stroked="t" coordsize="21600,21600" o:gfxdata="UEsDBAoAAAAAAIdO4kAAAAAAAAAAAAAAAAAEAAAAZHJzL1BLAwQUAAAACACHTuJA8P3aN9UAAAAF&#10;AQAADwAAAGRycy9kb3ducmV2LnhtbE2PzU7DMBCE70i8g7VI3KidlkZNiFO1SMANiZbe3XhJosbr&#10;EDv9efsuXOCymtWsZr4tlmfXiSMOofWkIZkoEEiVty3VGj63Lw8LECEasqbzhBouGGBZ3t4UJrf+&#10;RB943MRacAiF3GhoYuxzKUPVoDNh4nsk9r784EzkdailHcyJw10np0ql0pmWuKExPT43WB02o9Ow&#10;3mazV7sb3w7v2SOu1lkSxu+d1vd3iXoCEfEc/47hB5/RoWSmvR/JBtFp4Efi72RvMVMpiD2L+TwF&#10;WRbyP315BVBLAwQUAAAACACHTuJAjNrez/wBAADNAwAADgAAAGRycy9lMm9Eb2MueG1srVNLjhMx&#10;EN0jcQfLe9KfIZlMK51ZTDSwQBAJOIDjtrst+SeXJ51cggsgsYMVS/bchuEYlN1hGIbNLOiFVXaV&#10;36v3ury6PBhN9iKAcral1aykRFjuOmX7lr5/d/1sSQlEZjumnRUtPQqgl+unT1ajb0TtBqc7EQiC&#10;WGhG39IhRt8UBfBBGAYz54XFpHTBsIjb0BddYCOiG13UZbkoRhc6HxwXAHi6mZL0hBgeA+ikVFxs&#10;HL8xwsYJNQjNIkqCQXmg69ytlILHN1KCiES3FJXGvCIJxru0FusVa/rA/KD4qQX2mBYeaDJMWSS9&#10;g9qwyMhNUP9AGcWDAyfjjDtTTEKyI6iiKh9483ZgXmQtaDX4O9Ph/8Hy1/ttIKrDSXheUWKZwV9+&#10;+/Hbjw+ff37/hOvt1y8kpdCo0UOD9Vd2G0478NuQVB9kMERq5V8iTvYBlZFDS8+q80V9jmYfW7qo&#10;yiWG2XFxiIRj/mJezynhmK0uFnU1z+liAkzAPkB8IZwhKWipVjb5wRq2fwURkbD0d0k6tu5aaZ0Z&#10;tCUjcp4hJOEM51TifGBoPGoF21PCdI8PgMeQEcFp1aXbCQdCv7vSgexZGpv8pb6R7a+yRL1hMEx1&#10;OTXJMyriG9HKtHR5/7a2CJJsnIxL0c51x+xnPse/nGlOE5nG6P4+3/7zCt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D92jfVAAAABQEAAA8AAAAAAAAAAQAgAAAAIgAAAGRycy9kb3ducmV2Lnht&#10;bFBLAQIUABQAAAAIAIdO4kCM2t7P/AEAAM0DAAAOAAAAAAAAAAEAIAAAACQBAABkcnMvZTJvRG9j&#10;LnhtbFBLBQYAAAAABgAGAFkBAACSBQAAAAA=&#10;">
                  <v:fill on="f" focussize="0,0"/>
                  <v:stroke weight="0.5pt" color="#000000 [3200]" miterlimit="8" joinstyle="miter"/>
                  <v:imagedata o:title=""/>
                  <o:lock v:ext="edit" aspectratio="f"/>
                </v:line>
                <v:shape id="_x0000_s1026" o:spid="_x0000_s1026" o:spt="202" type="#_x0000_t202" style="position:absolute;left:3780155;top:1341755;height:292100;width:1139190;" filled="f" stroked="t" coordsize="21600,21600" o:gfxdata="UEsDBAoAAAAAAIdO4kAAAAAAAAAAAAAAAAAEAAAAZHJzL1BLAwQUAAAACACHTuJAbES679YAAAAF&#10;AQAADwAAAGRycy9kb3ducmV2LnhtbE2PQU/DMAyF70j8h8hI3FgyUMvUNd0BsQMSQmJDjGPaek1F&#10;4pQm6wa/HsMFLtaznvXe53J18k5MOMY+kIb5TIFAakLbU6fhZbu+WoCIyVBrXCDU8IkRVtX5WWmK&#10;NhzpGadN6gSHUCyMBpvSUEgZG4vexFkYkNjbh9GbxOvYyXY0Rw73Tl4rlUtveuIGawa8s9i8bw5e&#10;w+Pr7uN+/fSmdli7PpvcrX34qrW+vJirJYiEp/R3DD/4jA4VM9XhQG0UTgM/kn4ne4sblYOoWWRZ&#10;DrIq5X/66htQSwMEFAAAAAgAh07iQNbk3g0SAgAAHQQAAA4AAABkcnMvZTJvRG9jLnhtbK1TS5LT&#10;MBDdU8UdVNoT28lkZpKKM1UQhg0FVA0cQJFkW1X6lVqJnQvADVixYc+5cg5acubLJgu8sNvS0+t+&#10;r1urm8FospcBlLM1rSYlJdJyJ5Rta/rt6+2ba0ogMiuYdlbW9CCB3qxfv1r1fimnrnNayECQxMKy&#10;9zXtYvTLogDeScNg4ry0uNm4YFjE39AWIrAe2Y0upmV5WfQuCB8clwC4uhk36YkxnEPomkZxuXF8&#10;Z6SNI2uQmkWUBJ3yQNe52qaRPH5uGpCR6Jqi0pjfmATjbXoX6xVbtoH5TvFTCeycEl5oMkxZTPpA&#10;tWGRkV1Q/1AZxYMD18QJd6YYhWRHUEVVvvDmrmNeZi1oNfgH0+H/0fJP+y+BKIGTcDGjxDKDLT/+&#10;/HH89ef4+ztJi2hR72GJyDuP2Di8dQPC79cBF5PyoQkmfVETwf3Z1XVZzeeUHBA7u6iuMM5myyES&#10;ngiq2aJaYB84IqaLaVXmbhSPTD5A/CCdISmoacBmZo/Z/iNE5ELoPSQltu5WaZ1zaEv6ml7O5ome&#10;4ZA2OBwYGo9CwbaZBpxWIh1JhyG023c6kD1Lg5KfVC6meAZL+TYMuhGXt0ZVwe2syLk7ycR7K0g8&#10;eLTS4h2iqRgjBSVa4pVLUUZGpvQ5SCxCW6wldWF0O0Vx2A5Ik8KtEwfszM4H1XboVO5NhuPUZBGn&#10;CU9j+fQ/kz7e6v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ES679YAAAAFAQAADwAAAAAAAAAB&#10;ACAAAAAiAAAAZHJzL2Rvd25yZXYueG1sUEsBAhQAFAAAAAgAh07iQNbk3g0SAgAAHQQAAA4AAAAA&#10;AAAAAQAgAAAAJQEAAGRycy9lMm9Eb2MueG1sUEsFBgAAAAAGAAYAWQEAAKkFAAAAAA==&#10;">
                  <v:fill on="f" focussize="0,0"/>
                  <v:stroke weight="0.5pt" color="#000000" joinstyle="round"/>
                  <v:imagedata o:title=""/>
                  <o:lock v:ext="edit" aspectratio="f"/>
                  <v:textbox>
                    <w:txbxContent>
                      <w:p>
                        <w:pPr>
                          <w:spacing w:line="240" w:lineRule="auto"/>
                          <w:ind w:firstLine="0" w:firstLineChars="0"/>
                          <w:jc w:val="center"/>
                          <w:rPr>
                            <w:szCs w:val="22"/>
                          </w:rPr>
                        </w:pPr>
                        <w:r>
                          <w:rPr>
                            <w:rFonts w:hint="eastAsia"/>
                            <w:szCs w:val="22"/>
                          </w:rPr>
                          <w:t>粪污处理系统</w:t>
                        </w:r>
                      </w:p>
                    </w:txbxContent>
                  </v:textbox>
                </v:shape>
                <v:shape id="_x0000_s1026" o:spid="_x0000_s1026" o:spt="32" type="#_x0000_t32" style="position:absolute;left:4347845;top:1633855;flip:x;height:541020;width:1905;" filled="f" stroked="t" coordsize="21600,21600" o:gfxdata="UEsDBAoAAAAAAIdO4kAAAAAAAAAAAAAAAAAEAAAAZHJzL1BLAwQUAAAACACHTuJAAmjzPtUAAAAF&#10;AQAADwAAAGRycy9kb3ducmV2LnhtbE2PS0/DQAyE70j8h5WRuNHdghpVIZtK0OYEB0h76NHJmiRi&#10;H1F2+6C/HsMFLtZYY818LlZnZ8WRpjgEr2E+UyDIt8EMvtOw21Z3SxAxoTdogycNXxRhVV5fFZib&#10;cPLvdKxTJzjExxw19CmNuZSx7clhnIWRPHsfYXKYeJ06aSY8cbiz8l6pTDocPDf0ONJzT+1nfXAa&#10;xv3r5vLyVGGqLna9eaNpu64brW9v5uoRRKJz+juGH3xGh5KZmnDwJgqrgR9Jv5O95YPKQDQsFosM&#10;ZFnI//TlN1BLAwQUAAAACACHTuJA6TvkazUCAAA0BAAADgAAAGRycy9lMm9Eb2MueG1srVNLbhQx&#10;EN0jcQfLe9LzDUMrPVnMEFggiAQcoMbt7rbkn8rO9MwluAASK2AFrLLnNBCOQdk9JCFssmAWrfJU&#10;1atXz88npzuj2VZiUM5WfHw04kxa4Wpl24q/fXP2aMFZiGBr0M7Kiu9l4KfLhw9Oel/KieucriUy&#10;ArGh7H3Fuxh9WRRBdNJAOHJeWko2Dg1EOmJb1Ag9oRtdTEaj46J3WHt0QoZA/66HJD8g4n0AXdMo&#10;IddOXBhp44CKUkOklUKnfODLzLZppIivmibIyHTFadOYvzSE4k36FssTKFsE3ylxoAD3oXBnJwPK&#10;0tBrqDVEYBeo/oEySqALrolHwpliWCQrQluMR3e0ed2Bl3kXkjr4a9HD/4MVL7fnyFRNTpjNObNg&#10;6Mqv3l/+fPfp6tvXHx8vf33/kOIvn1kqILl6H0rqWtlzTAuHuNrZA8CUU7Cr+CTVFX8VpkPwQ8uu&#10;QcMarfxzmppVIx0Y9c2ms8eLRGNPiePpdDHPE6GUu8gEFYyfjCgrKD2fjUeTfH0FlAkwcfEY4jPp&#10;DEtBxUNEUG0XV85aMoLDYRhsX4SYCN40pGbrzpTW2Q/asr7ix9M5uUQAebwhb1FoPOkUbMsZ6JYe&#10;j4iY6QenVZ26syDYblYa2RaS5fIvy0FS3S5LFNcQuqEupwYzGhXpfWllKr647oYygtJPbc3i3tMN&#10;AaLreWJpZM2ZlsQmRcNa2h7kHxRP2m9cvT/HP9dCZsr7H4yf3Hr7nLtvHvv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Jo8z7VAAAABQEAAA8AAAAAAAAAAQAgAAAAIgAAAGRycy9kb3ducmV2Lnht&#10;bFBLAQIUABQAAAAIAIdO4kDpO+RrNQIAADQEAAAOAAAAAAAAAAEAIAAAACQBAABkcnMvZTJvRG9j&#10;LnhtbFBLBQYAAAAABgAGAFkBAADLBQAAAAA=&#10;">
                  <v:fill on="f" focussize="0,0"/>
                  <v:stroke weight="0.5pt" color="#000000 [3200]" miterlimit="8" joinstyle="miter" endarrow="open"/>
                  <v:imagedata o:title=""/>
                  <o:lock v:ext="edit" aspectratio="f"/>
                </v:shape>
                <v:shape id="_x0000_s1026" o:spid="_x0000_s1026" o:spt="202" type="#_x0000_t202" style="position:absolute;left:3837305;top:2170430;height:292100;width:977900;" filled="f" stroked="t" coordsize="21600,21600" o:gfxdata="UEsDBAoAAAAAAIdO4kAAAAAAAAAAAAAAAAAEAAAAZHJzL1BLAwQUAAAACACHTuJAbES679YAAAAF&#10;AQAADwAAAGRycy9kb3ducmV2LnhtbE2PQU/DMAyF70j8h8hI3FgyUMvUNd0BsQMSQmJDjGPaek1F&#10;4pQm6wa/HsMFLtaznvXe53J18k5MOMY+kIb5TIFAakLbU6fhZbu+WoCIyVBrXCDU8IkRVtX5WWmK&#10;NhzpGadN6gSHUCyMBpvSUEgZG4vexFkYkNjbh9GbxOvYyXY0Rw73Tl4rlUtveuIGawa8s9i8bw5e&#10;w+Pr7uN+/fSmdli7PpvcrX34qrW+vJirJYiEp/R3DD/4jA4VM9XhQG0UTgM/kn4ne4sblYOoWWRZ&#10;DrIq5X/66htQSwMEFAAAAAgAh07iQItqOFcRAgAAHAQAAA4AAABkcnMvZTJvRG9jLnhtbK1TzY7T&#10;MBC+I/EOlu80abvbbqOmK0FZLgiQFh7AtZ3Ekv/kcZv0BeANOHHhznP1ORg73V1YLj2QQzKxP38z&#10;3zfj9e1gNDnIAMrZmk4nJSXScieUbWv65fPdqxtKIDIrmHZW1vQogd5uXr5Y976SM9c5LWQgSGKh&#10;6n1Nuxh9VRTAO2kYTJyXFjcbFwyL+BvaQgTWI7vRxawsF0XvgvDBcQmAq9txk54ZwyWErmkUl1vH&#10;90baOLIGqVlESdApD3STq20ayePHpgEZia4pKo35jUkw3qV3sVmzqg3Md4qfS2CXlPBMk2HKYtJH&#10;qi2LjOyD+ofKKB4cuCZOuDPFKCQ7giqm5TNv7jvmZdaCVoN/NB3+Hy3/cPgUiBI4CVcLSiwz2PLT&#10;92+nH79OP7+StIgW9R4qRN57xMbhtRsQ/rAOuJiUD00w6YuaCO7Pb+bLeXlNybGms+myvJqfzZZD&#10;JBwBq+VyVWIbeAKsZlOMMVPxROQDxHfSGZKCmgbsZbaYHd5DHKEPkJTXujulde6ntqSv6WJ+negZ&#10;zmiDs4Gh8agTbJtpwGkl0pF0GEK7e6MDObA0J/k5V/MXLOXbMuhGXN5KMFYFt7ciR51k4q0VJB49&#10;OmnxCtFUjJGCEi3xxqUoIyNT+hIkWqItOpOaMJqdojjsBqRJ4c6JIzZm74NqO3QqtybDcWiypecB&#10;T1P5538mfbrU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RLrv1gAAAAUBAAAPAAAAAAAAAAEA&#10;IAAAACIAAABkcnMvZG93bnJldi54bWxQSwECFAAUAAAACACHTuJAi2o4VxECAAAcBAAADgAAAAAA&#10;AAABACAAAAAlAQAAZHJzL2Uyb0RvYy54bWxQSwUGAAAAAAYABgBZAQAAqAUAAAAA&#10;">
                  <v:fill on="f" focussize="0,0"/>
                  <v:stroke weight="0.5pt" color="#000000" joinstyle="round"/>
                  <v:imagedata o:title=""/>
                  <o:lock v:ext="edit" aspectratio="f"/>
                  <v:textbox>
                    <w:txbxContent>
                      <w:p>
                        <w:pPr>
                          <w:spacing w:line="240" w:lineRule="auto"/>
                          <w:ind w:firstLine="0" w:firstLineChars="0"/>
                          <w:jc w:val="center"/>
                          <w:rPr>
                            <w:szCs w:val="22"/>
                          </w:rPr>
                        </w:pPr>
                        <w:r>
                          <w:rPr>
                            <w:rFonts w:hint="eastAsia"/>
                            <w:szCs w:val="22"/>
                          </w:rPr>
                          <w:t>液肥还田</w:t>
                        </w:r>
                      </w:p>
                    </w:txbxContent>
                  </v:textbox>
                </v:shape>
                <v:shape id="_x0000_s1026" o:spid="_x0000_s1026" o:spt="32" type="#_x0000_t32" style="position:absolute;left:131445;top:2986405;height:8255;width:93218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CF4FeweAgAAAQQAAA4AAABkcnMvZTJvRG9jLnhtbK1TS24U&#10;MRDdI3EHy3vS841mWunJYoawQRAJOECN291tyT+VnemZS3ABJFbAClhlz2kgHIOye0ggbLKgF+6y&#10;q+pVvefy2fneaLaTGJSzFR+fjDiTVrha2bbib15fPFlwFiLYGrSzsuIHGfj56vGjs96XcuI6p2uJ&#10;jEBsKHtf8S5GXxZFEJ00EE6cl5acjUMDkbbYFjVCT+hGF5PR6LToHdYenZAh0OlmcPIjIj4E0DWN&#10;EnLjxJWRNg6oKDVEohQ65QNf5W6bRor4smmCjExXnJjGvFIRsrdpLVZnULYIvlPi2AI8pIV7nAwo&#10;S0VvoTYQgV2h+gfKKIEuuCaeCGeKgUhWhFiMR/e0edWBl5kLSR38rejh/8GKF7tLZKqmSZgtObNg&#10;6Mpv3l3/ePvx5uuX7x+uf357n+zPn1gKILl6H0rKWttLPO6Cv8TEfd+gSX9ixfYEOB3PZnPODhWf&#10;LBens9F8UFvuIxPkX04n4wXdg6CAxWSevcUdiscQn0lnWDIqHiKCaru4dtbSrTocZ71h9zxE6oMS&#10;fyekFqy7UFrny9WW9RU/nc5TKaCBbWhQyDSeSAfbcga6pZcgImbE4LSqU3bCCdhu1xrZDtL85C+R&#10;oGp/haXSGwjdEJddA1ejIj0WrQxRvM2GMoLST23N4sGT3IDoep66NLLmTEvqJllDIW2pXhJ9kDlZ&#10;W1cfsvr5nCYjd3Sc4jR6f+5z9t3L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mOv2dYAAAAF&#10;AQAADwAAAAAAAAABACAAAAAiAAAAZHJzL2Rvd25yZXYueG1sUEsBAhQAFAAAAAgAh07iQCF4Fewe&#10;AgAAAQQAAA4AAAAAAAAAAQAgAAAAJQEAAGRycy9lMm9Eb2MueG1sUEsFBgAAAAAGAAYAWQEAALUF&#10;AAAAAA==&#10;">
                  <v:fill on="f" focussize="0,0"/>
                  <v:stroke weight="0.5pt" color="#000000 [3200]" miterlimit="8" joinstyle="miter" endarrow="open"/>
                  <v:imagedata o:title=""/>
                  <o:lock v:ext="edit" aspectratio="f"/>
                </v:shape>
                <v:shape id="_x0000_s1026" o:spid="_x0000_s1026" o:spt="32" type="#_x0000_t32" style="position:absolute;left:1036955;top:5142230;height:0;width:571500;" filled="f" stroked="t" coordsize="21600,21600" o:gfxdata="UEsDBAoAAAAAAIdO4kAAAAAAAAAAAAAAAAAEAAAAZHJzL1BLAwQUAAAACACHTuJA9mOv2dYAAAAF&#10;AQAADwAAAGRycy9kb3ducmV2LnhtbE2PzU7DMBCE70h9B2srcUHULtCohDgVP0IFbhQewI23SRp7&#10;HcXu39uz9AKX1axmNfNtsTh6J/Y4xDaQhulEgUCqgm2p1vD99Xo9BxGTIWtcINRwwgiLcnRRmNyG&#10;A33ifpVqwSEUc6OhSanPpYxVg97ESeiR2NuEwZvE61BLO5gDh3snb5TKpDctcUNjenxusOpWO69h&#10;s33Pnu6q7ccynvzV2/1jF15cp/XleKoeQCQ8pr9j+MVndCiZaR12ZKNwGviRdJ7szW9VBmLNYjbL&#10;QJaF/E9f/gBQSwMEFAAAAAgAh07iQNsl3P0aAgAA/wMAAA4AAABkcnMvZTJvRG9jLnhtbK1TS44T&#10;MRDdI3EHy3vS+ZAwROnMImHYIIgEHMBxu7st+acqTzq5BBdAYgWsGFaz5zQwHIOyO2Rg2MyCXrjL&#10;rqpX9Z7Li/O9NWynALV3JR8NhpwpJ32lXVPyt28uHp1xhlG4ShjvVMkPCvn58uGDRRfmauxbbyoF&#10;jEAczrtQ8jbGMC8KlK2yAgc+KEfO2oMVkbbQFBWIjtCtKcbD4azoPFQBvFSIdLrunfyICPcB9HWt&#10;pVp7eWmViz0qKCMiUcJWB+TL3G1dKxlf1TWqyEzJiWnMKxUhe5vWYrkQ8wZEaLU8tiDu08IdTlZo&#10;R0VPUGsRBbsE/Q+U1RI8+joOpLdFTyQrQixGwzvavG5FUJkLSY3hJDr+P1j5crcBpiuahClp4oSl&#10;K795f/3j3aebr1ffP17//PYh2V8+sxRAcnUB55S1chs47jBsIHHf12DTn1ixPQEOJ7On0ylnh5JP&#10;R4/H48lRbrWPTFLA9AlBUlFJAdlV3GIEwPhcecuSUXKMIHTTxpV3ju7UwyirLXYvMFIXlPg7ITXg&#10;/IU2Jl+tcawr+WySyElB41rTmJBpA1FG13AmTEPvQEbIiOiNrlJ2wkFotisDbCfS9OQvKUDV/gpL&#10;pdcC2z4uu/q5sjrSUzHalvzslC3mUWjzzFUsHgKJLQB8x1OXVlWcGUXdJKsvZBzVS5L3Iidr66tD&#10;1j6f01zkjo4znAbvz33Ovn23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Y6/Z1gAAAAUBAAAP&#10;AAAAAAAAAAEAIAAAACIAAABkcnMvZG93bnJldi54bWxQSwECFAAUAAAACACHTuJA2yXc/RoCAAD/&#10;AwAADgAAAAAAAAABACAAAAAlAQAAZHJzL2Uyb0RvYy54bWxQSwUGAAAAAAYABgBZAQAAsQUAAAAA&#10;">
                  <v:fill on="f" focussize="0,0"/>
                  <v:stroke weight="0.5pt" color="#000000 [3200]" miterlimit="8" joinstyle="miter" endarrow="open"/>
                  <v:imagedata o:title=""/>
                  <o:lock v:ext="edit" aspectratio="f"/>
                </v:shape>
                <v:shape id="_x0000_s1026" o:spid="_x0000_s1026" o:spt="202" type="#_x0000_t202" style="position:absolute;left:1598930;top:4989830;height:292100;width:977900;" filled="f" stroked="t" coordsize="21600,21600" o:gfxdata="UEsDBAoAAAAAAIdO4kAAAAAAAAAAAAAAAAAEAAAAZHJzL1BLAwQUAAAACACHTuJAbES679YAAAAF&#10;AQAADwAAAGRycy9kb3ducmV2LnhtbE2PQU/DMAyF70j8h8hI3FgyUMvUNd0BsQMSQmJDjGPaek1F&#10;4pQm6wa/HsMFLtaznvXe53J18k5MOMY+kIb5TIFAakLbU6fhZbu+WoCIyVBrXCDU8IkRVtX5WWmK&#10;NhzpGadN6gSHUCyMBpvSUEgZG4vexFkYkNjbh9GbxOvYyXY0Rw73Tl4rlUtveuIGawa8s9i8bw5e&#10;w+Pr7uN+/fSmdli7PpvcrX34qrW+vJirJYiEp/R3DD/4jA4VM9XhQG0UTgM/kn4ne4sblYOoWWRZ&#10;DrIq5X/66htQSwMEFAAAAAgAh07iQG4WpS8PAgAAHAQAAA4AAABkcnMvZTJvRG9jLnhtbK1TS27b&#10;MBDdF+gdCO5ryU6dWIblAK2bboq2QNoD0CQlEeAPHNqSL9DeoKtuuu+5fI4MKSdpko0X9UIecZ7e&#10;zHszXF0PRpO9DKCcrel0UlIiLXdC2bam37/dvFlQApFZwbSzsqYHCfR6/frVqvdLOXOd00IGgiQW&#10;lr2vaRejXxYF8E4aBhPnpcVk44JhEV9DW4jAemQ3upiV5WXRuyB8cFwC4OlmTNITYziH0DWN4nLj&#10;+M5IG0fWIDWLKAk65YGuc7dNI3n80jQgI9E1RaUxP7EIxtv0LNYrtmwD853ipxbYOS0802SYslj0&#10;gWrDIiO7oF5QGcWDA9fECXemGIVkR1DFtHzmzW3HvMxa0GrwD6bD/6Pln/dfA1ECN2E+pcQygyM/&#10;/vp5/P33+OcHSYdoUe9hichbj9g4vHMDwu/PAQ+T8qEJJv2jJpLy82pRXaDNh5q+xXCBcTZbDpFw&#10;BFRXV1WJeY6AWTWbYoz54pHIB4gfpTMkBTUNOMtsMdt/gjhC7yGprnU3SutcQlvS1/TyYp7oGe5o&#10;g7uBofGoE2ybacBpJdIn6WMI7fa9DmTP0p7k36mbJ7BUb8OgG3E5NYoKbmdFrt1JJj5YQeLBo5MW&#10;rxBNzRgpKNESb1yKMjIypc9BoiXaojNpCKPZKYrDdkCaFG6dOOBgdj6otkOn8mgyHJcmW3pa8LSV&#10;/75n0sdLv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ES679YAAAAFAQAADwAAAAAAAAABACAA&#10;AAAiAAAAZHJzL2Rvd25yZXYueG1sUEsBAhQAFAAAAAgAh07iQG4WpS8PAgAAHAQAAA4AAAAAAAAA&#10;AQAgAAAAJQEAAGRycy9lMm9Eb2MueG1sUEsFBgAAAAAGAAYAWQEAAKYFAAAAAA==&#10;">
                  <v:fill on="f" focussize="0,0"/>
                  <v:stroke weight="0.5pt" color="#000000" joinstyle="round"/>
                  <v:imagedata o:title=""/>
                  <o:lock v:ext="edit" aspectratio="f"/>
                  <v:textbox>
                    <w:txbxContent>
                      <w:p>
                        <w:pPr>
                          <w:spacing w:line="240" w:lineRule="auto"/>
                          <w:ind w:firstLine="0" w:firstLineChars="0"/>
                          <w:jc w:val="center"/>
                          <w:rPr>
                            <w:szCs w:val="22"/>
                          </w:rPr>
                        </w:pPr>
                        <w:r>
                          <w:rPr>
                            <w:rFonts w:hint="eastAsia"/>
                            <w:szCs w:val="22"/>
                          </w:rPr>
                          <w:t>绿化用水</w:t>
                        </w:r>
                      </w:p>
                    </w:txbxContent>
                  </v:textbox>
                </v:shape>
                <v:shape id="_x0000_s1026" o:spid="_x0000_s1026" o:spt="202" type="#_x0000_t202" style="position:absolute;left:1017905;top:485648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Dk1O9HTgIAAIMEAAAOAAAAZHJzL2Uyb0RvYy54bWytVEtu&#10;2zAQ3RfoHQjuG31qJbYROXATpChgNAHcomuaoiwBJIcl6UjuAdobZNVN9z1XztEhJSdG2kUW3dAz&#10;nOc3fPPR+UWvJLkT1rWgS5qdpJQIzaFq9baknz9dv5lS4jzTFZOgRUn3wtGLxetX552ZixwakJWw&#10;BEm0m3empI33Zp4kjjdCMXcCRmgM1mAV8+jabVJZ1iG7kkmepqdJB7YyFrhwDm+vhiAdGe1LCKGu&#10;Wy6ugO+U0H5gtUIyj5Jc0xpHF/G1dS24v6lrJzyRJUWlPp6YBO1NOJPFOZtvLTNNy8cnsJc84Zkm&#10;xVqNSR+prphnZGfbv6hUyy04qP0JB5UMQmJFUEWWPqvNumFGRC1Yamcei+7+Hy3/eHdrSVvhJBQ5&#10;JZopbPnD/Y+Hn78ffn0n4RJL1Bk3R+TaINb376BH+OHe4WVQ3tdWhV/UREI8zc5maUHJvqSTaXE6&#10;mY7FFr0nHAFFMZ2m2AaOgHyWZ2hjpuSJyFjn3wtQJBgltdjLWGJ2t3J+gB4gIa+G61bK2E+pSVfS&#10;07dFGv/wGEFyqQNWxMkYaYK4QUSwfL/pR8UbqPYo2MIwNc7w6xafsmLO3zKLY4Kvx0XyN3jUEjAl&#10;jBYlDdhv/7oPeOweRinpcOxK6r7umBWUyA8a+zrLJpMwp9GZFGc5OvY4sjmO6J26BJzsDFfW8GgG&#10;vJcHs7agvuC+LUNWDDHNMXdJ/cG89MMy4L5ysVxGEE6mYX6l14YH6qG4y52Huo11D2UaaoP9Cg7O&#10;ZuzcuEdh+I/9iHr6di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1jAiPXAAAABQEAAA8AAAAA&#10;AAAAAQAgAAAAIgAAAGRycy9kb3ducmV2LnhtbFBLAQIUABQAAAAIAIdO4kDk1O9HTgIAAIMEAAAO&#10;AAAAAAAAAAEAIAAAACYBAABkcnMvZTJvRG9jLnhtbFBLBQYAAAAABgAGAFkBAADmBQ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75</w:t>
                        </w:r>
                      </w:p>
                    </w:txbxContent>
                  </v:textbox>
                </v:shape>
                <v:shape id="_x0000_s1026" o:spid="_x0000_s1026" o:spt="38" type="#_x0000_t38" style="position:absolute;left:2037080;top:4780280;flip:y;height:203200;width:266700;" filled="f" stroked="t" coordsize="21600,21600" o:gfxdata="UEsDBAoAAAAAAIdO4kAAAAAAAAAAAAAAAAAEAAAAZHJzL1BLAwQUAAAACACHTuJApAn259YAAAAF&#10;AQAADwAAAGRycy9kb3ducmV2LnhtbE2PQUvDQBCF74L/YRnBi9jdWpKWmE2RQo8N2Cp43GbHJLo7&#10;G7LbtP57Ry96Gd7whve+KdcX78SEY+wDaZjPFAikJtieWg0vh+39CkRMhqxxgVDDF0ZYV9dXpSls&#10;ONMzTvvUCg6hWBgNXUpDIWVsOvQmzsKAxN57GL1JvI6ttKM5c7h38kGpXHrTEzd0ZsBNh83n/uQ1&#10;1JvtYvlx97ZbTlnd1lS7p2z3qvXtzVw9gkh4SX/H8IPP6FAx0zGcyEbhNPAj6Xeyt1qoHMSRRZbl&#10;IKtS/qevvgFQSwMEFAAAAAgAh07iQDbpcEcxAgAAPAQAAA4AAABkcnMvZTJvRG9jLnhtbK1TvY4T&#10;MRDukXgHyz3ZTUJyUZTNFQlHgyASP71je7NG/tPYySYvwQsg0UFFdSXNvc0dj8HYu3cHB8UVbLEa&#10;25+/me+b8eL8aDQ5SAjK2YoOByUl0nInlN1V9P27i2czSkJkVjDtrKzoSQZ6vnz6ZNH6uRy5xmkh&#10;gSCJDfPWV7SJ0c+LIvBGGhYGzkuLh7UDwyIuYVcIYC2yG12MynJatA6EB8dlCLi77g5pzwiPIXR1&#10;rbhcO7430saOFaRmESWFRvlAl7naupY8vqnrICPRFUWlMf8xCcbb9C+WCzbfAfON4n0J7DElPNBk&#10;mLKY9I5qzSIje1B/URnFwQVXxwF3puiEZEdQxbB84M3bhnmZtaDVwd+ZHv4fLX992ABRAidhMqbE&#10;MoMtv/58efPj6ufVl+tPX2++fyPpCI1qfZgjfmU30K+C30BSfazBkFor/wF5sg+ojBwrOirHZ+UM&#10;zT5V9PnZrBxhnC2Xx0h4AkynZyWecwQgGAcknRcdZaL2EOJL6QxJQUX5Hg5SrJy12FoH45yMHV6F&#10;mN0XvQImPg4pqY3GZh6YJpNyOLpl7tGY45Y7XdWWtBWdjiepGIZzXeM8YWg8ehPsLicKTitxobRO&#10;NwLstisNBPlxkvLX1/4HLCVZs9B0uHAKadGZYFSUkO1oJBMvrCDx5NF/iw+PpnKMFJRoie80RRkZ&#10;mdL3SAbg2n9DUZ+2aGXqWtenFG2dOOX25X0cqmx2/wDS1P6+zrfvH/3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QJ9ufWAAAABQEAAA8AAAAAAAAAAQAgAAAAIgAAAGRycy9kb3ducmV2LnhtbFBL&#10;AQIUABQAAAAIAIdO4kA26XBHMQIAADwEAAAOAAAAAAAAAAEAIAAAACUBAABkcnMvZTJvRG9jLnht&#10;bFBLBQYAAAAABgAGAFkBAADIBQAAAAA=&#10;" adj="10826">
                  <v:fill on="f" focussize="0,0"/>
                  <v:stroke weight="0.5pt" color="#000000" joinstyle="miter" dashstyle="3 1" endarrow="open"/>
                  <v:imagedata o:title=""/>
                  <o:lock v:ext="edit" aspectratio="f"/>
                </v:shape>
                <v:shape id="_x0000_s1026" o:spid="_x0000_s1026" o:spt="202" type="#_x0000_t202" style="position:absolute;left:2179955;top:4618355;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AQqH3iTQIAAIMEAAAOAAAAZHJzL2Uyb0RvYy54bWytVEtu&#10;2zAQ3RfoHQjuG1mOldiG5cBNkKJA0ARIi65piooE8FeSjpQeoL1BV91033PlHH2k/AnSLrLohp7h&#10;PL/hm48WZ72S5F443xpd0vxoRInQ3FStvivpp4+Xb6aU+MB0xaTRoqQPwtOz5etXi87Oxdg0RlbC&#10;EZBoP+9sSZsQ7DzLPG+EYv7IWKERrI1TLMB1d1nlWAd2JbPxaHSSdcZV1hkuvMftxRCkW0b3EkJT&#10;1y0XF4ZvlNBhYHVCsgBJvmmtp8v02roWPFzXtReByJJCaUgnksBexzNbLtj8zjHbtHz7BPaSJzzT&#10;pFirkXRPdcECIxvX/kWlWu6MN3U44kZlg5BUEajIR89qc9swK5IWlNrbfdH9/6PlH+5vHGkrTEIx&#10;oUQzhZY//vj++PP3469vJF6iRJ31cyBvLbChf2t6wHf3HpdReV87FX+hiSA+zk9ns6Kg5KGkk5N8&#10;egw7FVv0gXAAimI6HaENHIDxbJzDRjw7EFnnwzthFIlGSR16mUrM7q98GKA7SMyrzWUrZUohNelK&#10;enJcjNIf9hGQSx2xIk3GliaKG0REK/TrHiTRXJvqAYKdGabGW37Z4ilXzIcb5jAmeD0WKVzjqKVB&#10;SrO1KGmM+/qv+4hH9xClpMPYldR/2TAnKJHvNfo6yyeTOKfJmRSnYzjuaWT9NKI36txgsnOsrOXJ&#10;jPggd2btjPqMfVvFrAgxzZG7pGFnnodhGbCvXKxWCYTJtCxc6VvLI/VQ3NUmmLpNdT/UBv2KDmYz&#10;dW67R3H4n/oJdfh2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WMCI9cAAAAFAQAADwAAAAAA&#10;AAABACAAAAAiAAAAZHJzL2Rvd25yZXYueG1sUEsBAhQAFAAAAAgAh07iQBCofeJNAgAAgwQAAA4A&#10;AAAAAAAAAQAgAAAAJgEAAGRycy9lMm9Eb2MueG1sUEsFBgAAAAAGAAYAWQEAAOUFA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0.7</w:t>
                        </w:r>
                      </w:p>
                    </w:txbxContent>
                  </v:textbox>
                </v:shape>
                <v:shape id="_x0000_s1026" o:spid="_x0000_s1026" o:spt="202" type="#_x0000_t202" style="position:absolute;left:287020;top:263271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CxD+dTSwIAAIIEAAAOAAAAZHJzL2Uyb0RvYy54bWytVEtu&#10;2zAQ3RfoHQjua8lOnDhG5MBNkKJA0ARwi65piooE8FeStpQeoL1BV91033P5HH2kZCdIu8iiG3rI&#10;Gb+Z92ZG5xedkmQrnG+MLuh4lFMiNDdlo+8L+unj9ZsZJT4wXTJptCjog/D0YvH61Xlr52JiaiNL&#10;4QhAtJ+3tqB1CHaeZZ7XQjE/MlZoOCvjFAu4uvusdKwFupLZJM9Psta40jrDhfd4veqddEB0LwE0&#10;VdVwcWX4RgkdelQnJAug5OvGerpI1VaV4OG2qrwIRBYUTEM6kQT2Op7Z4pzN7x2zdcOHEthLSnjG&#10;SbFGI+kB6ooFRjau+QtKNdwZb6ow4kZlPZGkCFiM82farGpmReICqb09iO7/Hyz/sL1zpCkxCdMp&#10;JZoptHz34/vu5+/dr28kPkKi1vo5IlcWsaF7azqE7989HiPzrnIq/oITgX8yO80nUPkB5snR5HQ8&#10;aC26QDj80+lslsPPY8DZZAwbibJHHOt8eCeMItEoqEMrk8Jse+NDH7oPiWm1uW6kTO2UmrQFPTma&#10;5ukPBw/ApY6xIg3GABO59RyiFbp1NxBem/IBfJ3ph8Zbft2glBvmwx1zmBJUjz0KtzgqaZDSDBYl&#10;tXFf//Ue49E8eClpMXUF9V82zAlK5HuNtp6Nj48BG9LleHoaFXRPPeunHr1RlwaDPcbGWp7MGB/k&#10;3qycUZ+xbsuYFS6mOXIXNOzNy9DvAtaVi+UyBWEwLQs3emV5hO7FXW6CqZqke5Sp1wb9iheMZurc&#10;sEZx9p/eU9Tjp2P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1jAiPXAAAABQEAAA8AAAAAAAAA&#10;AQAgAAAAIgAAAGRycy9kb3ducmV2LnhtbFBLAQIUABQAAAAIAIdO4kCxD+dTSwIAAIIEAAAOAAAA&#10;AAAAAAEAIAAAACYBAABkcnMvZTJvRG9jLnhtbFBLBQYAAAAABgAGAFkBAADjBQ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Cs w:val="22"/>
                          </w:rPr>
                        </w:pPr>
                        <w:r>
                          <w:rPr>
                            <w:rFonts w:hint="eastAsia" w:ascii="Times New Roman" w:hAnsi="Times New Roman" w:cs="Times New Roman"/>
                            <w:szCs w:val="22"/>
                          </w:rPr>
                          <w:t>607.1</w:t>
                        </w:r>
                      </w:p>
                    </w:txbxContent>
                  </v:textbox>
                </v:shape>
                <v:line id="_x0000_s1026" o:spid="_x0000_s1026" o:spt="20" style="position:absolute;left:2728595;top:4058920;flip:y;height:635;width:462280;" filled="f" stroked="t" coordsize="21600,21600" o:gfxdata="UEsDBAoAAAAAAIdO4kAAAAAAAAAAAAAAAAAEAAAAZHJzL1BLAwQUAAAACACHTuJA8P3aN9UAAAAF&#10;AQAADwAAAGRycy9kb3ducmV2LnhtbE2PzU7DMBCE70i8g7VI3KidlkZNiFO1SMANiZbe3XhJosbr&#10;EDv9efsuXOCymtWsZr4tlmfXiSMOofWkIZkoEEiVty3VGj63Lw8LECEasqbzhBouGGBZ3t4UJrf+&#10;RB943MRacAiF3GhoYuxzKUPVoDNh4nsk9r784EzkdailHcyJw10np0ql0pmWuKExPT43WB02o9Ow&#10;3mazV7sb3w7v2SOu1lkSxu+d1vd3iXoCEfEc/47hB5/RoWSmvR/JBtFp4Efi72RvMVMpiD2L+TwF&#10;WRbyP315BVBLAwQUAAAACACHTuJANizZvggCAADwAwAADgAAAGRycy9lMm9Eb2MueG1srVM7bhsx&#10;EO0D5A4E+2iltaXIC61cSHCaIBGQTz/ikrsE+ANJa6VL5AIB0iVVyvS+TZxjZMjdOLbTuAgLgp83&#10;b+Y9DleXR63IgfsgranpbDKlhBtmG2namn54f/ViSUmIYBpQ1vCannigl+vnz1a9q3hpO6sa7gmS&#10;mFD1rqZdjK4qisA6riFMrOMGL4X1GiJufVs0Hnpk16oop9NF0VvfOG8ZDwFPt8MlHRn9UwitEJLx&#10;rWXXmps4sHquIKKk0EkX6DpXKwRn8a0QgUeiaopKY54xCa73aS7WK6haD66TbCwBnlLCI00apMGk&#10;d1RbiECuvfyHSkvmbbAiTpjVxSAkO4IqZtNH3rzrwPGsBa0O7s708P9o2ZvDzhPZ1BSf3YDGB7/9&#10;/OPnp6+/br7gfPv9G1kmk3oXKsRuzM4nmSFujiaHzc7mFBfHmp4lXPEAmDbBDSFH4TURSrqP2HXZ&#10;K1RPMK58WS7nF8hyqun5dL68KMdn4cdIGALOF2W5xAdjCFhgupQGqsSXSnE+xFfcapIWNVXSJMug&#10;gsPrEAfoH0g6NvZKKoXnUClD+syYuAFbWWAL4VI7tCOYlhJQLf4RFn1mDFbJJkWn4ODb/UZ5coDU&#10;WXmMhT2ApdRbCN2Ay1cJBpWWEb+Rkhqdvx+tzGji4FtycG+b084nKWmHjZD1j02bOu3+PqP+ftT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D92jfVAAAABQEAAA8AAAAAAAAAAQAgAAAAIgAAAGRy&#10;cy9kb3ducmV2LnhtbFBLAQIUABQAAAAIAIdO4kA2LNm+CAIAAPADAAAOAAAAAAAAAAEAIAAAACQB&#10;AABkcnMvZTJvRG9jLnhtbFBLBQYAAAAABgAGAFkBAACeBQAAAAA=&#10;">
                  <v:fill on="f" focussize="0,0"/>
                  <v:stroke weight="0.5pt" color="#000000 [3200]" miterlimit="8" joinstyle="miter"/>
                  <v:imagedata o:title=""/>
                  <o:lock v:ext="edit" aspectratio="f"/>
                </v:line>
                <v:line id="_x0000_s1026" o:spid="_x0000_s1026" o:spt="20" style="position:absolute;left:3181350;top:4058920;height:457200;width:0;" filled="f" stroked="t" coordsize="21600,21600" o:gfxdata="UEsDBAoAAAAAAIdO4kAAAAAAAAAAAAAAAAAEAAAAZHJzL1BLAwQUAAAACACHTuJAp+AVANMAAAAF&#10;AQAADwAAAGRycy9kb3ducmV2LnhtbE2PwU7DMAyG70i8Q2QkbiwdaF1Vmu6AxAEJCeg4cMwary0k&#10;Tkmytrw9hgtcLFu/9flztVucFROGOHhSsF5lIJBabwbqFLzu768KEDFpMtp6QgVfGGFXn59VujR+&#10;phecmtQJhlAstYI+pbGUMrY9Oh1XfkTi7OiD04nH0EkT9MxwZ+V1luXS6YH4Qq9HvOux/WhOjim0&#10;/TwuNrw9Pz32RTO/48O0RaUuL9bZLYiES/pbhh99VoeanQ7+RCYKq4AfSb+Vs+Imy0EcuNlscpB1&#10;Jf/b199QSwMEFAAAAAgAh07iQKV34vPtAQAAvgMAAA4AAABkcnMvZTJvRG9jLnhtbK1TS44TMRDd&#10;I3EHy3vSSYYMmVY6s5ho2CCIBByg4nZ3W/JPLk86uQQXQGIHK5bsuc0Mx6Ds7vmymQW9cNv1eVXv&#10;ubw6PxjN9jKgcrbis8mUM2mFq5VtK/750+WrJWcYwdagnZUVP0rk5+uXL1a9L+XcdU7XMjACsVj2&#10;vuJdjL4sChSdNIAT56UlZ+OCgUjH0BZ1gJ7QjS7m0+lp0btQ++CERCTrZnDyETE8B9A1jRJy48SV&#10;kTYOqEFqiEQJO+WRr3O3TSNF/NA0KCPTFSemMa9UhPa7tBbrFZRtAN8pMbYAz2nhCScDylLRO6gN&#10;RGBXQf0DZZQIDl0TJ8KZYiCSFSEWs+kTbT524GXmQlKjvxMd/x+seL/fBqbqip+ccWbB0I3ffP11&#10;/eX7n9/faL35+YORh2TqPZYUfWG3YTyh34bE+dAEk/7Ehh0IaLacnSxI4GPFX08Xy7P5KLM8RCYo&#10;gFwi+RZvaB4SdHGP4QPGt9IZljYV18omAaCE/TuMQ+htSDJbd6m0JjuU2rK+4qe5sgAazIYGgioZ&#10;T+TQtpyBbmniRQwZEZ1WdcpOyRja3YUObA9pTvI3NvYoLJXeAHZDXHalMCiNivQotDIVXz7M1pbY&#10;JeUGrdJu5+pjljDb6Voz/3EE09w8POfs+2e3/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4BUA&#10;0wAAAAUBAAAPAAAAAAAAAAEAIAAAACIAAABkcnMvZG93bnJldi54bWxQSwECFAAUAAAACACHTuJA&#10;pXfi8+0BAAC+AwAADgAAAAAAAAABACAAAAAiAQAAZHJzL2Uyb0RvYy54bWxQSwUGAAAAAAYABgBZ&#10;AQAAgQUAAAAA&#10;">
                  <v:fill on="f" focussize="0,0"/>
                  <v:stroke weight="0.5pt" color="#000000 [3200]" miterlimit="8" joinstyle="miter"/>
                  <v:imagedata o:title=""/>
                  <o:lock v:ext="edit" aspectratio="f"/>
                </v:line>
                <v:line id="_x0000_s1026" o:spid="_x0000_s1026" o:spt="20" style="position:absolute;left:2152650;top:4506595;flip:x y;height:9525;width:1038225;" filled="f" stroked="t" coordsize="21600,21600" o:gfxdata="UEsDBAoAAAAAAIdO4kAAAAAAAAAAAAAAAAAEAAAAZHJzL1BLAwQUAAAACACHTuJAqkMUQ9UAAAAF&#10;AQAADwAAAGRycy9kb3ducmV2LnhtbE2PzU7DMBCE70i8g7VIXBC1W5RQhTgVKgLl2gLq1Y2XJGq8&#10;jmynP2/PwgUuq1nNaubbcnV2gzhiiL0nDfOZAoHUeNtTq+Hj/fV+CSImQ9YMnlDDBSOsquur0hTW&#10;n2iDx21qBYdQLIyGLqWxkDI2HToTZ35EYu/LB2cSr6GVNpgTh7tBLpTKpTM9cUNnRlx32By2k9Nw&#10;d/nsqabNYfcWdtMie6xfnte11rc3c/UEIuE5/R3DDz6jQ8VMez+RjWLQwI+k38ne8kHlIPYssiwH&#10;WZXyP331DVBLAwQUAAAACACHTuJAVfQgJQACAADWAwAADgAAAGRycy9lMm9Eb2MueG1srVPNjtMw&#10;EL4j8Q6W7zRpllTdqOketlo4IKjEz9117MSS/+TxNu1L8AJI3ODEkfu+DctjMHbKsiyXPZCDNZ6f&#10;b+b7Ml5dHIwmexFAOdvS+aykRFjuOmX7lr5/d/VsSQlEZjumnRUtPQqgF+unT1ajb0TlBqc7EQiC&#10;WGhG39IhRt8UBfBBGAYz54XFoHTBsIjX0BddYCOiG11UZbkoRhc6HxwXAOjdTEF6QgyPAXRSKi42&#10;jl8bYeOEGoRmESnBoDzQdZ5WSsHjGylBRKJbikxjPrEJ2rt0FusVa/rA/KD4aQT2mBEecDJMWWx6&#10;B7VhkZHroP6BMooHB07GGXemmIhkRZDFvHygzduBeZG5oNTg70SH/wfLX++3gaiupXVFiWUG//jt&#10;p+8/Pn75efMZz9tvXwlGUKbRQ4PZl3YbTjfw25A4H2QwRGrlX+I+0Wx9SFaKIUNyaGk1r6tFjaIf&#10;W/q8Lhf1eT1JLw6RcEyYl2fLqqop4ZhxXqOFTYoJO+H4APGFcIYko6Va2SQMa9j+FcQp9XdKclt3&#10;pbRGP2u0JWNLF2epO2e4sBIXBU3jkTTYnhKme3wJPIaMCE6rLlWnYgj97lIHsmdpf/J3GuyvtNR6&#10;w2CY8nJoomdUxMeilWnp8n61tsguKTppmKyd645Z2uzH3535n1Yz7dP9e67+8xz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QxRD1QAAAAUBAAAPAAAAAAAAAAEAIAAAACIAAABkcnMvZG93bnJl&#10;di54bWxQSwECFAAUAAAACACHTuJAVfQgJQACAADWAwAADgAAAAAAAAABACAAAAAkAQAAZHJzL2Uy&#10;b0RvYy54bWxQSwUGAAAAAAYABgBZAQAAlgUAAAAA&#10;">
                  <v:fill on="f" focussize="0,0"/>
                  <v:stroke weight="0.5pt" color="#000000 [3200]" miterlimit="8" joinstyle="miter"/>
                  <v:imagedata o:title=""/>
                  <o:lock v:ext="edit" aspectratio="f"/>
                </v:line>
                <v:shape id="_x0000_s1026" o:spid="_x0000_s1026" o:spt="32" type="#_x0000_t32" style="position:absolute;left:2149475;top:4205605;flip:x y;height:300990;width:3175;" filled="f" stroked="t" coordsize="21600,21600" o:gfxdata="UEsDBAoAAAAAAIdO4kAAAAAAAAAAAAAAAAAEAAAAZHJzL1BLAwQUAAAACACHTuJAmStXcdQAAAAF&#10;AQAADwAAAGRycy9kb3ducmV2LnhtbE2PQU/DMAyF70j8h8hI3Fgy0ErVNZ0Q0g6IE2XqOWtMW61x&#10;oibtBr8ewwUu1rOe9d7ncndxo1hwioMnDeuVAoHUejtQp+Hwvr/LQcRkyJrRE2r4xAi76vqqNIX1&#10;Z3rDpU6d4BCKhdHQpxQKKWPbozNx5QMSex9+cibxOnXSTubM4W6U90pl0pmBuKE3AZ97bE/17DR8&#10;LUuYm716CjG8usf6pcmzudH69mattiASXtLfMfzgMzpUzHT0M9koRg38SPqd7OUPKgNxZLHZZCCr&#10;Uv6nr74BUEsDBBQAAAAIAIdO4kAuLaNsKwIAABQEAAAOAAAAZHJzL2Uyb0RvYy54bWytU72OEzEQ&#10;7pF4B8s92c3vXVbZXJFwUCCIxE/veL27lvynsS+bvAQvgEQFVwHV9TwNHI/B2BsCHM0VuLDGHs83&#10;8803XlzstSI7AV5aU9LhIKdEGG4raZqSvn51+eicEh+YqZiyRpT0IDy9WD58sOhcIUa2taoSQBDE&#10;+KJzJW1DcEWWed4KzfzAOmHQWVvQLOARmqwC1iG6Vtkoz2dZZ6FyYLnwHm/XvZMeEeE+gLauJRdr&#10;y6+0MKFHBaFYQEq+lc7TZaq2rgUPL+rai0BUSZFpSDsmQXsb92y5YEUDzLWSH0tg9ynhDifNpMGk&#10;J6g1C4xcgfwHSksO1ts6DLjVWU8kdQRZDPM7vXnZMicSF2y1d6em+/8Hy5/vNkBkVdKzESWGaVT8&#10;9t3N97cfb798/vbh5sfX99H+dE3Qj83qnC8wZmU2cDx5t4HIfF+DJrWS7ilOFU3Wm2hFH/Ik+5KO&#10;hpP55GxKyaGkk1E+neXTXgCxD4Tjg/Ewejm6x3k+nyd5sh46wjjw4YmwmkSjpD4Ak00bVtYYFNpC&#10;n4ztnvmAxWHgr4AYbOylVCrprQzpSjobT3EKOMMZrnF20NQO++BNQwlTDX4OHiCV762SVYyOOB6a&#10;7UoB2bE4UmlFEpjtr2cx9Zr5tn+XXD1XLQP+HyV1Sc9P0awITKrHpiLh4FACBmA7GqvUoqJECawm&#10;Wn0iZTBfVKLvfbS2tjokSdI9Dkuq6DjYcRr/PKfo3595+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K1dx1AAAAAUBAAAPAAAAAAAAAAEAIAAAACIAAABkcnMvZG93bnJldi54bWxQSwECFAAUAAAA&#10;CACHTuJALi2jbCsCAAAUBAAADgAAAAAAAAABACAAAAAjAQAAZHJzL2Uyb0RvYy54bWxQSwUGAAAA&#10;AAYABgBZAQAAwAUAAAAA&#10;">
                  <v:fill on="f" focussize="0,0"/>
                  <v:stroke weight="0.5pt" color="#000000 [3200]" miterlimit="8" joinstyle="miter" endarrow="open"/>
                  <v:imagedata o:title=""/>
                  <o:lock v:ext="edit" aspectratio="f"/>
                </v:shape>
                <v:shape id="_x0000_s1026" o:spid="_x0000_s1026" o:spt="202" type="#_x0000_t202" style="position:absolute;left:2503805;top:4208780;height:292100;width:558800;" filled="f" stroked="f" coordsize="21600,21600" o:gfxdata="UEsDBAoAAAAAAIdO4kAAAAAAAAAAAAAAAAAEAAAAZHJzL1BLAwQUAAAACACHTuJADWMCI9cAAAAF&#10;AQAADwAAAGRycy9kb3ducmV2LnhtbE2PT0vDQBDF74LfYZmCN7vbSkKI2ZQSKILoobUXb5vsNAlm&#10;Z2N2+0c/vaMXexne8Ib3flOsLm4QJ5xC70nDYq5AIDXe9tRq2L9t7jMQIRqyZvCEGr4wwKq8vSlM&#10;bv2ZtnjaxVZwCIXcaOhiHHMpQ9OhM2HuRyT2Dn5yJvI6tdJO5szhbpBLpVLpTE/c0JkRqw6bj93R&#10;aXiuNq9mWy9d9j1UTy+H9fi5f0+0vpst1COIiJf4fwy/+IwOJTPV/kg2iEEDPxL/JnvZg0pB1CyS&#10;JAVZFvKavvwBUEsDBBQAAAAIAIdO4kAe29nNTwIAAIEEAAAOAAAAZHJzL2Uyb0RvYy54bWytVEtu&#10;2zAQ3RfoHQjua8mynTiG5cCN4aJA0ARIi65pirIEkByWpC25B2hv0FU33fdcOUeHlOwYaRdZdEPP&#10;cJ7f8M1H8+tWSbIX1tWgczocpJQIzaGo9Tannz6u30wpcZ7pgknQIqcH4ej14vWreWNmIoMKZCEs&#10;QRLtZo3JaeW9mSWJ45VQzA3ACI3BEqxiHl27TQrLGmRXMsnS9CJpwBbGAhfO4e2qC9Ke0b6EEMqy&#10;5mIFfKeE9h2rFZJ5lOSq2ji6iK8tS8H9XVk64YnMKSr18cQkaG/CmSzmbLa1zFQ175/AXvKEZ5oU&#10;qzUmPVGtmGdkZ+u/qFTNLTgo/YCDSjohsSKoYpg+q81DxYyIWrDUzpyK7v4fLf+wv7ekLnJ6OaJE&#10;M4Udf/zx/fHn78df3wjeYYEa42aIezCI9O1baHFsjvcOL4PutrQq/KIigvFsko6m6YSSQ07HWTq9&#10;nPalFq0nHAGTyXSaYhM4ArKrbIg2ZkqeiIx1/p0ARYKRU4udjAVm+1vnO+gREvJqWNdSxm5KTZqc&#10;XowmafzDKYLkUgesiHPR0wRxnYhg+XbT9oo3UBxQsIVuZpzh6xqfcsucv2cWhwRfj2vk7/AoJWBK&#10;6C1KKrBf/3Uf8Ng7jFLS4NDl1H3ZMSsoke81dvVqOB6HKY3OeHKZoWPPI5vziN6pG8C5HuLCGh7N&#10;gPfyaJYW1GfctmXIiiGmOebOqT+aN75bBdxWLpbLCMK5NMzf6gfDA3VX3OXOQ1nHuocydbXBfgUH&#10;JzN2rt+iMPrnfkQ9fTk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NYwIj1wAAAAUBAAAPAAAA&#10;AAAAAAEAIAAAACIAAABkcnMvZG93bnJldi54bWxQSwECFAAUAAAACACHTuJAHtvZzU8CAACBBAAA&#10;DgAAAAAAAAABACAAAAAmAQAAZHJzL2Uyb0RvYy54bWxQSwUGAAAAAAYABgBZAQAA5wUAAAAA&#10;">
                  <v:fill on="f" focussize="0,0"/>
                  <v:stroke on="f" weight="0.5pt"/>
                  <v:imagedata o:title=""/>
                  <o:lock v:ext="edit" aspectratio="f"/>
                  <v:textbox>
                    <w:txbxContent>
                      <w:p>
                        <w:pPr>
                          <w:spacing w:line="240" w:lineRule="auto"/>
                          <w:ind w:firstLine="0" w:firstLineChars="0"/>
                          <w:jc w:val="center"/>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30</w:t>
                        </w:r>
                      </w:p>
                    </w:txbxContent>
                  </v:textbox>
                </v:shape>
                <w10:wrap type="none"/>
                <w10:anchorlock/>
              </v:group>
            </w:pict>
          </mc:Fallback>
        </mc:AlternateConten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w:t>
      </w:r>
      <w:r>
        <w:rPr>
          <w:rFonts w:hint="eastAsia" w:cs="Times New Roman"/>
          <w:color w:val="000000" w:themeColor="text1"/>
          <w14:textFill>
            <w14:solidFill>
              <w14:schemeClr w14:val="tx1"/>
            </w14:solidFill>
          </w14:textFill>
        </w:rPr>
        <w:t>3.2-1</w:t>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本</w:t>
      </w:r>
      <w:r>
        <w:rPr>
          <w:rFonts w:cs="Times New Roman"/>
          <w:color w:val="000000" w:themeColor="text1"/>
          <w14:textFill>
            <w14:solidFill>
              <w14:schemeClr w14:val="tx1"/>
            </w14:solidFill>
          </w14:textFill>
        </w:rPr>
        <w:t>项目水平衡图  单位：m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d</w:t>
      </w:r>
    </w:p>
    <w:p>
      <w:pPr>
        <w:pStyle w:val="6"/>
        <w:spacing w:line="413"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3.2.2 供电工程</w:t>
      </w:r>
      <w:bookmarkEnd w:id="289"/>
      <w:bookmarkEnd w:id="290"/>
      <w:bookmarkEnd w:id="29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本项目现有工程供电由市政供电管网供给，场区内设一座350kVA变压器，可满足项目需要。</w:t>
      </w:r>
    </w:p>
    <w:p>
      <w:pPr>
        <w:pStyle w:val="6"/>
        <w:spacing w:line="413" w:lineRule="auto"/>
        <w:rPr>
          <w:rFonts w:ascii="Times New Roman" w:hAnsi="Times New Roman" w:cs="Times New Roman"/>
          <w:color w:val="000000" w:themeColor="text1"/>
          <w14:textFill>
            <w14:solidFill>
              <w14:schemeClr w14:val="tx1"/>
            </w14:solidFill>
          </w14:textFill>
        </w:rPr>
      </w:pPr>
      <w:bookmarkStart w:id="292" w:name="_Toc29129"/>
      <w:bookmarkStart w:id="293" w:name="_Toc32253"/>
      <w:bookmarkStart w:id="294" w:name="_Toc27170"/>
      <w:r>
        <w:rPr>
          <w:rFonts w:ascii="Times New Roman" w:hAnsi="Times New Roman" w:cs="Times New Roman"/>
          <w:color w:val="000000" w:themeColor="text1"/>
          <w14:textFill>
            <w14:solidFill>
              <w14:schemeClr w14:val="tx1"/>
            </w14:solidFill>
          </w14:textFill>
        </w:rPr>
        <w:t>3.2.3 供暖工程</w:t>
      </w:r>
      <w:bookmarkEnd w:id="292"/>
      <w:bookmarkEnd w:id="293"/>
      <w:bookmarkEnd w:id="29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本项目采用1台6t/h的电锅炉供热。</w:t>
      </w:r>
    </w:p>
    <w:p>
      <w:pPr>
        <w:pStyle w:val="6"/>
        <w:spacing w:line="413" w:lineRule="auto"/>
        <w:rPr>
          <w:rFonts w:ascii="Times New Roman" w:hAnsi="Times New Roman" w:cs="Times New Roman"/>
          <w:color w:val="000000" w:themeColor="text1"/>
          <w14:textFill>
            <w14:solidFill>
              <w14:schemeClr w14:val="tx1"/>
            </w14:solidFill>
          </w14:textFill>
        </w:rPr>
      </w:pPr>
      <w:bookmarkStart w:id="295" w:name="_Toc17790"/>
      <w:bookmarkStart w:id="296" w:name="_Toc19607"/>
      <w:bookmarkStart w:id="297" w:name="_Toc16657"/>
      <w:r>
        <w:rPr>
          <w:rFonts w:ascii="Times New Roman" w:hAnsi="Times New Roman" w:cs="Times New Roman"/>
          <w:color w:val="000000" w:themeColor="text1"/>
          <w14:textFill>
            <w14:solidFill>
              <w14:schemeClr w14:val="tx1"/>
            </w14:solidFill>
          </w14:textFill>
        </w:rPr>
        <w:t xml:space="preserve">3.2.4 </w:t>
      </w:r>
      <w:bookmarkEnd w:id="295"/>
      <w:r>
        <w:rPr>
          <w:rFonts w:ascii="Times New Roman" w:hAnsi="Times New Roman" w:cs="Times New Roman"/>
          <w:color w:val="000000" w:themeColor="text1"/>
          <w14:textFill>
            <w14:solidFill>
              <w14:schemeClr w14:val="tx1"/>
            </w14:solidFill>
          </w14:textFill>
        </w:rPr>
        <w:t>消防工程</w:t>
      </w:r>
      <w:bookmarkEnd w:id="296"/>
      <w:bookmarkEnd w:id="29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根据《建筑设计防火规范》（GB50015-2014）的要求，项目养殖场占地面积</w:t>
      </w:r>
      <w:r>
        <w:rPr>
          <w:rFonts w:hint="eastAsia" w:ascii="Times New Roman" w:hAnsi="Times New Roman" w:cs="Times New Roman"/>
          <w:color w:val="000000" w:themeColor="text1"/>
          <w:lang w:val="en-US" w:eastAsia="zh-CN"/>
          <w14:textFill>
            <w14:solidFill>
              <w14:schemeClr w14:val="tx1"/>
            </w14:solidFill>
          </w14:textFill>
        </w:rPr>
        <w:t>340.54</w:t>
      </w:r>
      <w:r>
        <w:rPr>
          <w:rFonts w:ascii="Times New Roman" w:hAnsi="Times New Roman" w:cs="Times New Roman"/>
          <w:color w:val="000000" w:themeColor="text1"/>
          <w14:textFill>
            <w14:solidFill>
              <w14:schemeClr w14:val="tx1"/>
            </w14:solidFill>
          </w14:textFill>
        </w:rPr>
        <w:t>亩（</w:t>
      </w:r>
      <w:r>
        <w:rPr>
          <w:rFonts w:hint="eastAsia" w:ascii="Times New Roman" w:hAnsi="Times New Roman" w:cs="Times New Roman"/>
          <w:color w:val="000000" w:themeColor="text1"/>
          <w:lang w:val="en-US" w:eastAsia="zh-CN"/>
          <w14:textFill>
            <w14:solidFill>
              <w14:schemeClr w14:val="tx1"/>
            </w14:solidFill>
          </w14:textFill>
        </w:rPr>
        <w:t>22.7</w:t>
      </w:r>
      <w:r>
        <w:rPr>
          <w:rFonts w:ascii="Times New Roman" w:hAnsi="Times New Roman" w:cs="Times New Roman"/>
          <w:color w:val="000000" w:themeColor="text1"/>
          <w14:textFill>
            <w14:solidFill>
              <w14:schemeClr w14:val="tx1"/>
            </w14:solidFill>
          </w14:textFill>
        </w:rPr>
        <w:t>ha）＜100ha，因此同一时间内火灾次数取1次；火灾建筑物按戊类厂房，20000m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＜V≤50000m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考虑，确定一次最大消防用水量为15L/S，火灾延续时间按2小时计，则场区最大消防用水量为108m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。水塔可兼做消防水源，一期和二期各设置容积300m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的水塔，可满足项目消防需求。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另外，在猪舍区、料库及办公生活区设置小型灭火器材，用于扑灭零星火灾。灭火器按《建筑灭火器配置设计规范》（GB50140-2005）配置。另外招远市消防大队配备有较齐全的消防设施和消防人员。一旦发生火灾，在消防救援方面能够给予有力支持。</w:t>
      </w:r>
    </w:p>
    <w:p>
      <w:pPr>
        <w:pStyle w:val="6"/>
        <w:spacing w:line="413" w:lineRule="auto"/>
        <w:rPr>
          <w:rFonts w:ascii="Times New Roman" w:hAnsi="Times New Roman" w:cs="Times New Roman"/>
          <w:color w:val="000000" w:themeColor="text1"/>
          <w14:textFill>
            <w14:solidFill>
              <w14:schemeClr w14:val="tx1"/>
            </w14:solidFill>
          </w14:textFill>
        </w:rPr>
      </w:pPr>
      <w:bookmarkStart w:id="298" w:name="_Toc4953"/>
      <w:bookmarkStart w:id="299" w:name="_Toc4254"/>
      <w:bookmarkStart w:id="300" w:name="_Toc32202"/>
      <w:r>
        <w:rPr>
          <w:rFonts w:ascii="Times New Roman" w:hAnsi="Times New Roman" w:cs="Times New Roman"/>
          <w:color w:val="000000" w:themeColor="text1"/>
          <w14:textFill>
            <w14:solidFill>
              <w14:schemeClr w14:val="tx1"/>
            </w14:solidFill>
          </w14:textFill>
        </w:rPr>
        <w:t>3.2.5 通风工程</w:t>
      </w:r>
      <w:bookmarkEnd w:id="298"/>
      <w:bookmarkEnd w:id="299"/>
      <w:bookmarkEnd w:id="30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场区建筑通风采用自然通风与机械通风相结合的方式，猪舍通风采用机械通风的方式，每栋猪舍均设置若干台不同尺寸的风机，夏季使用大尺寸风机进行纵向通风，其它季节使用小尺寸风机进行通风，屋顶进风，侧墙出墙。场区其他建筑物以自然通风为主。</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301" w:name="_Toc7314"/>
      <w:bookmarkStart w:id="302" w:name="_Toc23702"/>
      <w:bookmarkStart w:id="303" w:name="_Toc4590_WPSOffice_Level2"/>
      <w:bookmarkStart w:id="304" w:name="_Toc5917"/>
      <w:bookmarkStart w:id="305" w:name="_Toc12541"/>
      <w:bookmarkStart w:id="306" w:name="_Toc606"/>
      <w:r>
        <w:rPr>
          <w:rFonts w:ascii="Times New Roman" w:hAnsi="Times New Roman" w:cs="Times New Roman"/>
          <w:color w:val="000000" w:themeColor="text1"/>
          <w:kern w:val="0"/>
          <w:szCs w:val="30"/>
          <w14:textFill>
            <w14:solidFill>
              <w14:schemeClr w14:val="tx1"/>
            </w14:solidFill>
          </w14:textFill>
        </w:rPr>
        <w:t>3.3 总平面布置</w:t>
      </w:r>
      <w:bookmarkEnd w:id="301"/>
      <w:bookmarkEnd w:id="302"/>
      <w:bookmarkEnd w:id="303"/>
      <w:bookmarkEnd w:id="304"/>
      <w:bookmarkEnd w:id="305"/>
      <w:bookmarkEnd w:id="30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项目总占地</w:t>
      </w:r>
      <w:r>
        <w:rPr>
          <w:rFonts w:hint="eastAsia" w:ascii="Times New Roman" w:hAnsi="Times New Roman" w:cs="Times New Roman"/>
          <w:color w:val="000000" w:themeColor="text1"/>
          <w:lang w:val="en-US" w:eastAsia="zh-CN"/>
          <w14:textFill>
            <w14:solidFill>
              <w14:schemeClr w14:val="tx1"/>
            </w14:solidFill>
          </w14:textFill>
        </w:rPr>
        <w:t>340.54</w:t>
      </w:r>
      <w:r>
        <w:rPr>
          <w:rFonts w:ascii="Times New Roman" w:hAnsi="Times New Roman" w:cs="Times New Roman"/>
          <w:color w:val="000000" w:themeColor="text1"/>
          <w14:textFill>
            <w14:solidFill>
              <w14:schemeClr w14:val="tx1"/>
            </w14:solidFill>
          </w14:textFill>
        </w:rPr>
        <w:t>亩（约合</w:t>
      </w:r>
      <w:r>
        <w:rPr>
          <w:rFonts w:hint="eastAsia" w:ascii="Times New Roman" w:hAnsi="Times New Roman" w:cs="Times New Roman"/>
          <w:color w:val="000000" w:themeColor="text1"/>
          <w:lang w:val="en-US" w:eastAsia="zh-CN"/>
          <w14:textFill>
            <w14:solidFill>
              <w14:schemeClr w14:val="tx1"/>
            </w14:solidFill>
          </w14:textFill>
        </w:rPr>
        <w:t>22.7万</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），总建筑面积6万m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，主要建设内容分为猪舍及其附属配套设施。场区地形较平坦，项目场区实行生产区、办公</w:t>
      </w:r>
      <w:r>
        <w:rPr>
          <w:rFonts w:ascii="Times New Roman" w:hAnsi="Times New Roman" w:cs="Times New Roman"/>
          <w:color w:val="000000" w:themeColor="text1"/>
          <w:spacing w:val="-6"/>
          <w:sz w:val="24"/>
          <w14:textFill>
            <w14:solidFill>
              <w14:schemeClr w14:val="tx1"/>
            </w14:solidFill>
          </w14:textFill>
        </w:rPr>
        <w:t>生活区与污染治理区的分区分离，项目共分为办公区、养殖区和粪污处理区三部分。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项目的平面布置，本项目养殖区位于场区的中部，配套办公生活区位于养殖区东西两侧，配套的污水处理设施位于场区的北侧，办公区和粪污处理区、养殖区之间有绿化带相隔，可以最大程度减轻对场区内部的影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设有不同的净污通道，方便不同人员进入各区，减少病菌的传播，同时，场区排水采用雨污分流制，雨水经收集后，顺着场区内雨水地沟流至场区的绿化带内，污水经管道排入污水处理工程进行无害化处理。项目平面布置满足《畜禽养殖业污染防治技术规范》（HJ/T81-2001）中的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场区总平面布置图详见下图3.3-1。</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307" w:name="_Toc16313"/>
      <w:bookmarkStart w:id="308" w:name="_Toc17736"/>
      <w:bookmarkStart w:id="309" w:name="_Toc19635"/>
      <w:bookmarkStart w:id="310" w:name="_Toc13211"/>
      <w:bookmarkStart w:id="311" w:name="_Toc5967"/>
      <w:r>
        <w:rPr>
          <w:rFonts w:ascii="Times New Roman" w:hAnsi="Times New Roman" w:cs="Times New Roman"/>
          <w:color w:val="000000" w:themeColor="text1"/>
          <w:kern w:val="0"/>
          <w:szCs w:val="30"/>
          <w14:textFill>
            <w14:solidFill>
              <w14:schemeClr w14:val="tx1"/>
            </w14:solidFill>
          </w14:textFill>
        </w:rPr>
        <w:t xml:space="preserve">3.4 </w:t>
      </w:r>
      <w:r>
        <w:rPr>
          <w:rFonts w:ascii="Times New Roman" w:hAnsi="Times New Roman" w:cs="Times New Roman"/>
          <w:color w:val="000000" w:themeColor="text1"/>
          <w14:textFill>
            <w14:solidFill>
              <w14:schemeClr w14:val="tx1"/>
            </w14:solidFill>
          </w14:textFill>
        </w:rPr>
        <w:t>生产工艺流程及产排污环节</w:t>
      </w:r>
      <w:bookmarkEnd w:id="307"/>
      <w:bookmarkEnd w:id="308"/>
      <w:bookmarkEnd w:id="309"/>
      <w:bookmarkEnd w:id="310"/>
    </w:p>
    <w:p>
      <w:pPr>
        <w:pStyle w:val="6"/>
        <w:spacing w:line="413" w:lineRule="auto"/>
        <w:rPr>
          <w:rFonts w:ascii="Times New Roman" w:hAnsi="Times New Roman" w:cs="Times New Roman"/>
          <w:color w:val="000000" w:themeColor="text1"/>
          <w14:textFill>
            <w14:solidFill>
              <w14:schemeClr w14:val="tx1"/>
            </w14:solidFill>
          </w14:textFill>
        </w:rPr>
      </w:pPr>
      <w:bookmarkStart w:id="312" w:name="_Toc27595"/>
      <w:bookmarkStart w:id="313" w:name="_Toc21851"/>
      <w:r>
        <w:rPr>
          <w:rFonts w:ascii="Times New Roman" w:hAnsi="Times New Roman" w:cs="Times New Roman"/>
          <w:color w:val="000000" w:themeColor="text1"/>
          <w14:textFill>
            <w14:solidFill>
              <w14:schemeClr w14:val="tx1"/>
            </w14:solidFill>
          </w14:textFill>
        </w:rPr>
        <w:t>3.4.1 生猪饲养生产工艺及产污环节</w:t>
      </w:r>
      <w:bookmarkEnd w:id="312"/>
      <w:bookmarkEnd w:id="313"/>
    </w:p>
    <w:p>
      <w:pPr>
        <w:pStyle w:val="7"/>
        <w:rPr>
          <w:rFonts w:cs="Times New Roman"/>
          <w:color w:val="000000" w:themeColor="text1"/>
          <w:kern w:val="0"/>
          <w14:textFill>
            <w14:solidFill>
              <w14:schemeClr w14:val="tx1"/>
            </w14:solidFill>
          </w14:textFill>
        </w:rPr>
      </w:pPr>
      <w:bookmarkStart w:id="314" w:name="_Toc16745"/>
      <w:bookmarkStart w:id="315" w:name="_Toc13539"/>
      <w:r>
        <w:rPr>
          <w:rFonts w:cs="Times New Roman"/>
          <w:color w:val="000000" w:themeColor="text1"/>
          <w:kern w:val="0"/>
          <w14:textFill>
            <w14:solidFill>
              <w14:schemeClr w14:val="tx1"/>
            </w14:solidFill>
          </w14:textFill>
        </w:rPr>
        <w:t>3.4.1.1 养殖工艺</w:t>
      </w:r>
      <w:bookmarkEnd w:id="314"/>
      <w:bookmarkEnd w:id="315"/>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年出栏育肥猪20万头，育肥舍在进猪前应进行维修和彻底地冲洗、消毒。进猪后保持舍内清洁、干燥、通风良好、饮水充足，温度控制在18~22℃，夏季注意防暑降温。每月要定期称重，以检查饲喂效果。经常检查猪群的采食、发育等情况，及时调整饲料配方，发现疫病及时报告，采取有效措施进行治疗和处理。生猪生长育肥1</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0d长到110～120kg出栏。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（1）饲喂方式：采用自动喂料系统，饲料全部外购成品饲料，不涉及饲料加工。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（2）饮水方式：自动饮水器供水。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（3）光照：自然光与人工光照相结合，以自然光照为主。</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整个喂养过程中产生的废气主要为恶臭气体NH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S，废水主要为圈舍冲洗水、猪尿</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猪粪滤液</w:t>
      </w:r>
      <w:r>
        <w:rPr>
          <w:rFonts w:ascii="Times New Roman" w:hAnsi="Times New Roman" w:cs="Times New Roman"/>
          <w:color w:val="000000" w:themeColor="text1"/>
          <w14:textFill>
            <w14:solidFill>
              <w14:schemeClr w14:val="tx1"/>
            </w14:solidFill>
          </w14:textFill>
        </w:rPr>
        <w:t>等，固废主要为猪粪、病死猪</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注射疫苗等产生的医疗垃圾</w:t>
      </w:r>
      <w:r>
        <w:rPr>
          <w:rFonts w:hint="eastAsia" w:ascii="Times New Roman" w:hAnsi="Times New Roman" w:cs="Times New Roman"/>
          <w:color w:val="000000" w:themeColor="text1"/>
          <w:lang w:val="en-US" w:eastAsia="zh-CN"/>
          <w14:textFill>
            <w14:solidFill>
              <w14:schemeClr w14:val="tx1"/>
            </w14:solidFill>
          </w14:textFill>
        </w:rPr>
        <w:t>及粪污处理系统产生的污泥</w:t>
      </w:r>
      <w:r>
        <w:rPr>
          <w:rFonts w:ascii="Times New Roman" w:hAnsi="Times New Roman" w:cs="Times New Roman"/>
          <w:color w:val="000000" w:themeColor="text1"/>
          <w14:textFill>
            <w14:solidFill>
              <w14:schemeClr w14:val="tx1"/>
            </w14:solidFill>
          </w14:textFill>
        </w:rPr>
        <w:t>。</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4724400" cy="2717165"/>
            <wp:effectExtent l="0" t="0" r="0" b="6985"/>
            <wp:docPr id="144" name="图片 14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图片1"/>
                    <pic:cNvPicPr>
                      <a:picLocks noChangeAspect="1"/>
                    </pic:cNvPicPr>
                  </pic:nvPicPr>
                  <pic:blipFill>
                    <a:blip r:embed="rId14"/>
                    <a:stretch>
                      <a:fillRect/>
                    </a:stretch>
                  </pic:blipFill>
                  <pic:spPr>
                    <a:xfrm>
                      <a:off x="0" y="0"/>
                      <a:ext cx="4724400" cy="2717165"/>
                    </a:xfrm>
                    <a:prstGeom prst="rect">
                      <a:avLst/>
                    </a:prstGeom>
                  </pic:spPr>
                </pic:pic>
              </a:graphicData>
            </a:graphic>
          </wp:inline>
        </w:drawing>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图3.4-1   建设项目养殖工艺流程及产污环节图</w:t>
      </w:r>
    </w:p>
    <w:p>
      <w:pPr>
        <w:pStyle w:val="7"/>
        <w:rPr>
          <w:rFonts w:cs="Times New Roman"/>
          <w:color w:val="000000" w:themeColor="text1"/>
          <w:kern w:val="0"/>
          <w14:textFill>
            <w14:solidFill>
              <w14:schemeClr w14:val="tx1"/>
            </w14:solidFill>
          </w14:textFill>
        </w:rPr>
      </w:pPr>
      <w:bookmarkStart w:id="316" w:name="_Toc22624"/>
      <w:bookmarkStart w:id="317" w:name="_Toc25681"/>
      <w:r>
        <w:rPr>
          <w:rFonts w:cs="Times New Roman"/>
          <w:color w:val="000000" w:themeColor="text1"/>
          <w:kern w:val="0"/>
          <w14:textFill>
            <w14:solidFill>
              <w14:schemeClr w14:val="tx1"/>
            </w14:solidFill>
          </w14:textFill>
        </w:rPr>
        <w:t>3.4.1.2 清粪工艺</w:t>
      </w:r>
      <w:bookmarkEnd w:id="316"/>
      <w:bookmarkEnd w:id="31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拟建项目采用干清粪工艺：猪舍采用漏缝板设计，</w:t>
      </w:r>
      <w:r>
        <w:rPr>
          <w:rFonts w:hint="eastAsia" w:ascii="Times New Roman" w:hAnsi="Times New Roman" w:cs="Times New Roman"/>
          <w:color w:val="000000" w:themeColor="text1"/>
          <w14:textFill>
            <w14:solidFill>
              <w14:schemeClr w14:val="tx1"/>
            </w14:solidFill>
          </w14:textFill>
        </w:rPr>
        <w:t>经虹吸管道吸入</w:t>
      </w:r>
      <w:r>
        <w:rPr>
          <w:rFonts w:ascii="Times New Roman" w:hAnsi="Times New Roman" w:cs="Times New Roman"/>
          <w:color w:val="000000" w:themeColor="text1"/>
          <w14:textFill>
            <w14:solidFill>
              <w14:schemeClr w14:val="tx1"/>
            </w14:solidFill>
          </w14:textFill>
        </w:rPr>
        <w:t>集粪池，集粪池与猪舍内清粪通道相接，同时与污水处理设施的粪污收集池相通。粪便通过漏缝板下漏到清粪通道中，经清粪刮板将猪粪刮送至猪舍一端的集粪池中，卧床上残留的少量粪便，由人工清理至清粪通道内。集粪池内的粪污通过粪污管道泵入粪污区的粪污收集池内，随即采用固液分离机进行粪污固液分离。</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w:t>
      </w:r>
      <w:r>
        <w:rPr>
          <w:rFonts w:hint="eastAsia" w:ascii="Times New Roman" w:hAnsi="Times New Roman" w:cs="Times New Roman"/>
          <w:color w:val="000000" w:themeColor="text1"/>
          <w14:textFill>
            <w14:solidFill>
              <w14:schemeClr w14:val="tx1"/>
            </w14:solidFill>
          </w14:textFill>
        </w:rPr>
        <w:t>原保护部</w:t>
      </w:r>
      <w:r>
        <w:rPr>
          <w:rFonts w:ascii="Times New Roman" w:hAnsi="Times New Roman" w:cs="Times New Roman"/>
          <w:color w:val="000000" w:themeColor="text1"/>
          <w14:textFill>
            <w14:solidFill>
              <w14:schemeClr w14:val="tx1"/>
            </w14:solidFill>
          </w14:textFill>
        </w:rPr>
        <w:t>《关于牧原食品股份有限公司部分养殖场清粪工艺问题的复函》</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环办函</w:t>
      </w:r>
      <w:r>
        <w:rPr>
          <w:rFonts w:hint="eastAsia" w:ascii="宋体" w:hAnsi="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2015</w:t>
      </w:r>
      <w:r>
        <w:rPr>
          <w:rFonts w:hint="eastAsia" w:ascii="宋体" w:hAnsi="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425号</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，最终认定该模式属于干清粪工艺的一种，详见</w:t>
      </w:r>
      <w:r>
        <w:rPr>
          <w:rFonts w:hint="eastAsia" w:ascii="Times New Roman" w:hAnsi="Times New Roman" w:cs="Times New Roman"/>
          <w:color w:val="000000" w:themeColor="text1"/>
          <w14:textFill>
            <w14:solidFill>
              <w14:schemeClr w14:val="tx1"/>
            </w14:solidFill>
          </w14:textFill>
        </w:rPr>
        <w:t>图3.4-2。</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4785" cy="4094480"/>
            <wp:effectExtent l="0" t="0" r="12065" b="1270"/>
            <wp:docPr id="1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
                    <pic:cNvPicPr>
                      <a:picLocks noChangeAspect="1"/>
                    </pic:cNvPicPr>
                  </pic:nvPicPr>
                  <pic:blipFill>
                    <a:blip r:embed="rId15"/>
                    <a:srcRect b="6115"/>
                    <a:stretch>
                      <a:fillRect/>
                    </a:stretch>
                  </pic:blipFill>
                  <pic:spPr>
                    <a:xfrm>
                      <a:off x="0" y="0"/>
                      <a:ext cx="5264785" cy="4094480"/>
                    </a:xfrm>
                    <a:prstGeom prst="rect">
                      <a:avLst/>
                    </a:prstGeom>
                    <a:noFill/>
                    <a:ln>
                      <a:noFill/>
                    </a:ln>
                  </pic:spPr>
                </pic:pic>
              </a:graphicData>
            </a:graphic>
          </wp:inline>
        </w:drawing>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图3.4-1   </w:t>
      </w:r>
      <w:r>
        <w:rPr>
          <w:rFonts w:hint="eastAsia" w:cs="Times New Roman"/>
          <w:color w:val="000000" w:themeColor="text1"/>
          <w14:textFill>
            <w14:solidFill>
              <w14:schemeClr w14:val="tx1"/>
            </w14:solidFill>
          </w14:textFill>
        </w:rPr>
        <w:t>原保护部《</w:t>
      </w:r>
      <w:r>
        <w:rPr>
          <w:rFonts w:cs="Times New Roman"/>
          <w:color w:val="000000" w:themeColor="text1"/>
          <w14:textFill>
            <w14:solidFill>
              <w14:schemeClr w14:val="tx1"/>
            </w14:solidFill>
          </w14:textFill>
        </w:rPr>
        <w:t>关于牧原农牧有限公司部分养殖场清粪工艺问题的复函</w:t>
      </w:r>
      <w:r>
        <w:rPr>
          <w:rFonts w:hint="eastAsia" w:cs="Times New Roman"/>
          <w:color w:val="000000" w:themeColor="text1"/>
          <w14:textFill>
            <w14:solidFill>
              <w14:schemeClr w14:val="tx1"/>
            </w14:solidFill>
          </w14:textFill>
        </w:rPr>
        <w:t>》</w:t>
      </w:r>
    </w:p>
    <w:p>
      <w:pPr>
        <w:pStyle w:val="6"/>
        <w:spacing w:line="413" w:lineRule="auto"/>
        <w:rPr>
          <w:rFonts w:ascii="Times New Roman" w:hAnsi="Times New Roman" w:cs="Times New Roman"/>
          <w:color w:val="000000" w:themeColor="text1"/>
          <w14:textFill>
            <w14:solidFill>
              <w14:schemeClr w14:val="tx1"/>
            </w14:solidFill>
          </w14:textFill>
        </w:rPr>
      </w:pPr>
      <w:bookmarkStart w:id="318" w:name="_Toc6913"/>
      <w:bookmarkStart w:id="319" w:name="_Toc13918"/>
      <w:r>
        <w:rPr>
          <w:rFonts w:ascii="Times New Roman" w:hAnsi="Times New Roman" w:cs="Times New Roman"/>
          <w:color w:val="000000" w:themeColor="text1"/>
          <w14:textFill>
            <w14:solidFill>
              <w14:schemeClr w14:val="tx1"/>
            </w14:solidFill>
          </w14:textFill>
        </w:rPr>
        <w:t>3.4.2 粪污处理与资源化流程</w:t>
      </w:r>
      <w:bookmarkEnd w:id="318"/>
      <w:bookmarkEnd w:id="31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贯彻落实习近平总书记在中央财经领导小组第14次会议上讲话精神和《国务院办公厅关于加快推进畜禽养殖废弃物资源化利用的意见》（国办发〔2017〕48号），深入开展畜禽粪污资源化利用行动，加快推进畜牧业绿色发展，农业部制定了《畜禽粪污资源化利用行动方案（2017—2020年）》，行动方案中针对新疆水资源短缺区域，农田面积较大，重点推广的技术模式：一</w:t>
      </w:r>
      <w:r>
        <w:rPr>
          <w:rFonts w:hint="eastAsia" w:ascii="宋体" w:hAnsi="宋体" w:cs="宋体"/>
          <w:color w:val="000000" w:themeColor="text1"/>
          <w14:textFill>
            <w14:solidFill>
              <w14:schemeClr w14:val="tx1"/>
            </w14:solidFill>
          </w14:textFill>
        </w:rPr>
        <w:t>是“粪便垫料回用”模式；二是“污水肥料化利用”模式；三是“粪污专业化能源利用”模式。本项目粪污水仍然采用第二种“污水</w:t>
      </w:r>
      <w:r>
        <w:rPr>
          <w:rFonts w:ascii="Times New Roman" w:hAnsi="Times New Roman" w:cs="Times New Roman"/>
          <w:color w:val="000000" w:themeColor="text1"/>
          <w14:textFill>
            <w14:solidFill>
              <w14:schemeClr w14:val="tx1"/>
            </w14:solidFill>
          </w14:textFill>
        </w:rPr>
        <w:t>肥料化利</w:t>
      </w:r>
      <w:r>
        <w:rPr>
          <w:rFonts w:hint="eastAsia" w:ascii="宋体" w:hAnsi="宋体" w:cs="宋体"/>
          <w:color w:val="000000" w:themeColor="text1"/>
          <w14:textFill>
            <w14:solidFill>
              <w14:schemeClr w14:val="tx1"/>
            </w14:solidFill>
          </w14:textFill>
        </w:rPr>
        <w:t>用”</w:t>
      </w:r>
      <w:r>
        <w:rPr>
          <w:rFonts w:ascii="Times New Roman" w:hAnsi="Times New Roman" w:cs="Times New Roman"/>
          <w:color w:val="000000" w:themeColor="text1"/>
          <w14:textFill>
            <w14:solidFill>
              <w14:schemeClr w14:val="tx1"/>
            </w14:solidFill>
          </w14:textFill>
        </w:rPr>
        <w:t>模式处理污水。即养殖污水通过氧化塘贮存进行无害化处理，作为液肥还田。</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“污水肥料化利用”</w:t>
      </w:r>
      <w:r>
        <w:rPr>
          <w:rFonts w:ascii="Times New Roman" w:hAnsi="Times New Roman" w:cs="Times New Roman"/>
          <w:color w:val="000000" w:themeColor="text1"/>
          <w14:textFill>
            <w14:solidFill>
              <w14:schemeClr w14:val="tx1"/>
            </w14:solidFill>
          </w14:textFill>
        </w:rPr>
        <w:t>模式工艺流程图如3.4-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图所示。</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4166235</wp:posOffset>
                </wp:positionH>
                <wp:positionV relativeFrom="paragraph">
                  <wp:posOffset>3497580</wp:posOffset>
                </wp:positionV>
                <wp:extent cx="124460" cy="105791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24460" cy="1057910"/>
                        </a:xfrm>
                        <a:prstGeom prst="rect">
                          <a:avLst/>
                        </a:prstGeom>
                        <a:noFill/>
                        <a:ln>
                          <a:noFill/>
                        </a:ln>
                      </wps:spPr>
                      <wps:txbx>
                        <w:txbxContent>
                          <w:p>
                            <w:pPr>
                              <w:spacing w:line="207" w:lineRule="exact"/>
                              <w:ind w:firstLine="402"/>
                              <w:jc w:val="center"/>
                              <w:rPr>
                                <w:sz w:val="18"/>
                              </w:rPr>
                            </w:pPr>
                            <w:r>
                              <w:rPr>
                                <w:rFonts w:hint="eastAsia"/>
                                <w:w w:val="112"/>
                                <w:sz w:val="18"/>
                              </w:rPr>
                              <w:t>疯粪肥利用</w:t>
                            </w:r>
                            <w:r>
                              <w:rPr>
                                <w:w w:val="110"/>
                                <w:sz w:val="18"/>
                              </w:rPr>
                              <w:t>单元</w:t>
                            </w:r>
                          </w:p>
                        </w:txbxContent>
                      </wps:txbx>
                      <wps:bodyPr lIns="0" tIns="0" rIns="0" bIns="0" upright="1"/>
                    </wps:wsp>
                  </a:graphicData>
                </a:graphic>
              </wp:anchor>
            </w:drawing>
          </mc:Choice>
          <mc:Fallback>
            <w:pict>
              <v:shape id="_x0000_s1026" o:spid="_x0000_s1026" o:spt="202" type="#_x0000_t202" style="position:absolute;left:0pt;margin-left:328.05pt;margin-top:275.4pt;height:83.3pt;width:9.8pt;z-index:251662336;mso-width-relative:page;mso-height-relative:page;" filled="f" stroked="f" coordsize="21600,21600" o:gfxdata="UEsDBAoAAAAAAIdO4kAAAAAAAAAAAAAAAAAEAAAAZHJzL1BLAwQUAAAACACHTuJA7f5exdkAAAAL&#10;AQAADwAAAGRycy9kb3ducmV2LnhtbE2Pu07EMBBFeyT+wRokOtYOIg6EOCuEoEJCZENB6cSzibXx&#10;OMTeB3+PqZZyNEf3nlutT25iB1yC9aQgWwlgSL03lgYFn+3rzT2wEDUZPXlCBT8YYF1fXlS6NP5I&#10;DR42cWAphEKpFYwxziXnoR/R6bDyM1L6bf3idEznMnCz6GMKdxO/FUJypy2lhlHP+Dxiv9vsnYKn&#10;L2pe7Pd799FsG9u2D4Le5E6p66tMPAKLeIpnGP70kzrUyanzezKBTQpkLrOEKshzkTYkQhZ5AaxT&#10;UGTFHfC64v831L9QSwMEFAAAAAgAh07iQPLBcLm8AQAAdgMAAA4AAABkcnMvZTJvRG9jLnhtbK1T&#10;S27bMBDdF8gdCO5ryoabNoLlAIWRoEDRFkhyAJoiLQL8YUhb8gXaG3TVTfc9l8/RIW05bbLJIhtq&#10;ODN8fO8NtbgerCE7CVF719DppKJEOuFb7TYNfbi/efuBkpi4a7nxTjZ0LyO9Xl68WfShljPfedNK&#10;IAjiYt2HhnYphZqxKDppeZz4IB0WlQfLE25hw1rgPaJbw2ZVdcl6D20AL2SMmF0di/SECC8B9Epp&#10;IVdebK106YgK0vCEkmKnQ6TLwlYpKdJXpaJMxDQUlaay4iUYr/PKlgteb4CHTosTBf4SCk80Wa4d&#10;XnqGWvHEyRb0MyirBfjoVZoIb9lRSHEEVUyrJ97cdTzIogWtjuFsenw9WPFl9w2IbvElzNETxy2O&#10;/PDzx+HXn8Pv7yQn0aI+xBo77wL2puGjH7B9zEdMZuWDApu/qIlgHcH2Z4PlkIjIh2bz+SVWBJam&#10;1bv3V9MCzx5PB4jpVnpLctBQwAEWX/nuc0zIBFvHlnyZ8zfamDJE4/5LYGPOsEz9SDFHaVgPJz1r&#10;3+5Rjvnk0E7klMYAxmA9BtsAetMhnSK6QOI4CpnT08nz/ndfLn78XZ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3+XsXZAAAACwEAAA8AAAAAAAAAAQAgAAAAIgAAAGRycy9kb3ducmV2LnhtbFBL&#10;AQIUABQAAAAIAIdO4kDywXC5vAEAAHYDAAAOAAAAAAAAAAEAIAAAACgBAABkcnMvZTJvRG9jLnht&#10;bFBLBQYAAAAABgAGAFkBAABWBQAAAAA=&#10;">
                <v:fill on="f" focussize="0,0"/>
                <v:stroke on="f"/>
                <v:imagedata o:title=""/>
                <o:lock v:ext="edit" aspectratio="f"/>
                <v:textbox inset="0mm,0mm,0mm,0mm">
                  <w:txbxContent>
                    <w:p>
                      <w:pPr>
                        <w:spacing w:line="207" w:lineRule="exact"/>
                        <w:ind w:firstLine="402"/>
                        <w:jc w:val="center"/>
                        <w:rPr>
                          <w:sz w:val="18"/>
                        </w:rPr>
                      </w:pPr>
                      <w:r>
                        <w:rPr>
                          <w:rFonts w:hint="eastAsia"/>
                          <w:w w:val="112"/>
                          <w:sz w:val="18"/>
                        </w:rPr>
                        <w:t>疯粪肥利用</w:t>
                      </w:r>
                      <w:r>
                        <w:rPr>
                          <w:w w:val="110"/>
                          <w:sz w:val="18"/>
                        </w:rPr>
                        <w:t>单元</w:t>
                      </w:r>
                    </w:p>
                  </w:txbxContent>
                </v:textbox>
              </v:shape>
            </w:pict>
          </mc:Fallback>
        </mc:AlternateContent>
      </w:r>
      <w:r>
        <w:rPr>
          <w:rFonts w:ascii="Times New Roman" w:hAnsi="Times New Roman" w:cs="Times New Roman"/>
          <w:color w:val="000000" w:themeColor="text1"/>
          <w:sz w:val="20"/>
          <w14:textFill>
            <w14:solidFill>
              <w14:schemeClr w14:val="tx1"/>
            </w14:solidFill>
          </w14:textFill>
        </w:rPr>
        <mc:AlternateContent>
          <mc:Choice Requires="wpg">
            <w:drawing>
              <wp:inline distT="0" distB="0" distL="114300" distR="114300">
                <wp:extent cx="3518535" cy="4559300"/>
                <wp:effectExtent l="0" t="0" r="51435" b="44450"/>
                <wp:docPr id="71" name="组合 71"/>
                <wp:cNvGraphicFramePr/>
                <a:graphic xmlns:a="http://schemas.openxmlformats.org/drawingml/2006/main">
                  <a:graphicData uri="http://schemas.microsoft.com/office/word/2010/wordprocessingGroup">
                    <wpg:wgp>
                      <wpg:cNvGrpSpPr/>
                      <wpg:grpSpPr>
                        <a:xfrm>
                          <a:off x="0" y="0"/>
                          <a:ext cx="3518535" cy="4559300"/>
                          <a:chOff x="8" y="8"/>
                          <a:chExt cx="5541" cy="7180"/>
                        </a:xfrm>
                      </wpg:grpSpPr>
                      <wps:wsp>
                        <wps:cNvPr id="12" name="直接连接符 12"/>
                        <wps:cNvCnPr/>
                        <wps:spPr>
                          <a:xfrm>
                            <a:off x="1763" y="578"/>
                            <a:ext cx="0" cy="276"/>
                          </a:xfrm>
                          <a:prstGeom prst="line">
                            <a:avLst/>
                          </a:prstGeom>
                          <a:ln w="2200" cap="flat" cmpd="sng">
                            <a:solidFill>
                              <a:srgbClr val="000000"/>
                            </a:solidFill>
                            <a:prstDash val="solid"/>
                            <a:headEnd type="none" w="med" len="med"/>
                            <a:tailEnd type="none" w="med" len="med"/>
                          </a:ln>
                        </wps:spPr>
                        <wps:bodyPr/>
                      </wps:wsp>
                      <wps:wsp>
                        <wps:cNvPr id="13" name="任意多边形 13"/>
                        <wps:cNvSpPr/>
                        <wps:spPr>
                          <a:xfrm>
                            <a:off x="1722" y="845"/>
                            <a:ext cx="80" cy="111"/>
                          </a:xfrm>
                          <a:custGeom>
                            <a:avLst/>
                            <a:gdLst/>
                            <a:ahLst/>
                            <a:cxnLst/>
                            <a:rect l="0" t="0" r="0" b="0"/>
                            <a:pathLst>
                              <a:path w="80" h="111">
                                <a:moveTo>
                                  <a:pt x="79" y="0"/>
                                </a:moveTo>
                                <a:lnTo>
                                  <a:pt x="0" y="0"/>
                                </a:lnTo>
                                <a:lnTo>
                                  <a:pt x="40" y="110"/>
                                </a:lnTo>
                                <a:lnTo>
                                  <a:pt x="79" y="0"/>
                                </a:lnTo>
                                <a:close/>
                              </a:path>
                            </a:pathLst>
                          </a:custGeom>
                          <a:solidFill>
                            <a:srgbClr val="000000"/>
                          </a:solidFill>
                          <a:ln>
                            <a:noFill/>
                          </a:ln>
                        </wps:spPr>
                        <wps:bodyPr upright="1"/>
                      </wps:wsp>
                      <wps:wsp>
                        <wps:cNvPr id="14" name="直接连接符 14"/>
                        <wps:cNvCnPr/>
                        <wps:spPr>
                          <a:xfrm>
                            <a:off x="1763" y="1238"/>
                            <a:ext cx="0" cy="163"/>
                          </a:xfrm>
                          <a:prstGeom prst="line">
                            <a:avLst/>
                          </a:prstGeom>
                          <a:ln w="2200" cap="flat" cmpd="sng">
                            <a:solidFill>
                              <a:srgbClr val="000000"/>
                            </a:solidFill>
                            <a:prstDash val="solid"/>
                            <a:headEnd type="none" w="med" len="med"/>
                            <a:tailEnd type="none" w="med" len="med"/>
                          </a:ln>
                        </wps:spPr>
                        <wps:bodyPr/>
                      </wps:wsp>
                      <wps:wsp>
                        <wps:cNvPr id="15" name="直接连接符 15"/>
                        <wps:cNvCnPr/>
                        <wps:spPr>
                          <a:xfrm>
                            <a:off x="1763" y="1561"/>
                            <a:ext cx="0" cy="62"/>
                          </a:xfrm>
                          <a:prstGeom prst="line">
                            <a:avLst/>
                          </a:prstGeom>
                          <a:ln w="2200" cap="flat" cmpd="sng">
                            <a:solidFill>
                              <a:srgbClr val="000000"/>
                            </a:solidFill>
                            <a:prstDash val="solid"/>
                            <a:headEnd type="none" w="med" len="med"/>
                            <a:tailEnd type="none" w="med" len="med"/>
                          </a:ln>
                        </wps:spPr>
                        <wps:bodyPr/>
                      </wps:wsp>
                      <wps:wsp>
                        <wps:cNvPr id="16" name="任意多边形 16"/>
                        <wps:cNvSpPr/>
                        <wps:spPr>
                          <a:xfrm>
                            <a:off x="1722" y="1613"/>
                            <a:ext cx="80" cy="111"/>
                          </a:xfrm>
                          <a:custGeom>
                            <a:avLst/>
                            <a:gdLst/>
                            <a:ahLst/>
                            <a:cxnLst/>
                            <a:rect l="0" t="0" r="0" b="0"/>
                            <a:pathLst>
                              <a:path w="80" h="111">
                                <a:moveTo>
                                  <a:pt x="79" y="0"/>
                                </a:moveTo>
                                <a:lnTo>
                                  <a:pt x="0" y="0"/>
                                </a:lnTo>
                                <a:lnTo>
                                  <a:pt x="40" y="110"/>
                                </a:lnTo>
                                <a:lnTo>
                                  <a:pt x="79" y="0"/>
                                </a:lnTo>
                                <a:close/>
                              </a:path>
                            </a:pathLst>
                          </a:custGeom>
                          <a:solidFill>
                            <a:srgbClr val="000000"/>
                          </a:solidFill>
                          <a:ln>
                            <a:noFill/>
                          </a:ln>
                        </wps:spPr>
                        <wps:bodyPr upright="1"/>
                      </wps:wsp>
                      <wps:wsp>
                        <wps:cNvPr id="17" name="直接连接符 17"/>
                        <wps:cNvCnPr/>
                        <wps:spPr>
                          <a:xfrm>
                            <a:off x="1763" y="2007"/>
                            <a:ext cx="0" cy="344"/>
                          </a:xfrm>
                          <a:prstGeom prst="line">
                            <a:avLst/>
                          </a:prstGeom>
                          <a:ln w="2200" cap="flat" cmpd="sng">
                            <a:solidFill>
                              <a:srgbClr val="000000"/>
                            </a:solidFill>
                            <a:prstDash val="solid"/>
                            <a:headEnd type="none" w="med" len="med"/>
                            <a:tailEnd type="none" w="med" len="med"/>
                          </a:ln>
                        </wps:spPr>
                        <wps:bodyPr/>
                      </wps:wsp>
                      <wps:wsp>
                        <wps:cNvPr id="18" name="直接连接符 18"/>
                        <wps:cNvCnPr/>
                        <wps:spPr>
                          <a:xfrm>
                            <a:off x="1763" y="2511"/>
                            <a:ext cx="0" cy="243"/>
                          </a:xfrm>
                          <a:prstGeom prst="line">
                            <a:avLst/>
                          </a:prstGeom>
                          <a:ln w="2200" cap="flat" cmpd="sng">
                            <a:solidFill>
                              <a:srgbClr val="000000"/>
                            </a:solidFill>
                            <a:prstDash val="solid"/>
                            <a:headEnd type="none" w="med" len="med"/>
                            <a:tailEnd type="none" w="med" len="med"/>
                          </a:ln>
                        </wps:spPr>
                        <wps:bodyPr/>
                      </wps:wsp>
                      <wps:wsp>
                        <wps:cNvPr id="19" name="任意多边形 19"/>
                        <wps:cNvSpPr/>
                        <wps:spPr>
                          <a:xfrm>
                            <a:off x="1722" y="2744"/>
                            <a:ext cx="80" cy="111"/>
                          </a:xfrm>
                          <a:custGeom>
                            <a:avLst/>
                            <a:gdLst/>
                            <a:ahLst/>
                            <a:cxnLst/>
                            <a:rect l="0" t="0" r="0" b="0"/>
                            <a:pathLst>
                              <a:path w="80" h="111">
                                <a:moveTo>
                                  <a:pt x="79" y="0"/>
                                </a:moveTo>
                                <a:lnTo>
                                  <a:pt x="0" y="0"/>
                                </a:lnTo>
                                <a:lnTo>
                                  <a:pt x="40" y="110"/>
                                </a:lnTo>
                                <a:lnTo>
                                  <a:pt x="79" y="0"/>
                                </a:lnTo>
                                <a:close/>
                              </a:path>
                            </a:pathLst>
                          </a:custGeom>
                          <a:solidFill>
                            <a:srgbClr val="000000"/>
                          </a:solidFill>
                          <a:ln>
                            <a:noFill/>
                          </a:ln>
                        </wps:spPr>
                        <wps:bodyPr upright="1"/>
                      </wps:wsp>
                      <wps:wsp>
                        <wps:cNvPr id="20" name="矩形 20"/>
                        <wps:cNvSpPr/>
                        <wps:spPr>
                          <a:xfrm>
                            <a:off x="8" y="8"/>
                            <a:ext cx="5524" cy="2500"/>
                          </a:xfrm>
                          <a:prstGeom prst="rect">
                            <a:avLst/>
                          </a:prstGeom>
                          <a:noFill/>
                          <a:ln w="10282" cap="flat" cmpd="sng">
                            <a:solidFill>
                              <a:srgbClr val="006FC0"/>
                            </a:solidFill>
                            <a:prstDash val="lgDash"/>
                            <a:miter/>
                            <a:headEnd type="none" w="med" len="med"/>
                            <a:tailEnd type="none" w="med" len="med"/>
                          </a:ln>
                        </wps:spPr>
                        <wps:bodyPr upright="1"/>
                      </wps:wsp>
                      <wps:wsp>
                        <wps:cNvPr id="21" name="直接连接符 21"/>
                        <wps:cNvCnPr/>
                        <wps:spPr>
                          <a:xfrm>
                            <a:off x="1763" y="3138"/>
                            <a:ext cx="0" cy="203"/>
                          </a:xfrm>
                          <a:prstGeom prst="line">
                            <a:avLst/>
                          </a:prstGeom>
                          <a:ln w="2200" cap="flat" cmpd="sng">
                            <a:solidFill>
                              <a:srgbClr val="000000"/>
                            </a:solidFill>
                            <a:prstDash val="solid"/>
                            <a:headEnd type="none" w="med" len="med"/>
                            <a:tailEnd type="none" w="med" len="med"/>
                          </a:ln>
                        </wps:spPr>
                        <wps:bodyPr/>
                      </wps:wsp>
                      <wps:wsp>
                        <wps:cNvPr id="22" name="直接连接符 22"/>
                        <wps:cNvCnPr/>
                        <wps:spPr>
                          <a:xfrm>
                            <a:off x="1763" y="3500"/>
                            <a:ext cx="0" cy="102"/>
                          </a:xfrm>
                          <a:prstGeom prst="line">
                            <a:avLst/>
                          </a:prstGeom>
                          <a:ln w="2200" cap="flat" cmpd="sng">
                            <a:solidFill>
                              <a:srgbClr val="000000"/>
                            </a:solidFill>
                            <a:prstDash val="solid"/>
                            <a:headEnd type="none" w="med" len="med"/>
                            <a:tailEnd type="none" w="med" len="med"/>
                          </a:ln>
                        </wps:spPr>
                        <wps:bodyPr/>
                      </wps:wsp>
                      <wps:wsp>
                        <wps:cNvPr id="23" name="任意多边形 23"/>
                        <wps:cNvSpPr/>
                        <wps:spPr>
                          <a:xfrm>
                            <a:off x="1722" y="3593"/>
                            <a:ext cx="80" cy="111"/>
                          </a:xfrm>
                          <a:custGeom>
                            <a:avLst/>
                            <a:gdLst/>
                            <a:ahLst/>
                            <a:cxnLst/>
                            <a:rect l="0" t="0" r="0" b="0"/>
                            <a:pathLst>
                              <a:path w="80" h="111">
                                <a:moveTo>
                                  <a:pt x="79" y="0"/>
                                </a:moveTo>
                                <a:lnTo>
                                  <a:pt x="0" y="0"/>
                                </a:lnTo>
                                <a:lnTo>
                                  <a:pt x="40" y="110"/>
                                </a:lnTo>
                                <a:lnTo>
                                  <a:pt x="79" y="0"/>
                                </a:lnTo>
                                <a:close/>
                              </a:path>
                            </a:pathLst>
                          </a:custGeom>
                          <a:solidFill>
                            <a:srgbClr val="000000"/>
                          </a:solidFill>
                          <a:ln>
                            <a:noFill/>
                          </a:ln>
                        </wps:spPr>
                        <wps:bodyPr upright="1"/>
                      </wps:wsp>
                      <wps:wsp>
                        <wps:cNvPr id="24" name="直接连接符 24"/>
                        <wps:cNvCnPr/>
                        <wps:spPr>
                          <a:xfrm>
                            <a:off x="1763" y="4740"/>
                            <a:ext cx="0" cy="297"/>
                          </a:xfrm>
                          <a:prstGeom prst="line">
                            <a:avLst/>
                          </a:prstGeom>
                          <a:ln w="2200" cap="flat" cmpd="sng">
                            <a:solidFill>
                              <a:srgbClr val="000000"/>
                            </a:solidFill>
                            <a:prstDash val="solid"/>
                            <a:headEnd type="none" w="med" len="med"/>
                            <a:tailEnd type="none" w="med" len="med"/>
                          </a:ln>
                        </wps:spPr>
                        <wps:bodyPr/>
                      </wps:wsp>
                      <wps:wsp>
                        <wps:cNvPr id="25" name="直接连接符 25"/>
                        <wps:cNvCnPr/>
                        <wps:spPr>
                          <a:xfrm>
                            <a:off x="3074" y="2996"/>
                            <a:ext cx="11" cy="0"/>
                          </a:xfrm>
                          <a:prstGeom prst="line">
                            <a:avLst/>
                          </a:prstGeom>
                          <a:ln w="2027" cap="flat" cmpd="sng">
                            <a:solidFill>
                              <a:srgbClr val="000000"/>
                            </a:solidFill>
                            <a:prstDash val="solid"/>
                            <a:headEnd type="none" w="med" len="med"/>
                            <a:tailEnd type="none" w="med" len="med"/>
                          </a:ln>
                        </wps:spPr>
                        <wps:bodyPr/>
                      </wps:wsp>
                      <wps:wsp>
                        <wps:cNvPr id="26" name="任意多边形 26"/>
                        <wps:cNvSpPr/>
                        <wps:spPr>
                          <a:xfrm>
                            <a:off x="3075" y="2959"/>
                            <a:ext cx="120" cy="74"/>
                          </a:xfrm>
                          <a:custGeom>
                            <a:avLst/>
                            <a:gdLst/>
                            <a:ahLst/>
                            <a:cxnLst/>
                            <a:rect l="0" t="0" r="0" b="0"/>
                            <a:pathLst>
                              <a:path w="120" h="74">
                                <a:moveTo>
                                  <a:pt x="0" y="0"/>
                                </a:moveTo>
                                <a:lnTo>
                                  <a:pt x="0" y="73"/>
                                </a:lnTo>
                                <a:lnTo>
                                  <a:pt x="120" y="36"/>
                                </a:lnTo>
                                <a:lnTo>
                                  <a:pt x="0" y="0"/>
                                </a:lnTo>
                                <a:close/>
                              </a:path>
                            </a:pathLst>
                          </a:custGeom>
                          <a:solidFill>
                            <a:srgbClr val="000000"/>
                          </a:solidFill>
                          <a:ln>
                            <a:noFill/>
                          </a:ln>
                        </wps:spPr>
                        <wps:bodyPr upright="1"/>
                      </wps:wsp>
                      <wps:wsp>
                        <wps:cNvPr id="27" name="直接连接符 27"/>
                        <wps:cNvCnPr/>
                        <wps:spPr>
                          <a:xfrm>
                            <a:off x="2376" y="2996"/>
                            <a:ext cx="121" cy="0"/>
                          </a:xfrm>
                          <a:prstGeom prst="line">
                            <a:avLst/>
                          </a:prstGeom>
                          <a:ln w="2027" cap="flat" cmpd="sng">
                            <a:solidFill>
                              <a:srgbClr val="000000"/>
                            </a:solidFill>
                            <a:prstDash val="solid"/>
                            <a:headEnd type="none" w="med" len="med"/>
                            <a:tailEnd type="none" w="med" len="med"/>
                          </a:ln>
                        </wps:spPr>
                        <wps:bodyPr/>
                      </wps:wsp>
                      <wps:wsp>
                        <wps:cNvPr id="28" name="矩形 28"/>
                        <wps:cNvSpPr/>
                        <wps:spPr>
                          <a:xfrm>
                            <a:off x="3194" y="3608"/>
                            <a:ext cx="1228" cy="472"/>
                          </a:xfrm>
                          <a:prstGeom prst="rect">
                            <a:avLst/>
                          </a:prstGeom>
                          <a:noFill/>
                          <a:ln w="2049" cap="flat" cmpd="sng">
                            <a:solidFill>
                              <a:srgbClr val="000000"/>
                            </a:solidFill>
                            <a:prstDash val="solid"/>
                            <a:miter/>
                            <a:headEnd type="none" w="med" len="med"/>
                            <a:tailEnd type="none" w="med" len="med"/>
                          </a:ln>
                        </wps:spPr>
                        <wps:bodyPr upright="1"/>
                      </wps:wsp>
                      <wps:wsp>
                        <wps:cNvPr id="29" name="直接连接符 29"/>
                        <wps:cNvCnPr/>
                        <wps:spPr>
                          <a:xfrm>
                            <a:off x="3808" y="3138"/>
                            <a:ext cx="0" cy="370"/>
                          </a:xfrm>
                          <a:prstGeom prst="line">
                            <a:avLst/>
                          </a:prstGeom>
                          <a:ln w="2200" cap="flat" cmpd="sng">
                            <a:solidFill>
                              <a:srgbClr val="000000"/>
                            </a:solidFill>
                            <a:prstDash val="solid"/>
                            <a:headEnd type="none" w="med" len="med"/>
                            <a:tailEnd type="none" w="med" len="med"/>
                          </a:ln>
                        </wps:spPr>
                        <wps:bodyPr/>
                      </wps:wsp>
                      <wps:wsp>
                        <wps:cNvPr id="30" name="任意多边形 30"/>
                        <wps:cNvSpPr/>
                        <wps:spPr>
                          <a:xfrm>
                            <a:off x="3768" y="3498"/>
                            <a:ext cx="80" cy="111"/>
                          </a:xfrm>
                          <a:custGeom>
                            <a:avLst/>
                            <a:gdLst/>
                            <a:ahLst/>
                            <a:cxnLst/>
                            <a:rect l="0" t="0" r="0" b="0"/>
                            <a:pathLst>
                              <a:path w="80" h="111">
                                <a:moveTo>
                                  <a:pt x="79" y="0"/>
                                </a:moveTo>
                                <a:lnTo>
                                  <a:pt x="0" y="0"/>
                                </a:lnTo>
                                <a:lnTo>
                                  <a:pt x="39" y="110"/>
                                </a:lnTo>
                                <a:lnTo>
                                  <a:pt x="79" y="0"/>
                                </a:lnTo>
                                <a:close/>
                              </a:path>
                            </a:pathLst>
                          </a:custGeom>
                          <a:solidFill>
                            <a:srgbClr val="000000"/>
                          </a:solidFill>
                          <a:ln>
                            <a:noFill/>
                          </a:ln>
                        </wps:spPr>
                        <wps:bodyPr upright="1"/>
                      </wps:wsp>
                      <wps:wsp>
                        <wps:cNvPr id="31" name="直接连接符 31"/>
                        <wps:cNvCnPr/>
                        <wps:spPr>
                          <a:xfrm>
                            <a:off x="3808" y="4138"/>
                            <a:ext cx="0" cy="1255"/>
                          </a:xfrm>
                          <a:prstGeom prst="line">
                            <a:avLst/>
                          </a:prstGeom>
                          <a:ln w="2200" cap="flat" cmpd="sng">
                            <a:solidFill>
                              <a:srgbClr val="000000"/>
                            </a:solidFill>
                            <a:prstDash val="solid"/>
                            <a:headEnd type="none" w="med" len="med"/>
                            <a:tailEnd type="none" w="med" len="med"/>
                          </a:ln>
                        </wps:spPr>
                        <wps:bodyPr/>
                      </wps:wsp>
                      <wps:wsp>
                        <wps:cNvPr id="32" name="任意多边形 32"/>
                        <wps:cNvSpPr/>
                        <wps:spPr>
                          <a:xfrm>
                            <a:off x="3768" y="5384"/>
                            <a:ext cx="80" cy="111"/>
                          </a:xfrm>
                          <a:custGeom>
                            <a:avLst/>
                            <a:gdLst/>
                            <a:ahLst/>
                            <a:cxnLst/>
                            <a:rect l="0" t="0" r="0" b="0"/>
                            <a:pathLst>
                              <a:path w="80" h="111">
                                <a:moveTo>
                                  <a:pt x="79" y="0"/>
                                </a:moveTo>
                                <a:lnTo>
                                  <a:pt x="0" y="0"/>
                                </a:lnTo>
                                <a:lnTo>
                                  <a:pt x="39" y="110"/>
                                </a:lnTo>
                                <a:lnTo>
                                  <a:pt x="79" y="0"/>
                                </a:lnTo>
                                <a:close/>
                              </a:path>
                            </a:pathLst>
                          </a:custGeom>
                          <a:solidFill>
                            <a:srgbClr val="000000"/>
                          </a:solidFill>
                          <a:ln>
                            <a:noFill/>
                          </a:ln>
                        </wps:spPr>
                        <wps:bodyPr upright="1"/>
                      </wps:wsp>
                      <wps:wsp>
                        <wps:cNvPr id="33" name="矩形 33"/>
                        <wps:cNvSpPr/>
                        <wps:spPr>
                          <a:xfrm>
                            <a:off x="25" y="2569"/>
                            <a:ext cx="5524" cy="2451"/>
                          </a:xfrm>
                          <a:prstGeom prst="rect">
                            <a:avLst/>
                          </a:prstGeom>
                          <a:noFill/>
                          <a:ln w="10278" cap="flat" cmpd="sng">
                            <a:solidFill>
                              <a:srgbClr val="FF0000"/>
                            </a:solidFill>
                            <a:prstDash val="lgDash"/>
                            <a:miter/>
                            <a:headEnd type="none" w="med" len="med"/>
                            <a:tailEnd type="none" w="med" len="med"/>
                          </a:ln>
                        </wps:spPr>
                        <wps:bodyPr upright="1"/>
                      </wps:wsp>
                      <wps:wsp>
                        <wps:cNvPr id="34" name="直接连接符 34"/>
                        <wps:cNvCnPr/>
                        <wps:spPr>
                          <a:xfrm>
                            <a:off x="1763" y="5197"/>
                            <a:ext cx="0" cy="196"/>
                          </a:xfrm>
                          <a:prstGeom prst="line">
                            <a:avLst/>
                          </a:prstGeom>
                          <a:ln w="2200" cap="flat" cmpd="sng">
                            <a:solidFill>
                              <a:srgbClr val="000000"/>
                            </a:solidFill>
                            <a:prstDash val="solid"/>
                            <a:headEnd type="none" w="med" len="med"/>
                            <a:tailEnd type="none" w="med" len="med"/>
                          </a:ln>
                        </wps:spPr>
                        <wps:bodyPr/>
                      </wps:wsp>
                      <wps:wsp>
                        <wps:cNvPr id="35" name="任意多边形 35"/>
                        <wps:cNvSpPr/>
                        <wps:spPr>
                          <a:xfrm>
                            <a:off x="1722" y="5384"/>
                            <a:ext cx="80" cy="111"/>
                          </a:xfrm>
                          <a:custGeom>
                            <a:avLst/>
                            <a:gdLst/>
                            <a:ahLst/>
                            <a:cxnLst/>
                            <a:rect l="0" t="0" r="0" b="0"/>
                            <a:pathLst>
                              <a:path w="80" h="111">
                                <a:moveTo>
                                  <a:pt x="79" y="0"/>
                                </a:moveTo>
                                <a:lnTo>
                                  <a:pt x="0" y="0"/>
                                </a:lnTo>
                                <a:lnTo>
                                  <a:pt x="40" y="110"/>
                                </a:lnTo>
                                <a:lnTo>
                                  <a:pt x="79" y="0"/>
                                </a:lnTo>
                                <a:close/>
                              </a:path>
                            </a:pathLst>
                          </a:custGeom>
                          <a:solidFill>
                            <a:srgbClr val="000000"/>
                          </a:solidFill>
                          <a:ln>
                            <a:noFill/>
                          </a:ln>
                        </wps:spPr>
                        <wps:bodyPr upright="1"/>
                      </wps:wsp>
                      <wps:wsp>
                        <wps:cNvPr id="36" name="任意多边形 36"/>
                        <wps:cNvSpPr/>
                        <wps:spPr>
                          <a:xfrm>
                            <a:off x="2685" y="5776"/>
                            <a:ext cx="1124" cy="274"/>
                          </a:xfrm>
                          <a:custGeom>
                            <a:avLst/>
                            <a:gdLst/>
                            <a:ahLst/>
                            <a:cxnLst/>
                            <a:rect l="0" t="0" r="0" b="0"/>
                            <a:pathLst>
                              <a:path w="1124" h="274">
                                <a:moveTo>
                                  <a:pt x="1123" y="0"/>
                                </a:moveTo>
                                <a:lnTo>
                                  <a:pt x="1123" y="176"/>
                                </a:lnTo>
                                <a:lnTo>
                                  <a:pt x="0" y="176"/>
                                </a:lnTo>
                                <a:lnTo>
                                  <a:pt x="0" y="273"/>
                                </a:lnTo>
                              </a:path>
                            </a:pathLst>
                          </a:custGeom>
                          <a:noFill/>
                          <a:ln w="2037" cap="flat" cmpd="sng">
                            <a:solidFill>
                              <a:srgbClr val="000000"/>
                            </a:solidFill>
                            <a:prstDash val="solid"/>
                            <a:headEnd type="none" w="med" len="med"/>
                            <a:tailEnd type="none" w="med" len="med"/>
                          </a:ln>
                        </wps:spPr>
                        <wps:bodyPr upright="1"/>
                      </wps:wsp>
                      <wps:wsp>
                        <wps:cNvPr id="37" name="任意多边形 37"/>
                        <wps:cNvSpPr/>
                        <wps:spPr>
                          <a:xfrm>
                            <a:off x="2645" y="6040"/>
                            <a:ext cx="80" cy="111"/>
                          </a:xfrm>
                          <a:custGeom>
                            <a:avLst/>
                            <a:gdLst/>
                            <a:ahLst/>
                            <a:cxnLst/>
                            <a:rect l="0" t="0" r="0" b="0"/>
                            <a:pathLst>
                              <a:path w="80" h="111">
                                <a:moveTo>
                                  <a:pt x="80" y="0"/>
                                </a:moveTo>
                                <a:lnTo>
                                  <a:pt x="0" y="0"/>
                                </a:lnTo>
                                <a:lnTo>
                                  <a:pt x="40" y="110"/>
                                </a:lnTo>
                                <a:lnTo>
                                  <a:pt x="80" y="0"/>
                                </a:lnTo>
                                <a:close/>
                              </a:path>
                            </a:pathLst>
                          </a:custGeom>
                          <a:solidFill>
                            <a:srgbClr val="000000"/>
                          </a:solidFill>
                          <a:ln>
                            <a:noFill/>
                          </a:ln>
                        </wps:spPr>
                        <wps:bodyPr upright="1"/>
                      </wps:wsp>
                      <wps:wsp>
                        <wps:cNvPr id="38" name="任意多边形 38"/>
                        <wps:cNvSpPr/>
                        <wps:spPr>
                          <a:xfrm>
                            <a:off x="1762" y="5776"/>
                            <a:ext cx="923" cy="274"/>
                          </a:xfrm>
                          <a:custGeom>
                            <a:avLst/>
                            <a:gdLst/>
                            <a:ahLst/>
                            <a:cxnLst/>
                            <a:rect l="0" t="0" r="0" b="0"/>
                            <a:pathLst>
                              <a:path w="923" h="274">
                                <a:moveTo>
                                  <a:pt x="0" y="0"/>
                                </a:moveTo>
                                <a:lnTo>
                                  <a:pt x="0" y="176"/>
                                </a:lnTo>
                                <a:lnTo>
                                  <a:pt x="922" y="176"/>
                                </a:lnTo>
                                <a:lnTo>
                                  <a:pt x="922" y="273"/>
                                </a:lnTo>
                              </a:path>
                            </a:pathLst>
                          </a:custGeom>
                          <a:noFill/>
                          <a:ln w="2041" cap="flat" cmpd="sng">
                            <a:solidFill>
                              <a:srgbClr val="000000"/>
                            </a:solidFill>
                            <a:prstDash val="solid"/>
                            <a:headEnd type="none" w="med" len="med"/>
                            <a:tailEnd type="none" w="med" len="med"/>
                          </a:ln>
                        </wps:spPr>
                        <wps:bodyPr upright="1"/>
                      </wps:wsp>
                      <wps:wsp>
                        <wps:cNvPr id="40" name="任意多边形 40"/>
                        <wps:cNvSpPr/>
                        <wps:spPr>
                          <a:xfrm>
                            <a:off x="2645" y="6040"/>
                            <a:ext cx="80" cy="111"/>
                          </a:xfrm>
                          <a:custGeom>
                            <a:avLst/>
                            <a:gdLst/>
                            <a:ahLst/>
                            <a:cxnLst/>
                            <a:rect l="0" t="0" r="0" b="0"/>
                            <a:pathLst>
                              <a:path w="80" h="111">
                                <a:moveTo>
                                  <a:pt x="80" y="0"/>
                                </a:moveTo>
                                <a:lnTo>
                                  <a:pt x="0" y="0"/>
                                </a:lnTo>
                                <a:lnTo>
                                  <a:pt x="40" y="110"/>
                                </a:lnTo>
                                <a:lnTo>
                                  <a:pt x="80" y="0"/>
                                </a:lnTo>
                                <a:close/>
                              </a:path>
                            </a:pathLst>
                          </a:custGeom>
                          <a:solidFill>
                            <a:srgbClr val="000000"/>
                          </a:solidFill>
                          <a:ln>
                            <a:noFill/>
                          </a:ln>
                        </wps:spPr>
                        <wps:bodyPr upright="1"/>
                      </wps:wsp>
                      <wps:wsp>
                        <wps:cNvPr id="41" name="矩形 41"/>
                        <wps:cNvSpPr/>
                        <wps:spPr>
                          <a:xfrm>
                            <a:off x="25" y="5208"/>
                            <a:ext cx="5524" cy="1980"/>
                          </a:xfrm>
                          <a:prstGeom prst="rect">
                            <a:avLst/>
                          </a:prstGeom>
                          <a:noFill/>
                          <a:ln w="10234" cap="flat" cmpd="sng">
                            <a:solidFill>
                              <a:srgbClr val="00AF50"/>
                            </a:solidFill>
                            <a:prstDash val="lgDash"/>
                            <a:miter/>
                            <a:headEnd type="none" w="med" len="med"/>
                            <a:tailEnd type="none" w="med" len="med"/>
                          </a:ln>
                        </wps:spPr>
                        <wps:bodyPr upright="1"/>
                      </wps:wsp>
                      <wps:wsp>
                        <wps:cNvPr id="42" name="直接连接符 42"/>
                        <wps:cNvCnPr/>
                        <wps:spPr>
                          <a:xfrm>
                            <a:off x="1763" y="3986"/>
                            <a:ext cx="0" cy="156"/>
                          </a:xfrm>
                          <a:prstGeom prst="line">
                            <a:avLst/>
                          </a:prstGeom>
                          <a:ln w="2200" cap="flat" cmpd="sng">
                            <a:solidFill>
                              <a:srgbClr val="000000"/>
                            </a:solidFill>
                            <a:prstDash val="solid"/>
                            <a:headEnd type="none" w="med" len="med"/>
                            <a:tailEnd type="none" w="med" len="med"/>
                          </a:ln>
                        </wps:spPr>
                        <wps:bodyPr/>
                      </wps:wsp>
                      <wps:wsp>
                        <wps:cNvPr id="43" name="直接连接符 43"/>
                        <wps:cNvCnPr/>
                        <wps:spPr>
                          <a:xfrm>
                            <a:off x="1763" y="4301"/>
                            <a:ext cx="0" cy="55"/>
                          </a:xfrm>
                          <a:prstGeom prst="line">
                            <a:avLst/>
                          </a:prstGeom>
                          <a:ln w="2200" cap="flat" cmpd="sng">
                            <a:solidFill>
                              <a:srgbClr val="000000"/>
                            </a:solidFill>
                            <a:prstDash val="solid"/>
                            <a:headEnd type="none" w="med" len="med"/>
                            <a:tailEnd type="none" w="med" len="med"/>
                          </a:ln>
                        </wps:spPr>
                        <wps:bodyPr/>
                      </wps:wsp>
                      <wps:wsp>
                        <wps:cNvPr id="44" name="任意多边形 44"/>
                        <wps:cNvSpPr/>
                        <wps:spPr>
                          <a:xfrm>
                            <a:off x="1722" y="4347"/>
                            <a:ext cx="80" cy="111"/>
                          </a:xfrm>
                          <a:custGeom>
                            <a:avLst/>
                            <a:gdLst/>
                            <a:ahLst/>
                            <a:cxnLst/>
                            <a:rect l="0" t="0" r="0" b="0"/>
                            <a:pathLst>
                              <a:path w="80" h="111">
                                <a:moveTo>
                                  <a:pt x="79" y="0"/>
                                </a:moveTo>
                                <a:lnTo>
                                  <a:pt x="0" y="0"/>
                                </a:lnTo>
                                <a:lnTo>
                                  <a:pt x="40" y="110"/>
                                </a:lnTo>
                                <a:lnTo>
                                  <a:pt x="79" y="0"/>
                                </a:lnTo>
                                <a:close/>
                              </a:path>
                            </a:pathLst>
                          </a:custGeom>
                          <a:solidFill>
                            <a:srgbClr val="000000"/>
                          </a:solidFill>
                          <a:ln>
                            <a:noFill/>
                          </a:ln>
                        </wps:spPr>
                        <wps:bodyPr upright="1"/>
                      </wps:wsp>
                      <wps:wsp>
                        <wps:cNvPr id="45" name="矩形 45"/>
                        <wps:cNvSpPr/>
                        <wps:spPr>
                          <a:xfrm>
                            <a:off x="3164" y="3564"/>
                            <a:ext cx="1305" cy="573"/>
                          </a:xfrm>
                          <a:prstGeom prst="rect">
                            <a:avLst/>
                          </a:prstGeom>
                          <a:solidFill>
                            <a:srgbClr val="FFFFFF"/>
                          </a:solidFill>
                          <a:ln>
                            <a:noFill/>
                          </a:ln>
                        </wps:spPr>
                        <wps:bodyPr upright="1"/>
                      </wps:wsp>
                      <wps:wsp>
                        <wps:cNvPr id="46" name="文本框 46"/>
                        <wps:cNvSpPr txBox="1"/>
                        <wps:spPr>
                          <a:xfrm>
                            <a:off x="2496" y="2921"/>
                            <a:ext cx="598" cy="134"/>
                          </a:xfrm>
                          <a:prstGeom prst="rect">
                            <a:avLst/>
                          </a:prstGeom>
                          <a:noFill/>
                          <a:ln>
                            <a:noFill/>
                          </a:ln>
                        </wps:spPr>
                        <wps:txbx>
                          <w:txbxContent>
                            <w:p>
                              <w:pPr>
                                <w:spacing w:line="133" w:lineRule="exact"/>
                                <w:ind w:firstLine="0" w:firstLineChars="0"/>
                                <w:jc w:val="left"/>
                                <w:rPr>
                                  <w:sz w:val="13"/>
                                </w:rPr>
                              </w:pPr>
                              <w:r>
                                <w:rPr>
                                  <w:w w:val="110"/>
                                  <w:sz w:val="13"/>
                                </w:rPr>
                                <w:t>固体部分</w:t>
                              </w:r>
                            </w:p>
                          </w:txbxContent>
                        </wps:txbx>
                        <wps:bodyPr lIns="0" tIns="0" rIns="0" bIns="0" upright="1"/>
                      </wps:wsp>
                      <wps:wsp>
                        <wps:cNvPr id="47" name="文本框 47"/>
                        <wps:cNvSpPr txBox="1"/>
                        <wps:spPr>
                          <a:xfrm>
                            <a:off x="1473" y="3346"/>
                            <a:ext cx="598" cy="134"/>
                          </a:xfrm>
                          <a:prstGeom prst="rect">
                            <a:avLst/>
                          </a:prstGeom>
                          <a:noFill/>
                          <a:ln>
                            <a:noFill/>
                          </a:ln>
                        </wps:spPr>
                        <wps:txbx>
                          <w:txbxContent>
                            <w:p>
                              <w:pPr>
                                <w:spacing w:line="133" w:lineRule="exact"/>
                                <w:ind w:firstLine="0" w:firstLineChars="0"/>
                                <w:jc w:val="left"/>
                                <w:rPr>
                                  <w:sz w:val="13"/>
                                </w:rPr>
                              </w:pPr>
                              <w:r>
                                <w:rPr>
                                  <w:w w:val="110"/>
                                  <w:sz w:val="13"/>
                                </w:rPr>
                                <w:t>液体部分</w:t>
                              </w:r>
                            </w:p>
                          </w:txbxContent>
                        </wps:txbx>
                        <wps:bodyPr lIns="0" tIns="0" rIns="0" bIns="0" upright="1"/>
                      </wps:wsp>
                      <wps:wsp>
                        <wps:cNvPr id="48" name="文本框 48"/>
                        <wps:cNvSpPr txBox="1"/>
                        <wps:spPr>
                          <a:xfrm>
                            <a:off x="1546" y="4147"/>
                            <a:ext cx="454" cy="134"/>
                          </a:xfrm>
                          <a:prstGeom prst="rect">
                            <a:avLst/>
                          </a:prstGeom>
                          <a:noFill/>
                          <a:ln>
                            <a:noFill/>
                          </a:ln>
                        </wps:spPr>
                        <wps:txbx>
                          <w:txbxContent>
                            <w:p>
                              <w:pPr>
                                <w:spacing w:line="133" w:lineRule="exact"/>
                                <w:ind w:firstLine="0" w:firstLineChars="0"/>
                                <w:jc w:val="left"/>
                                <w:rPr>
                                  <w:sz w:val="13"/>
                                </w:rPr>
                              </w:pPr>
                              <w:r>
                                <w:rPr>
                                  <w:w w:val="110"/>
                                  <w:sz w:val="13"/>
                                </w:rPr>
                                <w:t>输送泵</w:t>
                              </w:r>
                            </w:p>
                          </w:txbxContent>
                        </wps:txbx>
                        <wps:bodyPr lIns="0" tIns="0" rIns="0" bIns="0" upright="1"/>
                      </wps:wsp>
                      <wps:wsp>
                        <wps:cNvPr id="49" name="文本框 49"/>
                        <wps:cNvSpPr txBox="1"/>
                        <wps:spPr>
                          <a:xfrm>
                            <a:off x="5192" y="2679"/>
                            <a:ext cx="223" cy="2198"/>
                          </a:xfrm>
                          <a:prstGeom prst="rect">
                            <a:avLst/>
                          </a:prstGeom>
                          <a:noFill/>
                          <a:ln>
                            <a:noFill/>
                          </a:ln>
                        </wps:spPr>
                        <wps:txbx>
                          <w:txbxContent>
                            <w:p>
                              <w:pPr>
                                <w:spacing w:line="207" w:lineRule="exact"/>
                                <w:ind w:firstLine="402"/>
                                <w:jc w:val="left"/>
                                <w:rPr>
                                  <w:sz w:val="18"/>
                                </w:rPr>
                              </w:pPr>
                              <w:r>
                                <w:rPr>
                                  <w:w w:val="112"/>
                                  <w:sz w:val="18"/>
                                </w:rPr>
                                <w:t>粪</w:t>
                              </w:r>
                              <w:r>
                                <w:rPr>
                                  <w:w w:val="110"/>
                                  <w:sz w:val="18"/>
                                </w:rPr>
                                <w:t>预处理及加工单元</w:t>
                              </w:r>
                            </w:p>
                          </w:txbxContent>
                        </wps:txbx>
                        <wps:bodyPr lIns="0" tIns="0" rIns="0" bIns="0" upright="1"/>
                      </wps:wsp>
                      <wps:wsp>
                        <wps:cNvPr id="50" name="文本框 50"/>
                        <wps:cNvSpPr txBox="1"/>
                        <wps:spPr>
                          <a:xfrm>
                            <a:off x="1473" y="5042"/>
                            <a:ext cx="598" cy="134"/>
                          </a:xfrm>
                          <a:prstGeom prst="rect">
                            <a:avLst/>
                          </a:prstGeom>
                          <a:noFill/>
                          <a:ln>
                            <a:noFill/>
                          </a:ln>
                        </wps:spPr>
                        <wps:txbx>
                          <w:txbxContent>
                            <w:p>
                              <w:pPr>
                                <w:spacing w:line="133" w:lineRule="exact"/>
                                <w:ind w:firstLine="284"/>
                                <w:jc w:val="left"/>
                                <w:rPr>
                                  <w:sz w:val="13"/>
                                </w:rPr>
                              </w:pPr>
                              <w:r>
                                <w:rPr>
                                  <w:w w:val="110"/>
                                  <w:sz w:val="13"/>
                                </w:rPr>
                                <w:t>存储熟化</w:t>
                              </w:r>
                            </w:p>
                          </w:txbxContent>
                        </wps:txbx>
                        <wps:bodyPr lIns="0" tIns="0" rIns="0" bIns="0" upright="1"/>
                      </wps:wsp>
                      <wps:wsp>
                        <wps:cNvPr id="51" name="文本框 51"/>
                        <wps:cNvSpPr txBox="1"/>
                        <wps:spPr>
                          <a:xfrm>
                            <a:off x="5079" y="5432"/>
                            <a:ext cx="458" cy="1188"/>
                          </a:xfrm>
                          <a:prstGeom prst="rect">
                            <a:avLst/>
                          </a:prstGeom>
                          <a:noFill/>
                          <a:ln>
                            <a:noFill/>
                          </a:ln>
                        </wps:spPr>
                        <wps:txbx>
                          <w:txbxContent>
                            <w:p>
                              <w:pPr>
                                <w:spacing w:line="0" w:lineRule="auto"/>
                                <w:ind w:firstLine="526"/>
                                <w:rPr>
                                  <w:sz w:val="18"/>
                                </w:rPr>
                              </w:pPr>
                              <w:r>
                                <w:rPr>
                                  <w:spacing w:val="33"/>
                                  <w:w w:val="110"/>
                                  <w:sz w:val="18"/>
                                </w:rPr>
                                <w:t>及</w:t>
                              </w:r>
                              <w:r>
                                <w:rPr>
                                  <w:w w:val="110"/>
                                  <w:position w:val="-10"/>
                                  <w:sz w:val="18"/>
                                </w:rPr>
                                <w:t>单</w:t>
                              </w:r>
                            </w:p>
                          </w:txbxContent>
                        </wps:txbx>
                        <wps:bodyPr lIns="0" tIns="0" rIns="0" bIns="0" upright="1"/>
                      </wps:wsp>
                      <wps:wsp>
                        <wps:cNvPr id="53" name="文本框 53"/>
                        <wps:cNvSpPr txBox="1"/>
                        <wps:spPr>
                          <a:xfrm>
                            <a:off x="5079" y="6773"/>
                            <a:ext cx="223" cy="187"/>
                          </a:xfrm>
                          <a:prstGeom prst="rect">
                            <a:avLst/>
                          </a:prstGeom>
                          <a:noFill/>
                          <a:ln>
                            <a:noFill/>
                          </a:ln>
                        </wps:spPr>
                        <wps:txbx>
                          <w:txbxContent>
                            <w:p>
                              <w:pPr>
                                <w:spacing w:line="186" w:lineRule="exact"/>
                                <w:ind w:firstLine="402"/>
                                <w:jc w:val="left"/>
                                <w:rPr>
                                  <w:sz w:val="18"/>
                                </w:rPr>
                              </w:pPr>
                              <w:r>
                                <w:rPr>
                                  <w:w w:val="112"/>
                                  <w:sz w:val="18"/>
                                </w:rPr>
                                <w:t>套</w:t>
                              </w:r>
                            </w:p>
                          </w:txbxContent>
                        </wps:txbx>
                        <wps:bodyPr lIns="0" tIns="0" rIns="0" bIns="0" upright="1"/>
                      </wps:wsp>
                      <wps:wsp>
                        <wps:cNvPr id="54" name="文本框 54"/>
                        <wps:cNvSpPr txBox="1"/>
                        <wps:spPr>
                          <a:xfrm>
                            <a:off x="1148" y="4457"/>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rFonts w:hint="eastAsia"/>
                                  <w:w w:val="110"/>
                                  <w:sz w:val="18"/>
                                </w:rPr>
                                <w:t>储存塘</w:t>
                              </w:r>
                            </w:p>
                          </w:txbxContent>
                        </wps:txbx>
                        <wps:bodyPr lIns="0" tIns="0" rIns="0" bIns="0" upright="1"/>
                      </wps:wsp>
                      <wps:wsp>
                        <wps:cNvPr id="55" name="文本框 55"/>
                        <wps:cNvSpPr txBox="1"/>
                        <wps:spPr>
                          <a:xfrm>
                            <a:off x="3164" y="3564"/>
                            <a:ext cx="1305" cy="573"/>
                          </a:xfrm>
                          <a:prstGeom prst="rect">
                            <a:avLst/>
                          </a:prstGeom>
                          <a:noFill/>
                          <a:ln w="9525" cap="flat" cmpd="sng">
                            <a:solidFill>
                              <a:srgbClr val="000000"/>
                            </a:solidFill>
                            <a:prstDash val="solid"/>
                            <a:miter/>
                            <a:headEnd type="none" w="med" len="med"/>
                            <a:tailEnd type="none" w="med" len="med"/>
                          </a:ln>
                        </wps:spPr>
                        <wps:txbx>
                          <w:txbxContent>
                            <w:p>
                              <w:pPr>
                                <w:spacing w:before="156" w:beforeLines="50" w:line="240" w:lineRule="auto"/>
                                <w:ind w:firstLine="0" w:firstLineChars="0"/>
                                <w:jc w:val="center"/>
                                <w:rPr>
                                  <w:sz w:val="21"/>
                                </w:rPr>
                              </w:pPr>
                              <w:r>
                                <w:rPr>
                                  <w:w w:val="110"/>
                                  <w:sz w:val="18"/>
                                </w:rPr>
                                <w:t>堆肥</w:t>
                              </w:r>
                            </w:p>
                          </w:txbxContent>
                        </wps:txbx>
                        <wps:bodyPr lIns="0" tIns="0" rIns="0" bIns="0" upright="1"/>
                      </wps:wsp>
                      <wps:wsp>
                        <wps:cNvPr id="56" name="文本框 56"/>
                        <wps:cNvSpPr txBox="1"/>
                        <wps:spPr>
                          <a:xfrm>
                            <a:off x="1257" y="2356"/>
                            <a:ext cx="1031" cy="134"/>
                          </a:xfrm>
                          <a:prstGeom prst="rect">
                            <a:avLst/>
                          </a:prstGeom>
                          <a:noFill/>
                          <a:ln>
                            <a:noFill/>
                          </a:ln>
                        </wps:spPr>
                        <wps:txbx>
                          <w:txbxContent>
                            <w:p>
                              <w:pPr>
                                <w:spacing w:line="133" w:lineRule="exact"/>
                                <w:ind w:firstLine="0" w:firstLineChars="0"/>
                                <w:jc w:val="left"/>
                                <w:rPr>
                                  <w:sz w:val="13"/>
                                </w:rPr>
                              </w:pPr>
                              <w:r>
                                <w:rPr>
                                  <w:w w:val="110"/>
                                  <w:sz w:val="13"/>
                                </w:rPr>
                                <w:t>进料泵、搅拌机</w:t>
                              </w:r>
                            </w:p>
                          </w:txbxContent>
                        </wps:txbx>
                        <wps:bodyPr lIns="0" tIns="0" rIns="0" bIns="0" upright="1"/>
                      </wps:wsp>
                      <wps:wsp>
                        <wps:cNvPr id="57" name="文本框 57"/>
                        <wps:cNvSpPr txBox="1"/>
                        <wps:spPr>
                          <a:xfrm>
                            <a:off x="5190" y="335"/>
                            <a:ext cx="223" cy="1304"/>
                          </a:xfrm>
                          <a:prstGeom prst="rect">
                            <a:avLst/>
                          </a:prstGeom>
                          <a:noFill/>
                          <a:ln>
                            <a:noFill/>
                          </a:ln>
                        </wps:spPr>
                        <wps:txbx>
                          <w:txbxContent>
                            <w:p>
                              <w:pPr>
                                <w:spacing w:line="207" w:lineRule="exact"/>
                                <w:ind w:firstLine="402"/>
                                <w:jc w:val="left"/>
                                <w:rPr>
                                  <w:sz w:val="18"/>
                                </w:rPr>
                              </w:pPr>
                              <w:r>
                                <w:rPr>
                                  <w:w w:val="112"/>
                                  <w:sz w:val="18"/>
                                </w:rPr>
                                <w:t>粪</w:t>
                              </w:r>
                              <w:r>
                                <w:rPr>
                                  <w:w w:val="110"/>
                                  <w:sz w:val="18"/>
                                </w:rPr>
                                <w:t>收集单元</w:t>
                              </w:r>
                            </w:p>
                          </w:txbxContent>
                        </wps:txbx>
                        <wps:bodyPr lIns="0" tIns="0" rIns="0" bIns="0" upright="1"/>
                      </wps:wsp>
                      <wps:wsp>
                        <wps:cNvPr id="58" name="文本框 58"/>
                        <wps:cNvSpPr txBox="1"/>
                        <wps:spPr>
                          <a:xfrm>
                            <a:off x="860" y="1378"/>
                            <a:ext cx="1825" cy="162"/>
                          </a:xfrm>
                          <a:prstGeom prst="rect">
                            <a:avLst/>
                          </a:prstGeom>
                          <a:noFill/>
                          <a:ln>
                            <a:noFill/>
                          </a:ln>
                        </wps:spPr>
                        <wps:txbx>
                          <w:txbxContent>
                            <w:p>
                              <w:pPr>
                                <w:spacing w:line="133" w:lineRule="exact"/>
                                <w:ind w:firstLine="0" w:firstLineChars="0"/>
                                <w:jc w:val="center"/>
                                <w:rPr>
                                  <w:sz w:val="13"/>
                                </w:rPr>
                              </w:pPr>
                              <w:r>
                                <w:rPr>
                                  <w:rFonts w:hint="eastAsia"/>
                                  <w:w w:val="110"/>
                                  <w:sz w:val="13"/>
                                </w:rPr>
                                <w:t>全</w:t>
                              </w:r>
                              <w:r>
                                <w:rPr>
                                  <w:w w:val="110"/>
                                  <w:sz w:val="13"/>
                                </w:rPr>
                                <w:t>漏粪地板</w:t>
                              </w:r>
                              <w:r>
                                <w:rPr>
                                  <w:rFonts w:hint="eastAsia"/>
                                  <w:w w:val="110"/>
                                  <w:sz w:val="13"/>
                                </w:rPr>
                                <w:t>+</w:t>
                              </w:r>
                              <w:r>
                                <w:rPr>
                                  <w:w w:val="110"/>
                                  <w:sz w:val="13"/>
                                </w:rPr>
                                <w:t>尿泡粪+虹吸管道</w:t>
                              </w:r>
                            </w:p>
                          </w:txbxContent>
                        </wps:txbx>
                        <wps:bodyPr lIns="0" tIns="0" rIns="0" bIns="0" upright="1"/>
                      </wps:wsp>
                      <wps:wsp>
                        <wps:cNvPr id="59" name="文本框 59"/>
                        <wps:cNvSpPr txBox="1"/>
                        <wps:spPr>
                          <a:xfrm>
                            <a:off x="2932" y="5811"/>
                            <a:ext cx="598" cy="134"/>
                          </a:xfrm>
                          <a:prstGeom prst="rect">
                            <a:avLst/>
                          </a:prstGeom>
                          <a:noFill/>
                          <a:ln>
                            <a:noFill/>
                          </a:ln>
                        </wps:spPr>
                        <wps:txbx>
                          <w:txbxContent>
                            <w:p>
                              <w:pPr>
                                <w:spacing w:line="133" w:lineRule="exact"/>
                                <w:ind w:firstLine="0" w:firstLineChars="0"/>
                                <w:jc w:val="left"/>
                                <w:rPr>
                                  <w:sz w:val="13"/>
                                </w:rPr>
                              </w:pPr>
                              <w:r>
                                <w:rPr>
                                  <w:w w:val="110"/>
                                  <w:sz w:val="13"/>
                                </w:rPr>
                                <w:t>施肥设备</w:t>
                              </w:r>
                            </w:p>
                          </w:txbxContent>
                        </wps:txbx>
                        <wps:bodyPr lIns="0" tIns="0" rIns="0" bIns="0" upright="1"/>
                      </wps:wsp>
                      <wps:wsp>
                        <wps:cNvPr id="60" name="文本框 60"/>
                        <wps:cNvSpPr txBox="1"/>
                        <wps:spPr>
                          <a:xfrm>
                            <a:off x="1946" y="5811"/>
                            <a:ext cx="598" cy="134"/>
                          </a:xfrm>
                          <a:prstGeom prst="rect">
                            <a:avLst/>
                          </a:prstGeom>
                          <a:noFill/>
                          <a:ln>
                            <a:noFill/>
                          </a:ln>
                        </wps:spPr>
                        <wps:txbx>
                          <w:txbxContent>
                            <w:p>
                              <w:pPr>
                                <w:spacing w:line="133" w:lineRule="exact"/>
                                <w:ind w:firstLine="0" w:firstLineChars="0"/>
                                <w:jc w:val="left"/>
                                <w:rPr>
                                  <w:sz w:val="13"/>
                                </w:rPr>
                              </w:pPr>
                              <w:r>
                                <w:rPr>
                                  <w:w w:val="110"/>
                                  <w:sz w:val="13"/>
                                </w:rPr>
                                <w:t>施肥设备</w:t>
                              </w:r>
                            </w:p>
                          </w:txbxContent>
                        </wps:txbx>
                        <wps:bodyPr lIns="0" tIns="0" rIns="0" bIns="0" upright="1"/>
                      </wps:wsp>
                      <wps:wsp>
                        <wps:cNvPr id="61" name="文本框 61"/>
                        <wps:cNvSpPr txBox="1"/>
                        <wps:spPr>
                          <a:xfrm>
                            <a:off x="3194" y="5494"/>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w w:val="110"/>
                                  <w:sz w:val="18"/>
                                </w:rPr>
                                <w:t>固体有机肥</w:t>
                              </w:r>
                            </w:p>
                          </w:txbxContent>
                        </wps:txbx>
                        <wps:bodyPr lIns="0" tIns="0" rIns="0" bIns="0" upright="1"/>
                      </wps:wsp>
                      <wps:wsp>
                        <wps:cNvPr id="62" name="文本框 62"/>
                        <wps:cNvSpPr txBox="1"/>
                        <wps:spPr>
                          <a:xfrm>
                            <a:off x="1148" y="5494"/>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w w:val="110"/>
                                  <w:sz w:val="18"/>
                                </w:rPr>
                                <w:t>液体有机肥</w:t>
                              </w:r>
                            </w:p>
                          </w:txbxContent>
                        </wps:txbx>
                        <wps:bodyPr lIns="0" tIns="0" rIns="0" bIns="0" upright="1"/>
                      </wps:wsp>
                      <wps:wsp>
                        <wps:cNvPr id="63" name="文本框 63"/>
                        <wps:cNvSpPr txBox="1"/>
                        <wps:spPr>
                          <a:xfrm>
                            <a:off x="1148" y="3703"/>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w w:val="110"/>
                                  <w:sz w:val="18"/>
                                </w:rPr>
                              </w:pPr>
                              <w:r>
                                <w:rPr>
                                  <w:rFonts w:hint="eastAsia"/>
                                  <w:w w:val="110"/>
                                  <w:sz w:val="18"/>
                                </w:rPr>
                                <w:t>液体池</w:t>
                              </w:r>
                            </w:p>
                          </w:txbxContent>
                        </wps:txbx>
                        <wps:bodyPr lIns="0" tIns="0" rIns="0" bIns="0" upright="1"/>
                      </wps:wsp>
                      <wps:wsp>
                        <wps:cNvPr id="64" name="文本框 64"/>
                        <wps:cNvSpPr txBox="1"/>
                        <wps:spPr>
                          <a:xfrm>
                            <a:off x="3194" y="2854"/>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w w:val="110"/>
                                  <w:sz w:val="18"/>
                                </w:rPr>
                                <w:t>皮带输送机</w:t>
                              </w:r>
                            </w:p>
                          </w:txbxContent>
                        </wps:txbx>
                        <wps:bodyPr lIns="0" tIns="0" rIns="0" bIns="0" upright="1"/>
                      </wps:wsp>
                      <wps:wsp>
                        <wps:cNvPr id="65" name="文本框 65"/>
                        <wps:cNvSpPr txBox="1"/>
                        <wps:spPr>
                          <a:xfrm>
                            <a:off x="1148" y="2854"/>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w w:val="110"/>
                                  <w:sz w:val="18"/>
                                </w:rPr>
                                <w:t>固液分离机</w:t>
                              </w:r>
                            </w:p>
                          </w:txbxContent>
                        </wps:txbx>
                        <wps:bodyPr lIns="0" tIns="0" rIns="0" bIns="0" upright="1"/>
                      </wps:wsp>
                      <wps:wsp>
                        <wps:cNvPr id="66" name="文本框 66"/>
                        <wps:cNvSpPr txBox="1"/>
                        <wps:spPr>
                          <a:xfrm>
                            <a:off x="1148" y="1723"/>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w w:val="110"/>
                                  <w:sz w:val="18"/>
                                </w:rPr>
                                <w:t>集粪池</w:t>
                              </w:r>
                            </w:p>
                          </w:txbxContent>
                        </wps:txbx>
                        <wps:bodyPr lIns="0" tIns="0" rIns="0" bIns="0" upright="1"/>
                      </wps:wsp>
                      <wps:wsp>
                        <wps:cNvPr id="68" name="文本框 68"/>
                        <wps:cNvSpPr txBox="1"/>
                        <wps:spPr>
                          <a:xfrm>
                            <a:off x="1148" y="955"/>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w w:val="110"/>
                                  <w:sz w:val="18"/>
                                </w:rPr>
                                <w:t>猪舍粪尿</w:t>
                              </w:r>
                            </w:p>
                          </w:txbxContent>
                        </wps:txbx>
                        <wps:bodyPr lIns="0" tIns="0" rIns="0" bIns="0" upright="1"/>
                      </wps:wsp>
                      <wps:wsp>
                        <wps:cNvPr id="69" name="文本框 69"/>
                        <wps:cNvSpPr txBox="1"/>
                        <wps:spPr>
                          <a:xfrm>
                            <a:off x="1148" y="295"/>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w w:val="110"/>
                                  <w:sz w:val="18"/>
                                </w:rPr>
                                <w:t>猪舍猪只</w:t>
                              </w:r>
                            </w:p>
                          </w:txbxContent>
                        </wps:txbx>
                        <wps:bodyPr lIns="0" tIns="0" rIns="0" bIns="0" upright="1"/>
                      </wps:wsp>
                      <wps:wsp>
                        <wps:cNvPr id="70" name="文本框 70"/>
                        <wps:cNvSpPr txBox="1"/>
                        <wps:spPr>
                          <a:xfrm>
                            <a:off x="2071" y="6150"/>
                            <a:ext cx="1228" cy="283"/>
                          </a:xfrm>
                          <a:prstGeom prst="rect">
                            <a:avLst/>
                          </a:prstGeom>
                          <a:noFill/>
                          <a:ln w="2037"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8"/>
                                </w:rPr>
                              </w:pPr>
                              <w:r>
                                <w:rPr>
                                  <w:rFonts w:hint="eastAsia"/>
                                  <w:w w:val="110"/>
                                  <w:sz w:val="18"/>
                                </w:rPr>
                                <w:t>周边农田</w:t>
                              </w:r>
                            </w:p>
                          </w:txbxContent>
                        </wps:txbx>
                        <wps:bodyPr lIns="0" tIns="0" rIns="0" bIns="0" upright="1"/>
                      </wps:wsp>
                    </wpg:wgp>
                  </a:graphicData>
                </a:graphic>
              </wp:inline>
            </w:drawing>
          </mc:Choice>
          <mc:Fallback>
            <w:pict>
              <v:group id="_x0000_s1026" o:spid="_x0000_s1026" o:spt="203" style="height:359pt;width:277.05pt;" coordorigin="8,8" coordsize="5541,7180" o:gfxdata="UEsDBAoAAAAAAIdO4kAAAAAAAAAAAAAAAAAEAAAAZHJzL1BLAwQUAAAACACHTuJAFxEKq9YAAAAF&#10;AQAADwAAAGRycy9kb3ducmV2LnhtbE2PQUvDQBCF74L/YRnBm91dNVpiNkWKeipCW0G8TbPTJDQ7&#10;G7LbpP33rl70MvB4j/e+KRYn14mRhtB6NqBnCgRx5W3LtYGP7evNHESIyBY7z2TgTAEW5eVFgbn1&#10;E69p3MRapBIOORpoYuxzKUPVkMMw8z1x8vZ+cBiTHGppB5xSuevkrVIP0mHLaaHBnpYNVYfN0Rl4&#10;m3B6vtMv4+qwX56/ttn750qTMddXWj2BiHSKf2H4wU/oUCamnT+yDaIzkB6Jvzd5WXavQewMPOq5&#10;AlkW8j99+Q1QSwMEFAAAAAgAh07iQMSXon8tCwAAQHoAAA4AAABkcnMvZTJvRG9jLnhtbO1dy47k&#10;SBXdI/EPVu7pyvArH+rqEXRPtZAQjDQzH+DKdD6kTNuyXY/ej4AVsGIBCARikJBmOZtRC/gZuno+&#10;g3Pj4VfalbaryMqqil50uhzOyIi4N86998SN8MtPrrcb49KPk3UYnA7Yi+HA8INZOF8Hy9PBl1+c&#10;/Wg8MJLUC+beJgz808E7Pxl88uqHP3h5FU19M1yFm7kfG6gkSKZX0elglabR9OQkma38rZe8CCM/&#10;QOEijLdeij/j5ck89q5Q+3ZzYg6H7slVGM+jOJz5SYK7b0ThQNYYt6kwXCzWM/9NOLvY+kEqao39&#10;jZeiS8lqHSWDV7y1i4U/S3+xWCR+amxOB+hpyv/Hj+D6nP4/efXSmy5jL1qtZ7IJXpsmVPq09dYB&#10;fjSr6o2XesZFvN6paruexWESLtIXs3B7IjrCRwS9YMPK2LyNw4uI92U5vVpG2aBDUJVR713t7OeX&#10;n8XGen46GLGBEXhbSPzj+68+/O7XBm5gdK6i5RQPvY2jz6PPYnljKf6iDl8v4i19oivGNR/Xd9m4&#10;+tepMcNNy2Fjx3IGxgxltuNMrKEc+dkK4qHvQelQNhbymK0+ld90HBvNoq+N2Jh/50T95Am1LGvI&#10;VQRtTPIhSu42RJ+vvMjnI59Q7+UQMTMboj9+e/Obr7//z5/x/8dv/mGghA8Nf/p1IAcqmSYYs5pR&#10;YiPX4h12RrLLaqigl9Rbc+RShVlnvWkUJ+lbP9wadHE62KwDap839S5/lqTiUfUI3d4ExhWqwYRD&#10;hR6m6QLTA5fbCKJOgiX/bhJu1vOz9WZD30ji5fnrTWxcejRV+D/ZhNJj9CNvvGQlnuNFQmgr35t/&#10;GsyN9F0EHQqAHQNqwtafD4yND6ihKzTUm6beetPmSfR+E2AQSLZiIOnqPJy/4+PL70PmpKOHED4k&#10;JubHf9+/v/nqtx/+/ofv//3dh3/9zWAW9YsaAVXJZolqs9LXbIqwkQk9Im23HTEgSvjQcC59xvjU&#10;K0h/diGkX5Q4wGYuZA8tWKmr2XWgLmOg3624F3kpfY8qpUsSFzVhBbOAFtDtbXjpfxHyB1KapqMJ&#10;b7maiXnxJig+hkrQP/WUKlOfEa/KFg8xdvtjlV9Udcw2YeJLtUfT+VTJuoOBKw5YSX9bqjkpnjcN&#10;Qpod4mcaVdG4iOL1coVJKaQmtfFQamkrtfxYxSS7oJYdMImZVj0oMYCWGAsF+gpxNCg9FCjBqEqj&#10;XZU+xxYJSl2k77hcjb2pQiUJSi43cQVM0sKHaacBfjCL5Crh71gk7j10t0jMFbYsF742SWQHlNUR&#10;lkubJBW8NbjJI6WXOyZp1M8kwY3l38z1UoKSZXMjp1HpiPxkhHINJom7Fd1NkukIf3hH+qatHRKK&#10;ERtdU/LWaLwPGCUhQGiIkiaFud8hSjJHYo7n0tc2Sdskv5E0q7dJJgyGRKW//JOCdtzA7GjtIpX4&#10;KeUZO46J6IvzNY5gtJoNEQXjtxE2WaipuBs2NMfgCXqRN+7ZaxVVl4LfMnmzWRKRQ8OAQH+d+jG/&#10;OiyP87DBs5lznpXwCSW5enQInyzWEDybQ22rjsxWEQ1X76mgpJ/0JQzktkr6qZjMVGMzPGg+99Ce&#10;itnI56Ikl34HT8XCwgZ9M5e+9lS0p9LZU2kkdOFs5HrZwSbZI3DtJb2UqGROeFStUel4omezkdBF&#10;SRfpW8MRFImWEicTzgbmqIRomjutykW8G5s/NEH39PJSaY2R+gT9u8VLfUZLjGYjoYuSXPj7TRKE&#10;Dz3iwnd42F0QPkVCfEG9ypwVl8zUqvL/ZY2RUROwyAgF5aFHZY0RhYXFw9uXGEfKqVYMrfoUTC3/&#10;JVRmqdV0Vaw+xWPlX1RleolRpj3QBG/wk7vxuaaFtIYGTKJQjNRSIYIGpSPJezBzPlcyJ0UatwUW&#10;sYkwRJY7rKwrM5MqJ6nboz3xUWf6xBzaoCIPY5eeKXmSUb3VZR6zSPXud1StMRSDYKGRPLFG9wML&#10;Oh1KJGl2ShesJ1QtGM16oh8lnXyVkSulb08q+PCswmdLpFbpfKi22bENetlI6VrdKN0MlewmSpeZ&#10;Do/JdPx8PPGzlXG61ZwYlPSCJcca80gpD6E0LGlWryurZ2Vs80fhReNGF3UkXggekum4lXi+sAZp&#10;OyIBNc84rqTodXaisWyBBPU+XvTZWTt2R69BWo18L0pyFdnvRuebCpjgdXPEgq9GURYTTKC2V0dk&#10;rzK+d8deFfne/WF2tqvgmdsrva0geXEf4V0jFS241NaJM6Y7FqbLGYk9TTkqMZalz4AKBtQVgOlw&#10;ZDRvBNho5JnV0tFopdirpSiIJkY6exBALHujqGT1WaSb2z1lVhhuDBFtc+Fj1bTfZSeVCLknT3SN&#10;5mHTh2hUGziQIjG+H7xNF1vByL9zh9Wl2uMPNqiFaPq+6VF+Ss0I9SlmRkvwrvyiqkMv2MgFG6Sg&#10;NellN+4eGCW2Ku6C94RQkZxKws0Hwm7ehlugu6xyTbgtntoHxxO5abPtc/cE3Hz78xPcv/uwwE04&#10;Uw/cAn47eDcauGlfsAbue/G6abbLlXbBEuFGTgG08COkq21WV1pzlohNYD3LeH0PLBGRGL3WWn98&#10;5qjm3JIDpFkiO+O1q4utKMlVpANLZE3GlbwwgCJniRwVvtwtB0Mvtt7bYiv2uSlcqOxTEDvgpL3q&#10;IH3bGnJoyaNxKX29pMVj6yPaUoftb03OSpEg3m8dMorQtuzKdtrjjzIrm65vd+aVSVGRofrsFGVW&#10;flHVoaNMGWWS51t2Vrox1hZzZWKYgwvYsByLmDVE5WSMnIz/ajBG+9a0Sl5F6fCXM/5P+kKlxx7N&#10;4S92xtLe/P5XN3/65uavvzRwL/cHCBSM9PonIXz0zJVM6g+lMm0sD/FFxonY/ZbLw0FmjvANxJpU&#10;gai9i/NIIs/IStRZA7rp9fm17I44ZsPY/DTA4V6wVqm6iNXFubp40BN5gK1yXhSEUuUD2wqF2ZgA&#10;JBTLEoLVQtlzaF59WpCdUWIFoVTJsNZCcWjiQSg2xFNGLtuhSAhFTM+UwimPDULJMkgLQinmjnaB&#10;L4dNBFdpurDcJXNiZlwlol8J+D3NSQZXAq2eIn4hIN/BLxGkF2ix1lNF4ZczFIGqxq9e+IXUnl2h&#10;ZBZdnjvYVijOUPq2ji2y4nKh2I6y9Gysp0p+TG09gDlZXJ4DGO71878yqbgj4fTmUskAjI25vdH+&#10;Fz87uEEoWbxcEEo1Um47VRgjz4FMve1UTH2+e8Ucq21o92FV+MGtB1yxP/zulUfo1IMW28Xfarzb&#10;VqkOE/mWXBVSqolDWaS9aPp2yZyFrbpaqUqnnDcgVU34Lsj3Pp6WCYDi4bsl6sjNBxti74OOSnbO&#10;V2+QSk38LrC/h1QQlcCd5vE7R4tcKLlNt4bVDApNqmRHc0mykdxSQTYWjHrf+H3sCpkwq3r8Ohtz&#10;iKT4fd95t/uIxxL8Pk2mC2cL7Aqlb/xuTmjvDkbeGVePe9T047zu9RD18EW6XZ0puNcvJsHebcF0&#10;aaG0fGdHg1BqwndxznYPm2KpHfWOja31JaZLxyT7X0DxZBYaKDdzZ6YXs0G60KdZoKuV6v7eVfII&#10;A116Mc2OUvWltDKlwgEOvI7c/dVI9ZyQqoaSE2v+dzF/5hiLbdr8zcUY3O2tSo8RqWooObcvJZch&#10;lVaq523+aig5t29GTaZUyLzT5u+e3v/2GJGqhrzCoUc9Q3K1IjURqbrapSJy7flZvxruTZwN0sOl&#10;yoDKnFRYau2mPyM3Hafs7cR+4uS9HjplDumNsuBzXSayhzRQHRtQ4YRR/mJhvuNBvgSZ3lxc/BvX&#10;xRc/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nA0AAFtDb250ZW50X1R5cGVzXS54bWxQSwECFAAKAAAAAACHTuJAAAAAAAAAAAAAAAAABgAA&#10;AAAAAAAAABAAAAB+DAAAX3JlbHMvUEsBAhQAFAAAAAgAh07iQIoUZjzRAAAAlAEAAAsAAAAAAAAA&#10;AQAgAAAAogwAAF9yZWxzLy5yZWxzUEsBAhQACgAAAAAAh07iQAAAAAAAAAAAAAAAAAQAAAAAAAAA&#10;AAAQAAAAAAAAAGRycy9QSwECFAAUAAAACACHTuJAFxEKq9YAAAAFAQAADwAAAAAAAAABACAAAAAi&#10;AAAAZHJzL2Rvd25yZXYueG1sUEsBAhQAFAAAAAgAh07iQMSXon8tCwAAQHoAAA4AAAAAAAAAAQAg&#10;AAAAJQEAAGRycy9lMm9Eb2MueG1sUEsFBgAAAAAGAAYAWQEAAMQOAAAAAA==&#10;">
                <o:lock v:ext="edit" aspectratio="f"/>
                <v:line id="_x0000_s1026" o:spid="_x0000_s1026" o:spt="20" style="position:absolute;left:1763;top:578;height:276;width:0;" filled="f" stroked="t" coordsize="21600,21600" o:gfxdata="UEsDBAoAAAAAAIdO4kAAAAAAAAAAAAAAAAAEAAAAZHJzL1BLAwQUAAAACACHTuJAk0FM/r0AAADb&#10;AAAADwAAAGRycy9kb3ducmV2LnhtbEVPO2vDMBDeC/kP4grdGjkZinGiBJKmxN3qPIZsh3WxnFgn&#10;Y6m2219fFQrd7uN73nI92kb01PnasYLZNAFBXDpdc6XgdHx7TkH4gKyxcUwKvsjDejV5WGKm3cAF&#10;9YdQiRjCPkMFJoQ2k9KXhiz6qWuJI3d1ncUQYVdJ3eEQw20j50nyIi3WHBsMtrQ1VN4Pn1bBtx/N&#10;vq1eL7fi8rE75+mm2L+PSj09zpIFiEBj+Bf/uXMd58/h95d4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Uz+vQAA&#10;ANsAAAAPAAAAAAAAAAEAIAAAACIAAABkcnMvZG93bnJldi54bWxQSwECFAAUAAAACACHTuJAMy8F&#10;njsAAAA5AAAAEAAAAAAAAAABACAAAAAMAQAAZHJzL3NoYXBleG1sLnhtbFBLBQYAAAAABgAGAFsB&#10;AAC2AwAAAAA=&#10;">
                  <v:fill on="f" focussize="0,0"/>
                  <v:stroke weight="0.173228346456693pt" color="#000000" joinstyle="round"/>
                  <v:imagedata o:title=""/>
                  <o:lock v:ext="edit" aspectratio="f"/>
                </v:line>
                <v:shape id="_x0000_s1026" o:spid="_x0000_s1026" o:spt="100" style="position:absolute;left:1722;top:845;height:111;width:80;" fillcolor="#000000" filled="t" stroked="f" coordsize="80,111" o:gfxdata="UEsDBAoAAAAAAIdO4kAAAAAAAAAAAAAAAAAEAAAAZHJzL1BLAwQUAAAACACHTuJAsNFrTL0AAADb&#10;AAAADwAAAGRycy9kb3ducmV2LnhtbEVPTWvCQBC9C/6HZQpepO5ai0iajQdRqmALjaXQ25CdJqHZ&#10;2Zhdo/77bkHwNo/3OenyYhvRU+drxxqmEwWCuHCm5lLD52HzuADhA7LBxjFpuJKHZTYcpJgYd+YP&#10;6vNQihjCPkENVQhtIqUvKrLoJ64ljtyP6yyGCLtSmg7PMdw28kmpubRYc2yosKVVRcVvfrIa3p6L&#10;8ev3bn2a7XtljvX79mu1cFqPHqbqBUSgS7iLb+6tifNn8P9LPE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WtMvQAA&#10;ANsAAAAPAAAAAAAAAAEAIAAAACIAAABkcnMvZG93bnJldi54bWxQSwECFAAUAAAACACHTuJAMy8F&#10;njsAAAA5AAAAEAAAAAAAAAABACAAAAAMAQAAZHJzL3NoYXBleG1sLnhtbFBLBQYAAAAABgAGAFsB&#10;AAC2AwAAAAA=&#10;" path="m79,0l0,0,40,110,79,0xe">
                  <v:fill on="t" focussize="0,0"/>
                  <v:stroke on="f"/>
                  <v:imagedata o:title=""/>
                  <o:lock v:ext="edit" aspectratio="f"/>
                </v:shape>
                <v:line id="_x0000_s1026" o:spid="_x0000_s1026" o:spt="20" style="position:absolute;left:1763;top:1238;height:163;width:0;" filled="f" stroked="t" coordsize="21600,21600" o:gfxdata="UEsDBAoAAAAAAIdO4kAAAAAAAAAAAAAAAAAEAAAAZHJzL1BLAwQUAAAACACHTuJAc+RxEbsAAADb&#10;AAAADwAAAGRycy9kb3ducmV2LnhtbEVPS4vCMBC+C/sfwix409RFRLpGYR+i3qy6B29DMzZ1m0lp&#10;olZ/vREEb/PxPWcya20lztT40rGCQT8BQZw7XXKhYLed98YgfEDWWDkmBVfyMJu+dSaYanfhjM6b&#10;UIgYwj5FBSaEOpXS54Ys+r6riSN3cI3FEGFTSN3gJYbbSn4kyUhaLDk2GKzp21D+vzlZBTffmkVd&#10;/OyP2X79+7ccf2WLVatU932QfIII1IaX+Ole6jh/CI9f4gFy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xEbsAAADb&#10;AAAADwAAAAAAAAABACAAAAAiAAAAZHJzL2Rvd25yZXYueG1sUEsBAhQAFAAAAAgAh07iQDMvBZ47&#10;AAAAOQAAABAAAAAAAAAAAQAgAAAACgEAAGRycy9zaGFwZXhtbC54bWxQSwUGAAAAAAYABgBbAQAA&#10;tAMAAAAA&#10;">
                  <v:fill on="f" focussize="0,0"/>
                  <v:stroke weight="0.173228346456693pt" color="#000000" joinstyle="round"/>
                  <v:imagedata o:title=""/>
                  <o:lock v:ext="edit" aspectratio="f"/>
                </v:line>
                <v:line id="_x0000_s1026" o:spid="_x0000_s1026" o:spt="20" style="position:absolute;left:1763;top:1561;height:62;width:0;" filled="f" stroked="t" coordsize="21600,21600" o:gfxdata="UEsDBAoAAAAAAIdO4kAAAAAAAAAAAAAAAAAEAAAAZHJzL1BLAwQUAAAACACHTuJAHKjUirsAAADb&#10;AAAADwAAAGRycy9kb3ducmV2LnhtbEVPS4vCMBC+C/sfwix409QFRbpGYR+i3qy6B29DMzZ1m0lp&#10;olZ/vREEb/PxPWcya20lztT40rGCQT8BQZw7XXKhYLed98YgfEDWWDkmBVfyMJu+dSaYanfhjM6b&#10;UIgYwj5FBSaEOpXS54Ys+r6riSN3cI3FEGFTSN3gJYbbSn4kyUhaLDk2GKzp21D+vzlZBTffmkVd&#10;/OyP2X79+7ccf2WLVatU932QfIII1IaX+Ole6jh/CI9f4gFy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jUirsAAADb&#10;AAAADwAAAAAAAAABACAAAAAiAAAAZHJzL2Rvd25yZXYueG1sUEsBAhQAFAAAAAgAh07iQDMvBZ47&#10;AAAAOQAAABAAAAAAAAAAAQAgAAAACgEAAGRycy9zaGFwZXhtbC54bWxQSwUGAAAAAAYABgBbAQAA&#10;tAMAAAAA&#10;">
                  <v:fill on="f" focussize="0,0"/>
                  <v:stroke weight="0.173228346456693pt" color="#000000" joinstyle="round"/>
                  <v:imagedata o:title=""/>
                  <o:lock v:ext="edit" aspectratio="f"/>
                </v:line>
                <v:shape id="_x0000_s1026" o:spid="_x0000_s1026" o:spt="100" style="position:absolute;left:1722;top:1613;height:111;width:80;" fillcolor="#000000" filled="t" stroked="f" coordsize="80,111" o:gfxdata="UEsDBAoAAAAAAIdO4kAAAAAAAAAAAAAAAAAEAAAAZHJzL1BLAwQUAAAACACHTuJAoKbI1L0AAADb&#10;AAAADwAAAGRycy9kb3ducmV2LnhtbEVPTWvCQBC9C/6HZQq9iO7aFpE0Gw+i1EItGEXwNmSnSWh2&#10;NmbXaP99Vyj0No/3OeniZhvRU+drxxqmEwWCuHCm5lLDYb8ez0H4gGywcUwafsjDIhsOUkyMu/KO&#10;+jyUIoawT1BDFUKbSOmLiiz6iWuJI/flOoshwq6UpsNrDLeNfFJqJi3WHBsqbGlZUfGdX6yG7Usx&#10;eju9ry7PH70y5/pzc1zOndaPD1P1CiLQLfyL/9wbE+fP4P5LP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sjUvQAA&#10;ANsAAAAPAAAAAAAAAAEAIAAAACIAAABkcnMvZG93bnJldi54bWxQSwECFAAUAAAACACHTuJAMy8F&#10;njsAAAA5AAAAEAAAAAAAAAABACAAAAAMAQAAZHJzL3NoYXBleG1sLnhtbFBLBQYAAAAABgAGAFsB&#10;AAC2AwAAAAA=&#10;" path="m79,0l0,0,40,110,79,0xe">
                  <v:fill on="t" focussize="0,0"/>
                  <v:stroke on="f"/>
                  <v:imagedata o:title=""/>
                  <o:lock v:ext="edit" aspectratio="f"/>
                </v:shape>
                <v:line id="_x0000_s1026" o:spid="_x0000_s1026" o:spt="20" style="position:absolute;left:1763;top:2007;height:344;width:0;" filled="f" stroked="t" coordsize="21600,21600" o:gfxdata="UEsDBAoAAAAAAIdO4kAAAAAAAAAAAAAAAAAEAAAAZHJzL1BLAwQUAAAACACHTuJAgzbvZrsAAADb&#10;AAAADwAAAGRycy9kb3ducmV2LnhtbEVPS4vCMBC+C/sfwix409Q9qHSNwj5EvVl1D96GZmzqNpPS&#10;RK3+eiMI3ubje85k1tpKnKnxpWMFg34Cgjh3uuRCwW47741B+ICssXJMCq7kYTZ960ww1e7CGZ03&#10;oRAxhH2KCkwIdSqlzw1Z9H1XE0fu4BqLIcKmkLrBSwy3lfxIkqG0WHJsMFjTt6H8f3OyCm6+NYu6&#10;+Nkfs/369285/soWq1ap7vsg+QQRqA0v8dO91HH+CB6/xAPk9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bvZrsAAADb&#10;AAAADwAAAAAAAAABACAAAAAiAAAAZHJzL2Rvd25yZXYueG1sUEsBAhQAFAAAAAgAh07iQDMvBZ47&#10;AAAAOQAAABAAAAAAAAAAAQAgAAAACgEAAGRycy9zaGFwZXhtbC54bWxQSwUGAAAAAAYABgBbAQAA&#10;tAMAAAAA&#10;">
                  <v:fill on="f" focussize="0,0"/>
                  <v:stroke weight="0.173228346456693pt" color="#000000" joinstyle="round"/>
                  <v:imagedata o:title=""/>
                  <o:lock v:ext="edit" aspectratio="f"/>
                </v:line>
                <v:line id="_x0000_s1026" o:spid="_x0000_s1026" o:spt="20" style="position:absolute;left:1763;top:2511;height:243;width:0;" filled="f" stroked="t" coordsize="21600,21600" o:gfxdata="UEsDBAoAAAAAAIdO4kAAAAAAAAAAAAAAAAAEAAAAZHJzL1BLAwQUAAAACACHTuJA8ql7FL4AAADb&#10;AAAADwAAAGRycy9kb3ducmV2LnhtbEWPQW/CMAyF75P4D5GRuI2UHSZUCEgDJuC2Ajtwsxqv6Wic&#10;qsmg26+fD0jcbL3n9z7Pl71v1JW6WAc2MBlnoIjLYGuuDJyO789TUDEhW2wCk4FfirBcDJ7mmNtw&#10;44Kuh1QpCeGYowGXUptrHUtHHuM4tMSifYXOY5K1q7Tt8CbhvtEvWfaqPdYsDQ5bWjkqL4cfb+Av&#10;9m7bVuvzd3H+2Hzupm/Fdt8bMxpOshmoRH16mO/XOyv4Aiu/yAB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l7FL4A&#10;AADbAAAADwAAAAAAAAABACAAAAAiAAAAZHJzL2Rvd25yZXYueG1sUEsBAhQAFAAAAAgAh07iQDMv&#10;BZ47AAAAOQAAABAAAAAAAAAAAQAgAAAADQEAAGRycy9zaGFwZXhtbC54bWxQSwUGAAAAAAYABgBb&#10;AQAAtwMAAAAA&#10;">
                  <v:fill on="f" focussize="0,0"/>
                  <v:stroke weight="0.173228346456693pt" color="#000000" joinstyle="round"/>
                  <v:imagedata o:title=""/>
                  <o:lock v:ext="edit" aspectratio="f"/>
                </v:line>
                <v:shape id="_x0000_s1026" o:spid="_x0000_s1026" o:spt="100" style="position:absolute;left:1722;top:2744;height:111;width:80;" fillcolor="#000000" filled="t" stroked="f" coordsize="80,111" o:gfxdata="UEsDBAoAAAAAAIdO4kAAAAAAAAAAAAAAAAAEAAAAZHJzL1BLAwQUAAAACACHTuJA0Tlcpr4AAADb&#10;AAAADwAAAGRycy9kb3ducmV2LnhtbEVPTWvCQBC9C/0PyxR6kbprW0RTNzlISxVU0IrgbchOk9Ds&#10;bJpdo/57tyB4m8f7nGl2trXoqPWVYw3DgQJBnDtTcaFh9/35PAbhA7LB2jFpuJCHLH3oTTEx7sQb&#10;6rahEDGEfYIayhCaREqfl2TRD1xDHLkf11oMEbaFNC2eYrit5YtSI2mx4thQYkOzkvLf7dFqWL3l&#10;/a/D4uP4uuyU+avW8/1s7LR+ehyqdxCBzuEuvrnnJs6fwP8v8QCZ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lcpr4A&#10;AADbAAAADwAAAAAAAAABACAAAAAiAAAAZHJzL2Rvd25yZXYueG1sUEsBAhQAFAAAAAgAh07iQDMv&#10;BZ47AAAAOQAAABAAAAAAAAAAAQAgAAAADQEAAGRycy9zaGFwZXhtbC54bWxQSwUGAAAAAAYABgBb&#10;AQAAtwMAAAAA&#10;" path="m79,0l0,0,40,110,79,0xe">
                  <v:fill on="t" focussize="0,0"/>
                  <v:stroke on="f"/>
                  <v:imagedata o:title=""/>
                  <o:lock v:ext="edit" aspectratio="f"/>
                </v:shape>
                <v:rect id="_x0000_s1026" o:spid="_x0000_s1026" o:spt="1" style="position:absolute;left:8;top:8;height:2500;width:5524;" filled="f" stroked="t" coordsize="21600,21600" o:gfxdata="UEsDBAoAAAAAAIdO4kAAAAAAAAAAAAAAAAAEAAAAZHJzL1BLAwQUAAAACACHTuJAZlUilLcAAADb&#10;AAAADwAAAGRycy9kb3ducmV2LnhtbEVPy4rCMBTdD/gP4QrupokVVKrRhSLo7Hxs3F2ba1tsbkoT&#10;a/17sxhweTjv5bq3teio9ZVjDeNEgSDOnam40HA5737nIHxANlg7Jg1v8rBeDX6WmBn34iN1p1CI&#10;GMI+Qw1lCE0mpc9LsugT1xBH7u5aiyHCtpCmxVcMt7VMlZpKixXHhhIb2pSUP05Pq6FL3VbSdD57&#10;/jV9MfHXm1WHm9aj4VgtQATqw1f8794bDWlcH7/EHy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VSKUtwAAANsAAAAP&#10;AAAAAAAAAAEAIAAAACIAAABkcnMvZG93bnJldi54bWxQSwECFAAUAAAACACHTuJAMy8FnjsAAAA5&#10;AAAAEAAAAAAAAAABACAAAAAGAQAAZHJzL3NoYXBleG1sLnhtbFBLBQYAAAAABgAGAFsBAACwAwAA&#10;AAA=&#10;">
                  <v:fill on="f" focussize="0,0"/>
                  <v:stroke weight="0.809606299212598pt" color="#006FC0" joinstyle="miter" dashstyle="longDash"/>
                  <v:imagedata o:title=""/>
                  <o:lock v:ext="edit" aspectratio="f"/>
                </v:rect>
                <v:line id="_x0000_s1026" o:spid="_x0000_s1026" o:spt="20" style="position:absolute;left:1763;top:3138;height:203;width:0;" filled="f" stroked="t" coordsize="21600,21600" o:gfxdata="UEsDBAoAAAAAAIdO4kAAAAAAAAAAAAAAAAAEAAAAZHJzL1BLAwQUAAAACACHTuJArf8YNL4AAADb&#10;AAAADwAAAGRycy9kb3ducmV2LnhtbEWPQWvCQBSE70L/w/KE3nQTD0XSrIK1RXszWg/eHtlnNjb7&#10;NmS3mvrrXUHwOMzMN0w+720jztT52rGCdJyAIC6drrlS8LP7Gk1B+ICssXFMCv7Jw3z2Msgx0+7C&#10;BZ23oRIRwj5DBSaENpPSl4Ys+rFriaN3dJ3FEGVXSd3hJcJtIydJ8iYt1hwXDLb0Yaj83f5ZBVff&#10;m1VbLQ+n4rD53K+ni2L13Sv1OkyTdxCB+vAMP9prrWCSwv1L/AF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8YNL4A&#10;AADbAAAADwAAAAAAAAABACAAAAAiAAAAZHJzL2Rvd25yZXYueG1sUEsBAhQAFAAAAAgAh07iQDMv&#10;BZ47AAAAOQAAABAAAAAAAAAAAQAgAAAADQEAAGRycy9zaGFwZXhtbC54bWxQSwUGAAAAAAYABgBb&#10;AQAAtwMAAAAA&#10;">
                  <v:fill on="f" focussize="0,0"/>
                  <v:stroke weight="0.173228346456693pt" color="#000000" joinstyle="round"/>
                  <v:imagedata o:title=""/>
                  <o:lock v:ext="edit" aspectratio="f"/>
                </v:line>
                <v:line id="_x0000_s1026" o:spid="_x0000_s1026" o:spt="20" style="position:absolute;left:1763;top:3500;height:102;width:0;" filled="f" stroked="t" coordsize="21600,21600" o:gfxdata="UEsDBAoAAAAAAIdO4kAAAAAAAAAAAAAAAAAEAAAAZHJzL1BLAwQUAAAACACHTuJAXS2GQ74AAADb&#10;AAAADwAAAGRycy9kb3ducmV2LnhtbEWPQWvCQBSE74X+h+UJ3uomOYhEV6Faid4atQdvj+xrNjX7&#10;NmRXjf313UKhx2FmvmEWq8G24ka9bxwrSCcJCOLK6YZrBafj9mUGwgdkja1jUvAgD6vl89MCc+3u&#10;XNLtEGoRIexzVGBC6HIpfWXIop+4jjh6n663GKLsa6l7vEe4bWWWJFNpseG4YLCjtaHqcrhaBd9+&#10;MEVXb85f5fn97WM3ey2L/aDUeJQmcxCBhvAf/mvvtIIsg98v8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2GQ74A&#10;AADbAAAADwAAAAAAAAABACAAAAAiAAAAZHJzL2Rvd25yZXYueG1sUEsBAhQAFAAAAAgAh07iQDMv&#10;BZ47AAAAOQAAABAAAAAAAAAAAQAgAAAADQEAAGRycy9zaGFwZXhtbC54bWxQSwUGAAAAAAYABgBb&#10;AQAAtwMAAAAA&#10;">
                  <v:fill on="f" focussize="0,0"/>
                  <v:stroke weight="0.173228346456693pt" color="#000000" joinstyle="round"/>
                  <v:imagedata o:title=""/>
                  <o:lock v:ext="edit" aspectratio="f"/>
                </v:line>
                <v:shape id="_x0000_s1026" o:spid="_x0000_s1026" o:spt="100" style="position:absolute;left:1722;top:3593;height:111;width:80;" fillcolor="#000000" filled="t" stroked="f" coordsize="80,111" o:gfxdata="UEsDBAoAAAAAAIdO4kAAAAAAAAAAAAAAAAAEAAAAZHJzL1BLAwQUAAAACACHTuJAfr2h8b4AAADb&#10;AAAADwAAAGRycy9kb3ducmV2LnhtbEWPQWsCMRSE7wX/Q3iCF6mJWkS2Rg+iqFAFrQi9PTbP3cXN&#10;y7qJq/33piD0OMzMN8xk9rClaKj2hWMN/Z4CQZw6U3Cm4fi9fB+D8AHZYOmYNPySh9m09TbBxLg7&#10;76k5hExECPsENeQhVImUPs3Jou+5ijh6Z1dbDFHWmTQ13iPclnKg1EhaLDgu5FjRPKf0crhZDduP&#10;tLv62Sxuw69GmWuxW5/mY6d1p91XnyACPcJ/+NVeGw2DIfx9iT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2h8b4A&#10;AADbAAAADwAAAAAAAAABACAAAAAiAAAAZHJzL2Rvd25yZXYueG1sUEsBAhQAFAAAAAgAh07iQDMv&#10;BZ47AAAAOQAAABAAAAAAAAAAAQAgAAAADQEAAGRycy9zaGFwZXhtbC54bWxQSwUGAAAAAAYABgBb&#10;AQAAtwMAAAAA&#10;" path="m79,0l0,0,40,110,79,0xe">
                  <v:fill on="t" focussize="0,0"/>
                  <v:stroke on="f"/>
                  <v:imagedata o:title=""/>
                  <o:lock v:ext="edit" aspectratio="f"/>
                </v:shape>
                <v:line id="_x0000_s1026" o:spid="_x0000_s1026" o:spt="20" style="position:absolute;left:1763;top:4740;height:297;width:0;" filled="f" stroked="t" coordsize="21600,21600" o:gfxdata="UEsDBAoAAAAAAIdO4kAAAAAAAAAAAAAAAAAEAAAAZHJzL1BLAwQUAAAACACHTuJAvYi7rL4AAADb&#10;AAAADwAAAGRycy9kb3ducmV2LnhtbEWPQWsCMRSE74L/ITzBm2YVEVmNQtWi3lzbHrw9Ns/N1s3L&#10;skl19debQqHHYWa+YRar1lbiRo0vHSsYDRMQxLnTJRcKPj/eBzMQPiBrrByTggd5WC27nQWm2t05&#10;o9spFCJC2KeowIRQp1L63JBFP3Q1cfQurrEYomwKqRu8R7it5DhJptJiyXHBYE1rQ/n19GMVPH1r&#10;dnWxOX9n5+P2az97y3aHVql+b5TMQQRqw3/4r73XCsYT+P0Sf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i7rL4A&#10;AADbAAAADwAAAAAAAAABACAAAAAiAAAAZHJzL2Rvd25yZXYueG1sUEsBAhQAFAAAAAgAh07iQDMv&#10;BZ47AAAAOQAAABAAAAAAAAAAAQAgAAAADQEAAGRycy9zaGFwZXhtbC54bWxQSwUGAAAAAAYABgBb&#10;AQAAtwMAAAAA&#10;">
                  <v:fill on="f" focussize="0,0"/>
                  <v:stroke weight="0.173228346456693pt" color="#000000" joinstyle="round"/>
                  <v:imagedata o:title=""/>
                  <o:lock v:ext="edit" aspectratio="f"/>
                </v:line>
                <v:line id="_x0000_s1026" o:spid="_x0000_s1026" o:spt="20" style="position:absolute;left:3074;top:2996;height:0;width:11;" filled="f" stroked="t" coordsize="21600,21600" o:gfxdata="UEsDBAoAAAAAAIdO4kAAAAAAAAAAAAAAAAAEAAAAZHJzL1BLAwQUAAAACACHTuJA3uKdUL0AAADb&#10;AAAADwAAAGRycy9kb3ducmV2LnhtbEWPQWvCQBSE74X+h+UVvNVNpLaaunoQhIJoaWo9P7KvSWj2&#10;bdh91fjvXaHQ4zAz3zCL1eA6daIQW88G8nEGirjytuXawOFz8zgDFQXZYueZDFwowmp5f7fAwvoz&#10;f9CplFolCMcCDTQifaF1rBpyGMe+J07etw8OJclQaxvwnOCu05Mse9YOW04LDfa0bqj6KX+dgXKY&#10;D7uXw/t6/3WUp1m+2ToJwZjRQ569ghIa5D/8136zBiZTuH1JP0A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4p1QvQAA&#10;ANsAAAAPAAAAAAAAAAEAIAAAACIAAABkcnMvZG93bnJldi54bWxQSwECFAAUAAAACACHTuJAMy8F&#10;njsAAAA5AAAAEAAAAAAAAAABACAAAAAMAQAAZHJzL3NoYXBleG1sLnhtbFBLBQYAAAAABgAGAFsB&#10;AAC2AwAAAAA=&#10;">
                  <v:fill on="f" focussize="0,0"/>
                  <v:stroke weight="0.159606299212598pt" color="#000000" joinstyle="round"/>
                  <v:imagedata o:title=""/>
                  <o:lock v:ext="edit" aspectratio="f"/>
                </v:line>
                <v:shape id="_x0000_s1026" o:spid="_x0000_s1026" o:spt="100" style="position:absolute;left:3075;top:2959;height:74;width:120;" fillcolor="#000000" filled="t" stroked="f" coordsize="120,74" o:gfxdata="UEsDBAoAAAAAAIdO4kAAAAAAAAAAAAAAAAAEAAAAZHJzL1BLAwQUAAAACACHTuJAcnqJ8b4AAADb&#10;AAAADwAAAGRycy9kb3ducmV2LnhtbEWPQWvCQBSE74L/YXlCb7qJhTSN2QQRC+mx2oLH1+wzCcm+&#10;Ddmt2v76bqHgcZiZb5i8vJlBXGhynWUF8SoCQVxb3XGj4P34skxBOI+scbBMCr7JQVnMZzlm2l75&#10;jS4H34gAYZehgtb7MZPS1S0ZdCs7EgfvbCeDPsipkXrCa4CbQa6jKJEGOw4LLY60a6nuD19GQXX0&#10;8ad+/PhJ989PcZ9uT/J1d1LqYRFHGxCebv4e/m9XWsE6gb8v4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qJ8b4A&#10;AADbAAAADwAAAAAAAAABACAAAAAiAAAAZHJzL2Rvd25yZXYueG1sUEsBAhQAFAAAAAgAh07iQDMv&#10;BZ47AAAAOQAAABAAAAAAAAAAAQAgAAAADQEAAGRycy9zaGFwZXhtbC54bWxQSwUGAAAAAAYABgBb&#10;AQAAtwMAAAAA&#10;" path="m0,0l0,73,120,36,0,0xe">
                  <v:fill on="t" focussize="0,0"/>
                  <v:stroke on="f"/>
                  <v:imagedata o:title=""/>
                  <o:lock v:ext="edit" aspectratio="f"/>
                </v:shape>
                <v:line id="_x0000_s1026" o:spid="_x0000_s1026" o:spt="20" style="position:absolute;left:2376;top:2996;height:0;width:121;" filled="f" stroked="t" coordsize="21600,21600" o:gfxdata="UEsDBAoAAAAAAIdO4kAAAAAAAAAAAAAAAAAEAAAAZHJzL1BLAwQUAAAACACHTuJAQXymvL0AAADb&#10;AAAADwAAAGRycy9kb3ducmV2LnhtbEWPQWvCQBSE7wX/w/KE3uomUqpGVw+CIBRbmlrPj+wzCWbf&#10;ht1Xjf++Wyj0OMzMN8xqM7hOXSnE1rOBfJKBIq68bbk2cPzcPc1BRUG22HkmA3eKsFmPHlZYWH/j&#10;D7qWUqsE4ViggUakL7SOVUMO48T3xMk7++BQkgy1tgFvCe46Pc2yF+2w5bTQYE/bhqpL+e0MlMNi&#10;OMyO79u3r5M8z/Pdq5MQjHkc59kSlNAg/+G/9t4amM7g90v6A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Ka8vQAA&#10;ANsAAAAPAAAAAAAAAAEAIAAAACIAAABkcnMvZG93bnJldi54bWxQSwECFAAUAAAACACHTuJAMy8F&#10;njsAAAA5AAAAEAAAAAAAAAABACAAAAAMAQAAZHJzL3NoYXBleG1sLnhtbFBLBQYAAAAABgAGAFsB&#10;AAC2AwAAAAA=&#10;">
                  <v:fill on="f" focussize="0,0"/>
                  <v:stroke weight="0.159606299212598pt" color="#000000" joinstyle="round"/>
                  <v:imagedata o:title=""/>
                  <o:lock v:ext="edit" aspectratio="f"/>
                </v:line>
                <v:rect id="_x0000_s1026" o:spid="_x0000_s1026" o:spt="1" style="position:absolute;left:3194;top:3608;height:472;width:1228;" filled="f" stroked="t" coordsize="21600,21600" o:gfxdata="UEsDBAoAAAAAAIdO4kAAAAAAAAAAAAAAAAAEAAAAZHJzL1BLAwQUAAAACACHTuJA0Ytn/7oAAADb&#10;AAAADwAAAGRycy9kb3ducmV2LnhtbEVPTYvCMBC9C/6HMII3TZVFtJr2IMh2D4KrgngbmrGtNpOS&#10;ZLX77zeHBY+P973Je9OKJznfWFYwmyYgiEurG64UnE+7yRKED8gaW8uk4Jc85NlwsMFU2xd/0/MY&#10;KhFD2KeooA6hS6X0ZU0G/dR2xJG7WWcwROgqqR2+Yrhp5TxJFtJgw7Ghxo62NZWP449R0K4+iwdd&#10;9eHqPr56eylO+87elRqPZskaRKA+vMX/7kIrmMex8Uv8AT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i2f/ugAAANsA&#10;AAAPAAAAAAAAAAEAIAAAACIAAABkcnMvZG93bnJldi54bWxQSwECFAAUAAAACACHTuJAMy8FnjsA&#10;AAA5AAAAEAAAAAAAAAABACAAAAAJAQAAZHJzL3NoYXBleG1sLnhtbFBLBQYAAAAABgAGAFsBAACz&#10;AwAAAAA=&#10;">
                  <v:fill on="f" focussize="0,0"/>
                  <v:stroke weight="0.161338582677165pt" color="#000000" joinstyle="miter"/>
                  <v:imagedata o:title=""/>
                  <o:lock v:ext="edit" aspectratio="f"/>
                </v:rect>
                <v:line id="_x0000_s1026" o:spid="_x0000_s1026" o:spt="20" style="position:absolute;left:3808;top:3138;height:370;width:0;" filled="f" stroked="t" coordsize="21600,21600" o:gfxdata="UEsDBAoAAAAAAIdO4kAAAAAAAAAAAAAAAAAEAAAAZHJzL1BLAwQUAAAACACHTuJAU4kUMr4AAADb&#10;AAAADwAAAGRycy9kb3ducmV2LnhtbEWPwW7CMBBE75X4B2uRuDUOHBAEDFKBCnojtD1wW8VLnBKv&#10;o9iFlK/HSEg9jmbmjWa+7GwtLtT6yrGCYZKCIC6crrhU8PX5/joB4QOyxtoxKfgjD8tF72WOmXZX&#10;zulyCKWIEPYZKjAhNJmUvjBk0SeuIY7eybUWQ5RtKXWL1wi3tRyl6VharDguGGxoZag4H36tgpvv&#10;zLYp18ef/LjffO8mb/n2o1Nq0B+mMxCBuvAffrZ3WsFoCo8v8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kUMr4A&#10;AADbAAAADwAAAAAAAAABACAAAAAiAAAAZHJzL2Rvd25yZXYueG1sUEsBAhQAFAAAAAgAh07iQDMv&#10;BZ47AAAAOQAAABAAAAAAAAAAAQAgAAAADQEAAGRycy9zaGFwZXhtbC54bWxQSwUGAAAAAAYABgBb&#10;AQAAtwMAAAAA&#10;">
                  <v:fill on="f" focussize="0,0"/>
                  <v:stroke weight="0.173228346456693pt" color="#000000" joinstyle="round"/>
                  <v:imagedata o:title=""/>
                  <o:lock v:ext="edit" aspectratio="f"/>
                </v:line>
                <v:shape id="_x0000_s1026" o:spid="_x0000_s1026" o:spt="100" style="position:absolute;left:3768;top:3498;height:111;width:80;" fillcolor="#000000" filled="t" stroked="f" coordsize="80,111" o:gfxdata="UEsDBAoAAAAAAIdO4kAAAAAAAAAAAAAAAAAEAAAAZHJzL1BLAwQUAAAACACHTuJAC7apW7wAAADb&#10;AAAADwAAAGRycy9kb3ducmV2LnhtbEVPy4rCMBTdC/5DuIKbQRMfiHSMLkTRARV8IMzu0txpyzQ3&#10;tYnV+XuzGHB5OO/Z4mlL0VDtC8caBn0Fgjh1puBMw+W87k1B+IBssHRMGv7Iw2Lebs0wMe7BR2pO&#10;IRMxhH2CGvIQqkRKn+Zk0fddRRy5H1dbDBHWmTQ1PmK4LeVQqYm0WHBsyLGiZU7p7+luNezH6cfm&#10;+2t1H+0aZW7FYXtdTp3W3c5AfYII9Axv8b97azSM4vr4Jf4A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2qVu8AAAA&#10;2wAAAA8AAAAAAAAAAQAgAAAAIgAAAGRycy9kb3ducmV2LnhtbFBLAQIUABQAAAAIAIdO4kAzLwWe&#10;OwAAADkAAAAQAAAAAAAAAAEAIAAAAAsBAABkcnMvc2hhcGV4bWwueG1sUEsFBgAAAAAGAAYAWwEA&#10;ALUDAAAAAA==&#10;" path="m79,0l0,0,39,110,79,0xe">
                  <v:fill on="t" focussize="0,0"/>
                  <v:stroke on="f"/>
                  <v:imagedata o:title=""/>
                  <o:lock v:ext="edit" aspectratio="f"/>
                </v:shape>
                <v:line id="_x0000_s1026" o:spid="_x0000_s1026" o:spt="20" style="position:absolute;left:3808;top:4138;height:1255;width:0;" filled="f" stroked="t" coordsize="21600,21600" o:gfxdata="UEsDBAoAAAAAAIdO4kAAAAAAAAAAAAAAAAAEAAAAZHJzL1BLAwQUAAAACACHTuJAKCaO6b8AAADb&#10;AAAADwAAAGRycy9kb3ducmV2LnhtbEWPT2vCQBTE7wW/w/KE3uomFoqk2Qj+Kdpbo/bg7ZF9zaZm&#10;34bsVtN++q4geBxm5jdMPh9sK87U+8axgnSSgCCunG64VnDYvz3NQPiArLF1TAp+ycO8GD3kmGl3&#10;4ZLOu1CLCGGfoQITQpdJ6StDFv3EdcTR+3K9xRBlX0vd4yXCbSunSfIiLTYcFwx2tDRUnXY/VsGf&#10;H8ymq1fH7/L4sf7czhbl5n1Q6nGcJq8gAg3hHr61t1rBcwrXL/EHy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mjum/&#10;AAAA2wAAAA8AAAAAAAAAAQAgAAAAIgAAAGRycy9kb3ducmV2LnhtbFBLAQIUABQAAAAIAIdO4kAz&#10;LwWeOwAAADkAAAAQAAAAAAAAAAEAIAAAAA4BAABkcnMvc2hhcGV4bWwueG1sUEsFBgAAAAAGAAYA&#10;WwEAALgDAAAAAA==&#10;">
                  <v:fill on="f" focussize="0,0"/>
                  <v:stroke weight="0.173228346456693pt" color="#000000" joinstyle="round"/>
                  <v:imagedata o:title=""/>
                  <o:lock v:ext="edit" aspectratio="f"/>
                </v:line>
                <v:shape id="_x0000_s1026" o:spid="_x0000_s1026" o:spt="100" style="position:absolute;left:3768;top:5384;height:111;width:80;" fillcolor="#000000" filled="t" stroked="f" coordsize="80,111" o:gfxdata="UEsDBAoAAAAAAIdO4kAAAAAAAAAAAAAAAAAEAAAAZHJzL1BLAwQUAAAACACHTuJAlCiSt74AAADb&#10;AAAADwAAAGRycy9kb3ducmV2LnhtbEWPQWsCMRSE7wX/Q3iCF6mJWkS2Rg+iqFAFrQi9PTbP3cXN&#10;y7qJq/33piD0OMzMN8xk9rClaKj2hWMN/Z4CQZw6U3Cm4fi9fB+D8AHZYOmYNPySh9m09TbBxLg7&#10;76k5hExECPsENeQhVImUPs3Jou+5ijh6Z1dbDFHWmTQ13iPclnKg1EhaLDgu5FjRPKf0crhZDduP&#10;tLv62Sxuw69GmWuxW5/mY6d1p91XnyACPcJ/+NVeGw3DAfx9iT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iSt74A&#10;AADbAAAADwAAAAAAAAABACAAAAAiAAAAZHJzL2Rvd25yZXYueG1sUEsBAhQAFAAAAAgAh07iQDMv&#10;BZ47AAAAOQAAABAAAAAAAAAAAQAgAAAADQEAAGRycy9zaGFwZXhtbC54bWxQSwUGAAAAAAYABgBb&#10;AQAAtwMAAAAA&#10;" path="m79,0l0,0,39,110,79,0xe">
                  <v:fill on="t" focussize="0,0"/>
                  <v:stroke on="f"/>
                  <v:imagedata o:title=""/>
                  <o:lock v:ext="edit" aspectratio="f"/>
                </v:shape>
                <v:rect id="_x0000_s1026" o:spid="_x0000_s1026" o:spt="1" style="position:absolute;left:25;top:2569;height:2451;width:5524;" filled="f" stroked="t" coordsize="21600,21600" o:gfxdata="UEsDBAoAAAAAAIdO4kAAAAAAAAAAAAAAAAAEAAAAZHJzL1BLAwQUAAAACACHTuJAlcMWer8AAADb&#10;AAAADwAAAGRycy9kb3ducmV2LnhtbEWPT2sCMRTE7wW/Q3iFXkST7RaR1ehBWuylSq0g3h6b52bp&#10;5mW7Sf3z7Y0geBxm5jfMdH52jThSF2rPGrKhAkFcelNzpWH78zEYgwgR2WDjmTRcKMB81nuaYmH8&#10;ib/puImVSBAOBWqwMbaFlKG05DAMfUucvIPvHMYku0qaDk8J7hr5qtRIOqw5LVhsaWGp/N38Ow0j&#10;m+2Wq36136mvPi7zUq3f/t61fnnO1AREpHN8hO/tT6Mhz+H2Jf0A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DFnq/&#10;AAAA2wAAAA8AAAAAAAAAAQAgAAAAIgAAAGRycy9kb3ducmV2LnhtbFBLAQIUABQAAAAIAIdO4kAz&#10;LwWeOwAAADkAAAAQAAAAAAAAAAEAIAAAAA4BAABkcnMvc2hhcGV4bWwueG1sUEsFBgAAAAAGAAYA&#10;WwEAALgDAAAAAA==&#10;">
                  <v:fill on="f" focussize="0,0"/>
                  <v:stroke weight="0.809291338582677pt" color="#FF0000" joinstyle="miter" dashstyle="longDash"/>
                  <v:imagedata o:title=""/>
                  <o:lock v:ext="edit" aspectratio="f"/>
                </v:rect>
                <v:line id="_x0000_s1026" o:spid="_x0000_s1026" o:spt="20" style="position:absolute;left:1763;top:5197;height:196;width:0;" filled="f" stroked="t" coordsize="21600,21600" o:gfxdata="UEsDBAoAAAAAAIdO4kAAAAAAAAAAAAAAAAAEAAAAZHJzL1BLAwQUAAAACACHTuJAOFEtcb8AAADb&#10;AAAADwAAAGRycy9kb3ducmV2LnhtbEWPT2sCMRTE70K/Q3gFb5rVSpHVKLS1qLeufw7eHpvnZu3m&#10;ZdlEXf30TUHwOMzMb5jpvLWVuFDjS8cKBv0EBHHudMmFgt32uzcG4QOyxsoxKbiRh/nspTPFVLsr&#10;Z3TZhEJECPsUFZgQ6lRKnxuy6PuuJo7e0TUWQ5RNIXWD1wi3lRwmybu0WHJcMFjTp6H8d3O2Cu6+&#10;Ncu6+DqcssPPYr8af2TLdatU93WQTEAEasMz/GivtIK3Efx/iT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RLXG/&#10;AAAA2wAAAA8AAAAAAAAAAQAgAAAAIgAAAGRycy9kb3ducmV2LnhtbFBLAQIUABQAAAAIAIdO4kAz&#10;LwWeOwAAADkAAAAQAAAAAAAAAAEAIAAAAA4BAABkcnMvc2hhcGV4bWwueG1sUEsFBgAAAAAGAAYA&#10;WwEAALgDAAAAAA==&#10;">
                  <v:fill on="f" focussize="0,0"/>
                  <v:stroke weight="0.173228346456693pt" color="#000000" joinstyle="round"/>
                  <v:imagedata o:title=""/>
                  <o:lock v:ext="edit" aspectratio="f"/>
                </v:line>
                <v:shape id="_x0000_s1026" o:spid="_x0000_s1026" o:spt="100" style="position:absolute;left:1722;top:5384;height:111;width:80;" fillcolor="#000000" filled="t" stroked="f" coordsize="80,111" o:gfxdata="UEsDBAoAAAAAAIdO4kAAAAAAAAAAAAAAAAAEAAAAZHJzL1BLAwQUAAAACACHTuJAG8EKw8AAAADb&#10;AAAADwAAAGRycy9kb3ducmV2LnhtbEWPW2sCMRSE34X+h3AKvhRNvFRka/RBKipowQtC3w6b092l&#10;m5PtJq76741Q8HGYmW+YyexqS9FQ7QvHGnpdBYI4dabgTMPxsOiMQfiAbLB0TBpu5GE2fWlNMDHu&#10;wjtq9iETEcI+QQ15CFUipU9zsui7riKO3o+rLYYo60yaGi8RbkvZV2okLRYcF3KsaJ5T+rs/Ww3b&#10;Yfq2/F5/ngebRpm/4mt1mo+d1u3XnvoAEeganuH/9spoGLzD40v8AX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wQrD&#10;wAAAANsAAAAPAAAAAAAAAAEAIAAAACIAAABkcnMvZG93bnJldi54bWxQSwECFAAUAAAACACHTuJA&#10;My8FnjsAAAA5AAAAEAAAAAAAAAABACAAAAAPAQAAZHJzL3NoYXBleG1sLnhtbFBLBQYAAAAABgAG&#10;AFsBAAC5AwAAAAA=&#10;" path="m79,0l0,0,40,110,79,0xe">
                  <v:fill on="t" focussize="0,0"/>
                  <v:stroke on="f"/>
                  <v:imagedata o:title=""/>
                  <o:lock v:ext="edit" aspectratio="f"/>
                </v:shape>
                <v:shape id="_x0000_s1026" o:spid="_x0000_s1026" o:spt="100" style="position:absolute;left:2685;top:5776;height:274;width:1124;" filled="f" stroked="t" coordsize="1124,274" o:gfxdata="UEsDBAoAAAAAAIdO4kAAAAAAAAAAAAAAAAAEAAAAZHJzL1BLAwQUAAAACACHTuJAb36yNrwAAADb&#10;AAAADwAAAGRycy9kb3ducmV2LnhtbEVPXWvCMBR9F/wP4Q5809QJMjqj4EAYFJG6PXRvd81d09nc&#10;lCat7b9fBoO9HDicL87uMNpGDNT52rGC9SoBQVw6XXOl4P3ttHwC4QOyxsYxKZjIw2E/n+0w1e7O&#10;OQ3XUIlYwj5FBSaENpXSl4Ys+pVriaP25TqLIdKukrrDeyy3jXxMkq20WHNcMNjSi6Hydu2tguLY&#10;XLIi77Pzx/f0KX1usghKLR7WyTOIQGP4N/+lX7WCzRZ+v8Qf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sja8AAAA&#10;2wAAAA8AAAAAAAAAAQAgAAAAIgAAAGRycy9kb3ducmV2LnhtbFBLAQIUABQAAAAIAIdO4kAzLwWe&#10;OwAAADkAAAAQAAAAAAAAAAEAIAAAAAsBAABkcnMvc2hhcGV4bWwueG1sUEsFBgAAAAAGAAYAWwEA&#10;ALUDAAAAAA==&#10;" path="m1123,0l1123,176,0,176,0,273e">
                  <v:fill on="f" focussize="0,0"/>
                  <v:stroke weight="0.160393700787402pt" color="#000000" joinstyle="round"/>
                  <v:imagedata o:title=""/>
                  <o:lock v:ext="edit" aspectratio="f"/>
                </v:shape>
                <v:shape id="_x0000_s1026" o:spid="_x0000_s1026" o:spt="100" style="position:absolute;left:2645;top:6040;height:111;width:80;" fillcolor="#000000" filled="t" stroked="f" coordsize="80,111" o:gfxdata="UEsDBAoAAAAAAIdO4kAAAAAAAAAAAAAAAAAEAAAAZHJzL1BLAwQUAAAACACHTuJAhF8xL8AAAADb&#10;AAAADwAAAGRycy9kb3ducmV2LnhtbEWPW2sCMRSE34X+h3AKvhRNvFBla/RBKipowQtC3w6b092l&#10;m5PtJq76741Q8HGYmW+YyexqS9FQ7QvHGnpdBYI4dabgTMPxsOiMQfiAbLB0TBpu5GE2fWlNMDHu&#10;wjtq9iETEcI+QQ15CFUipU9zsui7riKO3o+rLYYo60yaGi8RbkvZV+pdWiw4LuRY0Tyn9Hd/thq2&#10;w/Rt+b3+PA82jTJ/xdfqNB87rduvPfUBItA1PMP/7ZXRMBjB40v8AX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zEv&#10;wAAAANsAAAAPAAAAAAAAAAEAIAAAACIAAABkcnMvZG93bnJldi54bWxQSwECFAAUAAAACACHTuJA&#10;My8FnjsAAAA5AAAAEAAAAAAAAAABACAAAAAPAQAAZHJzL3NoYXBleG1sLnhtbFBLBQYAAAAABgAG&#10;AFsBAAC5AwAAAAA=&#10;" path="m80,0l0,0,40,110,80,0xe">
                  <v:fill on="t" focussize="0,0"/>
                  <v:stroke on="f"/>
                  <v:imagedata o:title=""/>
                  <o:lock v:ext="edit" aspectratio="f"/>
                </v:shape>
                <v:shape id="_x0000_s1026" o:spid="_x0000_s1026" o:spt="100" style="position:absolute;left:1762;top:5776;height:274;width:923;" filled="f" stroked="t" coordsize="923,274" o:gfxdata="UEsDBAoAAAAAAIdO4kAAAAAAAAAAAAAAAAAEAAAAZHJzL1BLAwQUAAAACACHTuJAEVfOc7cAAADb&#10;AAAADwAAAGRycy9kb3ducmV2LnhtbEVPy4rCMBTdD8w/hDvgbkyqIFKNLgQfS+2M+0tzTYrNTafJ&#10;+Pp6sxBcHs57vrz5Vlyoj01gDcVQgSCug2nYavj9WX9PQcSEbLANTBruFGG5+PyYY2nClQ90qZIV&#10;OYRjiRpcSl0pZawdeYzD0BFn7hR6jynD3krT4zWH+1aOlJpIjw3nBocdrRzV5+rfa1hNz4/q+FdY&#10;u9nXym62aye3hdaDr0LNQCS6pbf45d4ZDeM8Nn/JP0Aun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V85ztwAAANsAAAAP&#10;AAAAAAAAAAEAIAAAACIAAABkcnMvZG93bnJldi54bWxQSwECFAAUAAAACACHTuJAMy8FnjsAAAA5&#10;AAAAEAAAAAAAAAABACAAAAAGAQAAZHJzL3NoYXBleG1sLnhtbFBLBQYAAAAABgAGAFsBAACwAwAA&#10;AAA=&#10;" path="m0,0l0,176,922,176,922,273e">
                  <v:fill on="f" focussize="0,0"/>
                  <v:stroke weight="0.160708661417323pt" color="#000000" joinstyle="round"/>
                  <v:imagedata o:title=""/>
                  <o:lock v:ext="edit" aspectratio="f"/>
                </v:shape>
                <v:shape id="_x0000_s1026" o:spid="_x0000_s1026" o:spt="100" style="position:absolute;left:2645;top:6040;height:111;width:80;" fillcolor="#000000" filled="t" stroked="f" coordsize="80,111" o:gfxdata="UEsDBAoAAAAAAIdO4kAAAAAAAAAAAAAAAAAEAAAAZHJzL1BLAwQUAAAACACHTuJAU7DaJrsAAADb&#10;AAAADwAAAGRycy9kb3ducmV2LnhtbEVPTYvCMBC9C/6HMIIXWRNdEekaPYiiCyroLgt7G5qxLTaT&#10;2sSq/94cBI+P9z2d320pGqp94VjDoK9AEKfOFJxp+P1ZfUxA+IBssHRMGh7kYT5rt6aYGHfjAzXH&#10;kIkYwj5BDXkIVSKlT3Oy6PuuIo7cydUWQ4R1Jk2NtxhuSzlUaiwtFhwbcqxokVN6Pl6tht0o7a3/&#10;v5fXz22jzKXYb/4WE6d1tzNQXyAC3cNb/HJvjIZRXB+/xB8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DaJrsAAADb&#10;AAAADwAAAAAAAAABACAAAAAiAAAAZHJzL2Rvd25yZXYueG1sUEsBAhQAFAAAAAgAh07iQDMvBZ47&#10;AAAAOQAAABAAAAAAAAAAAQAgAAAACgEAAGRycy9zaGFwZXhtbC54bWxQSwUGAAAAAAYABgBbAQAA&#10;tAMAAAAA&#10;" path="m80,0l0,0,40,110,80,0xe">
                  <v:fill on="t" focussize="0,0"/>
                  <v:stroke on="f"/>
                  <v:imagedata o:title=""/>
                  <o:lock v:ext="edit" aspectratio="f"/>
                </v:shape>
                <v:rect id="_x0000_s1026" o:spid="_x0000_s1026" o:spt="1" style="position:absolute;left:25;top:5208;height:1980;width:5524;" filled="f" stroked="t" coordsize="21600,21600" o:gfxdata="UEsDBAoAAAAAAIdO4kAAAAAAAAAAAAAAAAAEAAAAZHJzL1BLAwQUAAAACACHTuJAlNJ8774AAADb&#10;AAAADwAAAGRycy9kb3ducmV2LnhtbEWPQWvCQBSE7wX/w/IKvdVNqohENwEFoQgNrUqpt2f2mYRm&#10;34bsGuO/7xYEj8PMfMMss8E0oqfO1ZYVxOMIBHFhdc2lgsN+8zoH4TyyxsYyKbiRgywdPS0x0fbK&#10;X9TvfCkChF2CCirv20RKV1Rk0I1tSxy8s+0M+iC7UuoOrwFuGvkWRTNpsOawUGFL64qK393FKNCr&#10;40d5+hy+NyuNk+1Pnvf5/qLUy3McLUB4GvwjfG+/awXTGP6/hB8g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J8774A&#10;AADbAAAADwAAAAAAAAABACAAAAAiAAAAZHJzL2Rvd25yZXYueG1sUEsBAhQAFAAAAAgAh07iQDMv&#10;BZ47AAAAOQAAABAAAAAAAAAAAQAgAAAADQEAAGRycy9zaGFwZXhtbC54bWxQSwUGAAAAAAYABgBb&#10;AQAAtwMAAAAA&#10;">
                  <v:fill on="f" focussize="0,0"/>
                  <v:stroke weight="0.805826771653543pt" color="#00AF50" joinstyle="miter" dashstyle="longDash"/>
                  <v:imagedata o:title=""/>
                  <o:lock v:ext="edit" aspectratio="f"/>
                </v:rect>
                <v:line id="_x0000_s1026" o:spid="_x0000_s1026" o:spt="20" style="position:absolute;left:1763;top:3986;height:156;width:0;" filled="f" stroked="t" coordsize="21600,21600" o:gfxdata="UEsDBAoAAAAAAIdO4kAAAAAAAAAAAAAAAAAEAAAAZHJzL1BLAwQUAAAACACHTuJAgPJj474AAADb&#10;AAAADwAAAGRycy9kb3ducmV2LnhtbEWPQWsCMRSE74L/ITzBm2YVEVmNQtWi3lzbHrw9Ns/N1s3L&#10;skl19debQqHHYWa+YRar1lbiRo0vHSsYDRMQxLnTJRcKPj/eBzMQPiBrrByTggd5WC27nQWm2t05&#10;o9spFCJC2KeowIRQp1L63JBFP3Q1cfQurrEYomwKqRu8R7it5DhJptJiyXHBYE1rQ/n19GMVPH1r&#10;dnWxOX9n5+P2az97y3aHVql+b5TMQQRqw3/4r73XCiZj+P0Sf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Jj474A&#10;AADbAAAADwAAAAAAAAABACAAAAAiAAAAZHJzL2Rvd25yZXYueG1sUEsBAhQAFAAAAAgAh07iQDMv&#10;BZ47AAAAOQAAABAAAAAAAAAAAQAgAAAADQEAAGRycy9zaGFwZXhtbC54bWxQSwUGAAAAAAYABgBb&#10;AQAAtwMAAAAA&#10;">
                  <v:fill on="f" focussize="0,0"/>
                  <v:stroke weight="0.173228346456693pt" color="#000000" joinstyle="round"/>
                  <v:imagedata o:title=""/>
                  <o:lock v:ext="edit" aspectratio="f"/>
                </v:line>
                <v:line id="_x0000_s1026" o:spid="_x0000_s1026" o:spt="20" style="position:absolute;left:1763;top:4301;height:55;width:0;" filled="f" stroked="t" coordsize="21600,21600" o:gfxdata="UEsDBAoAAAAAAIdO4kAAAAAAAAAAAAAAAAAEAAAAZHJzL1BLAwQUAAAACACHTuJA777GeL8AAADb&#10;AAAADwAAAGRycy9kb3ducmV2LnhtbEWPT2sCMRTE70K/Q3gFb5rVSpHVKLS1qLeufw7eHpvnZu3m&#10;ZdlEXf30TUHwOMzMb5jpvLWVuFDjS8cKBv0EBHHudMmFgt32uzcG4QOyxsoxKbiRh/nspTPFVLsr&#10;Z3TZhEJECPsUFZgQ6lRKnxuy6PuuJo7e0TUWQ5RNIXWD1wi3lRwmybu0WHJcMFjTp6H8d3O2Cu6+&#10;Ncu6+DqcssPPYr8af2TLdatU93WQTEAEasMz/GivtILRG/x/iT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ni/&#10;AAAA2wAAAA8AAAAAAAAAAQAgAAAAIgAAAGRycy9kb3ducmV2LnhtbFBLAQIUABQAAAAIAIdO4kAz&#10;LwWeOwAAADkAAAAQAAAAAAAAAAEAIAAAAA4BAABkcnMvc2hhcGV4bWwueG1sUEsFBgAAAAAGAAYA&#10;WwEAALgDAAAAAA==&#10;">
                  <v:fill on="f" focussize="0,0"/>
                  <v:stroke weight="0.173228346456693pt" color="#000000" joinstyle="round"/>
                  <v:imagedata o:title=""/>
                  <o:lock v:ext="edit" aspectratio="f"/>
                </v:line>
                <v:shape id="_x0000_s1026" o:spid="_x0000_s1026" o:spt="100" style="position:absolute;left:1722;top:4347;height:111;width:80;" fillcolor="#000000" filled="t" stroked="f" coordsize="80,111" o:gfxdata="UEsDBAoAAAAAAIdO4kAAAAAAAAAAAAAAAAAEAAAAZHJzL1BLAwQUAAAACACHTuJALIvcJcAAAADb&#10;AAAADwAAAGRycy9kb3ducmV2LnhtbEWPQWvCQBSE70L/w/IKvUjdtYYiqZscpKUWVNAWwdsj+5qE&#10;Zt+m2TXqv3cFweMwM98ws/xkG9FT52vHGsYjBYK4cKbmUsPP98fzFIQPyAYbx6ThTB7y7GEww9S4&#10;I2+o34ZSRAj7FDVUIbSplL6oyKIfuZY4er+usxii7EppOjxGuG3ki1Kv0mLNcaHCluYVFX/bg9Ww&#10;Sorh5/7r/TBZ9sr81+vFbj51Wj89jtUbiECncA/f2gujIUng+iX+AJl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9wl&#10;wAAAANsAAAAPAAAAAAAAAAEAIAAAACIAAABkcnMvZG93bnJldi54bWxQSwECFAAUAAAACACHTuJA&#10;My8FnjsAAAA5AAAAEAAAAAAAAAABACAAAAAPAQAAZHJzL3NoYXBleG1sLnhtbFBLBQYAAAAABgAG&#10;AFsBAAC5AwAAAAA=&#10;" path="m79,0l0,0,40,110,79,0xe">
                  <v:fill on="t" focussize="0,0"/>
                  <v:stroke on="f"/>
                  <v:imagedata o:title=""/>
                  <o:lock v:ext="edit" aspectratio="f"/>
                </v:shape>
                <v:rect id="_x0000_s1026" o:spid="_x0000_s1026" o:spt="1" style="position:absolute;left:3164;top:3564;height:573;width:1305;" fillcolor="#FFFFFF" filled="t" stroked="f" coordsize="21600,21600" o:gfxdata="UEsDBAoAAAAAAIdO4kAAAAAAAAAAAAAAAAAEAAAAZHJzL1BLAwQUAAAACACHTuJApR9ErL0AAADb&#10;AAAADwAAAGRycy9kb3ducmV2LnhtbEWPQWvCQBSE7wX/w/KE3ppdqwaNrh4KgtD2UCN4fWSfSTD7&#10;NmY3Mf333UKhx2FmvmG2+9E2YqDO1441zBIFgrhwpuZSwzk/vKxA+IBssHFMGr7Jw343edpiZtyD&#10;v2g4hVJECPsMNVQhtJmUvqjIok9cSxy9q+sshii7UpoOHxFuG/mqVCot1hwXKmzpraLiduqtBkwX&#10;5v55nX/k732K63JUh+VFaf08nakNiEBj+A//tY9Gw2IJ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0SsvQAA&#10;ANs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202" type="#_x0000_t202" style="position:absolute;left:2496;top:2921;height:134;width:598;"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33" w:lineRule="exact"/>
                          <w:ind w:firstLine="0" w:firstLineChars="0"/>
                          <w:jc w:val="left"/>
                          <w:rPr>
                            <w:sz w:val="13"/>
                          </w:rPr>
                        </w:pPr>
                        <w:r>
                          <w:rPr>
                            <w:w w:val="110"/>
                            <w:sz w:val="13"/>
                          </w:rPr>
                          <w:t>固体部分</w:t>
                        </w:r>
                      </w:p>
                    </w:txbxContent>
                  </v:textbox>
                </v:shape>
                <v:shape id="_x0000_s1026" o:spid="_x0000_s1026" o:spt="202" type="#_x0000_t202" style="position:absolute;left:1473;top:3346;height:134;width:598;"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33" w:lineRule="exact"/>
                          <w:ind w:firstLine="0" w:firstLineChars="0"/>
                          <w:jc w:val="left"/>
                          <w:rPr>
                            <w:sz w:val="13"/>
                          </w:rPr>
                        </w:pPr>
                        <w:r>
                          <w:rPr>
                            <w:w w:val="110"/>
                            <w:sz w:val="13"/>
                          </w:rPr>
                          <w:t>液体部分</w:t>
                        </w:r>
                      </w:p>
                    </w:txbxContent>
                  </v:textbox>
                </v:shape>
                <v:shape id="_x0000_s1026" o:spid="_x0000_s1026" o:spt="202" type="#_x0000_t202" style="position:absolute;left:1546;top:4147;height:134;width:454;"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133" w:lineRule="exact"/>
                          <w:ind w:firstLine="0" w:firstLineChars="0"/>
                          <w:jc w:val="left"/>
                          <w:rPr>
                            <w:sz w:val="13"/>
                          </w:rPr>
                        </w:pPr>
                        <w:r>
                          <w:rPr>
                            <w:w w:val="110"/>
                            <w:sz w:val="13"/>
                          </w:rPr>
                          <w:t>输送泵</w:t>
                        </w:r>
                      </w:p>
                    </w:txbxContent>
                  </v:textbox>
                </v:shape>
                <v:shape id="_x0000_s1026" o:spid="_x0000_s1026" o:spt="202" type="#_x0000_t202" style="position:absolute;left:5192;top:2679;height:2198;width:223;"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7" w:lineRule="exact"/>
                          <w:ind w:firstLine="402"/>
                          <w:jc w:val="left"/>
                          <w:rPr>
                            <w:sz w:val="18"/>
                          </w:rPr>
                        </w:pPr>
                        <w:r>
                          <w:rPr>
                            <w:w w:val="112"/>
                            <w:sz w:val="18"/>
                          </w:rPr>
                          <w:t>粪</w:t>
                        </w:r>
                        <w:r>
                          <w:rPr>
                            <w:w w:val="110"/>
                            <w:sz w:val="18"/>
                          </w:rPr>
                          <w:t>预处理及加工单元</w:t>
                        </w:r>
                      </w:p>
                    </w:txbxContent>
                  </v:textbox>
                </v:shape>
                <v:shape id="_x0000_s1026" o:spid="_x0000_s1026" o:spt="202" type="#_x0000_t202" style="position:absolute;left:1473;top:5042;height:134;width:598;"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133" w:lineRule="exact"/>
                          <w:ind w:firstLine="284"/>
                          <w:jc w:val="left"/>
                          <w:rPr>
                            <w:sz w:val="13"/>
                          </w:rPr>
                        </w:pPr>
                        <w:r>
                          <w:rPr>
                            <w:w w:val="110"/>
                            <w:sz w:val="13"/>
                          </w:rPr>
                          <w:t>存储熟化</w:t>
                        </w:r>
                      </w:p>
                    </w:txbxContent>
                  </v:textbox>
                </v:shape>
                <v:shape id="_x0000_s1026" o:spid="_x0000_s1026" o:spt="202" type="#_x0000_t202" style="position:absolute;left:5079;top:5432;height:1188;width:458;"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0" w:lineRule="auto"/>
                          <w:ind w:firstLine="526"/>
                          <w:rPr>
                            <w:sz w:val="18"/>
                          </w:rPr>
                        </w:pPr>
                        <w:r>
                          <w:rPr>
                            <w:spacing w:val="33"/>
                            <w:w w:val="110"/>
                            <w:sz w:val="18"/>
                          </w:rPr>
                          <w:t>及</w:t>
                        </w:r>
                        <w:r>
                          <w:rPr>
                            <w:w w:val="110"/>
                            <w:position w:val="-10"/>
                            <w:sz w:val="18"/>
                          </w:rPr>
                          <w:t>单</w:t>
                        </w:r>
                      </w:p>
                    </w:txbxContent>
                  </v:textbox>
                </v:shape>
                <v:shape id="_x0000_s1026" o:spid="_x0000_s1026" o:spt="202" type="#_x0000_t202" style="position:absolute;left:5079;top:6773;height:187;width:223;"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86" w:lineRule="exact"/>
                          <w:ind w:firstLine="402"/>
                          <w:jc w:val="left"/>
                          <w:rPr>
                            <w:sz w:val="18"/>
                          </w:rPr>
                        </w:pPr>
                        <w:r>
                          <w:rPr>
                            <w:w w:val="112"/>
                            <w:sz w:val="18"/>
                          </w:rPr>
                          <w:t>套</w:t>
                        </w:r>
                      </w:p>
                    </w:txbxContent>
                  </v:textbox>
                </v:shape>
                <v:shape id="_x0000_s1026" o:spid="_x0000_s1026" o:spt="202" type="#_x0000_t202" style="position:absolute;left:1148;top:4457;height:283;width:1228;" filled="f" stroked="t" coordsize="21600,21600" o:gfxdata="UEsDBAoAAAAAAIdO4kAAAAAAAAAAAAAAAAAEAAAAZHJzL1BLAwQUAAAACACHTuJA+ixjgroAAADb&#10;AAAADwAAAGRycy9kb3ducmV2LnhtbEWPSwvCMBCE74L/IazgTVNFpVSjB8HHQQQfF29rs7alzaY0&#10;8fXvjSB4HGbmG2a2eJlKPKhxhWUFg34Egji1uuBMwfm06sUgnEfWWFkmBW9ysJi3WzNMtH3ygR5H&#10;n4kAYZeggtz7OpHSpTkZdH1bEwfvZhuDPsgmk7rBZ4CbSg6jaCINFhwWcqxpmVNaHu9GQVH6/ZV2&#10;21192ZQuWy/d1UxipbqdQTQF4enl/+Ffe6sVjEfw/RJ+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LGOCugAAANsA&#10;AAAPAAAAAAAAAAEAIAAAACIAAABkcnMvZG93bnJldi54bWxQSwECFAAUAAAACACHTuJAMy8FnjsA&#10;AAA5AAAAEAAAAAAAAAABACAAAAAJAQAAZHJzL3NoYXBleG1sLnhtbFBLBQYAAAAABgAGAFsBAACz&#10;AwAAA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rFonts w:hint="eastAsia"/>
                            <w:w w:val="110"/>
                            <w:sz w:val="18"/>
                          </w:rPr>
                          <w:t>储存塘</w:t>
                        </w:r>
                      </w:p>
                    </w:txbxContent>
                  </v:textbox>
                </v:shape>
                <v:shape id="_x0000_s1026" o:spid="_x0000_s1026" o:spt="202" type="#_x0000_t202" style="position:absolute;left:3164;top:3564;height:573;width:1305;" filled="f" stroked="t" coordsize="21600,21600" o:gfxdata="UEsDBAoAAAAAAIdO4kAAAAAAAAAAAAAAAAAEAAAAZHJzL1BLAwQUAAAACACHTuJAXPJWer4AAADb&#10;AAAADwAAAGRycy9kb3ducmV2LnhtbEWPT2sCMRTE7wW/Q3hCL0UTC5ZlNXoQBQ+l+KdFj4/Nc7Ps&#10;5mXZRFe/vSkUehxm5jfMfHl3jbhRFyrPGiZjBYK48KbiUsP3cTPKQISIbLDxTBoeFGC5GLzMMTe+&#10;5z3dDrEUCcIhRw02xjaXMhSWHIaxb4mTd/Gdw5hkV0rTYZ/grpHvSn1IhxWnBYstrSwV9eHqNNRf&#10;drc/fa7OxZukuux/1Cl7rLV+HU7UDESke/wP/7W3RsN0Cr9f0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JWe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spacing w:before="156" w:beforeLines="50" w:line="240" w:lineRule="auto"/>
                          <w:ind w:firstLine="0" w:firstLineChars="0"/>
                          <w:jc w:val="center"/>
                          <w:rPr>
                            <w:sz w:val="21"/>
                          </w:rPr>
                        </w:pPr>
                        <w:r>
                          <w:rPr>
                            <w:w w:val="110"/>
                            <w:sz w:val="18"/>
                          </w:rPr>
                          <w:t>堆肥</w:t>
                        </w:r>
                      </w:p>
                    </w:txbxContent>
                  </v:textbox>
                </v:shape>
                <v:shape id="_x0000_s1026" o:spid="_x0000_s1026" o:spt="202" type="#_x0000_t202" style="position:absolute;left:1257;top:2356;height:134;width:1031;"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33" w:lineRule="exact"/>
                          <w:ind w:firstLine="0" w:firstLineChars="0"/>
                          <w:jc w:val="left"/>
                          <w:rPr>
                            <w:sz w:val="13"/>
                          </w:rPr>
                        </w:pPr>
                        <w:r>
                          <w:rPr>
                            <w:w w:val="110"/>
                            <w:sz w:val="13"/>
                          </w:rPr>
                          <w:t>进料泵、搅拌机</w:t>
                        </w:r>
                      </w:p>
                    </w:txbxContent>
                  </v:textbox>
                </v:shape>
                <v:shape id="_x0000_s1026" o:spid="_x0000_s1026" o:spt="202" type="#_x0000_t202" style="position:absolute;left:5190;top:335;height:1304;width:223;"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7" w:lineRule="exact"/>
                          <w:ind w:firstLine="402"/>
                          <w:jc w:val="left"/>
                          <w:rPr>
                            <w:sz w:val="18"/>
                          </w:rPr>
                        </w:pPr>
                        <w:r>
                          <w:rPr>
                            <w:w w:val="112"/>
                            <w:sz w:val="18"/>
                          </w:rPr>
                          <w:t>粪</w:t>
                        </w:r>
                        <w:r>
                          <w:rPr>
                            <w:w w:val="110"/>
                            <w:sz w:val="18"/>
                          </w:rPr>
                          <w:t>收集单元</w:t>
                        </w:r>
                      </w:p>
                    </w:txbxContent>
                  </v:textbox>
                </v:shape>
                <v:shape id="_x0000_s1026" o:spid="_x0000_s1026" o:spt="202" type="#_x0000_t202" style="position:absolute;left:860;top:1378;height:162;width:1825;"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133" w:lineRule="exact"/>
                          <w:ind w:firstLine="0" w:firstLineChars="0"/>
                          <w:jc w:val="center"/>
                          <w:rPr>
                            <w:sz w:val="13"/>
                          </w:rPr>
                        </w:pPr>
                        <w:r>
                          <w:rPr>
                            <w:rFonts w:hint="eastAsia"/>
                            <w:w w:val="110"/>
                            <w:sz w:val="13"/>
                          </w:rPr>
                          <w:t>全</w:t>
                        </w:r>
                        <w:r>
                          <w:rPr>
                            <w:w w:val="110"/>
                            <w:sz w:val="13"/>
                          </w:rPr>
                          <w:t>漏粪地板</w:t>
                        </w:r>
                        <w:r>
                          <w:rPr>
                            <w:rFonts w:hint="eastAsia"/>
                            <w:w w:val="110"/>
                            <w:sz w:val="13"/>
                          </w:rPr>
                          <w:t>+</w:t>
                        </w:r>
                        <w:r>
                          <w:rPr>
                            <w:w w:val="110"/>
                            <w:sz w:val="13"/>
                          </w:rPr>
                          <w:t>尿泡粪+虹吸管道</w:t>
                        </w:r>
                      </w:p>
                    </w:txbxContent>
                  </v:textbox>
                </v:shape>
                <v:shape id="_x0000_s1026" o:spid="_x0000_s1026" o:spt="202" type="#_x0000_t202" style="position:absolute;left:2932;top:5811;height:134;width:598;"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33" w:lineRule="exact"/>
                          <w:ind w:firstLine="0" w:firstLineChars="0"/>
                          <w:jc w:val="left"/>
                          <w:rPr>
                            <w:sz w:val="13"/>
                          </w:rPr>
                        </w:pPr>
                        <w:r>
                          <w:rPr>
                            <w:w w:val="110"/>
                            <w:sz w:val="13"/>
                          </w:rPr>
                          <w:t>施肥设备</w:t>
                        </w:r>
                      </w:p>
                    </w:txbxContent>
                  </v:textbox>
                </v:shape>
                <v:shape id="_x0000_s1026" o:spid="_x0000_s1026" o:spt="202" type="#_x0000_t202" style="position:absolute;left:1946;top:5811;height:134;width:598;"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33" w:lineRule="exact"/>
                          <w:ind w:firstLine="0" w:firstLineChars="0"/>
                          <w:jc w:val="left"/>
                          <w:rPr>
                            <w:sz w:val="13"/>
                          </w:rPr>
                        </w:pPr>
                        <w:r>
                          <w:rPr>
                            <w:w w:val="110"/>
                            <w:sz w:val="13"/>
                          </w:rPr>
                          <w:t>施肥设备</w:t>
                        </w:r>
                      </w:p>
                    </w:txbxContent>
                  </v:textbox>
                </v:shape>
                <v:shape id="_x0000_s1026" o:spid="_x0000_s1026" o:spt="202" type="#_x0000_t202" style="position:absolute;left:3194;top:5494;height:283;width:1228;" filled="f" stroked="t" coordsize="21600,21600" o:gfxdata="UEsDBAoAAAAAAIdO4kAAAAAAAAAAAAAAAAAEAAAAZHJzL1BLAwQUAAAACACHTuJAJDcKp7kAAADb&#10;AAAADwAAAGRycy9kb3ducmV2LnhtbEWPSwvCMBCE74L/Iazgzab1UKQaPQg+DiL4uHhbm7UtbTal&#10;ia9/bwTB4zAz3zCzxcs04kGdqywrSKIYBHFudcWFgvNpNZqAcB5ZY2OZFLzJwWLe780w0/bJB3oc&#10;fSEChF2GCkrv20xKl5dk0EW2JQ7ezXYGfZBdIXWHzwA3jRzHcSoNVhwWSmxpWVJeH+9GQVX7/ZV2&#10;21172dSuWC/d1aQTpYaDJJ6C8PTy//CvvdUK0gS+X8IPk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3Cqe5AAAA2wAA&#10;AA8AAAAAAAAAAQAgAAAAIgAAAGRycy9kb3ducmV2LnhtbFBLAQIUABQAAAAIAIdO4kAzLwWeOwAA&#10;ADkAAAAQAAAAAAAAAAEAIAAAAAgBAABkcnMvc2hhcGV4bWwueG1sUEsFBgAAAAAGAAYAWwEAALID&#10;AAAA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w w:val="110"/>
                            <w:sz w:val="18"/>
                          </w:rPr>
                          <w:t>固体有机肥</w:t>
                        </w:r>
                      </w:p>
                    </w:txbxContent>
                  </v:textbox>
                </v:shape>
                <v:shape id="_x0000_s1026" o:spid="_x0000_s1026" o:spt="202" type="#_x0000_t202" style="position:absolute;left:1148;top:5494;height:283;width:1228;" filled="f" stroked="t" coordsize="21600,21600" o:gfxdata="UEsDBAoAAAAAAIdO4kAAAAAAAAAAAAAAAAAEAAAAZHJzL1BLAwQUAAAACACHTuJA1OWU0LkAAADb&#10;AAAADwAAAGRycy9kb3ducmV2LnhtbEWPSwvCMBCE74L/IazgTVM9FKmmPQg+DiL4uHhbm7UtbTal&#10;ia9/bwTB4zAz3zCL7GUa8aDOVZYVTMYRCOLc6ooLBefTajQD4TyyxsYyKXiTgyzt9xaYaPvkAz2O&#10;vhABwi5BBaX3bSKly0sy6Ma2JQ7ezXYGfZBdIXWHzwA3jZxGUSwNVhwWSmxpWVJeH+9GQVX7/ZV2&#10;21172dSuWC/d1cQzpYaDSTQH4enl/+Ffe6sVxFP4fgk/QK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llNC5AAAA2wAA&#10;AA8AAAAAAAAAAQAgAAAAIgAAAGRycy9kb3ducmV2LnhtbFBLAQIUABQAAAAIAIdO4kAzLwWeOwAA&#10;ADkAAAAQAAAAAAAAAAEAIAAAAAgBAABkcnMvc2hhcGV4bWwueG1sUEsFBgAAAAAGAAYAWwEAALID&#10;AAAA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w w:val="110"/>
                            <w:sz w:val="18"/>
                          </w:rPr>
                          <w:t>液体有机肥</w:t>
                        </w:r>
                      </w:p>
                    </w:txbxContent>
                  </v:textbox>
                </v:shape>
                <v:shape id="_x0000_s1026" o:spid="_x0000_s1026" o:spt="202" type="#_x0000_t202" style="position:absolute;left:1148;top:3703;height:283;width:1228;" filled="f" stroked="t" coordsize="21600,21600" o:gfxdata="UEsDBAoAAAAAAIdO4kAAAAAAAAAAAAAAAAAEAAAAZHJzL1BLAwQUAAAACACHTuJAu6kxS7kAAADb&#10;AAAADwAAAGRycy9kb3ducmV2LnhtbEWPSwvCMBCE74L/IazgTVMVilSjB0HtQQQfF29rs7alzaY0&#10;8fXvjSB4HGbmG2a+fJlaPKh1pWUFo2EEgjizuuRcwfm0HkxBOI+ssbZMCt7kYLnoduaYaPvkAz2O&#10;PhcBwi5BBYX3TSKlywoy6Ia2IQ7ezbYGfZBtLnWLzwA3tRxHUSwNlhwWCmxoVVBWHe9GQVn5/ZV2&#10;6a65bCuXb1buauKpUv3eKJqB8PTy//CvnWoF8QS+X8IP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pMUu5AAAA2wAA&#10;AA8AAAAAAAAAAQAgAAAAIgAAAGRycy9kb3ducmV2LnhtbFBLAQIUABQAAAAIAIdO4kAzLwWeOwAA&#10;ADkAAAAQAAAAAAAAAAEAIAAAAAgBAABkcnMvc2hhcGV4bWwueG1sUEsFBgAAAAAGAAYAWwEAALID&#10;AAAAAA==&#10;">
                  <v:fill on="f" focussize="0,0"/>
                  <v:stroke weight="0.160393700787402pt" color="#000000" joinstyle="miter"/>
                  <v:imagedata o:title=""/>
                  <o:lock v:ext="edit" aspectratio="f"/>
                  <v:textbox inset="0mm,0mm,0mm,0mm">
                    <w:txbxContent>
                      <w:p>
                        <w:pPr>
                          <w:spacing w:line="240" w:lineRule="auto"/>
                          <w:ind w:firstLine="0" w:firstLineChars="0"/>
                          <w:jc w:val="center"/>
                          <w:rPr>
                            <w:w w:val="110"/>
                            <w:sz w:val="18"/>
                          </w:rPr>
                        </w:pPr>
                        <w:r>
                          <w:rPr>
                            <w:rFonts w:hint="eastAsia"/>
                            <w:w w:val="110"/>
                            <w:sz w:val="18"/>
                          </w:rPr>
                          <w:t>液体池</w:t>
                        </w:r>
                      </w:p>
                    </w:txbxContent>
                  </v:textbox>
                </v:shape>
                <v:shape id="_x0000_s1026" o:spid="_x0000_s1026" o:spt="202" type="#_x0000_t202" style="position:absolute;left:3194;top:2854;height:283;width:1228;" filled="f" stroked="t" coordsize="21600,21600" o:gfxdata="UEsDBAoAAAAAAIdO4kAAAAAAAAAAAAAAAAAEAAAAZHJzL1BLAwQUAAAACACHTuJANECpP7kAAADb&#10;AAAADwAAAGRycy9kb3ducmV2LnhtbEWPSwvCMBCE74L/IazgTVNFilSjB0HtQQQfF29rs7alzaY0&#10;8fXvjSB4HGbmG2a+fJlaPKh1pWUFo2EEgjizuuRcwfm0HkxBOI+ssbZMCt7kYLnoduaYaPvkAz2O&#10;PhcBwi5BBYX3TSKlywoy6Ia2IQ7ezbYGfZBtLnWLzwA3tRxHUSwNlhwWCmxoVVBWHe9GQVn5/ZV2&#10;6a65bCuXb1buauKpUv3eKJqB8PTy//CvnWoF8QS+X8IP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AqT+5AAAA2wAA&#10;AA8AAAAAAAAAAQAgAAAAIgAAAGRycy9kb3ducmV2LnhtbFBLAQIUABQAAAAIAIdO4kAzLwWeOwAA&#10;ADkAAAAQAAAAAAAAAAEAIAAAAAgBAABkcnMvc2hhcGV4bWwueG1sUEsFBgAAAAAGAAYAWwEAALID&#10;AAAA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w w:val="110"/>
                            <w:sz w:val="18"/>
                          </w:rPr>
                          <w:t>皮带输送机</w:t>
                        </w:r>
                      </w:p>
                    </w:txbxContent>
                  </v:textbox>
                </v:shape>
                <v:shape id="_x0000_s1026" o:spid="_x0000_s1026" o:spt="202" type="#_x0000_t202" style="position:absolute;left:1148;top:2854;height:283;width:1228;" filled="f" stroked="t" coordsize="21600,21600" o:gfxdata="UEsDBAoAAAAAAIdO4kAAAAAAAAAAAAAAAAAEAAAAZHJzL1BLAwQUAAAACACHTuJAWwwMpLkAAADb&#10;AAAADwAAAGRycy9kb3ducmV2LnhtbEWPSwvCMBCE74L/IazgTVMFi1SjB0HtQQQfF29rs7alzaY0&#10;8fXvjSB4HGbmG2a+fJlaPKh1pWUFo2EEgjizuuRcwfm0HkxBOI+ssbZMCt7kYLnoduaYaPvkAz2O&#10;PhcBwi5BBYX3TSKlywoy6Ia2IQ7ezbYGfZBtLnWLzwA3tRxHUSwNlhwWCmxoVVBWHe9GQVn5/ZV2&#10;6a65bCuXb1buauKpUv3eKJqB8PTy//CvnWoF8QS+X8IP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MDKS5AAAA2wAA&#10;AA8AAAAAAAAAAQAgAAAAIgAAAGRycy9kb3ducmV2LnhtbFBLAQIUABQAAAAIAIdO4kAzLwWeOwAA&#10;ADkAAAAQAAAAAAAAAAEAIAAAAAgBAABkcnMvc2hhcGV4bWwueG1sUEsFBgAAAAAGAAYAWwEAALID&#10;AAAA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w w:val="110"/>
                            <w:sz w:val="18"/>
                          </w:rPr>
                          <w:t>固液分离机</w:t>
                        </w:r>
                      </w:p>
                    </w:txbxContent>
                  </v:textbox>
                </v:shape>
                <v:shape id="_x0000_s1026" o:spid="_x0000_s1026" o:spt="202" type="#_x0000_t202" style="position:absolute;left:1148;top:1723;height:283;width:1228;" filled="f" stroked="t" coordsize="21600,21600" o:gfxdata="UEsDBAoAAAAAAIdO4kAAAAAAAAAAAAAAAAAEAAAAZHJzL1BLAwQUAAAACACHTuJAq96S07kAAADb&#10;AAAADwAAAGRycy9kb3ducmV2LnhtbEWPSwvCMBCE74L/IazgTVM9FKnGHgo+DiL4uHhbm7UtbTal&#10;ia9/bwTB4zAz3zCL9GUa8aDOVZYVTMYRCOLc6ooLBefTajQD4TyyxsYyKXiTg3TZ7y0w0fbJB3oc&#10;fSEChF2CCkrv20RKl5dk0I1tSxy8m+0M+iC7QuoOnwFuGjmNolgarDgslNhSVlJeH+9GQVX7/ZV2&#10;21172dSuWGfuauKZUsPBJJqD8PTy//CvvdUK4hi+X8IP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ektO5AAAA2wAA&#10;AA8AAAAAAAAAAQAgAAAAIgAAAGRycy9kb3ducmV2LnhtbFBLAQIUABQAAAAIAIdO4kAzLwWeOwAA&#10;ADkAAAAQAAAAAAAAAAEAIAAAAAgBAABkcnMvc2hhcGV4bWwueG1sUEsFBgAAAAAGAAYAWwEAALID&#10;AAAA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w w:val="110"/>
                            <w:sz w:val="18"/>
                          </w:rPr>
                          <w:t>集粪池</w:t>
                        </w:r>
                      </w:p>
                    </w:txbxContent>
                  </v:textbox>
                </v:shape>
                <v:shape id="_x0000_s1026" o:spid="_x0000_s1026" o:spt="202" type="#_x0000_t202" style="position:absolute;left:1148;top:955;height:283;width:1228;" filled="f" stroked="t" coordsize="21600,21600" o:gfxdata="UEsDBAoAAAAAAIdO4kAAAAAAAAAAAAAAAAAEAAAAZHJzL1BLAwQUAAAACACHTuJAtQ2jOrYAAADb&#10;AAAADwAAAGRycy9kb3ducmV2LnhtbEVPuwrCMBTdBf8hXMHNpjoUqaYdBB+DCD4Wt2tzbUubm9LE&#10;19+bQXA8nPcyf5tWPKl3tWUF0ygGQVxYXXOp4HJeT+YgnEfW2FomBR9ykGfDwRJTbV98pOfJlyKE&#10;sEtRQeV9l0rpiooMush2xIG7296gD7Avpe7xFcJNK2dxnEiDNYeGCjtaVVQ0p4dRUDf+cKP9bt9d&#10;t40rNyt3M8lcqfFoGi9AeHr7v/jn3mkFSRgbvoQf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UNozq2AAAA2wAAAA8A&#10;AAAAAAAAAQAgAAAAIgAAAGRycy9kb3ducmV2LnhtbFBLAQIUABQAAAAIAIdO4kAzLwWeOwAAADkA&#10;AAAQAAAAAAAAAAEAIAAAAAUBAABkcnMvc2hhcGV4bWwueG1sUEsFBgAAAAAGAAYAWwEAAK8DAAAA&#10;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w w:val="110"/>
                            <w:sz w:val="18"/>
                          </w:rPr>
                          <w:t>猪舍粪尿</w:t>
                        </w:r>
                      </w:p>
                    </w:txbxContent>
                  </v:textbox>
                </v:shape>
                <v:shape id="_x0000_s1026" o:spid="_x0000_s1026" o:spt="202" type="#_x0000_t202" style="position:absolute;left:1148;top:295;height:283;width:1228;" filled="f" stroked="t" coordsize="21600,21600" o:gfxdata="UEsDBAoAAAAAAIdO4kAAAAAAAAAAAAAAAAAEAAAAZHJzL1BLAwQUAAAACACHTuJA2kEGobkAAADb&#10;AAAADwAAAGRycy9kb3ducmV2LnhtbEWPSwvCMBCE74L/IazgTVM9FK1GD4Lagwg+Lt7WZm1Lm01p&#10;4uvfG0HwOMzMN8x8+TK1eFDrSssKRsMIBHFmdcm5gvNpPZiAcB5ZY22ZFLzJwXLR7cwx0fbJB3oc&#10;fS4ChF2CCgrvm0RKlxVk0A1tQxy8m20N+iDbXOoWnwFuajmOolgaLDksFNjQqqCsOt6NgrLy+yvt&#10;0l1z2VYu36zc1cQTpfq9UTQD4enl/+FfO9UK4i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BBqG5AAAA2wAA&#10;AA8AAAAAAAAAAQAgAAAAIgAAAGRycy9kb3ducmV2LnhtbFBLAQIUABQAAAAIAIdO4kAzLwWeOwAA&#10;ADkAAAAQAAAAAAAAAAEAIAAAAAgBAABkcnMvc2hhcGV4bWwueG1sUEsFBgAAAAAGAAYAWwEAALID&#10;AAAA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w w:val="110"/>
                            <w:sz w:val="18"/>
                          </w:rPr>
                          <w:t>猪舍猪只</w:t>
                        </w:r>
                      </w:p>
                    </w:txbxContent>
                  </v:textbox>
                </v:shape>
                <v:shape id="_x0000_s1026" o:spid="_x0000_s1026" o:spt="202" type="#_x0000_t202" style="position:absolute;left:2071;top:6150;height:283;width:1228;" filled="f" stroked="t" coordsize="21600,21600" o:gfxdata="UEsDBAoAAAAAAIdO4kAAAAAAAAAAAAAAAAAEAAAAZHJzL1BLAwQUAAAACACHTuJAzqI54bYAAADb&#10;AAAADwAAAGRycy9kb3ducmV2LnhtbEVPuwrCMBTdBf8hXMFNUx1UalMHQe0ggo/F7dpc29LmpjTx&#10;9fdmEBwP552s3qYRT+pcZVnBZByBIM6trrhQcDlvRgsQziNrbCyTgg85WKX9XoKxti8+0vPkCxFC&#10;2MWooPS+jaV0eUkG3di2xIG7286gD7ArpO7wFcJNI6dRNJMGKw4NJba0LimvTw+joKr94Ub7bN9e&#10;d7Urtmt3M7OFUsPBJFqC8PT2f/HPnWkF87A+fAk/QK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6iOeG2AAAA2wAAAA8A&#10;AAAAAAAAAQAgAAAAIgAAAGRycy9kb3ducmV2LnhtbFBLAQIUABQAAAAIAIdO4kAzLwWeOwAAADkA&#10;AAAQAAAAAAAAAAEAIAAAAAUBAABkcnMvc2hhcGV4bWwueG1sUEsFBgAAAAAGAAYAWwEAAK8DAAAA&#10;AA==&#10;">
                  <v:fill on="f" focussize="0,0"/>
                  <v:stroke weight="0.160393700787402pt" color="#000000" joinstyle="miter"/>
                  <v:imagedata o:title=""/>
                  <o:lock v:ext="edit" aspectratio="f"/>
                  <v:textbox inset="0mm,0mm,0mm,0mm">
                    <w:txbxContent>
                      <w:p>
                        <w:pPr>
                          <w:spacing w:line="240" w:lineRule="auto"/>
                          <w:ind w:firstLine="0" w:firstLineChars="0"/>
                          <w:jc w:val="center"/>
                          <w:rPr>
                            <w:sz w:val="18"/>
                          </w:rPr>
                        </w:pPr>
                        <w:r>
                          <w:rPr>
                            <w:rFonts w:hint="eastAsia"/>
                            <w:w w:val="110"/>
                            <w:sz w:val="18"/>
                          </w:rPr>
                          <w:t>周边农田</w:t>
                        </w:r>
                      </w:p>
                    </w:txbxContent>
                  </v:textbox>
                </v:shape>
                <w10:wrap type="none"/>
                <w10:anchorlock/>
              </v:group>
            </w:pict>
          </mc:Fallback>
        </mc:AlternateConten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 xml:space="preserve">   粪肥处理利用工艺流程图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粪肥处理工艺：猪场圈舍粪便经过全漏缝地板+虹吸管道吸入集粪池后，粪尿混合物通过固液分离机分离，其中液体部分汇入液体池，经输送泵输送至氧化塘，经微生物发酵无害化处理后制成液体有机肥，施肥于周边农田区；固体部分拉运至堆肥场进行堆肥处理，最终出售给农户，施用于农田。液体肥料</w:t>
      </w:r>
      <w:r>
        <w:rPr>
          <w:rFonts w:ascii="Times New Roman" w:hAnsi="Times New Roman" w:cs="Times New Roman"/>
          <w:color w:val="000000" w:themeColor="text1"/>
          <w:spacing w:val="-6"/>
          <w14:textFill>
            <w14:solidFill>
              <w14:schemeClr w14:val="tx1"/>
            </w14:solidFill>
          </w14:textFill>
        </w:rPr>
        <w:t>的主要成分为含N、含P等富含土壤所需营养的组分，固体粪便主要成分为有机质。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（1）固液分离系统工程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舍粪便经漏缝地板+虹吸管道排放至集粪池内，集粪池内安装有潜水搅拌机及潜水切割泵，经过搅拌机的混合，由进料切割泵把混合均匀的粪污提升至固液分离机，经固液分离机挤压分离，产生的固体粪便进入堆肥发酵区进行发酵生产固体肥料，液体自流进入场内的液体池，然后经PVC输水管道送至氧化塘进行无害化处理制成液体肥料，最后施用于周围</w:t>
      </w:r>
      <w:r>
        <w:rPr>
          <w:rFonts w:hint="eastAsia" w:ascii="Times New Roman" w:hAnsi="Times New Roman" w:cs="Times New Roman"/>
          <w:color w:val="000000" w:themeColor="text1"/>
          <w14:textFill>
            <w14:solidFill>
              <w14:schemeClr w14:val="tx1"/>
            </w14:solidFill>
          </w14:textFill>
        </w:rPr>
        <w:t>农田</w:t>
      </w:r>
      <w:r>
        <w:rPr>
          <w:rFonts w:ascii="Times New Roman" w:hAnsi="Times New Roman" w:cs="Times New Roman"/>
          <w:color w:val="000000" w:themeColor="text1"/>
          <w14:textFill>
            <w14:solidFill>
              <w14:schemeClr w14:val="tx1"/>
            </w14:solidFill>
          </w14:textFill>
        </w:rPr>
        <w:t>。</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052060" cy="2670175"/>
            <wp:effectExtent l="0" t="0" r="15240" b="1587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6" cstate="print"/>
                    <a:stretch>
                      <a:fillRect/>
                    </a:stretch>
                  </pic:blipFill>
                  <pic:spPr>
                    <a:xfrm>
                      <a:off x="0" y="0"/>
                      <a:ext cx="5052060" cy="2670175"/>
                    </a:xfrm>
                    <a:prstGeom prst="rect">
                      <a:avLst/>
                    </a:prstGeom>
                  </pic:spPr>
                </pic:pic>
              </a:graphicData>
            </a:graphic>
          </wp:inline>
        </w:drawing>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图3.4-</w:t>
      </w:r>
      <w:r>
        <w:rPr>
          <w:rFonts w:hint="eastAsia"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 xml:space="preserve">   固液分离系统断面示意图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经固液分离机分离后固体送入堆粪场暂存；液体部分送至液体有机肥厌氧存储池无害化处理后还田。分离后的固体含水率约为70%。</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（2）液体有机肥发酵存储池及其工艺简介</w:t>
      </w:r>
    </w:p>
    <w:p>
      <w:pPr>
        <w:spacing w:line="520" w:lineRule="exac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本项目设计建设2个氧化塘，每个氧化塘容积为2.5万m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，共计5万m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，氧化塘池体由土工膜+混凝土组成。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①概述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氧化塘是一种利用天然净化能力对污水进行处理的构筑物。其净化过程与自然水体的自净过程相似。通常是将土地进行适当的人工修整，建成池塘，并设置围堤和防渗层，依靠塘内生长的微生物来处理污水。主要利用菌藻的共同作用处理废水中的有机污染物。氧化塘污水处理系统具有基建投资和运转费用低、维护和维修简单、便于操作、能有效去除污水中的有机物和病原体、无需污泥处理等优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②工作原理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氧化塘是以太阳能为初始能量，通过在塘中种植水生植物，进行水产和水禽养殖，形成人工生态系统，在太阳能（日光辐射提供能量）作为初始能量的推动下，通过稳定塘中多条食物链的物质迁移、转化和能量的逐级传递、转化，将进入塘中污水的有机污染物进行降解和转化，最后不仅去除了污染物，而且以水生植物和水产、水禽的形式作为资源回收，净化的污水也可作为再生资源予以回收再用，使污水处理与利用结合起来，实现污水处理资源化。</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人工生态系统利用种植水生植物、养鱼、鸭、鹅等形成多条食物链。其中，不仅有分解者生物即细菌和真菌，生产者生物即藻类和其他水生植物，还有消费者生物，如鱼、虾、贝、螺、鸭、鹅、野生水禽等，三者分工协作，对污水中的污染物进行更有效地处理与利用。如果在各营养级之间保持适宜的数量比和能量比，就可建立良好多生态平衡系统。污水进入这种稳定塘其中的有机污染物不仅被细菌和真菌降解净化，而其降解的最终产物，一些无机化合物作为碳源，氮源和磷源，以太阳能为初始能量，参与到食物网中的新陈代谢过程，并从低营养级到高营养级逐级迁移转化，最后转变成水生作物、鱼、虾、蚌、鹅、鸭等产物，从而获得可观的经济效益。</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③优点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在缺水干旱的地区，生物氧化塘是实施污水的资源化利用的有效方法。</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 能充分利用地形，结构简单，建设费用低。</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 可实现污水资源化和污水回收及再用，实现水循环，既节省了水资源，又获得了经济收益。</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 处理能耗低，运行维护方便，成本低。</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 美化环境，形成生态景观。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 污泥产量少。</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F 能承受污水水量大范围的波动，其适应能力和抗冲击和能力强。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④缺点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 占地面积过多。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 气候对氧化塘的处理效果影响较大。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 若设计或运行管理不当，则会造成二次污染。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 易产生臭味和滋生蚊蝇。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 污泥不易排出和处理利用。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⑤类型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按照塘内微生物的类型和供氧方式来划分，稳定塘可以分为以下四类：</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 好氧塘</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好氧塘是一种菌藻共生的污水好氧生物处理塘。深度较浅，一般为0.3~0.5m。阳光可以直接射透到塘底，塘内存在着细菌、原生动物和藻类，由藻类的光合作用和风力搅动提供溶解氧，好氧微生物对有机物进行降解。</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 兼性塘</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有效深度介于1.0~2.0m。上层为好氧区；中间层为兼性区；塘底为厌氧区，沉淀污泥在此进行厌氧发酵。兼性塘是在各种类型的处理塘中最普遍采用的处理系统。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 厌氧塘</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塘水深度一般在2m以上，最深可达4~5m。厌氧塘水中溶解氧很少，基本上处于厌氧状态。</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 曝气塘</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塘深大于2m，采取人工曝气方式供氧，塘内全部处于好氧状态。曝气塘一般分为好氧曝气塘和兼性曝气塘两种。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本工程粪污水处理采用</w:t>
      </w:r>
      <w:r>
        <w:rPr>
          <w:rFonts w:hint="eastAsia" w:ascii="宋体" w:hAnsi="宋体" w:cs="宋体"/>
          <w:color w:val="000000" w:themeColor="text1"/>
          <w14:textFill>
            <w14:solidFill>
              <w14:schemeClr w14:val="tx1"/>
            </w14:solidFill>
          </w14:textFill>
        </w:rPr>
        <w:t>“固液分离+覆膜厌氧储存塘”</w:t>
      </w:r>
      <w:r>
        <w:rPr>
          <w:rFonts w:ascii="Times New Roman" w:hAnsi="Times New Roman" w:cs="Times New Roman"/>
          <w:color w:val="000000" w:themeColor="text1"/>
          <w14:textFill>
            <w14:solidFill>
              <w14:schemeClr w14:val="tx1"/>
            </w14:solidFill>
          </w14:textFill>
        </w:rPr>
        <w:t>液体有机肥厌氧储存塘采用双层覆膜技术，具有防渗防蒸发的功能。包括：存储塘由安全膜、报警系统、底膜及浮动膜（覆膜）等组成。具体见图</w:t>
      </w:r>
      <w:r>
        <w:rPr>
          <w:rFonts w:hint="eastAsia" w:ascii="Times New Roman" w:hAnsi="Times New Roman" w:cs="Times New Roman"/>
          <w:color w:val="000000" w:themeColor="text1"/>
          <w14:textFill>
            <w14:solidFill>
              <w14:schemeClr w14:val="tx1"/>
            </w14:solidFill>
          </w14:textFill>
        </w:rPr>
        <w:t>3.4-5</w:t>
      </w:r>
      <w:r>
        <w:rPr>
          <w:rFonts w:ascii="Times New Roman" w:hAnsi="Times New Roman" w:cs="Times New Roman"/>
          <w:color w:val="000000" w:themeColor="text1"/>
          <w14:textFill>
            <w14:solidFill>
              <w14:schemeClr w14:val="tx1"/>
            </w14:solidFill>
          </w14:textFill>
        </w:rPr>
        <w:t>。</w:t>
      </w:r>
    </w:p>
    <w:p>
      <w:pPr>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270500" cy="1313815"/>
            <wp:effectExtent l="0" t="0" r="635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1313815"/>
                    </a:xfrm>
                    <a:prstGeom prst="rect">
                      <a:avLst/>
                    </a:prstGeom>
                    <a:noFill/>
                    <a:ln>
                      <a:noFill/>
                    </a:ln>
                  </pic:spPr>
                </pic:pic>
              </a:graphicData>
            </a:graphic>
          </wp:inline>
        </w:drawing>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图3.4-</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 xml:space="preserve">   厌氧发酵存储池示意图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固液分离后的液体部分存储在底膜和浮动膜之间的空间里，随着进入的液体量不断增加，浮动膜会慢慢浮起。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产生畜禽废水经厌氧发酵存储池</w:t>
      </w:r>
      <w:r>
        <w:rPr>
          <w:rFonts w:hint="eastAsia" w:ascii="Times New Roman" w:hAnsi="Times New Roman" w:cs="Times New Roman"/>
          <w:color w:val="000000" w:themeColor="text1"/>
          <w14:textFill>
            <w14:solidFill>
              <w14:schemeClr w14:val="tx1"/>
            </w14:solidFill>
          </w14:textFill>
        </w:rPr>
        <w:t>20</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ascii="Times New Roman" w:hAnsi="Times New Roman" w:cs="Times New Roman"/>
          <w:color w:val="000000" w:themeColor="text1"/>
          <w:highlight w:val="none"/>
          <w14:textFill>
            <w14:solidFill>
              <w14:schemeClr w14:val="tx1"/>
            </w14:solidFill>
          </w14:textFill>
        </w:rPr>
        <w:t>0d</w:t>
      </w:r>
      <w:r>
        <w:rPr>
          <w:rFonts w:ascii="Times New Roman" w:hAnsi="Times New Roman" w:cs="Times New Roman"/>
          <w:color w:val="000000" w:themeColor="text1"/>
          <w14:textFill>
            <w14:solidFill>
              <w14:schemeClr w14:val="tx1"/>
            </w14:solidFill>
          </w14:textFill>
        </w:rPr>
        <w:t>发酵处理后，无害化发酵处理为液体有机肥后施用周边的农田。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存储塘的浮动膜在功能上具有以下优势：</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①减少粪便中氨的挥发，减少对周围环境的影响，同时保持粪肥中N含量，有效保留粪肥中氮肥的肥效；</w:t>
      </w:r>
    </w:p>
    <w:p>
      <w:pPr>
        <w:spacing w:line="520" w:lineRule="exac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②由于厌氧发酵存储池有覆盖膜，因此能明显隔离粪便气味对猪场及周边环境的影响。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设计的存储塘进料和出料时都通过服务池，这样能保证安全快速的进出料，同时也不会对膜造成破坏。池底部设计有一定坡度坡向混凝土集水斗，混凝土集水斗再连接至服务池进行进出料。排水泵安装在服务池内，用于向外排放液体肥进行利用，而不对膜造成破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此外，存储系统在不再使用时，可通过移除所安装的膜、设备等材料并回填，能够恢复存储系统安装前的原有地貌，不会对原有地貌造成永久性破坏。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厌氧发酵存储池存储系统简单、施工快捷，存储过程中无渗漏无蒸发，能减少粪便存储过程中粪肥的氮损失，既降低了猪场粪便存储环节的成本，又高效保留了粪便的肥效，同时存储过程中对周边大气、土壤、地下水等也不造成污染，是一种绿色、环保、高效、经济的粪肥存储方式。</w:t>
      </w:r>
    </w:p>
    <w:p>
      <w:pPr>
        <w:pStyle w:val="6"/>
        <w:spacing w:line="413" w:lineRule="auto"/>
        <w:rPr>
          <w:rFonts w:ascii="Times New Roman" w:hAnsi="Times New Roman" w:cs="Times New Roman"/>
          <w:color w:val="000000" w:themeColor="text1"/>
          <w14:textFill>
            <w14:solidFill>
              <w14:schemeClr w14:val="tx1"/>
            </w14:solidFill>
          </w14:textFill>
        </w:rPr>
      </w:pPr>
      <w:bookmarkStart w:id="320" w:name="_Toc22263"/>
      <w:bookmarkStart w:id="321" w:name="_Toc14508"/>
      <w:r>
        <w:rPr>
          <w:rFonts w:ascii="Times New Roman" w:hAnsi="Times New Roman" w:cs="Times New Roman"/>
          <w:color w:val="000000" w:themeColor="text1"/>
          <w14:textFill>
            <w14:solidFill>
              <w14:schemeClr w14:val="tx1"/>
            </w14:solidFill>
          </w14:textFill>
        </w:rPr>
        <w:t>3.4.3 猪粪处理工艺流程及产污环节</w:t>
      </w:r>
      <w:bookmarkEnd w:id="320"/>
      <w:bookmarkEnd w:id="32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工艺，粪便通过固液分离后，固体粪便经堆肥场堆肥暂存、发酵处理后施肥于厂址</w:t>
      </w:r>
      <w:r>
        <w:rPr>
          <w:rFonts w:hint="eastAsia" w:ascii="Times New Roman" w:hAnsi="Times New Roman" w:cs="Times New Roman"/>
          <w:color w:val="000000" w:themeColor="text1"/>
          <w:lang w:val="en-US" w:eastAsia="zh-CN"/>
          <w14:textFill>
            <w14:solidFill>
              <w14:schemeClr w14:val="tx1"/>
            </w14:solidFill>
          </w14:textFill>
        </w:rPr>
        <w:t>周边</w:t>
      </w:r>
      <w:r>
        <w:rPr>
          <w:rFonts w:ascii="Times New Roman" w:hAnsi="Times New Roman" w:cs="Times New Roman"/>
          <w:color w:val="000000" w:themeColor="text1"/>
          <w14:textFill>
            <w14:solidFill>
              <w14:schemeClr w14:val="tx1"/>
            </w14:solidFill>
          </w14:textFill>
        </w:rPr>
        <w:t>农田。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堆肥场必须具有围堰、防雨、防渗、防臭等规范化的工程措施，堆肥场应封闭，减少臭气无组织排放。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本项目堆肥工艺如下：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畜禽养殖业污染防治技术规范》（HJ/T81-2001），用于直接还田的畜禽粪便必须进行无害化处理，参照《农业固体废物污染控制技术导则》（HJ588-2010）中畜禽粪便的处理方法，达到《粪便无害化卫生要求》（GB7959-2012）中畜禽养殖业废渣无害化处置技术要求后还田利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（1）概述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堆肥是指将畜禽粪便等有机固体废物集中堆放并在微生物作用下使有机物发生生物降解，形成一种类似腐殖土壤的过程。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无害化处理是指利用高温、好氧或厌氧等工艺，杀灭畜禽粪污中病原菌、寄生虫和杂草种子的过程。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本项目采用好氧堆肥，即在充分供氧的条件下，利用好氧微生物对废物进行堆肥的方法。</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（2）根据《畜禽养殖业污染治理工程技术规范》（HJ497-2009），堆肥场地的设计满足下列规定：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①堆肥场地一般应由粪便储存池、堆肥场地以及成品堆肥存放场地组成；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②采用间歇式堆肥处理时，粪便储存池的有效体积应按照至少能容纳</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个月粪便产生量计算；</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③应采取防渗措施，不得对地下水造成污染；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④应配置防雨淋设施和雨水排水系统。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（3）堆肥工序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好氧堆肥由预处理、发酵、后处理、贮存等工序组成。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预处理和后处理过程中分选出的石头等杂物应进行妥善处理。畜禽粪便经过预处理调整水分和碳氮比，应符合下列要求：</w:t>
      </w:r>
    </w:p>
    <w:p>
      <w:pPr>
        <w:numPr>
          <w:ilvl w:val="0"/>
          <w:numId w:val="2"/>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堆肥粪便的起始含水率应为40%~60%；</w:t>
      </w:r>
    </w:p>
    <w:p>
      <w:pPr>
        <w:numPr>
          <w:ilvl w:val="0"/>
          <w:numId w:val="2"/>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碳氮比应为20:1~30:1，可通过添加植物秸秆、稻壳等物料进行调节，必要时添加菌剂和酶制剂；</w:t>
      </w:r>
    </w:p>
    <w:p>
      <w:pPr>
        <w:numPr>
          <w:ilvl w:val="0"/>
          <w:numId w:val="2"/>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肥粪便的pH应控制在6.5~8.5。好氧发酵过程应符合下列要求：发酵过程温度控制在55℃~65℃，且持续时间不得少于5d，最高温度不宜超过75℃；堆肥时间应根据碳氮比、湿度、天气条件、堆肥工艺类型及废物和添加剂种类确定；堆肥各点的氧气浓度不应低于10%；</w:t>
      </w:r>
    </w:p>
    <w:p>
      <w:pPr>
        <w:numPr>
          <w:ilvl w:val="0"/>
          <w:numId w:val="2"/>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可适时采用翻堆方式自然通风或设有其它机械通风装置换气，以调节堆肥物料的氧气浓度和温度。发酵结束时，应符合下列要求：碳氮比不大于20:1；含水率为20%~35%；堆肥应符合无害化卫生要求的规定；耗氧速率趋于稳定；腐熟度应大于等于Ⅳ级。发酵完毕后应进行后处理，确保堆肥制品质量合格。后处理包括再干燥、破碎、造粒、过筛、包装至成品等工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（4）堆肥制品应符合下列要求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①堆肥产品存放时，含水率应不高于30%，袋装堆肥含水率应不高于20%；</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②堆肥产品的含盐量应在1%~2%；②成品堆肥外观应为茶褐色或黑褐色，无恶臭，质地松散，具有泥土气味。堆肥场宜设有至少能容纳6个月堆肥产量的贮存设施。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本项目堆肥工艺流程及产污环节如下图3.4-</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4095750" cy="4514850"/>
            <wp:effectExtent l="0" t="0" r="0"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8"/>
                    <a:stretch>
                      <a:fillRect/>
                    </a:stretch>
                  </pic:blipFill>
                  <pic:spPr>
                    <a:xfrm>
                      <a:off x="0" y="0"/>
                      <a:ext cx="4095750" cy="4514850"/>
                    </a:xfrm>
                    <a:prstGeom prst="rect">
                      <a:avLst/>
                    </a:prstGeom>
                  </pic:spPr>
                </pic:pic>
              </a:graphicData>
            </a:graphic>
          </wp:inline>
        </w:drawing>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图3.4-</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 xml:space="preserve">   堆肥工艺流程及产污环节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本项目猪场圈舍粪便采用</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工艺，经固液分离的干鲜粪集中在堆肥场暂存发酵处置。堆肥场设计应满足《畜禽养殖业污染治理工程技术规范》有关规定要求，强化防渗漏、防溢流、防臭措施。</w:t>
      </w:r>
    </w:p>
    <w:p>
      <w:pPr>
        <w:pStyle w:val="6"/>
        <w:spacing w:line="413" w:lineRule="auto"/>
        <w:rPr>
          <w:rFonts w:ascii="Times New Roman" w:hAnsi="Times New Roman" w:cs="Times New Roman"/>
          <w:color w:val="000000" w:themeColor="text1"/>
          <w14:textFill>
            <w14:solidFill>
              <w14:schemeClr w14:val="tx1"/>
            </w14:solidFill>
          </w14:textFill>
        </w:rPr>
      </w:pPr>
      <w:bookmarkStart w:id="322" w:name="_Toc31403"/>
      <w:bookmarkStart w:id="323" w:name="_Toc18850"/>
      <w:r>
        <w:rPr>
          <w:rFonts w:ascii="Times New Roman" w:hAnsi="Times New Roman" w:cs="Times New Roman"/>
          <w:color w:val="000000" w:themeColor="text1"/>
          <w14:textFill>
            <w14:solidFill>
              <w14:schemeClr w14:val="tx1"/>
            </w14:solidFill>
          </w14:textFill>
        </w:rPr>
        <w:t>3.4.4 病死猪尸体处理与处置</w:t>
      </w:r>
      <w:bookmarkEnd w:id="322"/>
      <w:bookmarkEnd w:id="32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（1）处理工艺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类比同类项目，本项目采用先进的高温与生物降解畜禽无害化处理技术和设施。该技术设施已在我国内地很多省市推广应用，鉴于技术发展与相关政策标准规范的时间落差，虽然在《畜禽养殖业污染防治技术规范》（HJ/T81-2001）未提到，但该技术属于国家支持和鼓励研究新型、高效、环保的无害化处理技术和装备。该病死猪尸体无害化处理设施的主要处理工艺如下：</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4067810" cy="3536950"/>
            <wp:effectExtent l="0" t="0" r="8890" b="6350"/>
            <wp:docPr id="1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4"/>
                    <pic:cNvPicPr>
                      <a:picLocks noChangeAspect="1"/>
                    </pic:cNvPicPr>
                  </pic:nvPicPr>
                  <pic:blipFill>
                    <a:blip r:embed="rId19"/>
                    <a:stretch>
                      <a:fillRect/>
                    </a:stretch>
                  </pic:blipFill>
                  <pic:spPr>
                    <a:xfrm>
                      <a:off x="0" y="0"/>
                      <a:ext cx="4067810" cy="3536950"/>
                    </a:xfrm>
                    <a:prstGeom prst="rect">
                      <a:avLst/>
                    </a:prstGeom>
                    <a:noFill/>
                    <a:ln>
                      <a:noFill/>
                    </a:ln>
                  </pic:spPr>
                </pic:pic>
              </a:graphicData>
            </a:graphic>
          </wp:inline>
        </w:drawing>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图3.4-</w:t>
      </w: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 xml:space="preserve">   项目病、死猪尸体无害化处理工艺图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工艺流程简述：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①病害动物及其产品运送到无害化处理间，将处理物直接装入化制筐内；</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②开启罐门，将小推车上的化制筐沿轨道送入湿化机内，关闭罐门；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③根据处理物的种类及数量，设定温度（140～160℃）和压力0.6MPa，进行高温高压灭菌处理，对处理物彻底灭菌；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④待处理过程结束，对处理过程中产生的油和水的混合物打入油水分离设备进行油水分离，得到纯度较高的油脂；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⑤处理结束，开启罐门将化制筐沿轨道拉出，化制筐内残渣根据环卫部门和防疫部门相关要求进行处置；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⑥生产结束后，进行设备及工具消毒。</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设备符合《畜禽病害肉尸及其产品无害化处理规程》（GB/T16548—1996）要求，能完全杀灭国家确定的19种重大动物疫病的致病微生物，可对口蹄疫、猪瘟等46种动物疫病的肉尸病变部位及修割废弃物、腺体等进行无害化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无害化处置设施符合《病死及病害动物无害化处理技术规范》（农医发〔2017〕25号）要求。根据《畜禽养殖业污染防治技术规范》（HJ/T81-2001）的相关规定，企业对病死猪尸体及时处理，严禁随意丢弃，严禁出售或作为饲料再利用。因此，建设单位应严格执行《病死及病害动物无害化处理技术规范》（农医发〔2017〕25号）等相关规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另外，根据《病死及病害动物无害化处理技术规范》（农医发〔2017〕25号），患有炭疽等芽孢杆菌类疫病、牛海绵状脑病、痒病的染疫动物不适用于本处理工艺。本环评要求，若发现芽孢杆菌类疫病、牛海绵状脑病、痒病等可疑病例，应及时报告卫生部门和防疫部门，由卫生部门或防疫部门统一处理动物尸体，严禁建设单位自行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（2）本项目病死猪尸体处置与无害化处理技术规范的符合性分析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照《病死及病害动物无害化处理技术规范》（农医发〔2017〕25号）本项目符合该无害化处理技术规范的目的和适用范围。本项目采用高温与生物降解畜禽无害化处理设施，高温与生物降解畜禽无害化复合处理技术是高温灭菌与生物降解技术的结合，即在特定的处理器中高温灭菌并启动生物降解的过程，处理病害动物尸体，杀灭病原微生物，同时可以实现环保及资源利用。该处理方法属于《病死及病害动物无害化处理技术规范》（农医发〔2017〕25号）规定的高温法范畴，其处置对象，技术工艺、操作注意事项及技术处理指标（例如破碎产物体积、内部灭菌加热温度要求、持续时间等）也符合该技术规范中高温法的处置要求。本项目病死猪尸体无害化处置的收集转运、人员防护、记录要求等严格按照《病死及病害动物无害化处理技术规范》（农医发〔2017〕25号）执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（3）本项目病死猪尸体处置的可行性分析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禽规模养殖污染防治条例》规定：畜禽养殖场、养殖小区应当根据养殖规模和污染防治需要，建设相应的畜禽尸体处理等综合利用和无害化处理设施。《关于建立病死畜禽无害化处理机制的实施意见》（新政办发〔2016〕1号）的要求：县级以上地方人民政府要按照区域化布局、集中和分散处理相结合的原则建立病死畜禽无害化处理体系。</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规模化养殖场，且处置的病死猪尸体量相对较大，不同于一般小型养殖场。采用填埋井占地面积大，且环境污染风险大，无害化处置效果不及高温与生物降解畜禽无害化处理技术。本项目采用高温与生物降解畜禽无害化处理技术，该技术和设施具有以下几个特点和先进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技术创新。将高温灭菌和生物降解技术有机结合，实现了在一体机内动物尸体无害化处理的效果。①灭菌温度大于≥100℃，有效灭菌，生物安全；②发酵降解温度（启动降解）55℃—80℃；③环保，臭气密闭集中收集处理后达标排放，高温灭菌后水分蒸发，无废水排放，是目前病死畜禽无害化处理最为先进和适用的技术。</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工艺创新。①灭菌—降解在同一罐体内进行，先灭菌后降解，灭菌温度大于≥100℃，降解温度55—80℃。②工艺设计具有对动物尸体分切、研磨细碎功能，保证处理效果。③自动化控制，操作简单、安全，经济、适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因此，本项目工程采用动物尸体高温与生物降解畜禽无害化处理设施可行。</w:t>
      </w:r>
    </w:p>
    <w:p>
      <w:pPr>
        <w:pStyle w:val="6"/>
        <w:spacing w:line="413" w:lineRule="auto"/>
        <w:rPr>
          <w:rFonts w:ascii="Times New Roman" w:hAnsi="Times New Roman" w:cs="Times New Roman"/>
          <w:color w:val="000000" w:themeColor="text1"/>
          <w14:textFill>
            <w14:solidFill>
              <w14:schemeClr w14:val="tx1"/>
            </w14:solidFill>
          </w14:textFill>
        </w:rPr>
      </w:pPr>
      <w:bookmarkStart w:id="324" w:name="_Toc10159"/>
      <w:bookmarkStart w:id="325" w:name="_Toc794"/>
      <w:r>
        <w:rPr>
          <w:rFonts w:ascii="Times New Roman" w:hAnsi="Times New Roman" w:cs="Times New Roman"/>
          <w:color w:val="000000" w:themeColor="text1"/>
          <w14:textFill>
            <w14:solidFill>
              <w14:schemeClr w14:val="tx1"/>
            </w14:solidFill>
          </w14:textFill>
        </w:rPr>
        <w:t>3.4.5 疾病防疫与消毒</w:t>
      </w:r>
      <w:bookmarkEnd w:id="324"/>
      <w:bookmarkEnd w:id="325"/>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集约化养殖中疫病的发生、传播具有突发性和骤然性，一旦发生将会全军覆没，损失惨重。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养殖场和圈舍进出处设立消毒池、消毒室等设施。另外还应设置兽医室、隔离舍、</w:t>
      </w:r>
      <w:r>
        <w:rPr>
          <w:rFonts w:hint="eastAsia" w:ascii="Times New Roman" w:hAnsi="Times New Roman" w:cs="Times New Roman"/>
          <w:color w:val="000000" w:themeColor="text1"/>
          <w:lang w:val="en-US" w:eastAsia="zh-CN"/>
          <w14:textFill>
            <w14:solidFill>
              <w14:schemeClr w14:val="tx1"/>
            </w14:solidFill>
          </w14:textFill>
        </w:rPr>
        <w:t>医疗</w:t>
      </w:r>
      <w:r>
        <w:rPr>
          <w:rFonts w:ascii="Times New Roman" w:hAnsi="Times New Roman" w:cs="Times New Roman"/>
          <w:color w:val="000000" w:themeColor="text1"/>
          <w14:textFill>
            <w14:solidFill>
              <w14:schemeClr w14:val="tx1"/>
            </w14:solidFill>
          </w14:textFill>
        </w:rPr>
        <w:t>废物临时贮存场所。养殖场应备有健全的清洗消毒设施，防止疫病传播，并配备对害虫和啮齿动物等的生物防护设施。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（1）防疫</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①在养殖区设立消毒池，池内保持有效的消毒液量及浓度，一般用2%的火碱或1:800倍的消毒威。门口应配备高压消毒枪，对进场车辆进行消毒。</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②建立出入登记制度，养殖场谢绝参观，非生产人员不得进入生产区。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③生产区与生活区间设立隔离带，并设立更衣室，更衣室应清洁、无尘埃，具有紫外线灯及衣物消毒设施。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④饮水池保持清洁无沉积物。排水沟保持畅通无杂物，定期清除杂草；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⑤定点堆放粪便，定期喷洒杀虫剂，防止蚊蝇孳生。设专门供粪车等污染车辆通行的场地。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⑥养殖场员工每年必须进行一次健康检查，如患传染性疾病应及时在场外治疗，痊愈后方可上岗。新招员工必须经健康检查，确认无结核病与其他传染病。</w:t>
      </w:r>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⑦死亡猪尸体应作无害化处理，尸体接触的器具和环境作好清洁及消毒工作。</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⑧淘汰及出售猪只应经检疫并取得检疫合格证明后方可出场。运猪车辆必须经过严格消毒后方可进入指定区域装车。</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⑨当猪发生疑似传染病或附近养殖场出现烈性传染病时，应立即采取隔离封锁和其他应急措施。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（2）日常消毒</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养殖场日常消毒液应采用环境友好型的消毒剂剂和杀菌剂等，不选用含氯消毒剂，防治产生氯代有机物及其他的二次污染，见表3.4-1。采取的消毒措施有紫外线消毒等。</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表3.4-1   本项目消毒液使用情况一览表</w:t>
      </w:r>
    </w:p>
    <w:tbl>
      <w:tblPr>
        <w:tblStyle w:val="27"/>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3539"/>
        <w:gridCol w:w="1537"/>
        <w:gridCol w:w="32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212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名称</w:t>
            </w:r>
          </w:p>
        </w:tc>
        <w:tc>
          <w:tcPr>
            <w:tcW w:w="9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浓度</w:t>
            </w:r>
          </w:p>
        </w:tc>
        <w:tc>
          <w:tcPr>
            <w:tcW w:w="194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适用范围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12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过硫酸盐</w:t>
            </w:r>
          </w:p>
        </w:tc>
        <w:tc>
          <w:tcPr>
            <w:tcW w:w="9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94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圈舍内消毒、洗手消毒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12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枸橼酸</w:t>
            </w:r>
          </w:p>
        </w:tc>
        <w:tc>
          <w:tcPr>
            <w:tcW w:w="9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c>
          <w:tcPr>
            <w:tcW w:w="194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圈舍内消毒、洗手消毒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12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石灰</w:t>
            </w:r>
          </w:p>
        </w:tc>
        <w:tc>
          <w:tcPr>
            <w:tcW w:w="9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94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圈舍外环境、门口消毒池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12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聚维酮碘、硫酸铜、戊二醛</w:t>
            </w:r>
          </w:p>
        </w:tc>
        <w:tc>
          <w:tcPr>
            <w:tcW w:w="9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194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使用范围较广</w:t>
            </w:r>
          </w:p>
        </w:tc>
      </w:tr>
    </w:tbl>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326" w:name="_Toc4367"/>
      <w:bookmarkStart w:id="327" w:name="_Toc24633"/>
      <w:bookmarkStart w:id="328" w:name="_Toc1283"/>
      <w:bookmarkStart w:id="329" w:name="_Toc20321"/>
      <w:r>
        <w:rPr>
          <w:rFonts w:ascii="Times New Roman" w:hAnsi="Times New Roman" w:cs="Times New Roman"/>
          <w:color w:val="000000" w:themeColor="text1"/>
          <w:kern w:val="0"/>
          <w:szCs w:val="30"/>
          <w14:textFill>
            <w14:solidFill>
              <w14:schemeClr w14:val="tx1"/>
            </w14:solidFill>
          </w14:textFill>
        </w:rPr>
        <w:t>3.5 污染源分析</w:t>
      </w:r>
      <w:bookmarkEnd w:id="311"/>
      <w:bookmarkEnd w:id="326"/>
      <w:bookmarkEnd w:id="327"/>
      <w:bookmarkEnd w:id="328"/>
      <w:bookmarkEnd w:id="329"/>
    </w:p>
    <w:p>
      <w:pPr>
        <w:pStyle w:val="6"/>
        <w:spacing w:line="413" w:lineRule="auto"/>
        <w:rPr>
          <w:rFonts w:ascii="Times New Roman" w:hAnsi="Times New Roman" w:cs="Times New Roman"/>
          <w:color w:val="000000" w:themeColor="text1"/>
          <w14:textFill>
            <w14:solidFill>
              <w14:schemeClr w14:val="tx1"/>
            </w14:solidFill>
          </w14:textFill>
        </w:rPr>
      </w:pPr>
      <w:bookmarkStart w:id="330" w:name="_Toc141"/>
      <w:bookmarkStart w:id="331" w:name="_Toc17716"/>
      <w:bookmarkStart w:id="332" w:name="_Toc6473"/>
      <w:r>
        <w:rPr>
          <w:rFonts w:ascii="Times New Roman" w:hAnsi="Times New Roman" w:cs="Times New Roman"/>
          <w:color w:val="000000" w:themeColor="text1"/>
          <w14:textFill>
            <w14:solidFill>
              <w14:schemeClr w14:val="tx1"/>
            </w14:solidFill>
          </w14:textFill>
        </w:rPr>
        <w:t>3.5.1 施工期污染源分析</w:t>
      </w:r>
      <w:bookmarkEnd w:id="330"/>
      <w:bookmarkEnd w:id="331"/>
      <w:bookmarkEnd w:id="33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本项目施工期的主要工艺流程及产污环节见图3.5-1。</w:t>
      </w:r>
    </w:p>
    <w:p>
      <w:pPr>
        <w:pStyle w:val="39"/>
        <w:spacing w:before="0" w:after="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7" o:spt="75" type="#_x0000_t75" style="height:138.65pt;width:424.75pt;" o:ole="t" filled="f" o:preferrelative="t" stroked="f" coordsize="21600,21600">
            <v:path/>
            <v:fill on="f" focussize="0,0"/>
            <v:stroke on="f"/>
            <v:imagedata r:id="rId21" o:title=""/>
            <o:lock v:ext="edit" aspectratio="t"/>
            <w10:wrap type="none"/>
            <w10:anchorlock/>
          </v:shape>
          <o:OLEObject Type="Embed" ProgID="Visio.Drawing.15" ShapeID="_x0000_i1027" DrawAspect="Content" ObjectID="_1468075727" r:id="rId20">
            <o:LockedField>false</o:LockedField>
          </o:OLEObject>
        </w:object>
      </w:r>
      <w:r>
        <w:rPr>
          <w:rFonts w:cs="Times New Roman"/>
          <w:color w:val="000000" w:themeColor="text1"/>
          <w14:textFill>
            <w14:solidFill>
              <w14:schemeClr w14:val="tx1"/>
            </w14:solidFill>
          </w14:textFill>
        </w:rPr>
        <w:t>图3.5-1   建设项目施工期工艺流程及产污环节图</w:t>
      </w:r>
    </w:p>
    <w:p>
      <w:pPr>
        <w:pStyle w:val="7"/>
        <w:rPr>
          <w:rFonts w:cs="Times New Roman"/>
          <w:color w:val="000000" w:themeColor="text1"/>
          <w:kern w:val="0"/>
          <w14:textFill>
            <w14:solidFill>
              <w14:schemeClr w14:val="tx1"/>
            </w14:solidFill>
          </w14:textFill>
        </w:rPr>
      </w:pPr>
      <w:bookmarkStart w:id="333" w:name="_Toc26538"/>
      <w:bookmarkStart w:id="334" w:name="_Toc1722"/>
      <w:r>
        <w:rPr>
          <w:rFonts w:cs="Times New Roman"/>
          <w:color w:val="000000" w:themeColor="text1"/>
          <w:kern w:val="0"/>
          <w14:textFill>
            <w14:solidFill>
              <w14:schemeClr w14:val="tx1"/>
            </w14:solidFill>
          </w14:textFill>
        </w:rPr>
        <w:t>3.5.1.1施工期水污染源分析</w:t>
      </w:r>
      <w:bookmarkEnd w:id="333"/>
      <w:bookmarkEnd w:id="33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施工期废水主要为生产废水和生活污水。施工期产生的生产废水主要为施工设备冲洗过程中产生的废水等。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（1）生产废水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废水来自于材料、设备冲洗和水泥养护等过程，废水中主要以悬浮物为主，未经处理的施工废水水质pH：9～12，SS：3000～5000mg/l，考虑项目废水流动性强，废水处理单元简单，处理效果明显的要求，项目施工废水选用沉淀池并进行防渗，经沉淀分离后的上清液回用于施工场地洒水降尘，不外排；沉淀泥浆固化后应定期及时清运至建筑垃圾堆放场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（2）生活污水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本项目施工人员工地不设置宿舍和食堂。项目施工人员约为40人，由于施工人员食宿均不在施工工地，则生活用水取50L/人·d。有效施工期按照330天计算，生活用水量为660m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。生活污水排放量按用水量的80%计，则生活污水排放量共528m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。类比同类型污水水质，工程排放生活污水中主要污染物为COD</w:t>
      </w:r>
      <w:r>
        <w:rPr>
          <w:rFonts w:ascii="Times New Roman" w:hAnsi="Times New Roman" w:cs="Times New Roman"/>
          <w:color w:val="000000" w:themeColor="text1"/>
          <w:vertAlign w:val="subscript"/>
          <w14:textFill>
            <w14:solidFill>
              <w14:schemeClr w14:val="tx1"/>
            </w14:solidFill>
          </w14:textFill>
        </w:rPr>
        <w:t>cr</w:t>
      </w:r>
      <w:r>
        <w:rPr>
          <w:rFonts w:ascii="Times New Roman" w:hAnsi="Times New Roman" w:cs="Times New Roman"/>
          <w:color w:val="000000" w:themeColor="text1"/>
          <w14:textFill>
            <w14:solidFill>
              <w14:schemeClr w14:val="tx1"/>
            </w14:solidFill>
          </w14:textFill>
        </w:rPr>
        <w:t>、BOD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-N和SS，各污染物浓度分别为：COD</w:t>
      </w:r>
      <w:r>
        <w:rPr>
          <w:rFonts w:ascii="Times New Roman" w:hAnsi="Times New Roman" w:cs="Times New Roman"/>
          <w:color w:val="000000" w:themeColor="text1"/>
          <w:vertAlign w:val="subscript"/>
          <w14:textFill>
            <w14:solidFill>
              <w14:schemeClr w14:val="tx1"/>
            </w14:solidFill>
          </w14:textFill>
        </w:rPr>
        <w:t>cr</w:t>
      </w:r>
      <w:r>
        <w:rPr>
          <w:rFonts w:ascii="Times New Roman" w:hAnsi="Times New Roman" w:cs="Times New Roman"/>
          <w:color w:val="000000" w:themeColor="text1"/>
          <w14:textFill>
            <w14:solidFill>
              <w14:schemeClr w14:val="tx1"/>
            </w14:solidFill>
          </w14:textFill>
        </w:rPr>
        <w:t>：280mg/L、BOD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：160mg/L、NH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-N：30mg/L、SS：200mg/L。施工期建设临时防渗化粪池，生活污水由化粪池暂存，定期委托环卫部门采用吸污车清运至昌吉国家农业科技园区精深加工示范区污水处理厂处理。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昌吉国家农业科技园区精深加工示范区污水处理厂位于园区加工区西北部，于2018年取得原新疆维吾尔自治区环境保护厅批复文件（新环函〔2018〕945号），总占地面积130亩，近期建设规模为0.5万m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该污水处理厂预处理单元采用“格栅+曝气沉砂”工艺，生化单元采用改良“CAST生化池”工艺，深度处理单元采用“高效沉淀池+纤维转盘滤池”，污泥处理采用“浓缩+离心脱水+卫生填埋处理”方案。污水处理后水质达到《城镇污水处理厂污染物排放标准》（GB18918-2002）中一级A标准，出水回用于工业生产、园区绿化和退耕林地灌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施工期间产生的生活污水水质及污染物产生情况见表3.5-1。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   施工期生活污水及污染物产生量一览表</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957"/>
        <w:gridCol w:w="1527"/>
        <w:gridCol w:w="1208"/>
        <w:gridCol w:w="1208"/>
        <w:gridCol w:w="1203"/>
        <w:gridCol w:w="120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w:t>
            </w:r>
          </w:p>
        </w:tc>
        <w:tc>
          <w:tcPr>
            <w:tcW w:w="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污水量</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COD</w:t>
            </w:r>
            <w:r>
              <w:rPr>
                <w:rFonts w:ascii="Times New Roman" w:hAnsi="Times New Roman" w:cs="Times New Roman"/>
                <w:b/>
                <w:bCs/>
                <w:color w:val="000000" w:themeColor="text1"/>
                <w:sz w:val="21"/>
                <w:szCs w:val="21"/>
                <w:vertAlign w:val="subscript"/>
                <w14:textFill>
                  <w14:solidFill>
                    <w14:schemeClr w14:val="tx1"/>
                  </w14:solidFill>
                </w14:textFill>
              </w:rPr>
              <w:t>Cr</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BOD</w:t>
            </w:r>
            <w:r>
              <w:rPr>
                <w:rFonts w:ascii="Times New Roman" w:hAnsi="Times New Roman" w:cs="Times New Roman"/>
                <w:b/>
                <w:bCs/>
                <w:color w:val="000000" w:themeColor="text1"/>
                <w:sz w:val="21"/>
                <w:szCs w:val="21"/>
                <w:vertAlign w:val="subscript"/>
                <w14:textFill>
                  <w14:solidFill>
                    <w14:schemeClr w14:val="tx1"/>
                  </w14:solidFill>
                </w14:textFill>
              </w:rPr>
              <w:t>5</w:t>
            </w:r>
          </w:p>
        </w:tc>
        <w:tc>
          <w:tcPr>
            <w:tcW w:w="7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NH</w:t>
            </w:r>
            <w:r>
              <w:rPr>
                <w:rFonts w:ascii="Times New Roman" w:hAnsi="Times New Roman" w:cs="Times New Roman"/>
                <w:b/>
                <w:bCs/>
                <w:color w:val="000000" w:themeColor="text1"/>
                <w:sz w:val="21"/>
                <w:szCs w:val="21"/>
                <w:vertAlign w:val="subscript"/>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-N</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SS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产生浓度（mg/L）</w:t>
            </w:r>
          </w:p>
        </w:tc>
        <w:tc>
          <w:tcPr>
            <w:tcW w:w="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280</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160</w:t>
            </w:r>
          </w:p>
        </w:tc>
        <w:tc>
          <w:tcPr>
            <w:tcW w:w="7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年产生量（t）</w:t>
            </w:r>
          </w:p>
        </w:tc>
        <w:tc>
          <w:tcPr>
            <w:tcW w:w="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528m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/a</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0.148</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0.084</w:t>
            </w:r>
          </w:p>
        </w:tc>
        <w:tc>
          <w:tcPr>
            <w:tcW w:w="7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0.016</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0.106</w:t>
            </w:r>
          </w:p>
        </w:tc>
      </w:tr>
    </w:tbl>
    <w:p>
      <w:pPr>
        <w:pStyle w:val="7"/>
        <w:rPr>
          <w:rFonts w:cs="Times New Roman"/>
          <w:color w:val="000000" w:themeColor="text1"/>
          <w:kern w:val="0"/>
          <w14:textFill>
            <w14:solidFill>
              <w14:schemeClr w14:val="tx1"/>
            </w14:solidFill>
          </w14:textFill>
        </w:rPr>
      </w:pPr>
      <w:bookmarkStart w:id="335" w:name="_Toc19573"/>
      <w:bookmarkStart w:id="336" w:name="_Toc29306"/>
      <w:r>
        <w:rPr>
          <w:rFonts w:cs="Times New Roman"/>
          <w:color w:val="000000" w:themeColor="text1"/>
          <w:kern w:val="0"/>
          <w14:textFill>
            <w14:solidFill>
              <w14:schemeClr w14:val="tx1"/>
            </w14:solidFill>
          </w14:textFill>
        </w:rPr>
        <w:t>3.5.1.2 施工期大气污染源分析</w:t>
      </w:r>
      <w:bookmarkEnd w:id="335"/>
      <w:bookmarkEnd w:id="33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（1）扬尘</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在建设施工过程中，土石方开挖活动、建材运输车辆和建材堆置会引起一定的扬尘等。汽车和载重汽车在转运土石方过程中会产生一定的扬尘，将对施工及沿途区域的环境空气质量造成一定程度的影响。其产生量与路面种类、天气状况以及汽车运行速度等因素有关。据国内测定资料：当运石车以4m/s（14.4km/h）速度运行时，汽车经过的路面空气中粉尘量约为10~15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。本工程区内多为简易公路，汽车行进速度＜15km/h，因此扬尘产生量＜15mg/m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（2）施工机械尾气</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施工期施工机械运行产生的燃油废气、运输车辆运输产生的尾气均是动力燃料柴油和汽油燃烧后所产生，是影响空气环境的主要污染物之一，主要成份是碳氢化合物、CO和NO</w:t>
      </w:r>
      <w:r>
        <w:rPr>
          <w:rFonts w:ascii="Times New Roman" w:hAnsi="Times New Roman" w:cs="Times New Roman"/>
          <w:color w:val="000000" w:themeColor="text1"/>
          <w:vertAlign w:val="subscript"/>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t>，属无组织排放。随着施工活动的结束，施工期的废气影响随即消失。</w:t>
      </w:r>
    </w:p>
    <w:p>
      <w:pPr>
        <w:pStyle w:val="7"/>
        <w:rPr>
          <w:rFonts w:cs="Times New Roman"/>
          <w:color w:val="000000" w:themeColor="text1"/>
          <w:kern w:val="0"/>
          <w14:textFill>
            <w14:solidFill>
              <w14:schemeClr w14:val="tx1"/>
            </w14:solidFill>
          </w14:textFill>
        </w:rPr>
      </w:pPr>
      <w:bookmarkStart w:id="337" w:name="_Toc14431"/>
      <w:bookmarkStart w:id="338" w:name="_Toc32688"/>
    </w:p>
    <w:p>
      <w:pPr>
        <w:pStyle w:val="7"/>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3.5.1.3 施工期噪声污染源分析</w:t>
      </w:r>
      <w:bookmarkEnd w:id="337"/>
      <w:bookmarkEnd w:id="33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施工期噪声主要来自两个方面，一是建筑施工活动和工程施工机械噪声，二是运输车辆的交通噪声；此外，在设备安装过程也有可能产生噪声污染。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施工机械噪声污染源为各种施工机械、运输车辆等使用和运行过程中产生的施工噪声。常用施工机械及车辆噪声源强见表3.5-2。</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表3.5-2   常用施工机械噪声源强表  单位：dB（A）</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2741"/>
        <w:gridCol w:w="2182"/>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2"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施工阶段</w:t>
            </w:r>
          </w:p>
        </w:tc>
        <w:tc>
          <w:tcPr>
            <w:tcW w:w="1608"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施工机械</w:t>
            </w:r>
          </w:p>
        </w:tc>
        <w:tc>
          <w:tcPr>
            <w:tcW w:w="1280"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平均声级（dB（A））</w:t>
            </w:r>
          </w:p>
        </w:tc>
        <w:tc>
          <w:tcPr>
            <w:tcW w:w="1208"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测量距离（m）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土方</w:t>
            </w:r>
          </w:p>
        </w:tc>
        <w:tc>
          <w:tcPr>
            <w:tcW w:w="16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挖掘机</w:t>
            </w:r>
          </w:p>
        </w:tc>
        <w:tc>
          <w:tcPr>
            <w:tcW w:w="12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84</w:t>
            </w:r>
          </w:p>
        </w:tc>
        <w:tc>
          <w:tcPr>
            <w:tcW w:w="12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推土机</w:t>
            </w:r>
          </w:p>
        </w:tc>
        <w:tc>
          <w:tcPr>
            <w:tcW w:w="12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81</w:t>
            </w:r>
          </w:p>
        </w:tc>
        <w:tc>
          <w:tcPr>
            <w:tcW w:w="12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装载机</w:t>
            </w:r>
          </w:p>
        </w:tc>
        <w:tc>
          <w:tcPr>
            <w:tcW w:w="12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71</w:t>
            </w:r>
          </w:p>
        </w:tc>
        <w:tc>
          <w:tcPr>
            <w:tcW w:w="12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结构</w:t>
            </w:r>
          </w:p>
        </w:tc>
        <w:tc>
          <w:tcPr>
            <w:tcW w:w="16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混凝土搅拌机</w:t>
            </w:r>
          </w:p>
        </w:tc>
        <w:tc>
          <w:tcPr>
            <w:tcW w:w="12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79</w:t>
            </w:r>
          </w:p>
        </w:tc>
        <w:tc>
          <w:tcPr>
            <w:tcW w:w="12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混凝土振捣器</w:t>
            </w:r>
          </w:p>
        </w:tc>
        <w:tc>
          <w:tcPr>
            <w:tcW w:w="12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80</w:t>
            </w:r>
          </w:p>
        </w:tc>
        <w:tc>
          <w:tcPr>
            <w:tcW w:w="1208"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本项目的建设过程中，需经过土地平整、挖掘、基础水泥浇筑等工序。在此期间，建设区域较为空旷，同时建筑所需的机械设备基本无隔声、防振等措施，因此在建设施工阶段所产生的噪声源声级较高，且噪声的传播条件较好，对周边地区环境的造成一定影响。</w:t>
      </w:r>
    </w:p>
    <w:p>
      <w:pPr>
        <w:pStyle w:val="7"/>
        <w:rPr>
          <w:rFonts w:cs="Times New Roman"/>
          <w:color w:val="000000" w:themeColor="text1"/>
          <w:kern w:val="0"/>
          <w14:textFill>
            <w14:solidFill>
              <w14:schemeClr w14:val="tx1"/>
            </w14:solidFill>
          </w14:textFill>
        </w:rPr>
      </w:pPr>
      <w:bookmarkStart w:id="339" w:name="_Toc11190"/>
      <w:bookmarkStart w:id="340" w:name="_Toc24732"/>
      <w:r>
        <w:rPr>
          <w:rFonts w:cs="Times New Roman"/>
          <w:color w:val="000000" w:themeColor="text1"/>
          <w:kern w:val="0"/>
          <w14:textFill>
            <w14:solidFill>
              <w14:schemeClr w14:val="tx1"/>
            </w14:solidFill>
          </w14:textFill>
        </w:rPr>
        <w:t>3.5.1.4 施工期固废污染源分析</w:t>
      </w:r>
      <w:bookmarkEnd w:id="339"/>
      <w:bookmarkEnd w:id="34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本项目施工期固废主要包括建筑垃圾、废包装材料和施工人员生活垃圾。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（1）施工土石方及建筑垃圾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施工期产生的建筑垃圾主要包括开挖产生的土石方、混凝土废料、砂石、碎砖、废钢板等。本工程总挖方34500m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，总填方31000m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，工程弃方3500m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；产生的废钢筋可进行回收；对于不能回收的建筑垃圾，如混凝土废料、碎砖、砂石等材料，经集中收集后及时清运至填埋场处理。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（2）废包装材料</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施工期设备安装过程中废包装材料以塑料、纸板、木板等为主，预计产生量约0.2t，应分类收集后统一外售至废旧资源回收站。</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（3）生活垃圾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项目施工高峰期施工人员按40人计，生活垃圾按0.5kg/人·d计，施工期间生活垃圾产生量约20kg/d。施工人员生活垃圾</w:t>
      </w:r>
      <w:r>
        <w:rPr>
          <w:rFonts w:hint="eastAsia" w:ascii="Times New Roman" w:hAnsi="Times New Roman" w:cs="Times New Roman"/>
          <w:color w:val="000000" w:themeColor="text1"/>
          <w:lang w:val="en-US" w:eastAsia="zh-CN"/>
          <w14:textFill>
            <w14:solidFill>
              <w14:schemeClr w14:val="tx1"/>
            </w14:solidFill>
          </w14:textFill>
        </w:rPr>
        <w:t>产生的</w:t>
      </w:r>
      <w:r>
        <w:rPr>
          <w:rFonts w:ascii="Times New Roman" w:hAnsi="Times New Roman" w:cs="Times New Roman"/>
          <w:color w:val="000000" w:themeColor="text1"/>
          <w14:textFill>
            <w14:solidFill>
              <w14:schemeClr w14:val="tx1"/>
            </w14:solidFill>
          </w14:textFill>
        </w:rPr>
        <w:t>生活垃圾经集中收集后，定期拉运至生活垃圾填埋场集中处理。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昌吉市城市生活垃圾综合处理项目位于昌吉市榆树沟镇312国道53km处，占地76.4公顷，日处理规模520t，总库容459.1万m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，有效库容223万m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，服务年限为20年。2002年11月21日取得原新疆维吾尔自治区生态环境厅批复（新环监函〔2002〕246号），于2019年3月完成并通过了该项目的竣工环境保护验收。</w:t>
      </w:r>
    </w:p>
    <w:p>
      <w:pPr>
        <w:pStyle w:val="6"/>
        <w:spacing w:line="413" w:lineRule="auto"/>
        <w:rPr>
          <w:rFonts w:ascii="Times New Roman" w:hAnsi="Times New Roman" w:cs="Times New Roman"/>
          <w:color w:val="000000" w:themeColor="text1"/>
          <w14:textFill>
            <w14:solidFill>
              <w14:schemeClr w14:val="tx1"/>
            </w14:solidFill>
          </w14:textFill>
        </w:rPr>
      </w:pPr>
      <w:bookmarkStart w:id="341" w:name="_Toc23200"/>
      <w:bookmarkStart w:id="342" w:name="_Toc30301"/>
      <w:bookmarkStart w:id="343" w:name="_Toc11048"/>
      <w:r>
        <w:rPr>
          <w:rFonts w:ascii="Times New Roman" w:hAnsi="Times New Roman" w:cs="Times New Roman"/>
          <w:color w:val="000000" w:themeColor="text1"/>
          <w14:textFill>
            <w14:solidFill>
              <w14:schemeClr w14:val="tx1"/>
            </w14:solidFill>
          </w14:textFill>
        </w:rPr>
        <w:t>3.5.2 运营期污染源分析</w:t>
      </w:r>
      <w:bookmarkEnd w:id="341"/>
      <w:bookmarkEnd w:id="342"/>
      <w:bookmarkEnd w:id="343"/>
    </w:p>
    <w:p>
      <w:pPr>
        <w:pStyle w:val="7"/>
        <w:rPr>
          <w:rFonts w:cs="Times New Roman"/>
          <w:color w:val="000000" w:themeColor="text1"/>
          <w:kern w:val="0"/>
          <w14:textFill>
            <w14:solidFill>
              <w14:schemeClr w14:val="tx1"/>
            </w14:solidFill>
          </w14:textFill>
        </w:rPr>
      </w:pPr>
      <w:bookmarkStart w:id="344" w:name="_Toc21760"/>
      <w:bookmarkStart w:id="345" w:name="_Toc26758"/>
      <w:r>
        <w:rPr>
          <w:rFonts w:cs="Times New Roman"/>
          <w:color w:val="000000" w:themeColor="text1"/>
          <w:kern w:val="0"/>
          <w14:textFill>
            <w14:solidFill>
              <w14:schemeClr w14:val="tx1"/>
            </w14:solidFill>
          </w14:textFill>
        </w:rPr>
        <w:t>3.5.2.1 运营期水污染源分析</w:t>
      </w:r>
      <w:bookmarkEnd w:id="344"/>
      <w:bookmarkEnd w:id="345"/>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本项目废水主要包括养殖废水（猪尿、猪粪滤液、猪舍冲洗废水）和职工产生的生活污水。</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（1）废水来源及废水量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1）养殖废水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①猪尿</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饮水一部分为体能生长消耗，一部分形成尿，一部分进入猪粪。由于养殖方式、季节、猪群构成的不同，各养猪场会产生一定差异。本项目（夏季除外）猪尿、猪粪的产生量参照《畜禽养殖业污染治理工程技术规范》（HJ 497-2009）附录A中“表A.2 不同畜禽粪污日排泄量”计，夏季按参照值增加20%计。</w:t>
      </w:r>
    </w:p>
    <w:p>
      <w:pPr>
        <w:pStyle w:val="9"/>
        <w:spacing w:line="520" w:lineRule="exact"/>
        <w:ind w:firstLine="0" w:firstLineChars="0"/>
        <w:contextualSpacing/>
        <w:jc w:val="center"/>
        <w:rPr>
          <w:rFonts w:ascii="Times New Roman" w:hAnsi="Times New Roman" w:cs="Times New Roman"/>
          <w:b/>
          <w:color w:val="000000" w:themeColor="text1"/>
          <w:kern w:val="0"/>
          <w:sz w:val="21"/>
          <w:szCs w:val="21"/>
          <w14:textFill>
            <w14:solidFill>
              <w14:schemeClr w14:val="tx1"/>
            </w14:solidFill>
          </w14:textFill>
        </w:rPr>
      </w:pPr>
      <w:r>
        <w:rPr>
          <w:rFonts w:ascii="Times New Roman" w:hAnsi="Times New Roman" w:cs="Times New Roman"/>
          <w:b/>
          <w:color w:val="000000" w:themeColor="text1"/>
          <w:kern w:val="0"/>
          <w:sz w:val="21"/>
          <w:szCs w:val="21"/>
          <w14:textFill>
            <w14:solidFill>
              <w14:schemeClr w14:val="tx1"/>
            </w14:solidFill>
          </w14:textFill>
        </w:rPr>
        <w:t>表3.5-3    粪污日排泄量参数</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66"/>
        <w:gridCol w:w="2770"/>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trPr>
        <w:tc>
          <w:tcPr>
            <w:tcW w:w="1664"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项目</w:t>
            </w:r>
          </w:p>
        </w:tc>
        <w:tc>
          <w:tcPr>
            <w:tcW w:w="1666"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单位</w:t>
            </w:r>
          </w:p>
        </w:tc>
        <w:tc>
          <w:tcPr>
            <w:tcW w:w="1669"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排泄参数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664"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粪</w:t>
            </w:r>
          </w:p>
        </w:tc>
        <w:tc>
          <w:tcPr>
            <w:tcW w:w="166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kg/（只·d）</w:t>
            </w:r>
          </w:p>
        </w:tc>
        <w:tc>
          <w:tcPr>
            <w:tcW w:w="1669"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664"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6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kg/（只·a）</w:t>
            </w:r>
          </w:p>
        </w:tc>
        <w:tc>
          <w:tcPr>
            <w:tcW w:w="1669"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664"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尿</w:t>
            </w:r>
          </w:p>
        </w:tc>
        <w:tc>
          <w:tcPr>
            <w:tcW w:w="166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kg/（只·d）</w:t>
            </w:r>
          </w:p>
        </w:tc>
        <w:tc>
          <w:tcPr>
            <w:tcW w:w="1669"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1664"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66"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kg/（只·a）</w:t>
            </w:r>
          </w:p>
        </w:tc>
        <w:tc>
          <w:tcPr>
            <w:tcW w:w="1669"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000" w:type="pct"/>
            <w:gridSpan w:val="3"/>
            <w:vAlign w:val="center"/>
          </w:tcPr>
          <w:p>
            <w:pPr>
              <w:pStyle w:val="4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备注：本项目生产天数为300天，夏季按100天计，其他季节按200天计。</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本项目常年存栏猪为8万头，则夏季猪尿产生量为316.8m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/d（3.168万m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/a），其他季节猪尿产生量为264m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/d（5.28万m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/a），总计580.8m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/d（8.448万m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②猪粪滤液</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根据《畜禽养殖业污染治理工程技术规范》（HJ 497-2009）附录A中“表A.2 不同畜禽粪污日排泄量”，本项目猪粪排泄量为160m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/d（4.8万m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/a）。项目采用</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工艺，粪便经漏缝地板+虹吸管吸入集粪池，粪尿混合物用固液分离机机械分离，集粪车的粪污经干稀分离后，固形物用粪车集中运至堆肥场堆肥。根据类比新疆泰昆集团有限责任公司已投入运营的种猪</w:t>
      </w:r>
      <w:r>
        <w:rPr>
          <w:rFonts w:hint="eastAsia" w:ascii="Times New Roman" w:hAnsi="Times New Roman" w:cs="Times New Roman"/>
          <w:color w:val="000000" w:themeColor="text1"/>
          <w:lang w:val="en-US" w:eastAsia="zh-CN"/>
          <w14:textFill>
            <w14:solidFill>
              <w14:schemeClr w14:val="tx1"/>
            </w14:solidFill>
          </w14:textFill>
        </w:rPr>
        <w:t>育肥</w:t>
      </w:r>
      <w:r>
        <w:rPr>
          <w:rFonts w:ascii="Times New Roman" w:hAnsi="Times New Roman" w:cs="Times New Roman"/>
          <w:color w:val="000000" w:themeColor="text1"/>
          <w14:textFill>
            <w14:solidFill>
              <w14:schemeClr w14:val="tx1"/>
            </w14:solidFill>
          </w14:textFill>
        </w:rPr>
        <w:t>场运营经验，粪尿经固液分离后，约有30%滤液产生量，即1.44万m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/a。其余70%作为粪渣好氧堆肥生产有机肥基料。</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③猪舍冲洗废水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粪便经漏缝地板+虹吸管吸入集粪池，粪尿混合物用机械分离，项目每栋猪舍只在育肥猪出栏之后、仔猪进栏之前进行冲洗一次，一年共冲洗2-3次。根据《生猪养殖饮用水及排水数据定额》，猪舍冲洗夏季用水0.6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/百头·d，冬季用水0.4m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/百头·d，春秋季用水0.5m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/百头·d，本项目冲洗用水量以0.6m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/百头·d计，项目年存栏量为8万头，则本项目猪舍冲洗用水量为1440m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/a。猪舍冲洗废水产生量按用水量的90%计，猪舍全年废水量为1296m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综上，本项目采用</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工艺，养殖废水（猪尿、猪粪滤液和猪舍冲洗废水）总量为10.02万m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/a，折合成每天百头猪排放量约0.42m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，低于《畜禽养殖业污染物排放标准》（GB18596-2001）中的集约化养殖场最高允许排水量限制（冬季1.2m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/百头·天、夏季1.8m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/百头·天）。</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2）生活污水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本项目猪场设职工食宿，全部工作人数为35人。按每人用水100L/d计，每天新鲜水用水量为3.5m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/d（1050m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/a）。污水产生系数按0.8计，则产生的污水量为2.8m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/d（840m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（2）废水水质情况</w:t>
      </w:r>
    </w:p>
    <w:p>
      <w:pPr>
        <w:spacing w:line="520" w:lineRule="exac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1）养殖废水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本项目养殖废水总量为</w:t>
      </w:r>
      <w:r>
        <w:rPr>
          <w:rFonts w:hint="eastAsia" w:ascii="Times New Roman" w:hAnsi="Times New Roman" w:cs="Times New Roman"/>
          <w:color w:val="000000" w:themeColor="text1"/>
          <w14:textFill>
            <w14:solidFill>
              <w14:schemeClr w14:val="tx1"/>
            </w14:solidFill>
          </w14:textFill>
        </w:rPr>
        <w:t>10.02</w:t>
      </w:r>
      <w:r>
        <w:rPr>
          <w:rFonts w:ascii="Times New Roman" w:hAnsi="Times New Roman" w:cs="Times New Roman"/>
          <w:color w:val="000000" w:themeColor="text1"/>
          <w14:textFill>
            <w14:solidFill>
              <w14:schemeClr w14:val="tx1"/>
            </w14:solidFill>
          </w14:textFill>
        </w:rPr>
        <w:t>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/a，本项目采用</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工艺，则养殖废水水质浓度参考《畜禽养殖业污染治理工程技术规范》（HJ 497-2009）附录A中“表A.1 畜禽养殖场废水中的污染物质量浓度和pH值”参考数据，并类比新疆泰昆集团有限责任公司已投入运营的种猪</w:t>
      </w:r>
      <w:r>
        <w:rPr>
          <w:rFonts w:hint="eastAsia" w:ascii="Times New Roman" w:hAnsi="Times New Roman" w:cs="Times New Roman"/>
          <w:color w:val="000000" w:themeColor="text1"/>
          <w:lang w:val="en-US" w:eastAsia="zh-CN"/>
          <w14:textFill>
            <w14:solidFill>
              <w14:schemeClr w14:val="tx1"/>
            </w14:solidFill>
          </w14:textFill>
        </w:rPr>
        <w:t>育肥</w:t>
      </w:r>
      <w:r>
        <w:rPr>
          <w:rFonts w:ascii="Times New Roman" w:hAnsi="Times New Roman" w:cs="Times New Roman"/>
          <w:color w:val="000000" w:themeColor="text1"/>
          <w14:textFill>
            <w14:solidFill>
              <w14:schemeClr w14:val="tx1"/>
            </w14:solidFill>
          </w14:textFill>
        </w:rPr>
        <w:t>场废水水质。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本项目产生的养殖废水水质</w:t>
      </w:r>
      <w:r>
        <w:rPr>
          <w:rFonts w:hint="eastAsia" w:ascii="Times New Roman" w:hAnsi="Times New Roman" w:cs="Times New Roman"/>
          <w:color w:val="000000" w:themeColor="text1"/>
          <w14:textFill>
            <w14:solidFill>
              <w14:schemeClr w14:val="tx1"/>
            </w14:solidFill>
          </w14:textFill>
        </w:rPr>
        <w:t>及污染物产生量</w:t>
      </w:r>
      <w:r>
        <w:rPr>
          <w:rFonts w:ascii="Times New Roman" w:hAnsi="Times New Roman" w:cs="Times New Roman"/>
          <w:color w:val="000000" w:themeColor="text1"/>
          <w14:textFill>
            <w14:solidFill>
              <w14:schemeClr w14:val="tx1"/>
            </w14:solidFill>
          </w14:textFill>
        </w:rPr>
        <w:t>详见表3.5-</w:t>
      </w: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w:t>
      </w:r>
    </w:p>
    <w:p>
      <w:pPr>
        <w:pStyle w:val="39"/>
        <w:snapToGrid w:val="0"/>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w:t>
      </w:r>
      <w:r>
        <w:rPr>
          <w:rFonts w:hint="eastAsia"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 xml:space="preserve">   本项目养殖废水</w:t>
      </w:r>
      <w:r>
        <w:rPr>
          <w:rFonts w:hint="eastAsia" w:cs="Times New Roman"/>
          <w:color w:val="000000" w:themeColor="text1"/>
          <w14:textFill>
            <w14:solidFill>
              <w14:schemeClr w14:val="tx1"/>
            </w14:solidFill>
          </w14:textFill>
        </w:rPr>
        <w:t>水质及污染物产生量</w:t>
      </w:r>
      <w:r>
        <w:rPr>
          <w:rFonts w:cs="Times New Roman"/>
          <w:color w:val="000000" w:themeColor="text1"/>
          <w14:textFill>
            <w14:solidFill>
              <w14:schemeClr w14:val="tx1"/>
            </w14:solidFill>
          </w14:textFill>
        </w:rPr>
        <w:t>一览表</w:t>
      </w:r>
    </w:p>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2"/>
        <w:gridCol w:w="2026"/>
        <w:gridCol w:w="859"/>
        <w:gridCol w:w="859"/>
        <w:gridCol w:w="859"/>
        <w:gridCol w:w="859"/>
        <w:gridCol w:w="859"/>
        <w:gridCol w:w="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atLeast"/>
        </w:trPr>
        <w:tc>
          <w:tcPr>
            <w:tcW w:w="68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污水产生量</w:t>
            </w:r>
          </w:p>
        </w:tc>
        <w:tc>
          <w:tcPr>
            <w:tcW w:w="1218"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w:t>
            </w:r>
          </w:p>
        </w:tc>
        <w:tc>
          <w:tcPr>
            <w:tcW w:w="516"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COD</w:t>
            </w:r>
            <w:r>
              <w:rPr>
                <w:rFonts w:ascii="Times New Roman" w:hAnsi="Times New Roman" w:cs="Times New Roman"/>
                <w:b/>
                <w:bCs/>
                <w:color w:val="000000" w:themeColor="text1"/>
                <w:sz w:val="21"/>
                <w:szCs w:val="21"/>
                <w:vertAlign w:val="subscript"/>
                <w14:textFill>
                  <w14:solidFill>
                    <w14:schemeClr w14:val="tx1"/>
                  </w14:solidFill>
                </w14:textFill>
              </w:rPr>
              <w:t>Cr</w:t>
            </w:r>
          </w:p>
        </w:tc>
        <w:tc>
          <w:tcPr>
            <w:tcW w:w="516"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BOD</w:t>
            </w:r>
            <w:r>
              <w:rPr>
                <w:rFonts w:hint="eastAsia" w:ascii="Times New Roman" w:hAnsi="Times New Roman" w:cs="Times New Roman"/>
                <w:b/>
                <w:bCs/>
                <w:color w:val="000000" w:themeColor="text1"/>
                <w:sz w:val="21"/>
                <w:szCs w:val="21"/>
                <w:vertAlign w:val="subscript"/>
                <w14:textFill>
                  <w14:solidFill>
                    <w14:schemeClr w14:val="tx1"/>
                  </w14:solidFill>
                </w14:textFill>
              </w:rPr>
              <w:t>5</w:t>
            </w:r>
          </w:p>
        </w:tc>
        <w:tc>
          <w:tcPr>
            <w:tcW w:w="516"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NH</w:t>
            </w:r>
            <w:r>
              <w:rPr>
                <w:rFonts w:ascii="Times New Roman" w:hAnsi="Times New Roman" w:cs="Times New Roman"/>
                <w:b/>
                <w:bCs/>
                <w:color w:val="000000" w:themeColor="text1"/>
                <w:sz w:val="21"/>
                <w:szCs w:val="21"/>
                <w:vertAlign w:val="subscript"/>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-N</w:t>
            </w:r>
          </w:p>
        </w:tc>
        <w:tc>
          <w:tcPr>
            <w:tcW w:w="516"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SS</w:t>
            </w:r>
          </w:p>
        </w:tc>
        <w:tc>
          <w:tcPr>
            <w:tcW w:w="516"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TP</w:t>
            </w:r>
          </w:p>
        </w:tc>
        <w:tc>
          <w:tcPr>
            <w:tcW w:w="517"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81" w:type="pct"/>
            <w:vMerge w:val="restar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10.02</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万m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/a</w:t>
            </w:r>
          </w:p>
        </w:tc>
        <w:tc>
          <w:tcPr>
            <w:tcW w:w="121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污染物浓度（mg/L）</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640</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748</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w:t>
            </w:r>
            <w:r>
              <w:rPr>
                <w:rFonts w:hint="eastAsia" w:ascii="Times New Roman" w:hAnsi="Times New Roman" w:cs="Times New Roman"/>
                <w:color w:val="000000" w:themeColor="text1"/>
                <w:sz w:val="21"/>
                <w:szCs w:val="21"/>
                <w14:textFill>
                  <w14:solidFill>
                    <w14:schemeClr w14:val="tx1"/>
                  </w14:solidFill>
                </w14:textFill>
              </w:rPr>
              <w:t>1</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827</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43.5</w:t>
            </w:r>
          </w:p>
        </w:tc>
        <w:tc>
          <w:tcPr>
            <w:tcW w:w="51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681" w:type="pct"/>
            <w:vMerge w:val="continue"/>
            <w:tcBorders>
              <w:top w:val="nil"/>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21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产生量（t/a）</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164.328</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74.950</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9.118</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82.865</w:t>
            </w:r>
          </w:p>
        </w:tc>
        <w:tc>
          <w:tcPr>
            <w:tcW w:w="51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4.329</w:t>
            </w:r>
          </w:p>
        </w:tc>
        <w:tc>
          <w:tcPr>
            <w:tcW w:w="51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37.074</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2）生活污水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本项目猪场设职工食宿，全部工作人数为35人，则生活污水产生量为840m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/a。类比同类型污水水质，本项目排放生活污水中主要污染物为COD</w:t>
      </w:r>
      <w:r>
        <w:rPr>
          <w:rFonts w:ascii="Times New Roman" w:hAnsi="Times New Roman" w:cs="Times New Roman"/>
          <w:color w:val="000000" w:themeColor="text1"/>
          <w:vertAlign w:val="subscript"/>
          <w14:textFill>
            <w14:solidFill>
              <w14:schemeClr w14:val="tx1"/>
            </w14:solidFill>
          </w14:textFill>
        </w:rPr>
        <w:t>cr</w:t>
      </w:r>
      <w:r>
        <w:rPr>
          <w:rFonts w:ascii="Times New Roman" w:hAnsi="Times New Roman" w:cs="Times New Roman"/>
          <w:color w:val="000000" w:themeColor="text1"/>
          <w14:textFill>
            <w14:solidFill>
              <w14:schemeClr w14:val="tx1"/>
            </w14:solidFill>
          </w14:textFill>
        </w:rPr>
        <w:t>、BOD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-N和SS，各污染物浓度分别为：COD</w:t>
      </w:r>
      <w:r>
        <w:rPr>
          <w:rFonts w:ascii="Times New Roman" w:hAnsi="Times New Roman" w:cs="Times New Roman"/>
          <w:color w:val="000000" w:themeColor="text1"/>
          <w:vertAlign w:val="subscript"/>
          <w14:textFill>
            <w14:solidFill>
              <w14:schemeClr w14:val="tx1"/>
            </w14:solidFill>
          </w14:textFill>
        </w:rPr>
        <w:t>cr</w:t>
      </w:r>
      <w:r>
        <w:rPr>
          <w:rFonts w:ascii="Times New Roman" w:hAnsi="Times New Roman" w:cs="Times New Roman"/>
          <w:color w:val="000000" w:themeColor="text1"/>
          <w14:textFill>
            <w14:solidFill>
              <w14:schemeClr w14:val="tx1"/>
            </w14:solidFill>
          </w14:textFill>
        </w:rPr>
        <w:t>：280mg/L、BOD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：160mg/L、NH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-N：30mg/L、SS：200mg/L。</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本项目产生的</w:t>
      </w:r>
      <w:r>
        <w:rPr>
          <w:rFonts w:hint="eastAsia" w:ascii="Times New Roman" w:hAnsi="Times New Roman" w:cs="Times New Roman"/>
          <w:color w:val="000000" w:themeColor="text1"/>
          <w14:textFill>
            <w14:solidFill>
              <w14:schemeClr w14:val="tx1"/>
            </w14:solidFill>
          </w14:textFill>
        </w:rPr>
        <w:t>生活污水</w:t>
      </w:r>
      <w:r>
        <w:rPr>
          <w:rFonts w:ascii="Times New Roman" w:hAnsi="Times New Roman" w:cs="Times New Roman"/>
          <w:color w:val="000000" w:themeColor="text1"/>
          <w14:textFill>
            <w14:solidFill>
              <w14:schemeClr w14:val="tx1"/>
            </w14:solidFill>
          </w14:textFill>
        </w:rPr>
        <w:t>水质</w:t>
      </w:r>
      <w:r>
        <w:rPr>
          <w:rFonts w:hint="eastAsia" w:ascii="Times New Roman" w:hAnsi="Times New Roman" w:cs="Times New Roman"/>
          <w:color w:val="000000" w:themeColor="text1"/>
          <w14:textFill>
            <w14:solidFill>
              <w14:schemeClr w14:val="tx1"/>
            </w14:solidFill>
          </w14:textFill>
        </w:rPr>
        <w:t>及污染物产生量</w:t>
      </w:r>
      <w:r>
        <w:rPr>
          <w:rFonts w:ascii="Times New Roman" w:hAnsi="Times New Roman" w:cs="Times New Roman"/>
          <w:color w:val="000000" w:themeColor="text1"/>
          <w14:textFill>
            <w14:solidFill>
              <w14:schemeClr w14:val="tx1"/>
            </w14:solidFill>
          </w14:textFill>
        </w:rPr>
        <w:t>详见表3.5-</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 xml:space="preserve">   本项目生活污水</w:t>
      </w:r>
      <w:r>
        <w:rPr>
          <w:rFonts w:hint="eastAsia" w:cs="Times New Roman"/>
          <w:color w:val="000000" w:themeColor="text1"/>
          <w14:textFill>
            <w14:solidFill>
              <w14:schemeClr w14:val="tx1"/>
            </w14:solidFill>
          </w14:textFill>
        </w:rPr>
        <w:t>水质</w:t>
      </w:r>
      <w:r>
        <w:rPr>
          <w:rFonts w:cs="Times New Roman"/>
          <w:color w:val="000000" w:themeColor="text1"/>
          <w14:textFill>
            <w14:solidFill>
              <w14:schemeClr w14:val="tx1"/>
            </w14:solidFill>
          </w14:textFill>
        </w:rPr>
        <w:t>及污染物产生量一览表</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957"/>
        <w:gridCol w:w="1527"/>
        <w:gridCol w:w="1208"/>
        <w:gridCol w:w="1208"/>
        <w:gridCol w:w="1203"/>
        <w:gridCol w:w="120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w:t>
            </w:r>
          </w:p>
        </w:tc>
        <w:tc>
          <w:tcPr>
            <w:tcW w:w="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污水量</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COD</w:t>
            </w:r>
            <w:r>
              <w:rPr>
                <w:rFonts w:ascii="Times New Roman" w:hAnsi="Times New Roman" w:cs="Times New Roman"/>
                <w:b/>
                <w:bCs/>
                <w:color w:val="000000" w:themeColor="text1"/>
                <w:sz w:val="21"/>
                <w:szCs w:val="21"/>
                <w:vertAlign w:val="subscript"/>
                <w14:textFill>
                  <w14:solidFill>
                    <w14:schemeClr w14:val="tx1"/>
                  </w14:solidFill>
                </w14:textFill>
              </w:rPr>
              <w:t>Cr</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BOD</w:t>
            </w:r>
            <w:r>
              <w:rPr>
                <w:rFonts w:ascii="Times New Roman" w:hAnsi="Times New Roman" w:cs="Times New Roman"/>
                <w:b/>
                <w:bCs/>
                <w:color w:val="000000" w:themeColor="text1"/>
                <w:sz w:val="21"/>
                <w:szCs w:val="21"/>
                <w:vertAlign w:val="subscript"/>
                <w14:textFill>
                  <w14:solidFill>
                    <w14:schemeClr w14:val="tx1"/>
                  </w14:solidFill>
                </w14:textFill>
              </w:rPr>
              <w:t>5</w:t>
            </w:r>
          </w:p>
        </w:tc>
        <w:tc>
          <w:tcPr>
            <w:tcW w:w="7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NH</w:t>
            </w:r>
            <w:r>
              <w:rPr>
                <w:rFonts w:ascii="Times New Roman" w:hAnsi="Times New Roman" w:cs="Times New Roman"/>
                <w:b/>
                <w:bCs/>
                <w:color w:val="000000" w:themeColor="text1"/>
                <w:sz w:val="21"/>
                <w:szCs w:val="21"/>
                <w:vertAlign w:val="subscript"/>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-N</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SS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产生浓度（mg/L）</w:t>
            </w:r>
          </w:p>
        </w:tc>
        <w:tc>
          <w:tcPr>
            <w:tcW w:w="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280</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160</w:t>
            </w:r>
          </w:p>
        </w:tc>
        <w:tc>
          <w:tcPr>
            <w:tcW w:w="7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年产生量（t）</w:t>
            </w:r>
          </w:p>
        </w:tc>
        <w:tc>
          <w:tcPr>
            <w:tcW w:w="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840m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/a</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0.235</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0.134</w:t>
            </w:r>
          </w:p>
        </w:tc>
        <w:tc>
          <w:tcPr>
            <w:tcW w:w="7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0.025</w:t>
            </w:r>
          </w:p>
        </w:tc>
        <w:tc>
          <w:tcPr>
            <w:tcW w:w="72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0.42</w:t>
            </w:r>
          </w:p>
        </w:tc>
      </w:tr>
    </w:tbl>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综上，</w:t>
      </w:r>
      <w:r>
        <w:rPr>
          <w:rFonts w:ascii="Times New Roman" w:hAnsi="Times New Roman" w:cs="Times New Roman"/>
          <w:color w:val="000000" w:themeColor="text1"/>
          <w14:textFill>
            <w14:solidFill>
              <w14:schemeClr w14:val="tx1"/>
            </w14:solidFill>
          </w14:textFill>
        </w:rPr>
        <w:t>本项目产生的</w:t>
      </w:r>
      <w:r>
        <w:rPr>
          <w:rFonts w:hint="eastAsia" w:ascii="Times New Roman" w:hAnsi="Times New Roman" w:cs="Times New Roman"/>
          <w:color w:val="000000" w:themeColor="text1"/>
          <w14:textFill>
            <w14:solidFill>
              <w14:schemeClr w14:val="tx1"/>
            </w14:solidFill>
          </w14:textFill>
        </w:rPr>
        <w:t>废水主要包括养殖废水和</w:t>
      </w:r>
      <w:r>
        <w:rPr>
          <w:rFonts w:ascii="Times New Roman" w:hAnsi="Times New Roman" w:cs="Times New Roman"/>
          <w:color w:val="000000" w:themeColor="text1"/>
          <w14:textFill>
            <w14:solidFill>
              <w14:schemeClr w14:val="tx1"/>
            </w14:solidFill>
          </w14:textFill>
        </w:rPr>
        <w:t>生活污水</w:t>
      </w:r>
      <w:r>
        <w:rPr>
          <w:rFonts w:hint="eastAsia" w:ascii="Times New Roman" w:hAnsi="Times New Roman" w:cs="Times New Roman"/>
          <w:color w:val="000000" w:themeColor="text1"/>
          <w14:textFill>
            <w14:solidFill>
              <w14:schemeClr w14:val="tx1"/>
            </w14:solidFill>
          </w14:textFill>
        </w:rPr>
        <w:t>，其中养殖废水主要为猪尿、猪粪滤液及猪舍冲洗废水。项目废水</w:t>
      </w:r>
      <w:r>
        <w:rPr>
          <w:rFonts w:ascii="Times New Roman" w:hAnsi="Times New Roman" w:cs="Times New Roman"/>
          <w:color w:val="000000" w:themeColor="text1"/>
          <w14:textFill>
            <w14:solidFill>
              <w14:schemeClr w14:val="tx1"/>
            </w14:solidFill>
          </w14:textFill>
        </w:rPr>
        <w:t>水质及污染物产生情况见表3.5-</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 xml:space="preserve">   本项目</w:t>
      </w:r>
      <w:r>
        <w:rPr>
          <w:rFonts w:hint="eastAsia" w:cs="Times New Roman"/>
          <w:color w:val="000000" w:themeColor="text1"/>
          <w14:textFill>
            <w14:solidFill>
              <w14:schemeClr w14:val="tx1"/>
            </w14:solidFill>
          </w14:textFill>
        </w:rPr>
        <w:t>废水水质及</w:t>
      </w:r>
      <w:r>
        <w:rPr>
          <w:rFonts w:cs="Times New Roman"/>
          <w:color w:val="000000" w:themeColor="text1"/>
          <w14:textFill>
            <w14:solidFill>
              <w14:schemeClr w14:val="tx1"/>
            </w14:solidFill>
          </w14:textFill>
        </w:rPr>
        <w:t>污染物产生量一览表</w:t>
      </w:r>
    </w:p>
    <w:tbl>
      <w:tblPr>
        <w:tblStyle w:val="27"/>
        <w:tblW w:w="5021"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12"/>
        <w:gridCol w:w="866"/>
        <w:gridCol w:w="722"/>
        <w:gridCol w:w="1543"/>
        <w:gridCol w:w="695"/>
        <w:gridCol w:w="653"/>
        <w:gridCol w:w="650"/>
        <w:gridCol w:w="662"/>
        <w:gridCol w:w="824"/>
        <w:gridCol w:w="82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4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产生区域</w:t>
            </w:r>
          </w:p>
        </w:tc>
        <w:tc>
          <w:tcPr>
            <w:tcW w:w="5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污染源</w:t>
            </w:r>
          </w:p>
        </w:tc>
        <w:tc>
          <w:tcPr>
            <w:tcW w:w="43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废水</w:t>
            </w:r>
            <w:r>
              <w:rPr>
                <w:rFonts w:ascii="Times New Roman" w:hAnsi="Times New Roman" w:cs="Times New Roman"/>
                <w:b/>
                <w:bCs/>
                <w:color w:val="000000" w:themeColor="text1"/>
                <w:sz w:val="21"/>
                <w:szCs w:val="21"/>
                <w14:textFill>
                  <w14:solidFill>
                    <w14:schemeClr w14:val="tx1"/>
                  </w14:solidFill>
                </w14:textFill>
              </w:rPr>
              <w:t>量</w:t>
            </w:r>
          </w:p>
        </w:tc>
        <w:tc>
          <w:tcPr>
            <w:tcW w:w="9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产生情况</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COD</w:t>
            </w:r>
            <w:r>
              <w:rPr>
                <w:rFonts w:ascii="Times New Roman" w:hAnsi="Times New Roman" w:cs="Times New Roman"/>
                <w:b/>
                <w:bCs/>
                <w:color w:val="000000" w:themeColor="text1"/>
                <w:sz w:val="21"/>
                <w:szCs w:val="21"/>
                <w:vertAlign w:val="subscript"/>
                <w14:textFill>
                  <w14:solidFill>
                    <w14:schemeClr w14:val="tx1"/>
                  </w14:solidFill>
                </w14:textFill>
              </w:rPr>
              <w:t>Cr</w:t>
            </w:r>
          </w:p>
        </w:tc>
        <w:tc>
          <w:tcPr>
            <w:tcW w:w="39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BOD</w:t>
            </w:r>
            <w:r>
              <w:rPr>
                <w:rFonts w:ascii="Times New Roman" w:hAnsi="Times New Roman" w:cs="Times New Roman"/>
                <w:b/>
                <w:bCs/>
                <w:color w:val="000000" w:themeColor="text1"/>
                <w:sz w:val="21"/>
                <w:szCs w:val="21"/>
                <w:vertAlign w:val="subscript"/>
                <w14:textFill>
                  <w14:solidFill>
                    <w14:schemeClr w14:val="tx1"/>
                  </w14:solidFill>
                </w14:textFill>
              </w:rPr>
              <w:t>5</w:t>
            </w:r>
          </w:p>
        </w:tc>
        <w:tc>
          <w:tcPr>
            <w:tcW w:w="3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NH</w:t>
            </w:r>
            <w:r>
              <w:rPr>
                <w:rFonts w:ascii="Times New Roman" w:hAnsi="Times New Roman" w:cs="Times New Roman"/>
                <w:b/>
                <w:bCs/>
                <w:color w:val="000000" w:themeColor="text1"/>
                <w:sz w:val="21"/>
                <w:szCs w:val="21"/>
                <w:vertAlign w:val="subscript"/>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-N</w:t>
            </w:r>
          </w:p>
        </w:tc>
        <w:tc>
          <w:tcPr>
            <w:tcW w:w="3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SS</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TP</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TN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46"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养殖区</w:t>
            </w:r>
          </w:p>
        </w:tc>
        <w:tc>
          <w:tcPr>
            <w:tcW w:w="518"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养殖废水</w:t>
            </w:r>
          </w:p>
        </w:tc>
        <w:tc>
          <w:tcPr>
            <w:tcW w:w="432"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10.02</w:t>
            </w:r>
          </w:p>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万m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/a</w:t>
            </w:r>
          </w:p>
        </w:tc>
        <w:tc>
          <w:tcPr>
            <w:tcW w:w="9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产生</w:t>
            </w:r>
            <w:r>
              <w:rPr>
                <w:rFonts w:ascii="Times New Roman" w:hAnsi="Times New Roman" w:cs="Times New Roman"/>
                <w:color w:val="000000" w:themeColor="text1"/>
                <w:sz w:val="21"/>
                <w:szCs w:val="21"/>
                <w14:textFill>
                  <w14:solidFill>
                    <w14:schemeClr w14:val="tx1"/>
                  </w14:solidFill>
                </w14:textFill>
              </w:rPr>
              <w:t>浓度（mg/L）</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640</w:t>
            </w:r>
          </w:p>
        </w:tc>
        <w:tc>
          <w:tcPr>
            <w:tcW w:w="39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748</w:t>
            </w:r>
          </w:p>
        </w:tc>
        <w:tc>
          <w:tcPr>
            <w:tcW w:w="3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91</w:t>
            </w:r>
          </w:p>
        </w:tc>
        <w:tc>
          <w:tcPr>
            <w:tcW w:w="3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827</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43.5</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46"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518"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432"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9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产生量（t/a）</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164.328</w:t>
            </w:r>
          </w:p>
        </w:tc>
        <w:tc>
          <w:tcPr>
            <w:tcW w:w="39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74.950</w:t>
            </w:r>
          </w:p>
        </w:tc>
        <w:tc>
          <w:tcPr>
            <w:tcW w:w="3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9.118</w:t>
            </w:r>
          </w:p>
        </w:tc>
        <w:tc>
          <w:tcPr>
            <w:tcW w:w="3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82.865</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4.329</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37.074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46"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生活区</w:t>
            </w:r>
          </w:p>
        </w:tc>
        <w:tc>
          <w:tcPr>
            <w:tcW w:w="518"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生活污水</w:t>
            </w:r>
          </w:p>
        </w:tc>
        <w:tc>
          <w:tcPr>
            <w:tcW w:w="432"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840m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/a</w:t>
            </w:r>
          </w:p>
        </w:tc>
        <w:tc>
          <w:tcPr>
            <w:tcW w:w="9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产生浓度（mg/L）</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280</w:t>
            </w:r>
          </w:p>
        </w:tc>
        <w:tc>
          <w:tcPr>
            <w:tcW w:w="39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160</w:t>
            </w:r>
          </w:p>
        </w:tc>
        <w:tc>
          <w:tcPr>
            <w:tcW w:w="3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w:t>
            </w:r>
          </w:p>
        </w:tc>
        <w:tc>
          <w:tcPr>
            <w:tcW w:w="3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46"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518"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432"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9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年产生量（t）</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0.235</w:t>
            </w:r>
          </w:p>
        </w:tc>
        <w:tc>
          <w:tcPr>
            <w:tcW w:w="39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0.134</w:t>
            </w:r>
          </w:p>
        </w:tc>
        <w:tc>
          <w:tcPr>
            <w:tcW w:w="3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0.025</w:t>
            </w:r>
          </w:p>
        </w:tc>
        <w:tc>
          <w:tcPr>
            <w:tcW w:w="3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0.42</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064" w:type="pct"/>
            <w:gridSpan w:val="2"/>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混合废水</w:t>
            </w:r>
          </w:p>
        </w:tc>
        <w:tc>
          <w:tcPr>
            <w:tcW w:w="432"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10.10</w:t>
            </w:r>
            <w:r>
              <w:rPr>
                <w:rFonts w:ascii="Times New Roman" w:hAnsi="Times New Roman" w:cs="Times New Roman"/>
                <w:color w:val="000000" w:themeColor="text1"/>
                <w:sz w:val="21"/>
                <w:szCs w:val="21"/>
                <w14:textFill>
                  <w14:solidFill>
                    <w14:schemeClr w14:val="tx1"/>
                  </w14:solidFill>
                </w14:textFill>
              </w:rPr>
              <w:t>万m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/a</w:t>
            </w:r>
          </w:p>
        </w:tc>
        <w:tc>
          <w:tcPr>
            <w:tcW w:w="9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产生浓度（mg/L）</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1629</w:t>
            </w:r>
          </w:p>
        </w:tc>
        <w:tc>
          <w:tcPr>
            <w:tcW w:w="39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743</w:t>
            </w:r>
          </w:p>
        </w:tc>
        <w:tc>
          <w:tcPr>
            <w:tcW w:w="3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90</w:t>
            </w:r>
          </w:p>
        </w:tc>
        <w:tc>
          <w:tcPr>
            <w:tcW w:w="3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825</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43.5</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064" w:type="pct"/>
            <w:gridSpan w:val="2"/>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432"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92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年产生量（t）</w:t>
            </w:r>
          </w:p>
        </w:tc>
        <w:tc>
          <w:tcPr>
            <w:tcW w:w="41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164.563</w:t>
            </w:r>
          </w:p>
        </w:tc>
        <w:tc>
          <w:tcPr>
            <w:tcW w:w="39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75.084</w:t>
            </w:r>
          </w:p>
        </w:tc>
        <w:tc>
          <w:tcPr>
            <w:tcW w:w="3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9.143</w:t>
            </w:r>
          </w:p>
        </w:tc>
        <w:tc>
          <w:tcPr>
            <w:tcW w:w="3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83.285</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4.329</w:t>
            </w:r>
          </w:p>
        </w:tc>
        <w:tc>
          <w:tcPr>
            <w:tcW w:w="49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37.074</w:t>
            </w:r>
          </w:p>
        </w:tc>
      </w:tr>
    </w:tbl>
    <w:p>
      <w:pPr>
        <w:pStyle w:val="7"/>
        <w:rPr>
          <w:rFonts w:cs="Times New Roman"/>
          <w:color w:val="000000" w:themeColor="text1"/>
          <w:kern w:val="0"/>
          <w14:textFill>
            <w14:solidFill>
              <w14:schemeClr w14:val="tx1"/>
            </w14:solidFill>
          </w14:textFill>
        </w:rPr>
      </w:pPr>
      <w:bookmarkStart w:id="346" w:name="_Toc3524"/>
      <w:bookmarkStart w:id="347" w:name="_Toc3736"/>
      <w:r>
        <w:rPr>
          <w:rFonts w:cs="Times New Roman"/>
          <w:color w:val="000000" w:themeColor="text1"/>
          <w:kern w:val="0"/>
          <w14:textFill>
            <w14:solidFill>
              <w14:schemeClr w14:val="tx1"/>
            </w14:solidFill>
          </w14:textFill>
        </w:rPr>
        <w:t>3.</w:t>
      </w:r>
      <w:r>
        <w:rPr>
          <w:rFonts w:hint="eastAsia" w:cs="Times New Roman"/>
          <w:color w:val="000000" w:themeColor="text1"/>
          <w:kern w:val="0"/>
          <w14:textFill>
            <w14:solidFill>
              <w14:schemeClr w14:val="tx1"/>
            </w14:solidFill>
          </w14:textFill>
        </w:rPr>
        <w:t>5.2.2</w:t>
      </w:r>
      <w:r>
        <w:rPr>
          <w:rFonts w:cs="Times New Roman"/>
          <w:color w:val="000000" w:themeColor="text1"/>
          <w:kern w:val="0"/>
          <w14:textFill>
            <w14:solidFill>
              <w14:schemeClr w14:val="tx1"/>
            </w14:solidFill>
          </w14:textFill>
        </w:rPr>
        <w:t xml:space="preserve"> 运营期大气污染源分析</w:t>
      </w:r>
      <w:bookmarkEnd w:id="346"/>
      <w:bookmarkEnd w:id="34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本项目运营期主要为养殖恶臭和职工食堂油烟，其中养殖恶臭包括圈舍、污水厌氧发酵池、堆肥场产生的恶臭气体。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（1）养殖场恶臭</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养殖场恶臭异味产生源主要为圈舍、堆肥场及氧化塘等，这类恶臭气体主要为</w:t>
      </w:r>
      <w:r>
        <w:rPr>
          <w:rFonts w:hint="eastAsia" w:ascii="Times New Roman" w:hAnsi="Times New Roman" w:cs="Times New Roman"/>
          <w:color w:val="000000" w:themeColor="text1"/>
          <w14:textFill>
            <w14:solidFill>
              <w14:schemeClr w14:val="tx1"/>
            </w14:solidFill>
          </w14:textFill>
        </w:rPr>
        <w:t>NH</w:t>
      </w:r>
      <w:r>
        <w:rPr>
          <w:rFonts w:hint="eastAsia"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H</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次环评采用与本项目养殖工艺、清粪工艺等相同的同类型项目类比恶臭源强，类比来源为新疆生态环境厅已批复的《吉木萨尔大北农种养循环50万头生猪产业化项目（二期）环境影响报告书》（新环审〔2019〕243号）中数据，并结合新疆泰昆集团有限责任公司已投入型已建成投产的猪场项目，养殖场圈舍恶臭排放源的源强特征详见表3.</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-6。</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 xml:space="preserve">   恶臭源强一览表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2417"/>
        <w:gridCol w:w="2335"/>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7" w:type="pct"/>
            <w:vMerge w:val="restar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序号</w:t>
            </w:r>
          </w:p>
        </w:tc>
        <w:tc>
          <w:tcPr>
            <w:tcW w:w="1418" w:type="pct"/>
            <w:vMerge w:val="restar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排放源</w:t>
            </w:r>
          </w:p>
        </w:tc>
        <w:tc>
          <w:tcPr>
            <w:tcW w:w="2513" w:type="pct"/>
            <w:gridSpan w:val="2"/>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排放速率（mg/s·m</w:t>
            </w:r>
            <w:r>
              <w:rPr>
                <w:rFonts w:ascii="Times New Roman" w:hAnsi="Times New Roman" w:cs="Times New Roman"/>
                <w:b/>
                <w:bCs/>
                <w:color w:val="000000" w:themeColor="text1"/>
                <w:sz w:val="21"/>
                <w:szCs w:val="21"/>
                <w:vertAlign w:val="superscript"/>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7"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418"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7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14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141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圈舍</w:t>
            </w:r>
          </w:p>
        </w:tc>
        <w:tc>
          <w:tcPr>
            <w:tcW w:w="137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0.00006</w:t>
            </w:r>
          </w:p>
        </w:tc>
        <w:tc>
          <w:tcPr>
            <w:tcW w:w="114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41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堆肥场</w:t>
            </w:r>
          </w:p>
        </w:tc>
        <w:tc>
          <w:tcPr>
            <w:tcW w:w="137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0.00012</w:t>
            </w:r>
          </w:p>
        </w:tc>
        <w:tc>
          <w:tcPr>
            <w:tcW w:w="114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6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141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氧化塘</w:t>
            </w:r>
          </w:p>
        </w:tc>
        <w:tc>
          <w:tcPr>
            <w:tcW w:w="137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0.00046</w:t>
            </w:r>
          </w:p>
        </w:tc>
        <w:tc>
          <w:tcPr>
            <w:tcW w:w="114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0.000007</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①圈舍臭气源强分析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圈舍NH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和H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S的排放强度受到许多因素的影响，包括生产工艺、气温、湿度、室内排风情况以及粪便的堆积时间等。</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猪舍废气排放强度与猪的数量、种类、生长阶段、环境温度、清粪工艺和无害化处理程度有关，圈舍恶臭通过调整饲料配比、及时清粪、定期清洁等方式从产生源头上进行消减，圈舍内增设除臭液喷洒系统，并设置通风口、鼓风机等换气设备，在春、夏季节可使用除臭剂处理未及时处理的粪便，并在养殖场内的绿化隔离带，绿化可以阻留、净化约25%〜40%的有害气体和吸附粉尘。则</w:t>
      </w:r>
      <w:r>
        <w:rPr>
          <w:rFonts w:ascii="Times New Roman" w:hAnsi="Times New Roman" w:cs="Times New Roman"/>
          <w:color w:val="000000" w:themeColor="text1"/>
          <w14:textFill>
            <w14:solidFill>
              <w14:schemeClr w14:val="tx1"/>
            </w14:solidFill>
          </w14:textFill>
        </w:rPr>
        <w:t>根据猪场全部圈舍面积58860.5m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计算，猪场NH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的产生强度为0.0</w:t>
      </w:r>
      <w:r>
        <w:rPr>
          <w:rFonts w:hint="eastAsia" w:ascii="Times New Roman" w:hAnsi="Times New Roman" w:cs="Times New Roman"/>
          <w:color w:val="000000" w:themeColor="text1"/>
          <w14:textFill>
            <w14:solidFill>
              <w14:schemeClr w14:val="tx1"/>
            </w14:solidFill>
          </w14:textFill>
        </w:rPr>
        <w:t>13</w:t>
      </w:r>
      <w:r>
        <w:rPr>
          <w:rFonts w:ascii="Times New Roman" w:hAnsi="Times New Roman" w:cs="Times New Roman"/>
          <w:color w:val="000000" w:themeColor="text1"/>
          <w14:textFill>
            <w14:solidFill>
              <w14:schemeClr w14:val="tx1"/>
            </w14:solidFill>
          </w14:textFill>
        </w:rPr>
        <w:t>kg/h（0.</w:t>
      </w:r>
      <w:r>
        <w:rPr>
          <w:rFonts w:hint="eastAsia" w:ascii="Times New Roman" w:hAnsi="Times New Roman" w:cs="Times New Roman"/>
          <w:color w:val="000000" w:themeColor="text1"/>
          <w14:textFill>
            <w14:solidFill>
              <w14:schemeClr w14:val="tx1"/>
            </w14:solidFill>
          </w14:textFill>
        </w:rPr>
        <w:t>09</w:t>
      </w:r>
      <w:r>
        <w:rPr>
          <w:rFonts w:ascii="Times New Roman" w:hAnsi="Times New Roman" w:cs="Times New Roman"/>
          <w:color w:val="000000" w:themeColor="text1"/>
          <w14:textFill>
            <w14:solidFill>
              <w14:schemeClr w14:val="tx1"/>
            </w14:solidFill>
          </w14:textFill>
        </w:rPr>
        <w:t>t/a），H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S的产生强度为0.00</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kg/h（0.0</w:t>
      </w:r>
      <w:r>
        <w:rPr>
          <w:rFonts w:hint="eastAsia" w:ascii="Times New Roman" w:hAnsi="Times New Roman" w:cs="Times New Roman"/>
          <w:color w:val="000000" w:themeColor="text1"/>
          <w14:textFill>
            <w14:solidFill>
              <w14:schemeClr w14:val="tx1"/>
            </w14:solidFill>
          </w14:textFill>
        </w:rPr>
        <w:t>07</w:t>
      </w:r>
      <w:r>
        <w:rPr>
          <w:rFonts w:ascii="Times New Roman" w:hAnsi="Times New Roman" w:cs="Times New Roman"/>
          <w:color w:val="000000" w:themeColor="text1"/>
          <w14:textFill>
            <w14:solidFill>
              <w14:schemeClr w14:val="tx1"/>
            </w14:solidFill>
          </w14:textFill>
        </w:rPr>
        <w:t>t/a）。</w:t>
      </w:r>
    </w:p>
    <w:p>
      <w:pPr>
        <w:spacing w:line="520" w:lineRule="exact"/>
        <w:rPr>
          <w:rFonts w:ascii="Times New Roman" w:hAnsi="Times New Roman" w:cs="Times New Roman"/>
          <w:color w:val="000000" w:themeColor="text1"/>
          <w:highlight w:val="none"/>
          <w14:textFill>
            <w14:solidFill>
              <w14:schemeClr w14:val="tx1"/>
            </w14:solidFill>
          </w14:textFill>
        </w:rPr>
      </w:pPr>
    </w:p>
    <w:p>
      <w:pPr>
        <w:spacing w:line="520" w:lineRule="exac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②堆肥场臭气源强分析</w:t>
      </w:r>
    </w:p>
    <w:p>
      <w:pPr>
        <w:spacing w:line="520" w:lineRule="exact"/>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本项目堆肥</w:t>
      </w:r>
      <w:r>
        <w:rPr>
          <w:rFonts w:hint="eastAsia" w:ascii="Times New Roman" w:hAnsi="Times New Roman" w:cs="Times New Roman"/>
          <w:color w:val="000000" w:themeColor="text1"/>
          <w:highlight w:val="none"/>
          <w:lang w:val="en-US" w:eastAsia="zh-CN"/>
          <w14:textFill>
            <w14:solidFill>
              <w14:schemeClr w14:val="tx1"/>
            </w14:solidFill>
          </w14:textFill>
        </w:rPr>
        <w:t>场</w:t>
      </w:r>
      <w:r>
        <w:rPr>
          <w:rFonts w:hint="eastAsia" w:ascii="Times New Roman" w:hAnsi="Times New Roman" w:cs="Times New Roman"/>
          <w:color w:val="000000" w:themeColor="text1"/>
          <w:highlight w:val="none"/>
          <w14:textFill>
            <w14:solidFill>
              <w14:schemeClr w14:val="tx1"/>
            </w14:solidFill>
          </w14:textFill>
        </w:rPr>
        <w:t>的恶臭主要来自</w:t>
      </w:r>
      <w:r>
        <w:rPr>
          <w:rFonts w:hint="eastAsia" w:ascii="Times New Roman" w:hAnsi="Times New Roman" w:cs="Times New Roman"/>
          <w:color w:val="000000" w:themeColor="text1"/>
          <w:highlight w:val="none"/>
          <w:lang w:val="en-US" w:eastAsia="zh-CN"/>
          <w14:textFill>
            <w14:solidFill>
              <w14:schemeClr w14:val="tx1"/>
            </w14:solidFill>
          </w14:textFill>
        </w:rPr>
        <w:t>猪</w:t>
      </w:r>
      <w:r>
        <w:rPr>
          <w:rFonts w:hint="eastAsia" w:ascii="Times New Roman" w:hAnsi="Times New Roman" w:cs="Times New Roman"/>
          <w:color w:val="000000" w:themeColor="text1"/>
          <w:highlight w:val="none"/>
          <w14:textFill>
            <w14:solidFill>
              <w14:schemeClr w14:val="tx1"/>
            </w14:solidFill>
          </w14:textFill>
        </w:rPr>
        <w:t>粪产生的NH</w:t>
      </w:r>
      <w:r>
        <w:rPr>
          <w:rFonts w:hint="eastAsia" w:ascii="Times New Roman" w:hAnsi="Times New Roman" w:cs="Times New Roman"/>
          <w:color w:val="000000" w:themeColor="text1"/>
          <w:highlight w:val="none"/>
          <w:vertAlign w:val="subscript"/>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t>、H</w:t>
      </w:r>
      <w:r>
        <w:rPr>
          <w:rFonts w:hint="eastAsia" w:ascii="Times New Roman" w:hAnsi="Times New Roman" w:cs="Times New Roman"/>
          <w:color w:val="000000" w:themeColor="text1"/>
          <w:highlight w:val="none"/>
          <w:vertAlign w:val="subscript"/>
          <w14:textFill>
            <w14:solidFill>
              <w14:schemeClr w14:val="tx1"/>
            </w14:solidFill>
          </w14:textFill>
        </w:rPr>
        <w:t>2</w:t>
      </w:r>
      <w:r>
        <w:rPr>
          <w:rFonts w:hint="eastAsia" w:ascii="Times New Roman" w:hAnsi="Times New Roman" w:cs="Times New Roman"/>
          <w:color w:val="000000" w:themeColor="text1"/>
          <w:highlight w:val="none"/>
          <w14:textFill>
            <w14:solidFill>
              <w14:schemeClr w14:val="tx1"/>
            </w14:solidFill>
          </w14:textFill>
        </w:rPr>
        <w:t>S等有害气体，在堆沤和翻堆的过程中会有明显的释放，待发酵完成后则不再产生恶臭。</w:t>
      </w:r>
      <w:r>
        <w:rPr>
          <w:rFonts w:hint="eastAsia" w:ascii="Times New Roman" w:hAnsi="Times New Roman" w:cs="Times New Roman"/>
          <w:color w:val="000000" w:themeColor="text1"/>
          <w:highlight w:val="none"/>
          <w:lang w:val="en-US" w:eastAsia="zh-CN"/>
          <w14:textFill>
            <w14:solidFill>
              <w14:schemeClr w14:val="tx1"/>
            </w14:solidFill>
          </w14:textFill>
        </w:rPr>
        <w:t>项目</w:t>
      </w:r>
      <w:r>
        <w:rPr>
          <w:rFonts w:hint="eastAsia" w:ascii="Times New Roman" w:hAnsi="Times New Roman" w:cs="Times New Roman"/>
          <w:color w:val="000000" w:themeColor="text1"/>
          <w:highlight w:val="none"/>
          <w14:textFill>
            <w14:solidFill>
              <w14:schemeClr w14:val="tx1"/>
            </w14:solidFill>
          </w14:textFill>
        </w:rPr>
        <w:t>堆粪</w:t>
      </w:r>
      <w:r>
        <w:rPr>
          <w:rFonts w:hint="eastAsia" w:ascii="Times New Roman" w:hAnsi="Times New Roman" w:cs="Times New Roman"/>
          <w:color w:val="000000" w:themeColor="text1"/>
          <w:highlight w:val="none"/>
          <w:lang w:val="en-US" w:eastAsia="zh-CN"/>
          <w14:textFill>
            <w14:solidFill>
              <w14:schemeClr w14:val="tx1"/>
            </w14:solidFill>
          </w14:textFill>
        </w:rPr>
        <w:t>场</w:t>
      </w:r>
      <w:r>
        <w:rPr>
          <w:rFonts w:hint="eastAsia" w:ascii="Times New Roman" w:hAnsi="Times New Roman" w:cs="Times New Roman"/>
          <w:color w:val="000000" w:themeColor="text1"/>
          <w:highlight w:val="none"/>
          <w14:textFill>
            <w14:solidFill>
              <w14:schemeClr w14:val="tx1"/>
            </w14:solidFill>
          </w14:textFill>
        </w:rPr>
        <w:t>设置封闭阳光棚并添加物理吸附剂，如麸皮、玉米秸秆等，并喷洒生化除臭剂，肥料及时清运。同时采用好氧堆肥方式，投加减少氨释放和保氮的复合菌剂；在翻堆的过程中喷入少量的水，可以有效减少氨气等臭气的排放。</w:t>
      </w:r>
      <w:r>
        <w:rPr>
          <w:rFonts w:hint="eastAsia" w:ascii="Times New Roman" w:hAnsi="Times New Roman" w:cs="Times New Roman"/>
          <w:color w:val="000000" w:themeColor="text1"/>
          <w:highlight w:val="none"/>
          <w:lang w:val="en-US" w:eastAsia="zh-CN"/>
          <w14:textFill>
            <w14:solidFill>
              <w14:schemeClr w14:val="tx1"/>
            </w14:solidFill>
          </w14:textFill>
        </w:rPr>
        <w:t>则</w:t>
      </w:r>
      <w:r>
        <w:rPr>
          <w:rFonts w:ascii="Times New Roman" w:hAnsi="Times New Roman" w:cs="Times New Roman"/>
          <w:color w:val="000000" w:themeColor="text1"/>
          <w:highlight w:val="none"/>
          <w14:textFill>
            <w14:solidFill>
              <w14:schemeClr w14:val="tx1"/>
            </w14:solidFill>
          </w14:textFill>
        </w:rPr>
        <w:t>根据堆肥场面积计算（堆肥场面积</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ascii="Times New Roman" w:hAnsi="Times New Roman" w:cs="Times New Roman"/>
          <w:color w:val="000000" w:themeColor="text1"/>
          <w:highlight w:val="none"/>
          <w14:textFill>
            <w14:solidFill>
              <w14:schemeClr w14:val="tx1"/>
            </w14:solidFill>
          </w14:textFill>
        </w:rPr>
        <w:t>00m</w:t>
      </w:r>
      <w:r>
        <w:rPr>
          <w:rFonts w:ascii="Times New Roman" w:hAnsi="Times New Roman" w:cs="Times New Roman"/>
          <w:color w:val="000000" w:themeColor="text1"/>
          <w:highlight w:val="none"/>
          <w:vertAlign w:val="superscript"/>
          <w14:textFill>
            <w14:solidFill>
              <w14:schemeClr w14:val="tx1"/>
            </w14:solidFill>
          </w14:textFill>
        </w:rPr>
        <w:t>2</w:t>
      </w:r>
      <w:r>
        <w:rPr>
          <w:rFonts w:ascii="Times New Roman" w:hAnsi="Times New Roman" w:cs="Times New Roman"/>
          <w:color w:val="000000" w:themeColor="text1"/>
          <w:highlight w:val="none"/>
          <w14:textFill>
            <w14:solidFill>
              <w14:schemeClr w14:val="tx1"/>
            </w14:solidFill>
          </w14:textFill>
        </w:rPr>
        <w:t>），NH</w:t>
      </w:r>
      <w:r>
        <w:rPr>
          <w:rFonts w:ascii="Times New Roman" w:hAnsi="Times New Roman" w:cs="Times New Roman"/>
          <w:color w:val="000000" w:themeColor="text1"/>
          <w:highlight w:val="none"/>
          <w:vertAlign w:val="subscript"/>
          <w14:textFill>
            <w14:solidFill>
              <w14:schemeClr w14:val="tx1"/>
            </w14:solidFill>
          </w14:textFill>
        </w:rPr>
        <w:t>3</w:t>
      </w:r>
      <w:r>
        <w:rPr>
          <w:rFonts w:ascii="Times New Roman" w:hAnsi="Times New Roman" w:cs="Times New Roman"/>
          <w:color w:val="000000" w:themeColor="text1"/>
          <w:highlight w:val="none"/>
          <w14:textFill>
            <w14:solidFill>
              <w14:schemeClr w14:val="tx1"/>
            </w14:solidFill>
          </w14:textFill>
        </w:rPr>
        <w:t>的产生强度为</w:t>
      </w:r>
      <w:r>
        <w:rPr>
          <w:rFonts w:hint="eastAsia" w:ascii="Times New Roman" w:hAnsi="Times New Roman" w:cs="Times New Roman"/>
          <w:color w:val="000000" w:themeColor="text1"/>
          <w:highlight w:val="none"/>
          <w14:textFill>
            <w14:solidFill>
              <w14:schemeClr w14:val="tx1"/>
            </w14:solidFill>
          </w14:textFill>
        </w:rPr>
        <w:t>0.000</w:t>
      </w:r>
      <w:r>
        <w:rPr>
          <w:rFonts w:hint="eastAsia" w:ascii="Times New Roman" w:hAnsi="Times New Roman" w:cs="Times New Roman"/>
          <w:color w:val="000000" w:themeColor="text1"/>
          <w:highlight w:val="none"/>
          <w:lang w:val="en-US" w:eastAsia="zh-CN"/>
          <w14:textFill>
            <w14:solidFill>
              <w14:schemeClr w14:val="tx1"/>
            </w14:solidFill>
          </w14:textFill>
        </w:rPr>
        <w:t>08</w:t>
      </w:r>
      <w:r>
        <w:rPr>
          <w:rFonts w:hint="eastAsia" w:ascii="Times New Roman" w:hAnsi="Times New Roman" w:cs="Times New Roman"/>
          <w:color w:val="000000" w:themeColor="text1"/>
          <w:highlight w:val="none"/>
          <w14:textFill>
            <w14:solidFill>
              <w14:schemeClr w14:val="tx1"/>
            </w14:solidFill>
          </w14:textFill>
        </w:rPr>
        <w:t>kg/h</w:t>
      </w:r>
      <w:r>
        <w:rPr>
          <w:rFonts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0.00</w:t>
      </w:r>
      <w:r>
        <w:rPr>
          <w:rFonts w:hint="eastAsia" w:ascii="Times New Roman" w:hAnsi="Times New Roman" w:cs="Times New Roman"/>
          <w:color w:val="000000" w:themeColor="text1"/>
          <w:highlight w:val="none"/>
          <w:lang w:val="en-US" w:eastAsia="zh-CN"/>
          <w14:textFill>
            <w14:solidFill>
              <w14:schemeClr w14:val="tx1"/>
            </w14:solidFill>
          </w14:textFill>
        </w:rPr>
        <w:t>06</w:t>
      </w:r>
      <w:r>
        <w:rPr>
          <w:rFonts w:hint="eastAsia" w:ascii="Times New Roman" w:hAnsi="Times New Roman" w:cs="Times New Roman"/>
          <w:color w:val="000000" w:themeColor="text1"/>
          <w:highlight w:val="none"/>
          <w14:textFill>
            <w14:solidFill>
              <w14:schemeClr w14:val="tx1"/>
            </w14:solidFill>
          </w14:textFill>
        </w:rPr>
        <w:t>t</w:t>
      </w:r>
      <w:r>
        <w:rPr>
          <w:rFonts w:ascii="Times New Roman" w:hAnsi="Times New Roman" w:cs="Times New Roman"/>
          <w:color w:val="000000" w:themeColor="text1"/>
          <w:highlight w:val="none"/>
          <w14:textFill>
            <w14:solidFill>
              <w14:schemeClr w14:val="tx1"/>
            </w14:solidFill>
          </w14:textFill>
        </w:rPr>
        <w:t>/a），H</w:t>
      </w:r>
      <w:r>
        <w:rPr>
          <w:rFonts w:ascii="Times New Roman" w:hAnsi="Times New Roman" w:cs="Times New Roman"/>
          <w:color w:val="000000" w:themeColor="text1"/>
          <w:highlight w:val="none"/>
          <w:vertAlign w:val="subscript"/>
          <w14:textFill>
            <w14:solidFill>
              <w14:schemeClr w14:val="tx1"/>
            </w14:solidFill>
          </w14:textFill>
        </w:rPr>
        <w:t>2</w:t>
      </w:r>
      <w:r>
        <w:rPr>
          <w:rFonts w:ascii="Times New Roman" w:hAnsi="Times New Roman" w:cs="Times New Roman"/>
          <w:color w:val="000000" w:themeColor="text1"/>
          <w:highlight w:val="none"/>
          <w14:textFill>
            <w14:solidFill>
              <w14:schemeClr w14:val="tx1"/>
            </w14:solidFill>
          </w14:textFill>
        </w:rPr>
        <w:t>S的产生强度为0.</w:t>
      </w:r>
      <w:r>
        <w:rPr>
          <w:rFonts w:hint="eastAsia" w:ascii="Times New Roman" w:hAnsi="Times New Roman" w:cs="Times New Roman"/>
          <w:color w:val="000000" w:themeColor="text1"/>
          <w:highlight w:val="none"/>
          <w14:textFill>
            <w14:solidFill>
              <w14:schemeClr w14:val="tx1"/>
            </w14:solidFill>
          </w14:textFill>
        </w:rPr>
        <w:t>0000</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14:textFill>
            <w14:solidFill>
              <w14:schemeClr w14:val="tx1"/>
            </w14:solidFill>
          </w14:textFill>
        </w:rPr>
        <w:t>kg/h</w:t>
      </w:r>
      <w:r>
        <w:rPr>
          <w:rFonts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0.00</w:t>
      </w:r>
      <w:r>
        <w:rPr>
          <w:rFonts w:hint="eastAsia" w:ascii="Times New Roman" w:hAnsi="Times New Roman" w:cs="Times New Roman"/>
          <w:color w:val="000000" w:themeColor="text1"/>
          <w:highlight w:val="none"/>
          <w:lang w:val="en-US" w:eastAsia="zh-CN"/>
          <w14:textFill>
            <w14:solidFill>
              <w14:schemeClr w14:val="tx1"/>
            </w14:solidFill>
          </w14:textFill>
        </w:rPr>
        <w:t>0</w:t>
      </w:r>
      <w:r>
        <w:rPr>
          <w:rFonts w:hint="eastAsia" w:ascii="Times New Roman" w:hAnsi="Times New Roman" w:cs="Times New Roman"/>
          <w:color w:val="000000" w:themeColor="text1"/>
          <w:highlight w:val="none"/>
          <w14:textFill>
            <w14:solidFill>
              <w14:schemeClr w14:val="tx1"/>
            </w14:solidFill>
          </w14:textFill>
        </w:rPr>
        <w:t>0</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eastAsia" w:ascii="Times New Roman" w:hAnsi="Times New Roman" w:cs="Times New Roman"/>
          <w:color w:val="000000" w:themeColor="text1"/>
          <w:highlight w:val="none"/>
          <w14:textFill>
            <w14:solidFill>
              <w14:schemeClr w14:val="tx1"/>
            </w14:solidFill>
          </w14:textFill>
        </w:rPr>
        <w:t>t</w:t>
      </w:r>
      <w:r>
        <w:rPr>
          <w:rFonts w:ascii="Times New Roman" w:hAnsi="Times New Roman" w:cs="Times New Roman"/>
          <w:color w:val="000000" w:themeColor="text1"/>
          <w:highlight w:val="none"/>
          <w14:textFill>
            <w14:solidFill>
              <w14:schemeClr w14:val="tx1"/>
            </w14:solidFill>
          </w14:textFill>
        </w:rPr>
        <w:t>/a）。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③氧化塘恶臭源强分析</w:t>
      </w:r>
    </w:p>
    <w:p>
      <w:pPr>
        <w:spacing w:line="520" w:lineRule="exact"/>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本项目氧化塘采用覆膜厌氧储存塘，整个氧化塘采用进口</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荷兰</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编织薄膜，分为底膜和顶膜</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浮动膜</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，液体粪污部分存储在底膜和浮动膜之间的空间里，该氧化塘在防治臭气散逸方面有充分的保障</w:t>
      </w:r>
      <w:r>
        <w:rPr>
          <w:rFonts w:hint="eastAsia" w:ascii="Times New Roman" w:hAnsi="Times New Roman" w:cs="Times New Roman"/>
          <w:color w:val="000000" w:themeColor="text1"/>
          <w:highlight w:val="none"/>
          <w:lang w:eastAsia="zh-CN"/>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根据污水排放量及处理站处理能力，</w:t>
      </w:r>
      <w:r>
        <w:rPr>
          <w:rFonts w:hint="eastAsia" w:ascii="Times New Roman" w:hAnsi="Times New Roman" w:cs="Times New Roman"/>
          <w:color w:val="000000" w:themeColor="text1"/>
          <w:highlight w:val="none"/>
          <w:lang w:val="en-US" w:eastAsia="zh-CN"/>
          <w14:textFill>
            <w14:solidFill>
              <w14:schemeClr w14:val="tx1"/>
            </w14:solidFill>
          </w14:textFill>
        </w:rPr>
        <w:t>本项目</w:t>
      </w:r>
      <w:r>
        <w:rPr>
          <w:rFonts w:ascii="Times New Roman" w:hAnsi="Times New Roman" w:cs="Times New Roman"/>
          <w:color w:val="000000" w:themeColor="text1"/>
          <w:highlight w:val="none"/>
          <w14:textFill>
            <w14:solidFill>
              <w14:schemeClr w14:val="tx1"/>
            </w14:solidFill>
          </w14:textFill>
        </w:rPr>
        <w:t>设置2个厌氧储存塘，总面积</w:t>
      </w:r>
      <w:r>
        <w:rPr>
          <w:rFonts w:hint="eastAsia" w:ascii="Times New Roman" w:hAnsi="Times New Roman" w:cs="Times New Roman"/>
          <w:color w:val="000000" w:themeColor="text1"/>
          <w:highlight w:val="none"/>
          <w:lang w:val="en-US" w:eastAsia="zh-CN"/>
          <w14:textFill>
            <w14:solidFill>
              <w14:schemeClr w14:val="tx1"/>
            </w14:solidFill>
          </w14:textFill>
        </w:rPr>
        <w:t>128</w:t>
      </w:r>
      <w:r>
        <w:rPr>
          <w:rFonts w:hint="eastAsia" w:ascii="Times New Roman" w:hAnsi="Times New Roman" w:cs="Times New Roman"/>
          <w:color w:val="000000" w:themeColor="text1"/>
          <w:highlight w:val="none"/>
          <w14:textFill>
            <w14:solidFill>
              <w14:schemeClr w14:val="tx1"/>
            </w14:solidFill>
          </w14:textFill>
        </w:rPr>
        <w:t>00</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2</w:t>
      </w:r>
      <w:r>
        <w:rPr>
          <w:rFonts w:ascii="Times New Roman" w:hAnsi="Times New Roman" w:cs="Times New Roman"/>
          <w:color w:val="000000" w:themeColor="text1"/>
          <w:highlight w:val="none"/>
          <w14:textFill>
            <w14:solidFill>
              <w14:schemeClr w14:val="tx1"/>
            </w14:solidFill>
          </w14:textFill>
        </w:rPr>
        <w:t>。按照平面布置面积计算，NH</w:t>
      </w:r>
      <w:r>
        <w:rPr>
          <w:rFonts w:ascii="Times New Roman" w:hAnsi="Times New Roman" w:cs="Times New Roman"/>
          <w:color w:val="000000" w:themeColor="text1"/>
          <w:highlight w:val="none"/>
          <w:vertAlign w:val="subscript"/>
          <w14:textFill>
            <w14:solidFill>
              <w14:schemeClr w14:val="tx1"/>
            </w14:solidFill>
          </w14:textFill>
        </w:rPr>
        <w:t>3</w:t>
      </w:r>
      <w:r>
        <w:rPr>
          <w:rFonts w:ascii="Times New Roman" w:hAnsi="Times New Roman" w:cs="Times New Roman"/>
          <w:color w:val="000000" w:themeColor="text1"/>
          <w:highlight w:val="none"/>
          <w14:textFill>
            <w14:solidFill>
              <w14:schemeClr w14:val="tx1"/>
            </w14:solidFill>
          </w14:textFill>
        </w:rPr>
        <w:t>的产生强度为</w:t>
      </w:r>
      <w:r>
        <w:rPr>
          <w:rFonts w:hint="eastAsia" w:ascii="Times New Roman" w:hAnsi="Times New Roman" w:cs="Times New Roman"/>
          <w:color w:val="000000" w:themeColor="text1"/>
          <w:highlight w:val="none"/>
          <w14:textFill>
            <w14:solidFill>
              <w14:schemeClr w14:val="tx1"/>
            </w14:solidFill>
          </w14:textFill>
        </w:rPr>
        <w:t>0.0</w:t>
      </w:r>
      <w:r>
        <w:rPr>
          <w:rFonts w:hint="eastAsia" w:ascii="Times New Roman" w:hAnsi="Times New Roman" w:cs="Times New Roman"/>
          <w:color w:val="000000" w:themeColor="text1"/>
          <w:highlight w:val="none"/>
          <w:lang w:val="en-US" w:eastAsia="zh-CN"/>
          <w14:textFill>
            <w14:solidFill>
              <w14:schemeClr w14:val="tx1"/>
            </w14:solidFill>
          </w14:textFill>
        </w:rPr>
        <w:t>21</w:t>
      </w:r>
      <w:r>
        <w:rPr>
          <w:rFonts w:hint="eastAsia" w:ascii="Times New Roman" w:hAnsi="Times New Roman" w:cs="Times New Roman"/>
          <w:color w:val="000000" w:themeColor="text1"/>
          <w:highlight w:val="none"/>
          <w14:textFill>
            <w14:solidFill>
              <w14:schemeClr w14:val="tx1"/>
            </w14:solidFill>
          </w14:textFill>
        </w:rPr>
        <w:t>kg/h（0.</w:t>
      </w:r>
      <w:r>
        <w:rPr>
          <w:rFonts w:hint="eastAsia" w:ascii="Times New Roman" w:hAnsi="Times New Roman" w:cs="Times New Roman"/>
          <w:color w:val="000000" w:themeColor="text1"/>
          <w:highlight w:val="none"/>
          <w:lang w:val="en-US" w:eastAsia="zh-CN"/>
          <w14:textFill>
            <w14:solidFill>
              <w14:schemeClr w14:val="tx1"/>
            </w14:solidFill>
          </w14:textFill>
        </w:rPr>
        <w:t>153</w:t>
      </w:r>
      <w:r>
        <w:rPr>
          <w:rFonts w:hint="eastAsia" w:ascii="Times New Roman" w:hAnsi="Times New Roman" w:cs="Times New Roman"/>
          <w:color w:val="000000" w:themeColor="text1"/>
          <w:highlight w:val="none"/>
          <w14:textFill>
            <w14:solidFill>
              <w14:schemeClr w14:val="tx1"/>
            </w14:solidFill>
          </w14:textFill>
        </w:rPr>
        <w:t>t/a）</w:t>
      </w:r>
      <w:r>
        <w:rPr>
          <w:rFonts w:ascii="Times New Roman" w:hAnsi="Times New Roman" w:cs="Times New Roman"/>
          <w:color w:val="000000" w:themeColor="text1"/>
          <w:highlight w:val="none"/>
          <w14:textFill>
            <w14:solidFill>
              <w14:schemeClr w14:val="tx1"/>
            </w14:solidFill>
          </w14:textFill>
        </w:rPr>
        <w:t>，H</w:t>
      </w:r>
      <w:r>
        <w:rPr>
          <w:rFonts w:ascii="Times New Roman" w:hAnsi="Times New Roman" w:cs="Times New Roman"/>
          <w:color w:val="000000" w:themeColor="text1"/>
          <w:highlight w:val="none"/>
          <w:vertAlign w:val="subscript"/>
          <w14:textFill>
            <w14:solidFill>
              <w14:schemeClr w14:val="tx1"/>
            </w14:solidFill>
          </w14:textFill>
        </w:rPr>
        <w:t>2</w:t>
      </w:r>
      <w:r>
        <w:rPr>
          <w:rFonts w:ascii="Times New Roman" w:hAnsi="Times New Roman" w:cs="Times New Roman"/>
          <w:color w:val="000000" w:themeColor="text1"/>
          <w:highlight w:val="none"/>
          <w14:textFill>
            <w14:solidFill>
              <w14:schemeClr w14:val="tx1"/>
            </w14:solidFill>
          </w14:textFill>
        </w:rPr>
        <w:t>S的产生强度为</w:t>
      </w:r>
      <w:r>
        <w:rPr>
          <w:rFonts w:hint="eastAsia" w:ascii="Times New Roman" w:hAnsi="Times New Roman" w:cs="Times New Roman"/>
          <w:color w:val="000000" w:themeColor="text1"/>
          <w:highlight w:val="none"/>
          <w14:textFill>
            <w14:solidFill>
              <w14:schemeClr w14:val="tx1"/>
            </w14:solidFill>
          </w14:textFill>
        </w:rPr>
        <w:t>0.00</w:t>
      </w:r>
      <w:r>
        <w:rPr>
          <w:rFonts w:hint="eastAsia" w:ascii="Times New Roman" w:hAnsi="Times New Roman" w:cs="Times New Roman"/>
          <w:color w:val="000000" w:themeColor="text1"/>
          <w:highlight w:val="none"/>
          <w:lang w:val="en-US" w:eastAsia="zh-CN"/>
          <w14:textFill>
            <w14:solidFill>
              <w14:schemeClr w14:val="tx1"/>
            </w14:solidFill>
          </w14:textFill>
        </w:rPr>
        <w:t>33</w:t>
      </w:r>
      <w:r>
        <w:rPr>
          <w:rFonts w:hint="eastAsia" w:ascii="Times New Roman" w:hAnsi="Times New Roman" w:cs="Times New Roman"/>
          <w:color w:val="000000" w:themeColor="text1"/>
          <w:highlight w:val="none"/>
          <w14:textFill>
            <w14:solidFill>
              <w14:schemeClr w14:val="tx1"/>
            </w14:solidFill>
          </w14:textFill>
        </w:rPr>
        <w:t>kg/h（0.00</w:t>
      </w:r>
      <w:r>
        <w:rPr>
          <w:rFonts w:hint="eastAsia" w:ascii="Times New Roman" w:hAnsi="Times New Roman" w:cs="Times New Roman"/>
          <w:color w:val="000000" w:themeColor="text1"/>
          <w:highlight w:val="none"/>
          <w:lang w:val="en-US" w:eastAsia="zh-CN"/>
          <w14:textFill>
            <w14:solidFill>
              <w14:schemeClr w14:val="tx1"/>
            </w14:solidFill>
          </w14:textFill>
        </w:rPr>
        <w:t>23</w:t>
      </w:r>
      <w:r>
        <w:rPr>
          <w:rFonts w:hint="eastAsia" w:ascii="Times New Roman" w:hAnsi="Times New Roman" w:cs="Times New Roman"/>
          <w:color w:val="000000" w:themeColor="text1"/>
          <w:highlight w:val="none"/>
          <w14:textFill>
            <w14:solidFill>
              <w14:schemeClr w14:val="tx1"/>
            </w14:solidFill>
          </w14:textFill>
        </w:rPr>
        <w:t>t/a）</w:t>
      </w:r>
      <w:r>
        <w:rPr>
          <w:rFonts w:ascii="Times New Roman" w:hAnsi="Times New Roman" w:cs="Times New Roman"/>
          <w:color w:val="000000" w:themeColor="text1"/>
          <w:highlight w:val="none"/>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（4）食堂油烟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劳动定员为35人，食堂采用液化气为燃料，运期食堂产生的废气主要为油烟废气。根据相关资料和调查统计，食堂食用油使用量约30g/人•d计，项目年工作300d，则食用油使用量为0.315t/a，一般油烟挥发量占耗油量的2～4%，本次评价取其平均值3%，则食堂油烟产生量为9.45kg/a。项目油烟采用油烟净化器进行处理，处理效率应达到60%以上，产生有组织排放油烟量为5.67kg/a，油烟排放浓度为1.1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，处理后的油烟经专用排烟管道引至楼顶排放，达到《饮食业油烟排放标准（试行）》（GB18483-2001）中的规定（2.0mg/m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pStyle w:val="7"/>
        <w:rPr>
          <w:rFonts w:cs="Times New Roman"/>
          <w:color w:val="000000" w:themeColor="text1"/>
          <w:kern w:val="0"/>
          <w14:textFill>
            <w14:solidFill>
              <w14:schemeClr w14:val="tx1"/>
            </w14:solidFill>
          </w14:textFill>
        </w:rPr>
      </w:pPr>
      <w:bookmarkStart w:id="348" w:name="_Toc3591"/>
      <w:bookmarkStart w:id="349" w:name="_Toc542"/>
      <w:r>
        <w:rPr>
          <w:rFonts w:cs="Times New Roman"/>
          <w:color w:val="000000" w:themeColor="text1"/>
          <w:kern w:val="0"/>
          <w14:textFill>
            <w14:solidFill>
              <w14:schemeClr w14:val="tx1"/>
            </w14:solidFill>
          </w14:textFill>
        </w:rPr>
        <w:t>3.</w:t>
      </w:r>
      <w:r>
        <w:rPr>
          <w:rFonts w:hint="eastAsia" w:cs="Times New Roman"/>
          <w:color w:val="000000" w:themeColor="text1"/>
          <w:kern w:val="0"/>
          <w14:textFill>
            <w14:solidFill>
              <w14:schemeClr w14:val="tx1"/>
            </w14:solidFill>
          </w14:textFill>
        </w:rPr>
        <w:t>5</w:t>
      </w:r>
      <w:r>
        <w:rPr>
          <w:rFonts w:cs="Times New Roman"/>
          <w:color w:val="000000" w:themeColor="text1"/>
          <w:kern w:val="0"/>
          <w14:textFill>
            <w14:solidFill>
              <w14:schemeClr w14:val="tx1"/>
            </w14:solidFill>
          </w14:textFill>
        </w:rPr>
        <w:t>.2.3 运营期噪声污染源分析</w:t>
      </w:r>
      <w:bookmarkEnd w:id="348"/>
      <w:bookmarkEnd w:id="349"/>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生产运营过程中的主要噪声源有猪叫声、风机、污水处理站设备等。</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（1）猪叫声</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猪会发出尖锐的叫声，随机性较大，养殖场的猪叫声主要发生在喂食时，一般噪声级在80dB（A）左右，该类噪声为间歇性噪声，在猪舍内产生。</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（2）设备噪声</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主要设备噪声来自于风机、水泵等，猪舍设有风机，用于通风，启动时会产生噪声；水泵主要设置在污水处理站，在运行时会产生噪声。设备产生的噪声为机械性噪声，频谱特征大部分以中低频为主，声级约75～80dB（A）。</w:t>
      </w:r>
    </w:p>
    <w:p>
      <w:pPr>
        <w:pStyle w:val="39"/>
        <w:snapToGrid w:val="0"/>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w:t>
      </w:r>
      <w:r>
        <w:rPr>
          <w:rFonts w:hint="eastAsia" w:cs="Times New Roman"/>
          <w:color w:val="000000" w:themeColor="text1"/>
          <w14:textFill>
            <w14:solidFill>
              <w14:schemeClr w14:val="tx1"/>
            </w14:solidFill>
          </w14:textFill>
        </w:rPr>
        <w:t>5-7</w:t>
      </w:r>
      <w:r>
        <w:rPr>
          <w:rFonts w:cs="Times New Roman"/>
          <w:color w:val="000000" w:themeColor="text1"/>
          <w14:textFill>
            <w14:solidFill>
              <w14:schemeClr w14:val="tx1"/>
            </w14:solidFill>
          </w14:textFill>
        </w:rPr>
        <w:t xml:space="preserve">   项目主要设备噪声源强  单位：</w:t>
      </w:r>
      <w:r>
        <w:rPr>
          <w:rFonts w:cs="Times New Roman"/>
          <w:bCs/>
          <w:color w:val="000000" w:themeColor="text1"/>
          <w:szCs w:val="21"/>
          <w14:textFill>
            <w14:solidFill>
              <w14:schemeClr w14:val="tx1"/>
            </w14:solidFill>
          </w14:textFill>
        </w:rPr>
        <w:t>dB（A）</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91"/>
        <w:gridCol w:w="1101"/>
        <w:gridCol w:w="1210"/>
        <w:gridCol w:w="2246"/>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13"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序号</w:t>
            </w:r>
          </w:p>
        </w:tc>
        <w:tc>
          <w:tcPr>
            <w:tcW w:w="1051" w:type="pct"/>
            <w:vAlign w:val="center"/>
          </w:tcPr>
          <w:p>
            <w:pPr>
              <w:spacing w:line="240" w:lineRule="auto"/>
              <w:ind w:firstLine="0" w:firstLineChars="0"/>
              <w:jc w:val="center"/>
              <w:rPr>
                <w:rFonts w:ascii="Times New Roman" w:hAnsi="Times New Roman" w:cs="Times New Roman"/>
                <w:b/>
                <w:bCs/>
                <w:color w:val="000000" w:themeColor="text1"/>
                <w:sz w:val="21"/>
                <w:szCs w:val="21"/>
                <w:lang w:eastAsia="zh-TW"/>
                <w14:textFill>
                  <w14:solidFill>
                    <w14:schemeClr w14:val="tx1"/>
                  </w14:solidFill>
                </w14:textFill>
              </w:rPr>
            </w:pPr>
            <w:r>
              <w:rPr>
                <w:rFonts w:ascii="Times New Roman" w:hAnsi="Times New Roman" w:cs="Times New Roman"/>
                <w:b/>
                <w:bCs/>
                <w:color w:val="000000" w:themeColor="text1"/>
                <w:sz w:val="21"/>
                <w:szCs w:val="21"/>
                <w:lang w:eastAsia="zh-TW"/>
                <w14:textFill>
                  <w14:solidFill>
                    <w14:schemeClr w14:val="tx1"/>
                  </w14:solidFill>
                </w14:textFill>
              </w:rPr>
              <w:t>噪声源</w:t>
            </w:r>
          </w:p>
        </w:tc>
        <w:tc>
          <w:tcPr>
            <w:tcW w:w="646"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噪声级（dB</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A</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w:t>
            </w:r>
          </w:p>
        </w:tc>
        <w:tc>
          <w:tcPr>
            <w:tcW w:w="710" w:type="pct"/>
            <w:vAlign w:val="center"/>
          </w:tcPr>
          <w:p>
            <w:pPr>
              <w:spacing w:line="240" w:lineRule="auto"/>
              <w:ind w:firstLine="0" w:firstLineChars="0"/>
              <w:jc w:val="center"/>
              <w:rPr>
                <w:rFonts w:ascii="Times New Roman" w:hAnsi="Times New Roman" w:cs="Times New Roman"/>
                <w:b/>
                <w:bCs/>
                <w:color w:val="000000" w:themeColor="text1"/>
                <w:sz w:val="21"/>
                <w:szCs w:val="21"/>
                <w:lang w:eastAsia="zh-TW"/>
                <w14:textFill>
                  <w14:solidFill>
                    <w14:schemeClr w14:val="tx1"/>
                  </w14:solidFill>
                </w14:textFill>
              </w:rPr>
            </w:pPr>
            <w:r>
              <w:rPr>
                <w:rFonts w:ascii="Times New Roman" w:hAnsi="Times New Roman" w:cs="Times New Roman"/>
                <w:b/>
                <w:bCs/>
                <w:color w:val="000000" w:themeColor="text1"/>
                <w:sz w:val="21"/>
                <w:szCs w:val="21"/>
                <w:lang w:eastAsia="zh-TW"/>
                <w14:textFill>
                  <w14:solidFill>
                    <w14:schemeClr w14:val="tx1"/>
                  </w14:solidFill>
                </w14:textFill>
              </w:rPr>
              <w:t>位置</w:t>
            </w:r>
          </w:p>
        </w:tc>
        <w:tc>
          <w:tcPr>
            <w:tcW w:w="1318" w:type="pct"/>
            <w:vAlign w:val="center"/>
          </w:tcPr>
          <w:p>
            <w:pPr>
              <w:spacing w:line="240" w:lineRule="auto"/>
              <w:ind w:firstLine="0" w:firstLineChars="0"/>
              <w:jc w:val="center"/>
              <w:rPr>
                <w:rFonts w:ascii="Times New Roman" w:hAnsi="Times New Roman" w:cs="Times New Roman"/>
                <w:b/>
                <w:bCs/>
                <w:color w:val="000000" w:themeColor="text1"/>
                <w:sz w:val="21"/>
                <w:szCs w:val="21"/>
                <w:lang w:eastAsia="zh-TW"/>
                <w14:textFill>
                  <w14:solidFill>
                    <w14:schemeClr w14:val="tx1"/>
                  </w14:solidFill>
                </w14:textFill>
              </w:rPr>
            </w:pPr>
            <w:r>
              <w:rPr>
                <w:rFonts w:ascii="Times New Roman" w:hAnsi="Times New Roman" w:cs="Times New Roman"/>
                <w:b/>
                <w:bCs/>
                <w:color w:val="000000" w:themeColor="text1"/>
                <w:sz w:val="21"/>
                <w:szCs w:val="21"/>
                <w:lang w:eastAsia="zh-TW"/>
                <w14:textFill>
                  <w14:solidFill>
                    <w14:schemeClr w14:val="tx1"/>
                  </w14:solidFill>
                </w14:textFill>
              </w:rPr>
              <w:t>降噪措施</w:t>
            </w:r>
          </w:p>
        </w:tc>
        <w:tc>
          <w:tcPr>
            <w:tcW w:w="860" w:type="pct"/>
            <w:vAlign w:val="center"/>
          </w:tcPr>
          <w:p>
            <w:pPr>
              <w:spacing w:line="240" w:lineRule="auto"/>
              <w:ind w:firstLine="0" w:firstLineChars="0"/>
              <w:jc w:val="center"/>
              <w:rPr>
                <w:rFonts w:ascii="Times New Roman" w:hAnsi="Times New Roman" w:cs="Times New Roman"/>
                <w:b/>
                <w:bCs/>
                <w:color w:val="000000" w:themeColor="text1"/>
                <w:sz w:val="21"/>
                <w:szCs w:val="21"/>
                <w:lang w:eastAsia="zh-TW"/>
                <w14:textFill>
                  <w14:solidFill>
                    <w14:schemeClr w14:val="tx1"/>
                  </w14:solidFill>
                </w14:textFill>
              </w:rPr>
            </w:pPr>
            <w:r>
              <w:rPr>
                <w:rFonts w:ascii="Times New Roman" w:hAnsi="Times New Roman" w:cs="Times New Roman"/>
                <w:b/>
                <w:bCs/>
                <w:color w:val="000000" w:themeColor="text1"/>
                <w:sz w:val="21"/>
                <w:szCs w:val="21"/>
                <w:lang w:eastAsia="zh-TW"/>
                <w14:textFill>
                  <w14:solidFill>
                    <w14:schemeClr w14:val="tx1"/>
                  </w14:solidFill>
                </w14:textFill>
              </w:rPr>
              <w:t>降噪效果（dB</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lang w:eastAsia="zh-TW"/>
                <w14:textFill>
                  <w14:solidFill>
                    <w14:schemeClr w14:val="tx1"/>
                  </w14:solidFill>
                </w14:textFill>
              </w:rPr>
              <w:t>A</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lang w:eastAsia="zh-TW"/>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1</w:t>
            </w:r>
          </w:p>
        </w:tc>
        <w:tc>
          <w:tcPr>
            <w:tcW w:w="105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猪叫声</w:t>
            </w:r>
          </w:p>
        </w:tc>
        <w:tc>
          <w:tcPr>
            <w:tcW w:w="64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w:t>
            </w:r>
          </w:p>
        </w:tc>
        <w:tc>
          <w:tcPr>
            <w:tcW w:w="710" w:type="pct"/>
            <w:vMerge w:val="restar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猪舍</w:t>
            </w:r>
          </w:p>
        </w:tc>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隔声</w:t>
            </w:r>
          </w:p>
        </w:tc>
        <w:tc>
          <w:tcPr>
            <w:tcW w:w="86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2</w:t>
            </w:r>
          </w:p>
        </w:tc>
        <w:tc>
          <w:tcPr>
            <w:tcW w:w="1051"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排风机</w:t>
            </w:r>
          </w:p>
        </w:tc>
        <w:tc>
          <w:tcPr>
            <w:tcW w:w="64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w:t>
            </w:r>
          </w:p>
        </w:tc>
        <w:tc>
          <w:tcPr>
            <w:tcW w:w="710"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p>
        </w:tc>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隔声</w:t>
            </w:r>
            <w:r>
              <w:rPr>
                <w:rFonts w:ascii="Times New Roman" w:hAnsi="Times New Roman" w:cs="Times New Roman"/>
                <w:color w:val="000000" w:themeColor="text1"/>
                <w:sz w:val="21"/>
                <w:szCs w:val="21"/>
                <w14:textFill>
                  <w14:solidFill>
                    <w14:schemeClr w14:val="tx1"/>
                  </w14:solidFill>
                </w14:textFill>
              </w:rPr>
              <w:t>、减震</w:t>
            </w:r>
          </w:p>
        </w:tc>
        <w:tc>
          <w:tcPr>
            <w:tcW w:w="86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3</w:t>
            </w:r>
          </w:p>
        </w:tc>
        <w:tc>
          <w:tcPr>
            <w:tcW w:w="1051"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各种泵类</w:t>
            </w:r>
          </w:p>
        </w:tc>
        <w:tc>
          <w:tcPr>
            <w:tcW w:w="64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w:t>
            </w:r>
          </w:p>
        </w:tc>
        <w:tc>
          <w:tcPr>
            <w:tcW w:w="710"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p>
        </w:tc>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隔声</w:t>
            </w:r>
            <w:r>
              <w:rPr>
                <w:rFonts w:ascii="Times New Roman" w:hAnsi="Times New Roman" w:cs="Times New Roman"/>
                <w:color w:val="000000" w:themeColor="text1"/>
                <w:sz w:val="21"/>
                <w:szCs w:val="21"/>
                <w14:textFill>
                  <w14:solidFill>
                    <w14:schemeClr w14:val="tx1"/>
                  </w14:solidFill>
                </w14:textFill>
              </w:rPr>
              <w:t>、减震</w:t>
            </w:r>
          </w:p>
        </w:tc>
        <w:tc>
          <w:tcPr>
            <w:tcW w:w="860"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4</w:t>
            </w:r>
          </w:p>
        </w:tc>
        <w:tc>
          <w:tcPr>
            <w:tcW w:w="1051"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抽吸泵</w:t>
            </w:r>
          </w:p>
        </w:tc>
        <w:tc>
          <w:tcPr>
            <w:tcW w:w="646"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8</w:t>
            </w:r>
            <w:r>
              <w:rPr>
                <w:rFonts w:ascii="Times New Roman" w:hAnsi="Times New Roman" w:cs="Times New Roman"/>
                <w:color w:val="000000" w:themeColor="text1"/>
                <w:sz w:val="21"/>
                <w:szCs w:val="21"/>
                <w14:textFill>
                  <w14:solidFill>
                    <w14:schemeClr w14:val="tx1"/>
                  </w14:solidFill>
                </w14:textFill>
              </w:rPr>
              <w:t>0</w:t>
            </w:r>
          </w:p>
        </w:tc>
        <w:tc>
          <w:tcPr>
            <w:tcW w:w="710" w:type="pct"/>
            <w:vMerge w:val="restar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污水处理区</w:t>
            </w:r>
          </w:p>
        </w:tc>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隔声</w:t>
            </w:r>
            <w:r>
              <w:rPr>
                <w:rFonts w:ascii="Times New Roman" w:hAnsi="Times New Roman" w:cs="Times New Roman"/>
                <w:color w:val="000000" w:themeColor="text1"/>
                <w:sz w:val="21"/>
                <w:szCs w:val="21"/>
                <w14:textFill>
                  <w14:solidFill>
                    <w14:schemeClr w14:val="tx1"/>
                  </w14:solidFill>
                </w14:textFill>
              </w:rPr>
              <w:t>、减震</w:t>
            </w:r>
          </w:p>
        </w:tc>
        <w:tc>
          <w:tcPr>
            <w:tcW w:w="860"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5</w:t>
            </w:r>
          </w:p>
        </w:tc>
        <w:tc>
          <w:tcPr>
            <w:tcW w:w="1051"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进料泵</w:t>
            </w:r>
          </w:p>
        </w:tc>
        <w:tc>
          <w:tcPr>
            <w:tcW w:w="646"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80</w:t>
            </w:r>
          </w:p>
        </w:tc>
        <w:tc>
          <w:tcPr>
            <w:tcW w:w="710"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p>
        </w:tc>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隔声</w:t>
            </w:r>
            <w:r>
              <w:rPr>
                <w:rFonts w:ascii="Times New Roman" w:hAnsi="Times New Roman" w:cs="Times New Roman"/>
                <w:color w:val="000000" w:themeColor="text1"/>
                <w:sz w:val="21"/>
                <w:szCs w:val="21"/>
                <w14:textFill>
                  <w14:solidFill>
                    <w14:schemeClr w14:val="tx1"/>
                  </w14:solidFill>
                </w14:textFill>
              </w:rPr>
              <w:t>、减震</w:t>
            </w:r>
          </w:p>
        </w:tc>
        <w:tc>
          <w:tcPr>
            <w:tcW w:w="860"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6</w:t>
            </w:r>
          </w:p>
        </w:tc>
        <w:tc>
          <w:tcPr>
            <w:tcW w:w="1051"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提升泵</w:t>
            </w:r>
          </w:p>
        </w:tc>
        <w:tc>
          <w:tcPr>
            <w:tcW w:w="646"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8</w:t>
            </w:r>
            <w:r>
              <w:rPr>
                <w:rFonts w:ascii="Times New Roman" w:hAnsi="Times New Roman" w:cs="Times New Roman"/>
                <w:color w:val="000000" w:themeColor="text1"/>
                <w:sz w:val="21"/>
                <w:szCs w:val="21"/>
                <w14:textFill>
                  <w14:solidFill>
                    <w14:schemeClr w14:val="tx1"/>
                  </w14:solidFill>
                </w14:textFill>
              </w:rPr>
              <w:t>0</w:t>
            </w:r>
          </w:p>
        </w:tc>
        <w:tc>
          <w:tcPr>
            <w:tcW w:w="710"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p>
        </w:tc>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隔声</w:t>
            </w:r>
            <w:r>
              <w:rPr>
                <w:rFonts w:ascii="Times New Roman" w:hAnsi="Times New Roman" w:cs="Times New Roman"/>
                <w:color w:val="000000" w:themeColor="text1"/>
                <w:sz w:val="21"/>
                <w:szCs w:val="21"/>
                <w14:textFill>
                  <w14:solidFill>
                    <w14:schemeClr w14:val="tx1"/>
                  </w14:solidFill>
                </w14:textFill>
              </w:rPr>
              <w:t>、减震</w:t>
            </w:r>
          </w:p>
        </w:tc>
        <w:tc>
          <w:tcPr>
            <w:tcW w:w="860"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7</w:t>
            </w:r>
          </w:p>
        </w:tc>
        <w:tc>
          <w:tcPr>
            <w:tcW w:w="1051"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污泥泵</w:t>
            </w:r>
          </w:p>
        </w:tc>
        <w:tc>
          <w:tcPr>
            <w:tcW w:w="646"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80</w:t>
            </w:r>
          </w:p>
        </w:tc>
        <w:tc>
          <w:tcPr>
            <w:tcW w:w="710"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p>
        </w:tc>
        <w:tc>
          <w:tcPr>
            <w:tcW w:w="1318"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lang w:eastAsia="zh-TW"/>
                <w14:textFill>
                  <w14:solidFill>
                    <w14:schemeClr w14:val="tx1"/>
                  </w14:solidFill>
                </w14:textFill>
              </w:rPr>
              <w:t>隔声</w:t>
            </w:r>
            <w:r>
              <w:rPr>
                <w:rFonts w:ascii="Times New Roman" w:hAnsi="Times New Roman" w:cs="Times New Roman"/>
                <w:color w:val="000000" w:themeColor="text1"/>
                <w:sz w:val="21"/>
                <w:szCs w:val="21"/>
                <w14:textFill>
                  <w14:solidFill>
                    <w14:schemeClr w14:val="tx1"/>
                  </w14:solidFill>
                </w14:textFill>
              </w:rPr>
              <w:t>、减震</w:t>
            </w:r>
          </w:p>
        </w:tc>
        <w:tc>
          <w:tcPr>
            <w:tcW w:w="860" w:type="pct"/>
            <w:vAlign w:val="center"/>
          </w:tcPr>
          <w:p>
            <w:pPr>
              <w:spacing w:line="240" w:lineRule="auto"/>
              <w:ind w:firstLine="0" w:firstLineChars="0"/>
              <w:jc w:val="center"/>
              <w:rPr>
                <w:rFonts w:ascii="Times New Roman" w:hAnsi="Times New Roman" w:cs="Times New Roman"/>
                <w:color w:val="000000" w:themeColor="text1"/>
                <w:sz w:val="21"/>
                <w:szCs w:val="21"/>
                <w:lang w:eastAsia="zh-TW"/>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bl>
    <w:p>
      <w:pPr>
        <w:pStyle w:val="7"/>
        <w:rPr>
          <w:rFonts w:cs="Times New Roman"/>
          <w:color w:val="000000" w:themeColor="text1"/>
          <w:kern w:val="0"/>
          <w14:textFill>
            <w14:solidFill>
              <w14:schemeClr w14:val="tx1"/>
            </w14:solidFill>
          </w14:textFill>
        </w:rPr>
      </w:pPr>
      <w:bookmarkStart w:id="350" w:name="_Toc6297"/>
      <w:bookmarkStart w:id="351" w:name="_Toc22521"/>
      <w:r>
        <w:rPr>
          <w:rFonts w:cs="Times New Roman"/>
          <w:color w:val="000000" w:themeColor="text1"/>
          <w:kern w:val="0"/>
          <w14:textFill>
            <w14:solidFill>
              <w14:schemeClr w14:val="tx1"/>
            </w14:solidFill>
          </w14:textFill>
        </w:rPr>
        <w:t>3.</w:t>
      </w:r>
      <w:r>
        <w:rPr>
          <w:rFonts w:hint="eastAsia" w:cs="Times New Roman"/>
          <w:color w:val="000000" w:themeColor="text1"/>
          <w:kern w:val="0"/>
          <w14:textFill>
            <w14:solidFill>
              <w14:schemeClr w14:val="tx1"/>
            </w14:solidFill>
          </w14:textFill>
        </w:rPr>
        <w:t>5</w:t>
      </w:r>
      <w:r>
        <w:rPr>
          <w:rFonts w:cs="Times New Roman"/>
          <w:color w:val="000000" w:themeColor="text1"/>
          <w:kern w:val="0"/>
          <w14:textFill>
            <w14:solidFill>
              <w14:schemeClr w14:val="tx1"/>
            </w14:solidFill>
          </w14:textFill>
        </w:rPr>
        <w:t>.2.4 运营期固体废物污染源分析</w:t>
      </w:r>
      <w:bookmarkEnd w:id="350"/>
      <w:bookmarkEnd w:id="351"/>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本项目产生的固体废弃物主要为生活垃圾、猪粪便、病死猪尸体、污水处理工程污泥、治疗猪疫病产生的医疗废物。</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（1）生活垃圾</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本项目劳动定员按35人计，按每人每天产生0.5kg垃圾计，年工作300d，产生垃圾量约为5.25t</w:t>
      </w:r>
      <w:r>
        <w:rPr>
          <w:rFonts w:hint="eastAsia" w:ascii="Times New Roman" w:hAnsi="Times New Roman" w:cs="Times New Roman"/>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，经养殖场内垃圾箱（桶）集中收集后，由环卫部门统一清运至昌吉市生活垃圾填埋场进行处置。</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（2）猪粪</w:t>
      </w:r>
    </w:p>
    <w:p>
      <w:pPr>
        <w:snapToGrid w:val="0"/>
        <w:spacing w:line="520" w:lineRule="exact"/>
        <w:ind w:left="240" w:leftChars="100" w:firstLine="240" w:firstLineChars="1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本项目存栏80000头种猪，根据《畜禽养殖业污染治理工程技术规范》（HJ 497-2009）附录A中“表A.2 不同畜禽粪污日排泄量”，本项目每头猪粪污排泄量按2kg/d计算，猪粪便产生量约为160t/d</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48000t/a</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粪便最终按照《畜禽养殖业污染治理工程技术规范》（HJ497-2009），建设规范化堆肥场处置干清粪粪便，堆放场所地面需硬化，必须有防渗漏、溢流、防雨措施。规范化处置猪粪，不仅实现了再生资源利用，而且不会对周围环境造成二次污染。本项目猪粪集中清运至堆肥场发酵处理，经腐熟无害化后做为农肥还田。</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（3）病死猪尸体</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本项目根据类比新疆泰昆集团有限责任公司已投入运营的种猪</w:t>
      </w:r>
      <w:r>
        <w:rPr>
          <w:rFonts w:hint="eastAsia" w:ascii="Times New Roman" w:hAnsi="Times New Roman" w:cs="Times New Roman"/>
          <w:color w:val="000000" w:themeColor="text1"/>
          <w:lang w:val="en-US" w:eastAsia="zh-CN"/>
          <w14:textFill>
            <w14:solidFill>
              <w14:schemeClr w14:val="tx1"/>
            </w14:solidFill>
          </w14:textFill>
        </w:rPr>
        <w:t>育肥</w:t>
      </w:r>
      <w:r>
        <w:rPr>
          <w:rFonts w:ascii="Times New Roman" w:hAnsi="Times New Roman" w:cs="Times New Roman"/>
          <w:color w:val="000000" w:themeColor="text1"/>
          <w14:textFill>
            <w14:solidFill>
              <w14:schemeClr w14:val="tx1"/>
            </w14:solidFill>
          </w14:textFill>
        </w:rPr>
        <w:t>项目和有关资料统计，本项目育肥猪的死亡率一般占全部存栏量的</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左右，平均重量以</w:t>
      </w: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0kg/头计。本项目年</w:t>
      </w:r>
      <w:r>
        <w:rPr>
          <w:rFonts w:hint="eastAsia" w:ascii="Times New Roman" w:hAnsi="Times New Roman" w:cs="Times New Roman"/>
          <w:color w:val="000000" w:themeColor="text1"/>
          <w:lang w:val="en-US" w:eastAsia="zh-CN"/>
          <w14:textFill>
            <w14:solidFill>
              <w14:schemeClr w14:val="tx1"/>
            </w14:solidFill>
          </w14:textFill>
        </w:rPr>
        <w:t>存栏</w:t>
      </w:r>
      <w:r>
        <w:rPr>
          <w:rFonts w:ascii="Times New Roman" w:hAnsi="Times New Roman" w:cs="Times New Roman"/>
          <w:color w:val="000000" w:themeColor="text1"/>
          <w14:textFill>
            <w14:solidFill>
              <w14:schemeClr w14:val="tx1"/>
            </w14:solidFill>
          </w14:textFill>
        </w:rPr>
        <w:t>80000头，则本项目死猪产生量约800头/年，</w:t>
      </w:r>
      <w:r>
        <w:rPr>
          <w:rFonts w:hint="eastAsia" w:ascii="Times New Roman" w:hAnsi="Times New Roman" w:cs="Times New Roman"/>
          <w:color w:val="000000" w:themeColor="text1"/>
          <w14:textFill>
            <w14:solidFill>
              <w14:schemeClr w14:val="tx1"/>
            </w14:solidFill>
          </w14:textFill>
        </w:rPr>
        <w:t>56</w:t>
      </w:r>
      <w:r>
        <w:rPr>
          <w:rFonts w:ascii="Times New Roman" w:hAnsi="Times New Roman" w:cs="Times New Roman"/>
          <w:color w:val="000000" w:themeColor="text1"/>
          <w14:textFill>
            <w14:solidFill>
              <w14:schemeClr w14:val="tx1"/>
            </w14:solidFill>
          </w14:textFill>
        </w:rPr>
        <w:t>t/a。本项目采用高温与生物降解畜禽无害化处理技术和设施对病死猪尸体进行处理，经处理后产生的残渣和油脂根据卫生部门和防疫部门的相关要求进行处置。</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（4）兽用医疗废物</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治疗畜禽疾病（本项目主要是猪瘟、伪狂犬、口蹄疫、猪繁殖与呼吸综合征等）使用的药剂主要有猪稳康、伪狂静、OA高效灭活菌、蓝抗定注射液等；药具主要为一次性针具、吊瓶等。本项目全部可产生兽用医疗废物约为</w:t>
      </w:r>
      <w:r>
        <w:rPr>
          <w:rFonts w:hint="eastAsia" w:ascii="Times New Roman" w:hAnsi="Times New Roman" w:cs="Times New Roman"/>
          <w:color w:val="000000" w:themeColor="text1"/>
          <w14:textFill>
            <w14:solidFill>
              <w14:schemeClr w14:val="tx1"/>
            </w14:solidFill>
          </w14:textFill>
        </w:rPr>
        <w:t>0.8</w:t>
      </w:r>
      <w:r>
        <w:rPr>
          <w:rFonts w:ascii="Times New Roman" w:hAnsi="Times New Roman" w:cs="Times New Roman"/>
          <w:color w:val="000000" w:themeColor="text1"/>
          <w14:textFill>
            <w14:solidFill>
              <w14:schemeClr w14:val="tx1"/>
            </w14:solidFill>
          </w14:textFill>
        </w:rPr>
        <w:t>t/a。</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医疗废物的产生量与养殖过程中疫情的发生量和治疗量有关，根据卫生防疫要求及疫病防治管理，疫苗药具及防疫用药用量按每只畜禽注射一次，主要产生的一次性针具及废弃药瓶量。</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按照《医疗废物集中处置技术规范（试行）》规定，项目应设置医疗废物暂时贮存库房，对医疗废弃物进行分类暂存。医疗废物交有资质单位处置，最终交由有资质单位处置。</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（5）污泥</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本项目污水经厌氧塘处理后产生污泥量约6.8t/a。污泥可做农肥，与发酵后的猪粪一起作为有机肥还田</w:t>
      </w:r>
    </w:p>
    <w:p>
      <w:pPr>
        <w:pStyle w:val="6"/>
        <w:rPr>
          <w:rFonts w:ascii="Times New Roman" w:hAnsi="Times New Roman" w:cs="Times New Roman"/>
          <w:color w:val="000000" w:themeColor="text1"/>
          <w14:textFill>
            <w14:solidFill>
              <w14:schemeClr w14:val="tx1"/>
            </w14:solidFill>
          </w14:textFill>
        </w:rPr>
      </w:pPr>
      <w:bookmarkStart w:id="352" w:name="_Toc2516"/>
      <w:bookmarkStart w:id="353" w:name="_Toc11521"/>
      <w:bookmarkStart w:id="354" w:name="_Toc8213"/>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.3 运营期项目“三废”排放情况统计</w:t>
      </w:r>
      <w:bookmarkEnd w:id="352"/>
      <w:bookmarkEnd w:id="353"/>
      <w:bookmarkEnd w:id="354"/>
    </w:p>
    <w:p>
      <w:pPr>
        <w:pStyle w:val="7"/>
        <w:rPr>
          <w:rFonts w:cs="Times New Roman"/>
          <w:color w:val="000000" w:themeColor="text1"/>
          <w:kern w:val="0"/>
          <w14:textFill>
            <w14:solidFill>
              <w14:schemeClr w14:val="tx1"/>
            </w14:solidFill>
          </w14:textFill>
        </w:rPr>
      </w:pPr>
      <w:bookmarkStart w:id="355" w:name="_Toc19423"/>
      <w:bookmarkStart w:id="356" w:name="_Toc22090"/>
      <w:r>
        <w:rPr>
          <w:rFonts w:cs="Times New Roman"/>
          <w:color w:val="000000" w:themeColor="text1"/>
          <w:kern w:val="0"/>
          <w14:textFill>
            <w14:solidFill>
              <w14:schemeClr w14:val="tx1"/>
            </w14:solidFill>
          </w14:textFill>
        </w:rPr>
        <w:t>3.</w:t>
      </w:r>
      <w:r>
        <w:rPr>
          <w:rFonts w:hint="eastAsia" w:cs="Times New Roman"/>
          <w:color w:val="000000" w:themeColor="text1"/>
          <w:kern w:val="0"/>
          <w14:textFill>
            <w14:solidFill>
              <w14:schemeClr w14:val="tx1"/>
            </w14:solidFill>
          </w14:textFill>
        </w:rPr>
        <w:t>5</w:t>
      </w:r>
      <w:r>
        <w:rPr>
          <w:rFonts w:cs="Times New Roman"/>
          <w:color w:val="000000" w:themeColor="text1"/>
          <w:kern w:val="0"/>
          <w14:textFill>
            <w14:solidFill>
              <w14:schemeClr w14:val="tx1"/>
            </w14:solidFill>
          </w14:textFill>
        </w:rPr>
        <w:t>.3.1 施工期污染物排放一览表</w:t>
      </w:r>
      <w:bookmarkEnd w:id="355"/>
      <w:bookmarkEnd w:id="356"/>
    </w:p>
    <w:p>
      <w:pPr>
        <w:pStyle w:val="39"/>
        <w:spacing w:before="0" w:after="0" w:line="520" w:lineRule="exact"/>
        <w:rPr>
          <w:rFonts w:cs="Times New Roman"/>
          <w:bCs/>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表3.</w:t>
      </w:r>
      <w:r>
        <w:rPr>
          <w:rFonts w:hint="eastAsia" w:cs="Times New Roman"/>
          <w:color w:val="000000" w:themeColor="text1"/>
          <w14:textFill>
            <w14:solidFill>
              <w14:schemeClr w14:val="tx1"/>
            </w14:solidFill>
          </w14:textFill>
        </w:rPr>
        <w:t>5-8</w:t>
      </w:r>
      <w:r>
        <w:rPr>
          <w:rFonts w:cs="Times New Roman"/>
          <w:color w:val="000000" w:themeColor="text1"/>
          <w14:textFill>
            <w14:solidFill>
              <w14:schemeClr w14:val="tx1"/>
            </w14:solidFill>
          </w14:textFill>
        </w:rPr>
        <w:t xml:space="preserve">    建设项目施工期污染物排放一览表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01"/>
        <w:gridCol w:w="3626"/>
        <w:gridCol w:w="2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tblHeader/>
          <w:jc w:val="center"/>
        </w:trPr>
        <w:tc>
          <w:tcPr>
            <w:tcW w:w="1143"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影响分类</w:t>
            </w:r>
          </w:p>
        </w:tc>
        <w:tc>
          <w:tcPr>
            <w:tcW w:w="2180"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影响来源与环节</w:t>
            </w:r>
          </w:p>
        </w:tc>
        <w:tc>
          <w:tcPr>
            <w:tcW w:w="1675"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14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生态环境</w:t>
            </w:r>
          </w:p>
        </w:tc>
        <w:tc>
          <w:tcPr>
            <w:tcW w:w="21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w:t>
            </w:r>
          </w:p>
        </w:tc>
        <w:tc>
          <w:tcPr>
            <w:tcW w:w="1675"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土石方、工程废物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14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声环境</w:t>
            </w:r>
          </w:p>
        </w:tc>
        <w:tc>
          <w:tcPr>
            <w:tcW w:w="21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运输、施工机械</w:t>
            </w:r>
          </w:p>
        </w:tc>
        <w:tc>
          <w:tcPr>
            <w:tcW w:w="1675"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14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大气环境</w:t>
            </w:r>
          </w:p>
        </w:tc>
        <w:tc>
          <w:tcPr>
            <w:tcW w:w="21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运输、堆放原材料、施工机械</w:t>
            </w:r>
          </w:p>
        </w:tc>
        <w:tc>
          <w:tcPr>
            <w:tcW w:w="1675"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CO、NOx、TSP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43"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水环境</w:t>
            </w:r>
          </w:p>
        </w:tc>
        <w:tc>
          <w:tcPr>
            <w:tcW w:w="2180"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生活污水、垃圾和工程废物</w:t>
            </w:r>
          </w:p>
        </w:tc>
        <w:tc>
          <w:tcPr>
            <w:tcW w:w="1675"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SS、COD、油类</w:t>
            </w:r>
          </w:p>
        </w:tc>
      </w:tr>
    </w:tbl>
    <w:p>
      <w:pPr>
        <w:pStyle w:val="7"/>
        <w:rPr>
          <w:rFonts w:cs="Times New Roman"/>
          <w:color w:val="000000" w:themeColor="text1"/>
          <w:kern w:val="0"/>
          <w:highlight w:val="none"/>
          <w14:textFill>
            <w14:solidFill>
              <w14:schemeClr w14:val="tx1"/>
            </w14:solidFill>
          </w14:textFill>
        </w:rPr>
      </w:pPr>
      <w:bookmarkStart w:id="357" w:name="_Toc18012"/>
      <w:bookmarkStart w:id="358" w:name="_Toc10974"/>
      <w:r>
        <w:rPr>
          <w:rFonts w:cs="Times New Roman"/>
          <w:color w:val="000000" w:themeColor="text1"/>
          <w:kern w:val="0"/>
          <w:highlight w:val="none"/>
          <w14:textFill>
            <w14:solidFill>
              <w14:schemeClr w14:val="tx1"/>
            </w14:solidFill>
          </w14:textFill>
        </w:rPr>
        <w:t>3.</w:t>
      </w:r>
      <w:r>
        <w:rPr>
          <w:rFonts w:hint="eastAsia" w:cs="Times New Roman"/>
          <w:color w:val="000000" w:themeColor="text1"/>
          <w:kern w:val="0"/>
          <w:highlight w:val="none"/>
          <w14:textFill>
            <w14:solidFill>
              <w14:schemeClr w14:val="tx1"/>
            </w14:solidFill>
          </w14:textFill>
        </w:rPr>
        <w:t>5</w:t>
      </w:r>
      <w:r>
        <w:rPr>
          <w:rFonts w:cs="Times New Roman"/>
          <w:color w:val="000000" w:themeColor="text1"/>
          <w:kern w:val="0"/>
          <w:highlight w:val="none"/>
          <w14:textFill>
            <w14:solidFill>
              <w14:schemeClr w14:val="tx1"/>
            </w14:solidFill>
          </w14:textFill>
        </w:rPr>
        <w:t>.3.2 运营期污染物排放一览表</w:t>
      </w:r>
      <w:bookmarkEnd w:id="357"/>
      <w:bookmarkEnd w:id="358"/>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本项目实施后污染物产生、排放情况详见表3.</w:t>
      </w:r>
      <w:r>
        <w:rPr>
          <w:rFonts w:hint="eastAsia" w:ascii="Times New Roman" w:hAnsi="Times New Roman" w:cs="Times New Roman"/>
          <w:color w:val="000000" w:themeColor="text1"/>
          <w14:textFill>
            <w14:solidFill>
              <w14:schemeClr w14:val="tx1"/>
            </w14:solidFill>
          </w14:textFill>
        </w:rPr>
        <w:t>5-9</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w:t>
      </w:r>
      <w:r>
        <w:rPr>
          <w:rFonts w:hint="eastAsia" w:cs="Times New Roman"/>
          <w:color w:val="000000" w:themeColor="text1"/>
          <w14:textFill>
            <w14:solidFill>
              <w14:schemeClr w14:val="tx1"/>
            </w14:solidFill>
          </w14:textFill>
        </w:rPr>
        <w:t>5-9</w:t>
      </w:r>
      <w:r>
        <w:rPr>
          <w:rFonts w:cs="Times New Roman"/>
          <w:color w:val="000000" w:themeColor="text1"/>
          <w14:textFill>
            <w14:solidFill>
              <w14:schemeClr w14:val="tx1"/>
            </w14:solidFill>
          </w14:textFill>
        </w:rPr>
        <w:t xml:space="preserve">   本项目营运期污染物汇总表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324"/>
        <w:gridCol w:w="1458"/>
        <w:gridCol w:w="1104"/>
        <w:gridCol w:w="1363"/>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430" w:type="pct"/>
            <w:vAlign w:val="center"/>
          </w:tcPr>
          <w:p>
            <w:pPr>
              <w:pStyle w:val="40"/>
              <w:rPr>
                <w:rFonts w:ascii="Times New Roman" w:hAnsi="Times New Roman" w:cs="Times New Roman"/>
                <w:b/>
                <w:bCs/>
                <w:color w:val="000000" w:themeColor="text1"/>
                <w:szCs w:val="21"/>
                <w14:textFill>
                  <w14:solidFill>
                    <w14:schemeClr w14:val="tx1"/>
                  </w14:solidFill>
                </w14:textFill>
              </w:rPr>
            </w:pPr>
            <w:bookmarkStart w:id="359" w:name="_Toc23213"/>
            <w:r>
              <w:rPr>
                <w:rFonts w:ascii="Times New Roman" w:hAnsi="Times New Roman" w:cs="Times New Roman"/>
                <w:b/>
                <w:bCs/>
                <w:color w:val="000000" w:themeColor="text1"/>
                <w:szCs w:val="21"/>
                <w14:textFill>
                  <w14:solidFill>
                    <w14:schemeClr w14:val="tx1"/>
                  </w14:solidFill>
                </w14:textFill>
              </w:rPr>
              <w:t>类别</w:t>
            </w:r>
            <w:bookmarkEnd w:id="359"/>
          </w:p>
        </w:tc>
        <w:tc>
          <w:tcPr>
            <w:tcW w:w="1633" w:type="pct"/>
            <w:gridSpan w:val="2"/>
            <w:vAlign w:val="center"/>
          </w:tcPr>
          <w:p>
            <w:pPr>
              <w:pStyle w:val="40"/>
              <w:rPr>
                <w:rFonts w:ascii="Times New Roman" w:hAnsi="Times New Roman" w:cs="Times New Roman"/>
                <w:b/>
                <w:bCs/>
                <w:color w:val="000000" w:themeColor="text1"/>
                <w:szCs w:val="21"/>
                <w14:textFill>
                  <w14:solidFill>
                    <w14:schemeClr w14:val="tx1"/>
                  </w14:solidFill>
                </w14:textFill>
              </w:rPr>
            </w:pPr>
            <w:bookmarkStart w:id="360" w:name="_Toc28749"/>
            <w:r>
              <w:rPr>
                <w:rFonts w:ascii="Times New Roman" w:hAnsi="Times New Roman" w:cs="Times New Roman"/>
                <w:b/>
                <w:bCs/>
                <w:color w:val="000000" w:themeColor="text1"/>
                <w:szCs w:val="21"/>
                <w14:textFill>
                  <w14:solidFill>
                    <w14:schemeClr w14:val="tx1"/>
                  </w14:solidFill>
                </w14:textFill>
              </w:rPr>
              <w:t>污染名称</w:t>
            </w:r>
            <w:bookmarkEnd w:id="360"/>
          </w:p>
        </w:tc>
        <w:tc>
          <w:tcPr>
            <w:tcW w:w="648" w:type="pct"/>
            <w:vAlign w:val="center"/>
          </w:tcPr>
          <w:p>
            <w:pPr>
              <w:pStyle w:val="40"/>
              <w:rPr>
                <w:rFonts w:ascii="Times New Roman" w:hAnsi="Times New Roman" w:cs="Times New Roman"/>
                <w:b/>
                <w:bCs/>
                <w:color w:val="000000" w:themeColor="text1"/>
                <w:szCs w:val="21"/>
                <w14:textFill>
                  <w14:solidFill>
                    <w14:schemeClr w14:val="tx1"/>
                  </w14:solidFill>
                </w14:textFill>
              </w:rPr>
            </w:pPr>
            <w:bookmarkStart w:id="361" w:name="_Toc24058"/>
            <w:r>
              <w:rPr>
                <w:rFonts w:hint="eastAsia" w:ascii="Times New Roman" w:hAnsi="Times New Roman" w:cs="Times New Roman"/>
                <w:b/>
                <w:bCs/>
                <w:color w:val="000000" w:themeColor="text1"/>
                <w:szCs w:val="21"/>
                <w14:textFill>
                  <w14:solidFill>
                    <w14:schemeClr w14:val="tx1"/>
                  </w14:solidFill>
                </w14:textFill>
              </w:rPr>
              <w:t>浓度</w:t>
            </w:r>
            <w:bookmarkEnd w:id="361"/>
          </w:p>
        </w:tc>
        <w:tc>
          <w:tcPr>
            <w:tcW w:w="800" w:type="pct"/>
            <w:vAlign w:val="center"/>
          </w:tcPr>
          <w:p>
            <w:pPr>
              <w:pStyle w:val="40"/>
              <w:rPr>
                <w:rFonts w:ascii="Times New Roman" w:hAnsi="Times New Roman" w:cs="Times New Roman"/>
                <w:b/>
                <w:bCs/>
                <w:color w:val="000000" w:themeColor="text1"/>
                <w:szCs w:val="21"/>
                <w14:textFill>
                  <w14:solidFill>
                    <w14:schemeClr w14:val="tx1"/>
                  </w14:solidFill>
                </w14:textFill>
              </w:rPr>
            </w:pPr>
            <w:bookmarkStart w:id="362" w:name="_Toc28731"/>
            <w:r>
              <w:rPr>
                <w:rFonts w:ascii="Times New Roman" w:hAnsi="Times New Roman" w:cs="Times New Roman"/>
                <w:b/>
                <w:bCs/>
                <w:color w:val="000000" w:themeColor="text1"/>
                <w:szCs w:val="21"/>
                <w14:textFill>
                  <w14:solidFill>
                    <w14:schemeClr w14:val="tx1"/>
                  </w14:solidFill>
                </w14:textFill>
              </w:rPr>
              <w:t>排放量</w:t>
            </w:r>
            <w:bookmarkEnd w:id="362"/>
          </w:p>
        </w:tc>
        <w:tc>
          <w:tcPr>
            <w:tcW w:w="1487" w:type="pct"/>
            <w:vAlign w:val="center"/>
          </w:tcPr>
          <w:p>
            <w:pPr>
              <w:pStyle w:val="40"/>
              <w:rPr>
                <w:rFonts w:ascii="Times New Roman" w:hAnsi="Times New Roman" w:cs="Times New Roman"/>
                <w:b/>
                <w:bCs/>
                <w:color w:val="000000" w:themeColor="text1"/>
                <w:szCs w:val="21"/>
                <w14:textFill>
                  <w14:solidFill>
                    <w14:schemeClr w14:val="tx1"/>
                  </w14:solidFill>
                </w14:textFill>
              </w:rPr>
            </w:pPr>
            <w:bookmarkStart w:id="363" w:name="_Toc13004"/>
            <w:r>
              <w:rPr>
                <w:rFonts w:hint="eastAsia" w:ascii="Times New Roman" w:hAnsi="Times New Roman" w:cs="Times New Roman"/>
                <w:b/>
                <w:bCs/>
                <w:color w:val="000000" w:themeColor="text1"/>
                <w:szCs w:val="21"/>
                <w14:textFill>
                  <w14:solidFill>
                    <w14:schemeClr w14:val="tx1"/>
                  </w14:solidFill>
                </w14:textFill>
              </w:rPr>
              <w:t>治理措施</w:t>
            </w:r>
            <w:bookmarkEnd w:id="3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bookmarkStart w:id="364" w:name="_Toc7562"/>
            <w:r>
              <w:rPr>
                <w:rFonts w:ascii="Times New Roman" w:hAnsi="Times New Roman" w:cs="Times New Roman"/>
                <w:color w:val="000000" w:themeColor="text1"/>
                <w:szCs w:val="21"/>
                <w14:textFill>
                  <w14:solidFill>
                    <w14:schemeClr w14:val="tx1"/>
                  </w14:solidFill>
                </w14:textFill>
              </w:rPr>
              <w:t>废水</w:t>
            </w:r>
            <w:bookmarkEnd w:id="364"/>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65" w:name="_Toc10924"/>
            <w:r>
              <w:rPr>
                <w:rFonts w:ascii="Times New Roman" w:hAnsi="Times New Roman" w:cs="Times New Roman"/>
                <w:color w:val="000000" w:themeColor="text1"/>
                <w:szCs w:val="21"/>
                <w14:textFill>
                  <w14:solidFill>
                    <w14:schemeClr w14:val="tx1"/>
                  </w14:solidFill>
                </w14:textFill>
              </w:rPr>
              <w:t>废水量</w:t>
            </w:r>
            <w:bookmarkEnd w:id="365"/>
          </w:p>
        </w:tc>
        <w:tc>
          <w:tcPr>
            <w:tcW w:w="648"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66" w:name="_Toc11554"/>
            <w:r>
              <w:rPr>
                <w:rFonts w:hint="eastAsia" w:ascii="Times New Roman" w:hAnsi="Times New Roman" w:cs="Times New Roman"/>
                <w:color w:val="000000" w:themeColor="text1"/>
                <w:szCs w:val="21"/>
                <w14:textFill>
                  <w14:solidFill>
                    <w14:schemeClr w14:val="tx1"/>
                  </w14:solidFill>
                </w14:textFill>
              </w:rPr>
              <w:t>/</w:t>
            </w:r>
            <w:bookmarkEnd w:id="366"/>
          </w:p>
        </w:tc>
        <w:tc>
          <w:tcPr>
            <w:tcW w:w="800"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67" w:name="_Toc12891"/>
            <w:r>
              <w:rPr>
                <w:rFonts w:hint="eastAsia" w:ascii="Times New Roman" w:hAnsi="Times New Roman" w:cs="Times New Roman"/>
                <w:color w:val="000000" w:themeColor="text1"/>
                <w:szCs w:val="21"/>
                <w14:textFill>
                  <w14:solidFill>
                    <w14:schemeClr w14:val="tx1"/>
                  </w14:solidFill>
                </w14:textFill>
              </w:rPr>
              <w:t>10</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10万m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/a</w:t>
            </w:r>
            <w:bookmarkEnd w:id="367"/>
          </w:p>
        </w:tc>
        <w:tc>
          <w:tcPr>
            <w:tcW w:w="1487"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bookmarkStart w:id="368" w:name="_Toc7765"/>
            <w:r>
              <w:rPr>
                <w:rFonts w:hint="eastAsia" w:ascii="Times New Roman" w:hAnsi="Times New Roman" w:cs="Times New Roman"/>
                <w:color w:val="000000" w:themeColor="text1"/>
                <w:szCs w:val="21"/>
                <w14:textFill>
                  <w14:solidFill>
                    <w14:schemeClr w14:val="tx1"/>
                  </w14:solidFill>
                </w14:textFill>
              </w:rPr>
              <w:t>废水排入污水处理系统，经处理后产生的废水做为液体肥料灌溉周边农田，废水全部实现综合利用。</w:t>
            </w:r>
            <w:bookmarkEnd w:id="3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69" w:name="_Toc17197"/>
            <w:r>
              <w:rPr>
                <w:rFonts w:ascii="Times New Roman" w:hAnsi="Times New Roman" w:cs="Times New Roman"/>
                <w:color w:val="000000" w:themeColor="text1"/>
                <w:szCs w:val="21"/>
                <w14:textFill>
                  <w14:solidFill>
                    <w14:schemeClr w14:val="tx1"/>
                  </w14:solidFill>
                </w14:textFill>
              </w:rPr>
              <w:t>COD</w:t>
            </w:r>
            <w:bookmarkEnd w:id="369"/>
          </w:p>
        </w:tc>
        <w:tc>
          <w:tcPr>
            <w:tcW w:w="648"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70" w:name="_Toc18241"/>
            <w:r>
              <w:rPr>
                <w:rFonts w:hint="eastAsia" w:ascii="Times New Roman" w:hAnsi="Times New Roman" w:cs="Times New Roman"/>
                <w:color w:val="000000" w:themeColor="text1"/>
                <w:szCs w:val="21"/>
                <w:lang w:val="en-US" w:eastAsia="zh-CN"/>
                <w14:textFill>
                  <w14:solidFill>
                    <w14:schemeClr w14:val="tx1"/>
                  </w14:solidFill>
                </w14:textFill>
              </w:rPr>
              <w:t>1629</w:t>
            </w:r>
            <w:r>
              <w:rPr>
                <w:rFonts w:hint="eastAsia" w:ascii="Times New Roman" w:hAnsi="Times New Roman" w:cs="Times New Roman"/>
                <w:color w:val="000000" w:themeColor="text1"/>
                <w:szCs w:val="21"/>
                <w14:textFill>
                  <w14:solidFill>
                    <w14:schemeClr w14:val="tx1"/>
                  </w14:solidFill>
                </w14:textFill>
              </w:rPr>
              <w:t>mg/L</w:t>
            </w:r>
            <w:bookmarkEnd w:id="370"/>
          </w:p>
        </w:tc>
        <w:tc>
          <w:tcPr>
            <w:tcW w:w="800"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71" w:name="_Toc3432"/>
            <w:r>
              <w:rPr>
                <w:rFonts w:hint="eastAsia" w:ascii="Times New Roman" w:hAnsi="Times New Roman" w:cs="Times New Roman"/>
                <w:color w:val="000000" w:themeColor="text1"/>
                <w:szCs w:val="21"/>
                <w:lang w:val="en-US" w:eastAsia="zh-CN"/>
                <w14:textFill>
                  <w14:solidFill>
                    <w14:schemeClr w14:val="tx1"/>
                  </w14:solidFill>
                </w14:textFill>
              </w:rPr>
              <w:t>164.563</w:t>
            </w:r>
            <w:r>
              <w:rPr>
                <w:rFonts w:hint="eastAsia" w:ascii="Times New Roman" w:hAnsi="Times New Roman" w:cs="Times New Roman"/>
                <w:color w:val="000000" w:themeColor="text1"/>
                <w:szCs w:val="21"/>
                <w14:textFill>
                  <w14:solidFill>
                    <w14:schemeClr w14:val="tx1"/>
                  </w14:solidFill>
                </w14:textFill>
              </w:rPr>
              <w:t>t/a</w:t>
            </w:r>
            <w:bookmarkEnd w:id="371"/>
          </w:p>
        </w:tc>
        <w:tc>
          <w:tcPr>
            <w:tcW w:w="148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72" w:name="_Toc27607"/>
            <w:r>
              <w:rPr>
                <w:rFonts w:ascii="Times New Roman" w:hAnsi="Times New Roman" w:cs="Times New Roman"/>
                <w:color w:val="000000" w:themeColor="text1"/>
                <w:szCs w:val="21"/>
                <w14:textFill>
                  <w14:solidFill>
                    <w14:schemeClr w14:val="tx1"/>
                  </w14:solidFill>
                </w14:textFill>
              </w:rPr>
              <w:t>BOD</w:t>
            </w:r>
            <w:r>
              <w:rPr>
                <w:rFonts w:ascii="Times New Roman" w:hAnsi="Times New Roman" w:cs="Times New Roman"/>
                <w:color w:val="000000" w:themeColor="text1"/>
                <w:szCs w:val="21"/>
                <w:vertAlign w:val="subscript"/>
                <w14:textFill>
                  <w14:solidFill>
                    <w14:schemeClr w14:val="tx1"/>
                  </w14:solidFill>
                </w14:textFill>
              </w:rPr>
              <w:t>5</w:t>
            </w:r>
            <w:bookmarkEnd w:id="372"/>
          </w:p>
        </w:tc>
        <w:tc>
          <w:tcPr>
            <w:tcW w:w="648"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73" w:name="_Toc29651"/>
            <w:r>
              <w:rPr>
                <w:rFonts w:hint="eastAsia" w:ascii="Times New Roman" w:hAnsi="Times New Roman" w:cs="Times New Roman"/>
                <w:color w:val="000000" w:themeColor="text1"/>
                <w:szCs w:val="21"/>
                <w14:textFill>
                  <w14:solidFill>
                    <w14:schemeClr w14:val="tx1"/>
                  </w14:solidFill>
                </w14:textFill>
              </w:rPr>
              <w:t>743mg/L</w:t>
            </w:r>
            <w:bookmarkEnd w:id="373"/>
          </w:p>
        </w:tc>
        <w:tc>
          <w:tcPr>
            <w:tcW w:w="800"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74" w:name="_Toc2614"/>
            <w:r>
              <w:rPr>
                <w:rFonts w:hint="eastAsia" w:ascii="Times New Roman" w:hAnsi="Times New Roman" w:cs="Times New Roman"/>
                <w:color w:val="000000" w:themeColor="text1"/>
                <w:szCs w:val="21"/>
                <w14:textFill>
                  <w14:solidFill>
                    <w14:schemeClr w14:val="tx1"/>
                  </w14:solidFill>
                </w14:textFill>
              </w:rPr>
              <w:t>75.084t/a</w:t>
            </w:r>
            <w:bookmarkEnd w:id="374"/>
          </w:p>
        </w:tc>
        <w:tc>
          <w:tcPr>
            <w:tcW w:w="148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75" w:name="_Toc13176"/>
            <w:r>
              <w:rPr>
                <w:rFonts w:hint="eastAsia" w:ascii="Times New Roman" w:hAnsi="Times New Roman" w:cs="Times New Roman"/>
                <w:color w:val="000000" w:themeColor="text1"/>
                <w:szCs w:val="21"/>
                <w14:textFill>
                  <w14:solidFill>
                    <w14:schemeClr w14:val="tx1"/>
                  </w14:solidFill>
                </w14:textFill>
              </w:rPr>
              <w:t>NH</w:t>
            </w:r>
            <w:r>
              <w:rPr>
                <w:rFonts w:hint="eastAsia" w:ascii="Times New Roman" w:hAnsi="Times New Roman" w:cs="Times New Roman"/>
                <w:color w:val="000000" w:themeColor="text1"/>
                <w:szCs w:val="21"/>
                <w:vertAlign w:val="sub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-N</w:t>
            </w:r>
            <w:bookmarkEnd w:id="375"/>
          </w:p>
        </w:tc>
        <w:tc>
          <w:tcPr>
            <w:tcW w:w="648"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76" w:name="_Toc19490"/>
            <w:r>
              <w:rPr>
                <w:rFonts w:hint="eastAsia" w:ascii="Times New Roman" w:hAnsi="Times New Roman" w:cs="Times New Roman"/>
                <w:color w:val="000000" w:themeColor="text1"/>
                <w:szCs w:val="21"/>
                <w:lang w:val="en-US" w:eastAsia="zh-CN"/>
                <w14:textFill>
                  <w14:solidFill>
                    <w14:schemeClr w14:val="tx1"/>
                  </w14:solidFill>
                </w14:textFill>
              </w:rPr>
              <w:t>90</w:t>
            </w:r>
            <w:r>
              <w:rPr>
                <w:rFonts w:hint="eastAsia" w:ascii="Times New Roman" w:hAnsi="Times New Roman" w:cs="Times New Roman"/>
                <w:color w:val="000000" w:themeColor="text1"/>
                <w:szCs w:val="21"/>
                <w14:textFill>
                  <w14:solidFill>
                    <w14:schemeClr w14:val="tx1"/>
                  </w14:solidFill>
                </w14:textFill>
              </w:rPr>
              <w:t>mg/L</w:t>
            </w:r>
            <w:bookmarkEnd w:id="376"/>
          </w:p>
        </w:tc>
        <w:tc>
          <w:tcPr>
            <w:tcW w:w="800"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77" w:name="_Toc30660"/>
            <w:r>
              <w:rPr>
                <w:rFonts w:hint="eastAsia" w:ascii="Times New Roman" w:hAnsi="Times New Roman" w:cs="Times New Roman"/>
                <w:color w:val="000000" w:themeColor="text1"/>
                <w:szCs w:val="21"/>
                <w:lang w:val="en-US" w:eastAsia="zh-CN"/>
                <w14:textFill>
                  <w14:solidFill>
                    <w14:schemeClr w14:val="tx1"/>
                  </w14:solidFill>
                </w14:textFill>
              </w:rPr>
              <w:t>9.143</w:t>
            </w:r>
            <w:r>
              <w:rPr>
                <w:rFonts w:hint="eastAsia" w:ascii="Times New Roman" w:hAnsi="Times New Roman" w:cs="Times New Roman"/>
                <w:color w:val="000000" w:themeColor="text1"/>
                <w:szCs w:val="21"/>
                <w14:textFill>
                  <w14:solidFill>
                    <w14:schemeClr w14:val="tx1"/>
                  </w14:solidFill>
                </w14:textFill>
              </w:rPr>
              <w:t>t/a</w:t>
            </w:r>
            <w:bookmarkEnd w:id="377"/>
          </w:p>
        </w:tc>
        <w:tc>
          <w:tcPr>
            <w:tcW w:w="148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78" w:name="_Toc15149"/>
            <w:r>
              <w:rPr>
                <w:rFonts w:ascii="Times New Roman" w:hAnsi="Times New Roman" w:cs="Times New Roman"/>
                <w:color w:val="000000" w:themeColor="text1"/>
                <w:szCs w:val="21"/>
                <w14:textFill>
                  <w14:solidFill>
                    <w14:schemeClr w14:val="tx1"/>
                  </w14:solidFill>
                </w14:textFill>
              </w:rPr>
              <w:t>SS</w:t>
            </w:r>
            <w:bookmarkEnd w:id="378"/>
          </w:p>
        </w:tc>
        <w:tc>
          <w:tcPr>
            <w:tcW w:w="648"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79" w:name="_Toc26738"/>
            <w:r>
              <w:rPr>
                <w:rFonts w:hint="eastAsia" w:ascii="Times New Roman" w:hAnsi="Times New Roman" w:cs="Times New Roman"/>
                <w:color w:val="000000" w:themeColor="text1"/>
                <w:szCs w:val="21"/>
                <w14:textFill>
                  <w14:solidFill>
                    <w14:schemeClr w14:val="tx1"/>
                  </w14:solidFill>
                </w14:textFill>
              </w:rPr>
              <w:t>825mg/L</w:t>
            </w:r>
            <w:bookmarkEnd w:id="379"/>
          </w:p>
        </w:tc>
        <w:tc>
          <w:tcPr>
            <w:tcW w:w="800"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80" w:name="_Toc23250"/>
            <w:r>
              <w:rPr>
                <w:rFonts w:hint="eastAsia" w:ascii="Times New Roman" w:hAnsi="Times New Roman" w:cs="Times New Roman"/>
                <w:color w:val="000000" w:themeColor="text1"/>
                <w:szCs w:val="21"/>
                <w14:textFill>
                  <w14:solidFill>
                    <w14:schemeClr w14:val="tx1"/>
                  </w14:solidFill>
                </w14:textFill>
              </w:rPr>
              <w:t>83.285t/a</w:t>
            </w:r>
            <w:bookmarkEnd w:id="380"/>
          </w:p>
        </w:tc>
        <w:tc>
          <w:tcPr>
            <w:tcW w:w="148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81" w:name="_Toc13078"/>
            <w:r>
              <w:rPr>
                <w:rFonts w:hint="eastAsia" w:ascii="Times New Roman" w:hAnsi="Times New Roman" w:cs="Times New Roman"/>
                <w:color w:val="000000" w:themeColor="text1"/>
                <w:szCs w:val="21"/>
                <w14:textFill>
                  <w14:solidFill>
                    <w14:schemeClr w14:val="tx1"/>
                  </w14:solidFill>
                </w14:textFill>
              </w:rPr>
              <w:t>TN</w:t>
            </w:r>
            <w:bookmarkEnd w:id="381"/>
          </w:p>
        </w:tc>
        <w:tc>
          <w:tcPr>
            <w:tcW w:w="648"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82" w:name="_Toc592"/>
            <w:r>
              <w:rPr>
                <w:rFonts w:hint="eastAsia" w:ascii="Times New Roman" w:hAnsi="Times New Roman" w:cs="Times New Roman"/>
                <w:color w:val="000000" w:themeColor="text1"/>
                <w:szCs w:val="21"/>
                <w14:textFill>
                  <w14:solidFill>
                    <w14:schemeClr w14:val="tx1"/>
                  </w14:solidFill>
                </w14:textFill>
              </w:rPr>
              <w:t>370mg/L</w:t>
            </w:r>
            <w:bookmarkEnd w:id="382"/>
          </w:p>
        </w:tc>
        <w:tc>
          <w:tcPr>
            <w:tcW w:w="800"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83" w:name="_Toc6661"/>
            <w:r>
              <w:rPr>
                <w:rFonts w:hint="eastAsia" w:ascii="Times New Roman" w:hAnsi="Times New Roman" w:cs="Times New Roman"/>
                <w:color w:val="000000" w:themeColor="text1"/>
                <w:szCs w:val="21"/>
                <w14:textFill>
                  <w14:solidFill>
                    <w14:schemeClr w14:val="tx1"/>
                  </w14:solidFill>
                </w14:textFill>
              </w:rPr>
              <w:t>37.074t/a</w:t>
            </w:r>
            <w:bookmarkEnd w:id="383"/>
          </w:p>
        </w:tc>
        <w:tc>
          <w:tcPr>
            <w:tcW w:w="148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84" w:name="_Toc23151"/>
            <w:r>
              <w:rPr>
                <w:rFonts w:hint="eastAsia" w:ascii="Times New Roman" w:hAnsi="Times New Roman" w:cs="Times New Roman"/>
                <w:color w:val="000000" w:themeColor="text1"/>
                <w:szCs w:val="21"/>
                <w14:textFill>
                  <w14:solidFill>
                    <w14:schemeClr w14:val="tx1"/>
                  </w14:solidFill>
                </w14:textFill>
              </w:rPr>
              <w:t>TP</w:t>
            </w:r>
            <w:bookmarkEnd w:id="384"/>
          </w:p>
        </w:tc>
        <w:tc>
          <w:tcPr>
            <w:tcW w:w="648"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85" w:name="_Toc31619"/>
            <w:r>
              <w:rPr>
                <w:rFonts w:hint="eastAsia" w:ascii="Times New Roman" w:hAnsi="Times New Roman" w:cs="Times New Roman"/>
                <w:color w:val="000000" w:themeColor="text1"/>
                <w:szCs w:val="21"/>
                <w14:textFill>
                  <w14:solidFill>
                    <w14:schemeClr w14:val="tx1"/>
                  </w14:solidFill>
                </w14:textFill>
              </w:rPr>
              <w:t>43.5mg/L</w:t>
            </w:r>
            <w:bookmarkEnd w:id="385"/>
          </w:p>
        </w:tc>
        <w:tc>
          <w:tcPr>
            <w:tcW w:w="800"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86" w:name="_Toc18045"/>
            <w:r>
              <w:rPr>
                <w:rFonts w:hint="eastAsia" w:ascii="Times New Roman" w:hAnsi="Times New Roman" w:cs="Times New Roman"/>
                <w:color w:val="000000" w:themeColor="text1"/>
                <w:szCs w:val="21"/>
                <w14:textFill>
                  <w14:solidFill>
                    <w14:schemeClr w14:val="tx1"/>
                  </w14:solidFill>
                </w14:textFill>
              </w:rPr>
              <w:t>4.329t/a</w:t>
            </w:r>
            <w:bookmarkEnd w:id="386"/>
          </w:p>
        </w:tc>
        <w:tc>
          <w:tcPr>
            <w:tcW w:w="148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30"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bookmarkStart w:id="387" w:name="_Toc7008"/>
            <w:r>
              <w:rPr>
                <w:rFonts w:ascii="Times New Roman" w:hAnsi="Times New Roman" w:cs="Times New Roman"/>
                <w:color w:val="000000" w:themeColor="text1"/>
                <w:szCs w:val="21"/>
                <w14:textFill>
                  <w14:solidFill>
                    <w14:schemeClr w14:val="tx1"/>
                  </w14:solidFill>
                </w14:textFill>
              </w:rPr>
              <w:t>废气</w:t>
            </w:r>
            <w:bookmarkEnd w:id="387"/>
          </w:p>
        </w:tc>
        <w:tc>
          <w:tcPr>
            <w:tcW w:w="777"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bookmarkStart w:id="388" w:name="_Toc31222"/>
            <w:r>
              <w:rPr>
                <w:rFonts w:hint="eastAsia" w:ascii="Times New Roman" w:hAnsi="Times New Roman" w:cs="Times New Roman"/>
                <w:color w:val="000000" w:themeColor="text1"/>
                <w:szCs w:val="21"/>
                <w14:textFill>
                  <w14:solidFill>
                    <w14:schemeClr w14:val="tx1"/>
                  </w14:solidFill>
                </w14:textFill>
              </w:rPr>
              <w:t>养殖恶臭</w:t>
            </w:r>
            <w:bookmarkEnd w:id="388"/>
          </w:p>
        </w:tc>
        <w:tc>
          <w:tcPr>
            <w:tcW w:w="856"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89" w:name="_Toc2660"/>
            <w:r>
              <w:rPr>
                <w:rFonts w:ascii="Times New Roman" w:hAnsi="Times New Roman" w:cs="Times New Roman"/>
                <w:color w:val="000000" w:themeColor="text1"/>
                <w:szCs w:val="21"/>
                <w14:textFill>
                  <w14:solidFill>
                    <w14:schemeClr w14:val="tx1"/>
                  </w14:solidFill>
                </w14:textFill>
              </w:rPr>
              <w:t>NH</w:t>
            </w:r>
            <w:r>
              <w:rPr>
                <w:rFonts w:ascii="Times New Roman" w:hAnsi="Times New Roman" w:cs="Times New Roman"/>
                <w:color w:val="000000" w:themeColor="text1"/>
                <w:szCs w:val="21"/>
                <w:vertAlign w:val="subscript"/>
                <w14:textFill>
                  <w14:solidFill>
                    <w14:schemeClr w14:val="tx1"/>
                  </w14:solidFill>
                </w14:textFill>
              </w:rPr>
              <w:t>3</w:t>
            </w:r>
            <w:bookmarkEnd w:id="389"/>
          </w:p>
        </w:tc>
        <w:tc>
          <w:tcPr>
            <w:tcW w:w="1448"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90" w:name="_Toc18620"/>
            <w:r>
              <w:rPr>
                <w:rFonts w:hint="eastAsia" w:ascii="Times New Roman" w:hAnsi="Times New Roman"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244</w:t>
            </w:r>
            <w:r>
              <w:rPr>
                <w:rFonts w:hint="eastAsia" w:ascii="Times New Roman" w:hAnsi="Times New Roman" w:cs="Times New Roman"/>
                <w:color w:val="000000" w:themeColor="text1"/>
                <w:szCs w:val="21"/>
                <w14:textFill>
                  <w14:solidFill>
                    <w14:schemeClr w14:val="tx1"/>
                  </w14:solidFill>
                </w14:textFill>
              </w:rPr>
              <w:t>t/a</w:t>
            </w:r>
            <w:bookmarkEnd w:id="390"/>
          </w:p>
        </w:tc>
        <w:tc>
          <w:tcPr>
            <w:tcW w:w="1487"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bookmarkStart w:id="391" w:name="_Toc8765"/>
            <w:r>
              <w:rPr>
                <w:rFonts w:ascii="Times New Roman" w:hAnsi="Times New Roman" w:cs="Times New Roman"/>
                <w:color w:val="000000" w:themeColor="text1"/>
                <w:szCs w:val="21"/>
                <w14:textFill>
                  <w14:solidFill>
                    <w14:schemeClr w14:val="tx1"/>
                  </w14:solidFill>
                </w14:textFill>
              </w:rPr>
              <w:t>植被隔离带、除臭制剂、密闭</w:t>
            </w:r>
            <w:r>
              <w:rPr>
                <w:rFonts w:hint="eastAsia" w:ascii="Times New Roman" w:hAnsi="Times New Roman" w:cs="Times New Roman"/>
                <w:color w:val="000000" w:themeColor="text1"/>
                <w:szCs w:val="21"/>
                <w14:textFill>
                  <w14:solidFill>
                    <w14:schemeClr w14:val="tx1"/>
                  </w14:solidFill>
                </w14:textFill>
              </w:rPr>
              <w:t>、换气</w:t>
            </w:r>
            <w:bookmarkEnd w:id="3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856"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92" w:name="_Toc28110"/>
            <w:r>
              <w:rPr>
                <w:rFonts w:ascii="Times New Roman" w:hAnsi="Times New Roman" w:cs="Times New Roman"/>
                <w:color w:val="000000" w:themeColor="text1"/>
                <w:szCs w:val="21"/>
                <w14:textFill>
                  <w14:solidFill>
                    <w14:schemeClr w14:val="tx1"/>
                  </w14:solidFill>
                </w14:textFill>
              </w:rPr>
              <w:t>H</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S</w:t>
            </w:r>
            <w:bookmarkEnd w:id="392"/>
          </w:p>
        </w:tc>
        <w:tc>
          <w:tcPr>
            <w:tcW w:w="1448"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93" w:name="_Toc465"/>
            <w:r>
              <w:rPr>
                <w:rFonts w:hint="eastAsia"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lang w:val="en-US" w:eastAsia="zh-CN"/>
                <w14:textFill>
                  <w14:solidFill>
                    <w14:schemeClr w14:val="tx1"/>
                  </w14:solidFill>
                </w14:textFill>
              </w:rPr>
              <w:t>09</w:t>
            </w:r>
            <w:r>
              <w:rPr>
                <w:rFonts w:hint="eastAsia" w:ascii="Times New Roman" w:hAnsi="Times New Roman" w:cs="Times New Roman"/>
                <w:color w:val="000000" w:themeColor="text1"/>
                <w:szCs w:val="21"/>
                <w14:textFill>
                  <w14:solidFill>
                    <w14:schemeClr w14:val="tx1"/>
                  </w14:solidFill>
                </w14:textFill>
              </w:rPr>
              <w:t>t/a</w:t>
            </w:r>
            <w:bookmarkEnd w:id="393"/>
          </w:p>
        </w:tc>
        <w:tc>
          <w:tcPr>
            <w:tcW w:w="148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394" w:name="_Toc9426"/>
            <w:r>
              <w:rPr>
                <w:rFonts w:ascii="Times New Roman" w:hAnsi="Times New Roman" w:cs="Times New Roman"/>
                <w:color w:val="000000" w:themeColor="text1"/>
                <w:szCs w:val="21"/>
                <w14:textFill>
                  <w14:solidFill>
                    <w14:schemeClr w14:val="tx1"/>
                  </w14:solidFill>
                </w14:textFill>
              </w:rPr>
              <w:t>食堂油烟</w:t>
            </w:r>
            <w:bookmarkEnd w:id="394"/>
          </w:p>
        </w:tc>
        <w:tc>
          <w:tcPr>
            <w:tcW w:w="648"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95" w:name="_Toc5406"/>
            <w:r>
              <w:rPr>
                <w:rFonts w:hint="eastAsia" w:ascii="Times New Roman" w:hAnsi="Times New Roman" w:cs="Times New Roman"/>
                <w:color w:val="000000" w:themeColor="text1"/>
                <w:szCs w:val="21"/>
                <w14:textFill>
                  <w14:solidFill>
                    <w14:schemeClr w14:val="tx1"/>
                  </w14:solidFill>
                </w14:textFill>
              </w:rPr>
              <w:t>1.1mg/m</w:t>
            </w:r>
            <w:r>
              <w:rPr>
                <w:rFonts w:hint="eastAsia" w:ascii="Times New Roman" w:hAnsi="Times New Roman" w:cs="Times New Roman"/>
                <w:color w:val="000000" w:themeColor="text1"/>
                <w:szCs w:val="21"/>
                <w:vertAlign w:val="superscript"/>
                <w14:textFill>
                  <w14:solidFill>
                    <w14:schemeClr w14:val="tx1"/>
                  </w14:solidFill>
                </w14:textFill>
              </w:rPr>
              <w:t>3</w:t>
            </w:r>
            <w:bookmarkEnd w:id="395"/>
          </w:p>
        </w:tc>
        <w:tc>
          <w:tcPr>
            <w:tcW w:w="800"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96" w:name="_Toc5373"/>
            <w:r>
              <w:rPr>
                <w:rFonts w:hint="eastAsia" w:ascii="Times New Roman" w:hAnsi="Times New Roman" w:cs="Times New Roman"/>
                <w:color w:val="000000" w:themeColor="text1"/>
                <w:szCs w:val="21"/>
                <w14:textFill>
                  <w14:solidFill>
                    <w14:schemeClr w14:val="tx1"/>
                  </w14:solidFill>
                </w14:textFill>
              </w:rPr>
              <w:t>5.67kg/a</w:t>
            </w:r>
            <w:bookmarkEnd w:id="396"/>
          </w:p>
        </w:tc>
        <w:tc>
          <w:tcPr>
            <w:tcW w:w="1487"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397" w:name="_Toc19722"/>
            <w:r>
              <w:rPr>
                <w:rFonts w:ascii="Times New Roman" w:hAnsi="Times New Roman" w:cs="Times New Roman"/>
                <w:color w:val="000000" w:themeColor="text1"/>
                <w:szCs w:val="21"/>
                <w14:textFill>
                  <w14:solidFill>
                    <w14:schemeClr w14:val="tx1"/>
                  </w14:solidFill>
                </w14:textFill>
              </w:rPr>
              <w:t>油烟净化装置</w:t>
            </w:r>
            <w:bookmarkEnd w:id="3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bookmarkStart w:id="398" w:name="_Toc3798"/>
            <w:r>
              <w:rPr>
                <w:rFonts w:ascii="Times New Roman" w:hAnsi="Times New Roman" w:cs="Times New Roman"/>
                <w:color w:val="000000" w:themeColor="text1"/>
                <w:szCs w:val="21"/>
                <w14:textFill>
                  <w14:solidFill>
                    <w14:schemeClr w14:val="tx1"/>
                  </w14:solidFill>
                </w14:textFill>
              </w:rPr>
              <w:t>固体</w:t>
            </w:r>
            <w:bookmarkEnd w:id="398"/>
          </w:p>
          <w:p>
            <w:pPr>
              <w:pStyle w:val="40"/>
              <w:rPr>
                <w:rFonts w:ascii="Times New Roman" w:hAnsi="Times New Roman" w:cs="Times New Roman"/>
                <w:color w:val="000000" w:themeColor="text1"/>
                <w:szCs w:val="21"/>
                <w14:textFill>
                  <w14:solidFill>
                    <w14:schemeClr w14:val="tx1"/>
                  </w14:solidFill>
                </w14:textFill>
              </w:rPr>
            </w:pPr>
            <w:bookmarkStart w:id="399" w:name="_Toc32412"/>
            <w:r>
              <w:rPr>
                <w:rFonts w:ascii="Times New Roman" w:hAnsi="Times New Roman" w:cs="Times New Roman"/>
                <w:color w:val="000000" w:themeColor="text1"/>
                <w:szCs w:val="21"/>
                <w14:textFill>
                  <w14:solidFill>
                    <w14:schemeClr w14:val="tx1"/>
                  </w14:solidFill>
                </w14:textFill>
              </w:rPr>
              <w:t>废物</w:t>
            </w:r>
            <w:bookmarkEnd w:id="399"/>
          </w:p>
        </w:tc>
        <w:tc>
          <w:tcPr>
            <w:tcW w:w="777" w:type="pct"/>
            <w:vMerge w:val="restart"/>
            <w:vAlign w:val="center"/>
          </w:tcPr>
          <w:p>
            <w:pPr>
              <w:pStyle w:val="40"/>
              <w:rPr>
                <w:rFonts w:ascii="Times New Roman" w:hAnsi="Times New Roman" w:cs="Times New Roman"/>
                <w:color w:val="000000" w:themeColor="text1"/>
                <w:szCs w:val="21"/>
                <w14:textFill>
                  <w14:solidFill>
                    <w14:schemeClr w14:val="tx1"/>
                  </w14:solidFill>
                </w14:textFill>
              </w:rPr>
            </w:pPr>
            <w:bookmarkStart w:id="400" w:name="_Toc24597"/>
            <w:r>
              <w:rPr>
                <w:rFonts w:ascii="Times New Roman" w:hAnsi="Times New Roman" w:cs="Times New Roman"/>
                <w:color w:val="000000" w:themeColor="text1"/>
                <w:szCs w:val="21"/>
                <w14:textFill>
                  <w14:solidFill>
                    <w14:schemeClr w14:val="tx1"/>
                  </w14:solidFill>
                </w14:textFill>
              </w:rPr>
              <w:t>圈舍</w:t>
            </w:r>
            <w:bookmarkEnd w:id="400"/>
          </w:p>
        </w:tc>
        <w:tc>
          <w:tcPr>
            <w:tcW w:w="856"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01" w:name="_Toc6778"/>
            <w:r>
              <w:rPr>
                <w:rFonts w:ascii="Times New Roman" w:hAnsi="Times New Roman" w:cs="Times New Roman"/>
                <w:color w:val="000000" w:themeColor="text1"/>
                <w:szCs w:val="21"/>
                <w14:textFill>
                  <w14:solidFill>
                    <w14:schemeClr w14:val="tx1"/>
                  </w14:solidFill>
                </w14:textFill>
              </w:rPr>
              <w:t>粪便</w:t>
            </w:r>
            <w:bookmarkEnd w:id="401"/>
          </w:p>
        </w:tc>
        <w:tc>
          <w:tcPr>
            <w:tcW w:w="1448"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402" w:name="_Toc15180"/>
            <w:r>
              <w:rPr>
                <w:rFonts w:hint="eastAsia" w:ascii="Times New Roman" w:hAnsi="Times New Roman" w:cs="Times New Roman"/>
                <w:color w:val="000000" w:themeColor="text1"/>
                <w:szCs w:val="21"/>
                <w14:textFill>
                  <w14:solidFill>
                    <w14:schemeClr w14:val="tx1"/>
                  </w14:solidFill>
                </w14:textFill>
              </w:rPr>
              <w:t>48000t/a</w:t>
            </w:r>
            <w:bookmarkEnd w:id="402"/>
          </w:p>
        </w:tc>
        <w:tc>
          <w:tcPr>
            <w:tcW w:w="1487"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03" w:name="_Toc25480"/>
            <w:r>
              <w:rPr>
                <w:rFonts w:ascii="Times New Roman" w:hAnsi="Times New Roman" w:cs="Times New Roman"/>
                <w:color w:val="000000" w:themeColor="text1"/>
                <w:szCs w:val="21"/>
                <w14:textFill>
                  <w14:solidFill>
                    <w14:schemeClr w14:val="tx1"/>
                  </w14:solidFill>
                </w14:textFill>
              </w:rPr>
              <w:t>有机肥</w:t>
            </w:r>
            <w:r>
              <w:rPr>
                <w:rFonts w:hint="eastAsia" w:ascii="Times New Roman" w:hAnsi="Times New Roman" w:cs="Times New Roman"/>
                <w:color w:val="000000" w:themeColor="text1"/>
                <w:szCs w:val="21"/>
                <w14:textFill>
                  <w14:solidFill>
                    <w14:schemeClr w14:val="tx1"/>
                  </w14:solidFill>
                </w14:textFill>
              </w:rPr>
              <w:t>还田</w:t>
            </w:r>
            <w:bookmarkEnd w:id="40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 xml:space="preserve"> </w:t>
            </w:r>
          </w:p>
        </w:tc>
        <w:tc>
          <w:tcPr>
            <w:tcW w:w="777"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856"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04" w:name="_Toc6825"/>
            <w:r>
              <w:rPr>
                <w:rFonts w:ascii="Times New Roman" w:hAnsi="Times New Roman" w:cs="Times New Roman"/>
                <w:color w:val="000000" w:themeColor="text1"/>
                <w:szCs w:val="21"/>
                <w14:textFill>
                  <w14:solidFill>
                    <w14:schemeClr w14:val="tx1"/>
                  </w14:solidFill>
                </w14:textFill>
              </w:rPr>
              <w:t>病死猪尸体</w:t>
            </w:r>
            <w:bookmarkEnd w:id="404"/>
          </w:p>
        </w:tc>
        <w:tc>
          <w:tcPr>
            <w:tcW w:w="1448"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405" w:name="_Toc13812"/>
            <w:r>
              <w:rPr>
                <w:rFonts w:hint="eastAsia" w:ascii="Times New Roman" w:hAnsi="Times New Roman" w:cs="Times New Roman"/>
                <w:color w:val="000000" w:themeColor="text1"/>
                <w:szCs w:val="21"/>
                <w14:textFill>
                  <w14:solidFill>
                    <w14:schemeClr w14:val="tx1"/>
                  </w14:solidFill>
                </w14:textFill>
              </w:rPr>
              <w:t>56t/a</w:t>
            </w:r>
            <w:bookmarkEnd w:id="405"/>
          </w:p>
        </w:tc>
        <w:tc>
          <w:tcPr>
            <w:tcW w:w="1487"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06" w:name="_Toc29052"/>
            <w:r>
              <w:rPr>
                <w:rFonts w:ascii="Times New Roman" w:hAnsi="Times New Roman" w:cs="Times New Roman"/>
                <w:color w:val="000000" w:themeColor="text1"/>
                <w:szCs w:val="21"/>
                <w14:textFill>
                  <w14:solidFill>
                    <w14:schemeClr w14:val="tx1"/>
                  </w14:solidFill>
                </w14:textFill>
              </w:rPr>
              <w:t>高温与生物降解畜禽无害化处置</w:t>
            </w:r>
            <w:bookmarkEnd w:id="4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7"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07" w:name="_Toc26715"/>
            <w:r>
              <w:rPr>
                <w:rFonts w:hint="eastAsia" w:ascii="Times New Roman" w:hAnsi="Times New Roman" w:cs="Times New Roman"/>
                <w:color w:val="000000" w:themeColor="text1"/>
                <w:szCs w:val="21"/>
                <w14:textFill>
                  <w14:solidFill>
                    <w14:schemeClr w14:val="tx1"/>
                  </w14:solidFill>
                </w14:textFill>
              </w:rPr>
              <w:t>粪污处理</w:t>
            </w:r>
            <w:bookmarkEnd w:id="407"/>
          </w:p>
        </w:tc>
        <w:tc>
          <w:tcPr>
            <w:tcW w:w="856"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08" w:name="_Toc21067"/>
            <w:r>
              <w:rPr>
                <w:rFonts w:hint="eastAsia" w:ascii="Times New Roman" w:hAnsi="Times New Roman" w:cs="Times New Roman"/>
                <w:color w:val="000000" w:themeColor="text1"/>
                <w:szCs w:val="21"/>
                <w14:textFill>
                  <w14:solidFill>
                    <w14:schemeClr w14:val="tx1"/>
                  </w14:solidFill>
                </w14:textFill>
              </w:rPr>
              <w:t>污泥</w:t>
            </w:r>
            <w:bookmarkEnd w:id="408"/>
          </w:p>
        </w:tc>
        <w:tc>
          <w:tcPr>
            <w:tcW w:w="1448"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409" w:name="_Toc2049"/>
            <w:r>
              <w:rPr>
                <w:rFonts w:hint="eastAsia" w:ascii="Times New Roman" w:hAnsi="Times New Roman" w:cs="Times New Roman"/>
                <w:color w:val="000000" w:themeColor="text1"/>
                <w:szCs w:val="21"/>
                <w14:textFill>
                  <w14:solidFill>
                    <w14:schemeClr w14:val="tx1"/>
                  </w14:solidFill>
                </w14:textFill>
              </w:rPr>
              <w:t>6.8</w:t>
            </w:r>
            <w:bookmarkEnd w:id="409"/>
          </w:p>
        </w:tc>
        <w:tc>
          <w:tcPr>
            <w:tcW w:w="1487"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10" w:name="_Toc11966"/>
            <w:r>
              <w:rPr>
                <w:rFonts w:ascii="Times New Roman" w:hAnsi="Times New Roman" w:cs="Times New Roman"/>
                <w:color w:val="000000" w:themeColor="text1"/>
                <w:szCs w:val="21"/>
                <w14:textFill>
                  <w14:solidFill>
                    <w14:schemeClr w14:val="tx1"/>
                  </w14:solidFill>
                </w14:textFill>
              </w:rPr>
              <w:t>有机肥</w:t>
            </w:r>
            <w:r>
              <w:rPr>
                <w:rFonts w:hint="eastAsia" w:ascii="Times New Roman" w:hAnsi="Times New Roman" w:cs="Times New Roman"/>
                <w:color w:val="000000" w:themeColor="text1"/>
                <w:szCs w:val="21"/>
                <w14:textFill>
                  <w14:solidFill>
                    <w14:schemeClr w14:val="tx1"/>
                  </w14:solidFill>
                </w14:textFill>
              </w:rPr>
              <w:t>还田</w:t>
            </w:r>
            <w:bookmarkEnd w:id="4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777"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11" w:name="_Toc15259"/>
            <w:r>
              <w:rPr>
                <w:rFonts w:ascii="Times New Roman" w:hAnsi="Times New Roman" w:cs="Times New Roman"/>
                <w:color w:val="000000" w:themeColor="text1"/>
                <w:szCs w:val="21"/>
                <w14:textFill>
                  <w14:solidFill>
                    <w14:schemeClr w14:val="tx1"/>
                  </w14:solidFill>
                </w14:textFill>
              </w:rPr>
              <w:t>病猪治疗室、隔离室</w:t>
            </w:r>
            <w:bookmarkEnd w:id="411"/>
          </w:p>
        </w:tc>
        <w:tc>
          <w:tcPr>
            <w:tcW w:w="856"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12" w:name="_Toc18359"/>
            <w:r>
              <w:rPr>
                <w:rFonts w:ascii="Times New Roman" w:hAnsi="Times New Roman" w:cs="Times New Roman"/>
                <w:color w:val="000000" w:themeColor="text1"/>
                <w:szCs w:val="21"/>
                <w14:textFill>
                  <w14:solidFill>
                    <w14:schemeClr w14:val="tx1"/>
                  </w14:solidFill>
                </w14:textFill>
              </w:rPr>
              <w:t>医疗废物</w:t>
            </w:r>
            <w:bookmarkEnd w:id="412"/>
          </w:p>
        </w:tc>
        <w:tc>
          <w:tcPr>
            <w:tcW w:w="1448"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413" w:name="_Toc10621"/>
            <w:r>
              <w:rPr>
                <w:rFonts w:hint="eastAsia" w:ascii="Times New Roman" w:hAnsi="Times New Roman" w:cs="Times New Roman"/>
                <w:color w:val="000000" w:themeColor="text1"/>
                <w:szCs w:val="21"/>
                <w14:textFill>
                  <w14:solidFill>
                    <w14:schemeClr w14:val="tx1"/>
                  </w14:solidFill>
                </w14:textFill>
              </w:rPr>
              <w:t>0.8</w:t>
            </w:r>
            <w:bookmarkEnd w:id="413"/>
          </w:p>
        </w:tc>
        <w:tc>
          <w:tcPr>
            <w:tcW w:w="1487"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14" w:name="_Toc22347"/>
            <w:r>
              <w:rPr>
                <w:rFonts w:ascii="Times New Roman" w:hAnsi="Times New Roman" w:cs="Times New Roman"/>
                <w:color w:val="000000" w:themeColor="text1"/>
                <w:szCs w:val="21"/>
                <w14:textFill>
                  <w14:solidFill>
                    <w14:schemeClr w14:val="tx1"/>
                  </w14:solidFill>
                </w14:textFill>
              </w:rPr>
              <w:t>按照《医疗废物集中处置技术规范（试行）》规定，项目应设置医疗废物暂</w:t>
            </w:r>
            <w:r>
              <w:rPr>
                <w:rFonts w:hint="eastAsia" w:ascii="Times New Roman" w:hAnsi="Times New Roman" w:cs="Times New Roman"/>
                <w:color w:val="000000" w:themeColor="text1"/>
                <w:szCs w:val="21"/>
                <w14:textFill>
                  <w14:solidFill>
                    <w14:schemeClr w14:val="tx1"/>
                  </w14:solidFill>
                </w14:textFill>
              </w:rPr>
              <w:t>存医废暂存间</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定期</w:t>
            </w:r>
            <w:r>
              <w:rPr>
                <w:rFonts w:ascii="Times New Roman" w:hAnsi="Times New Roman" w:cs="Times New Roman"/>
                <w:color w:val="000000" w:themeColor="text1"/>
                <w:szCs w:val="21"/>
                <w14:textFill>
                  <w14:solidFill>
                    <w14:schemeClr w14:val="tx1"/>
                  </w14:solidFill>
                </w14:textFill>
              </w:rPr>
              <w:t>交由有资质单位处置。</w:t>
            </w:r>
            <w:bookmarkEnd w:id="4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633"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415" w:name="_Toc25649"/>
            <w:r>
              <w:rPr>
                <w:rFonts w:ascii="Times New Roman" w:hAnsi="Times New Roman" w:cs="Times New Roman"/>
                <w:color w:val="000000" w:themeColor="text1"/>
                <w:szCs w:val="21"/>
                <w14:textFill>
                  <w14:solidFill>
                    <w14:schemeClr w14:val="tx1"/>
                  </w14:solidFill>
                </w14:textFill>
              </w:rPr>
              <w:t>生活垃圾</w:t>
            </w:r>
            <w:bookmarkEnd w:id="415"/>
          </w:p>
        </w:tc>
        <w:tc>
          <w:tcPr>
            <w:tcW w:w="1448" w:type="pct"/>
            <w:gridSpan w:val="2"/>
            <w:vAlign w:val="center"/>
          </w:tcPr>
          <w:p>
            <w:pPr>
              <w:pStyle w:val="40"/>
              <w:rPr>
                <w:rFonts w:ascii="Times New Roman" w:hAnsi="Times New Roman" w:cs="Times New Roman"/>
                <w:color w:val="000000" w:themeColor="text1"/>
                <w:szCs w:val="21"/>
                <w14:textFill>
                  <w14:solidFill>
                    <w14:schemeClr w14:val="tx1"/>
                  </w14:solidFill>
                </w14:textFill>
              </w:rPr>
            </w:pPr>
            <w:bookmarkStart w:id="416" w:name="_Toc2945"/>
            <w:r>
              <w:rPr>
                <w:rFonts w:hint="eastAsia" w:ascii="Times New Roman" w:hAnsi="Times New Roman" w:cs="Times New Roman"/>
                <w:color w:val="000000" w:themeColor="text1"/>
                <w:szCs w:val="21"/>
                <w14:textFill>
                  <w14:solidFill>
                    <w14:schemeClr w14:val="tx1"/>
                  </w14:solidFill>
                </w14:textFill>
              </w:rPr>
              <w:t>5.25t/a</w:t>
            </w:r>
            <w:bookmarkEnd w:id="416"/>
          </w:p>
        </w:tc>
        <w:tc>
          <w:tcPr>
            <w:tcW w:w="1487" w:type="pct"/>
            <w:vAlign w:val="center"/>
          </w:tcPr>
          <w:p>
            <w:pPr>
              <w:pStyle w:val="40"/>
              <w:rPr>
                <w:rFonts w:ascii="Times New Roman" w:hAnsi="Times New Roman" w:cs="Times New Roman"/>
                <w:color w:val="000000" w:themeColor="text1"/>
                <w:szCs w:val="21"/>
                <w14:textFill>
                  <w14:solidFill>
                    <w14:schemeClr w14:val="tx1"/>
                  </w14:solidFill>
                </w14:textFill>
              </w:rPr>
            </w:pPr>
            <w:bookmarkStart w:id="417" w:name="_Toc14522"/>
            <w:r>
              <w:rPr>
                <w:rFonts w:hint="eastAsia" w:ascii="Times New Roman" w:hAnsi="Times New Roman" w:cs="Times New Roman"/>
                <w:color w:val="000000" w:themeColor="text1"/>
                <w:szCs w:val="21"/>
                <w14:textFill>
                  <w14:solidFill>
                    <w14:schemeClr w14:val="tx1"/>
                  </w14:solidFill>
                </w14:textFill>
              </w:rPr>
              <w:t>集中收集后定期委托环卫部门统一清运</w:t>
            </w:r>
            <w:bookmarkEnd w:id="417"/>
          </w:p>
        </w:tc>
      </w:tr>
    </w:tbl>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418" w:name="_Toc8191"/>
      <w:bookmarkStart w:id="419" w:name="_Toc5136"/>
      <w:bookmarkStart w:id="420" w:name="_Toc22396"/>
      <w:bookmarkStart w:id="421" w:name="_Toc24573"/>
      <w:bookmarkStart w:id="422" w:name="_Toc14985"/>
      <w:r>
        <w:rPr>
          <w:rFonts w:ascii="Times New Roman" w:hAnsi="Times New Roman" w:cs="Times New Roman"/>
          <w:color w:val="000000" w:themeColor="text1"/>
          <w:kern w:val="0"/>
          <w:szCs w:val="30"/>
          <w14:textFill>
            <w14:solidFill>
              <w14:schemeClr w14:val="tx1"/>
            </w14:solidFill>
          </w14:textFill>
        </w:rPr>
        <w:t>3.</w:t>
      </w:r>
      <w:r>
        <w:rPr>
          <w:rFonts w:hint="eastAsia" w:ascii="Times New Roman" w:hAnsi="Times New Roman" w:cs="Times New Roman"/>
          <w:color w:val="000000" w:themeColor="text1"/>
          <w:kern w:val="0"/>
          <w:szCs w:val="30"/>
          <w14:textFill>
            <w14:solidFill>
              <w14:schemeClr w14:val="tx1"/>
            </w14:solidFill>
          </w14:textFill>
        </w:rPr>
        <w:t>6</w:t>
      </w:r>
      <w:r>
        <w:rPr>
          <w:rFonts w:ascii="Times New Roman" w:hAnsi="Times New Roman" w:cs="Times New Roman"/>
          <w:color w:val="000000" w:themeColor="text1"/>
          <w:kern w:val="0"/>
          <w:szCs w:val="30"/>
          <w14:textFill>
            <w14:solidFill>
              <w14:schemeClr w14:val="tx1"/>
            </w14:solidFill>
          </w14:textFill>
        </w:rPr>
        <w:t xml:space="preserve"> 清洁生产分析</w:t>
      </w:r>
      <w:bookmarkEnd w:id="418"/>
      <w:bookmarkEnd w:id="419"/>
      <w:bookmarkEnd w:id="420"/>
      <w:bookmarkEnd w:id="421"/>
      <w:bookmarkEnd w:id="422"/>
    </w:p>
    <w:p>
      <w:pPr>
        <w:pStyle w:val="6"/>
        <w:rPr>
          <w:rFonts w:ascii="Times New Roman" w:hAnsi="Times New Roman" w:cs="Times New Roman"/>
          <w:color w:val="000000" w:themeColor="text1"/>
          <w14:textFill>
            <w14:solidFill>
              <w14:schemeClr w14:val="tx1"/>
            </w14:solidFill>
          </w14:textFill>
        </w:rPr>
      </w:pPr>
      <w:bookmarkStart w:id="423" w:name="_Toc27687"/>
      <w:bookmarkStart w:id="424" w:name="_Toc21532"/>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.1 清洁生产的目的和实施途径</w:t>
      </w:r>
      <w:bookmarkEnd w:id="423"/>
      <w:bookmarkEnd w:id="42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清洁生产是将污染预防的战略持续应用于生产过程、产品和服务中，以减少人类的风险。因此，将清洁生产纳入环境影响评价制度后，使得环评制度更加完善，在预防和控制污染方面也发挥了更大的作用。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清洁生产追求的目标是产品设计、开发、生产以及服务过程充分提高效率、减少污染物的产生，从而达到环境效益和经济效益的统一的环保目标。那些技术工艺落后、设备陈旧、高污染、高耗能的项目因不符合清洁生产的要求而被否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将清洁生产的思想引入环评工作，以此强化工程分析，可大大提高环评质量。对于建设项目而言，可以减轻建设项目的末端处理负担，提高建设项目的环境可靠性，提高建设项目的市场竞争力以及降低建设项目的环境责任风险。</w:t>
      </w:r>
    </w:p>
    <w:p>
      <w:pPr>
        <w:pStyle w:val="6"/>
        <w:rPr>
          <w:rFonts w:ascii="Times New Roman" w:hAnsi="Times New Roman" w:cs="Times New Roman"/>
          <w:color w:val="000000" w:themeColor="text1"/>
          <w14:textFill>
            <w14:solidFill>
              <w14:schemeClr w14:val="tx1"/>
            </w14:solidFill>
          </w14:textFill>
        </w:rPr>
      </w:pPr>
      <w:bookmarkStart w:id="425" w:name="_Toc3964"/>
      <w:bookmarkStart w:id="426" w:name="_Toc5628"/>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.2 清洁生产评价</w:t>
      </w:r>
      <w:bookmarkEnd w:id="425"/>
      <w:bookmarkEnd w:id="42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禽畜养殖项目，目前国家尚未发布相关的清洁生产标准，只结合本行业及项目特点，从原辅材料及产品的清洁性、生产工艺与设备先进性、资源能源利用指标、污染物产生指标、废物回收利用指标、环境管理要求等方面定性分析本项目的清洁生产水平，并提出清洁生产要求或建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（1）原辅材料和能源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周围自然条件良好，拥有良好的原料资源优势，在饲料中不添加兴奋剂、镇静剂、激素类、砷制剂等添加剂；选用的种猪品种优良，适合本地气候、环境，可保证仔猪质量及商品猪质量，本项目能源使用主要为电能，属于清洁能源。本项目使用饲料中重金属含量符合《饲料卫生标准》（GB13078-2001）标准要求，不得检出抗生素、生长激素、黄曲霉素等因此，本项目可以保证原料的清洁性，保障猪只的质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（2）生产工艺与设备先进性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①生产工艺先进性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目前，大中型养殖场传统的工艺主要为水冲粪、水泡粪和干清粪三种类型。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水冲粪工艺：指畜禽排放的粪、尿和污水混合进入粪沟，每天数次放水冲洗，粪水顺粪沟流入粪便主干沟后排出的清粪工艺。是20世纪80年代中国从国外引进规模化养猪技术和管理方法时采用的主要清粪模式。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干清粪：指畜禽排放的粪便一经产生便通过机械或人工收集、清除，尿液、残余粪便及冲洗水则从排污道排出的清粪方式。干清粪工艺主要目的是及时、有效地清除畜舍内的粪便、尿液，保持畜舍环境卫生，充分利用劳动力资源丰富的优势，减少粪污清理过程中的用水、用电，保持固体粪便的营养物，提高有机肥肥效，降低后续粪尿处理的成本。但中国目前生产的清粪机在使用可靠性方面还存在欠缺，故障发生率较高，由于工作部件上粘满粪便，维修困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泡粪：指在畜禽舍内的排粪沟中注入一定量的水，将粪、尿、冲洗和饲养管理用水一并排放至漏缝地板下的粪沟中，贮存一定时间（一般为1～2个月）、待粪沟填满后，打开出口闸门，沟中的粪水顺粪沟流入粪便主干沟后排出的清粪工艺。</w:t>
      </w:r>
      <w:r>
        <w:rPr>
          <w:rFonts w:hint="eastAsia" w:ascii="Times New Roman" w:hAnsi="Times New Roman" w:cs="Times New Roman"/>
          <w:color w:val="000000" w:themeColor="text1"/>
          <w14:textFill>
            <w14:solidFill>
              <w14:schemeClr w14:val="tx1"/>
            </w14:solidFill>
          </w14:textFill>
        </w:rPr>
        <w:t>但</w:t>
      </w:r>
      <w:r>
        <w:rPr>
          <w:rFonts w:ascii="Times New Roman" w:hAnsi="Times New Roman" w:cs="Times New Roman"/>
          <w:color w:val="000000" w:themeColor="text1"/>
          <w14:textFill>
            <w14:solidFill>
              <w14:schemeClr w14:val="tx1"/>
            </w14:solidFill>
          </w14:textFill>
        </w:rPr>
        <w:t>畜舍氨气污染浓重及污水处理后期难度大。</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表3.6-1     项目清洁生产内容</w:t>
      </w:r>
    </w:p>
    <w:tbl>
      <w:tblPr>
        <w:tblStyle w:val="27"/>
        <w:tblW w:w="50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4"/>
        <w:gridCol w:w="2699"/>
        <w:gridCol w:w="2500"/>
        <w:gridCol w:w="2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34"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w:t>
            </w:r>
          </w:p>
        </w:tc>
        <w:tc>
          <w:tcPr>
            <w:tcW w:w="1617"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水冲粪</w:t>
            </w:r>
          </w:p>
        </w:tc>
        <w:tc>
          <w:tcPr>
            <w:tcW w:w="1498"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水泡粪</w:t>
            </w:r>
          </w:p>
        </w:tc>
        <w:tc>
          <w:tcPr>
            <w:tcW w:w="145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干清粪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方法</w:t>
            </w:r>
          </w:p>
        </w:tc>
        <w:tc>
          <w:tcPr>
            <w:tcW w:w="161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粪尿污水混合进入缝隙地板下的粪沟，每天数次从沟端的水喷头放水冲洗。粪水顺粪沟流入粪便主干沟，进入地下贮</w:t>
            </w:r>
            <w:r>
              <w:rPr>
                <w:rFonts w:ascii="Times New Roman" w:hAnsi="Times New Roman" w:cs="Times New Roman"/>
                <w:color w:val="000000" w:themeColor="text1"/>
                <w:spacing w:val="-6"/>
                <w:sz w:val="21"/>
                <w:szCs w:val="21"/>
                <w14:textFill>
                  <w14:solidFill>
                    <w14:schemeClr w14:val="tx1"/>
                  </w14:solidFill>
                </w14:textFill>
              </w:rPr>
              <w:t>粪池或用泵抽吸到地面贮粪池</w:t>
            </w:r>
          </w:p>
        </w:tc>
        <w:tc>
          <w:tcPr>
            <w:tcW w:w="149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在畜禽舍内的排粪沟中注入一定量的水，将粪、尿、冲洗和饲养管理用水一并排放至漏缝地板下的粪沟中，贮存一定时间（一般为1～2个月）、待粪沟填满后，打开出口闸门，沟中的粪水顺粪沟流入粪便主干沟后排出的清粪工艺</w:t>
            </w:r>
          </w:p>
        </w:tc>
        <w:tc>
          <w:tcPr>
            <w:tcW w:w="1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干清粪是采用人工或机械方式从畜禽舍地面收集全部或大部分的固体粪便，地面残余粪尿用少量水冲洗，从而使固体和液体废</w:t>
            </w:r>
            <w:r>
              <w:rPr>
                <w:rFonts w:ascii="Times New Roman" w:hAnsi="Times New Roman" w:cs="Times New Roman"/>
                <w:color w:val="000000" w:themeColor="text1"/>
                <w:spacing w:val="-6"/>
                <w:sz w:val="21"/>
                <w:szCs w:val="21"/>
                <w14:textFill>
                  <w14:solidFill>
                    <w14:schemeClr w14:val="tx1"/>
                  </w14:solidFill>
                </w14:textFill>
              </w:rPr>
              <w:t>弃物分离的粪便清理方式。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目的</w:t>
            </w:r>
          </w:p>
        </w:tc>
        <w:tc>
          <w:tcPr>
            <w:tcW w:w="161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及时、有效地清除畜舍内的粪 便、尿液，保持畜舍环境卫生， 减少粪污清理过程中的劳动力投入，提高养殖场自动化管理水平</w:t>
            </w:r>
          </w:p>
        </w:tc>
        <w:tc>
          <w:tcPr>
            <w:tcW w:w="149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定时、有效地清除畜舍内的粪便、尿液，减少粪污清理过程中的劳动力投入，减少冲洗用水，提高养殖场自动化管理水平。水泡粪清粪工艺是在水冲粪工艺的基础上改造而来的</w:t>
            </w:r>
          </w:p>
        </w:tc>
        <w:tc>
          <w:tcPr>
            <w:tcW w:w="1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及时、有效地清除畜舍内的粪便，保持畜舍环境卫生，充分利用劳动力资源丰富的优势，减少粪污清理过程中的用水、用电，保持固体粪便的营养物，提高有机肥肥效，降低后续粪尿处理的成本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优点</w:t>
            </w:r>
          </w:p>
        </w:tc>
        <w:tc>
          <w:tcPr>
            <w:tcW w:w="161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水冲粪方式可保持畜舍内的环境清洁，有利于动物健康</w:t>
            </w:r>
          </w:p>
        </w:tc>
        <w:tc>
          <w:tcPr>
            <w:tcW w:w="149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比水冲粪工艺节省用水，相对需要的人工少</w:t>
            </w:r>
          </w:p>
        </w:tc>
        <w:tc>
          <w:tcPr>
            <w:tcW w:w="1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可以减轻劳动强度，节约劳动力，提高工效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缺点</w:t>
            </w:r>
          </w:p>
        </w:tc>
        <w:tc>
          <w:tcPr>
            <w:tcW w:w="1617"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耗水量大，污染物浓度高，固液分离后，大部分可溶性有机质及微量元素等留在污水中，污水中的污染物浓度仍然很高，而分离出的固体物养分含量低，肥料价值低。该工艺技术上不复杂，不受气候变化影响，但污水处理部分基建投资及动力消耗很高</w:t>
            </w:r>
          </w:p>
        </w:tc>
        <w:tc>
          <w:tcPr>
            <w:tcW w:w="149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畜舍氨气污染浓重及污水处理后期难度大</w:t>
            </w:r>
          </w:p>
        </w:tc>
        <w:tc>
          <w:tcPr>
            <w:tcW w:w="145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一次性投资较大，还要花费一定的运行维护费用。而且中国目前生产的清粪机在使用可靠性方面还存在欠缺，故障发生率较高，由于工作部件上粘满粪便，维修困难</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综上，本项目采用的</w:t>
      </w:r>
      <w:r>
        <w:rPr>
          <w:rFonts w:hint="eastAsia" w:ascii="Times New Roman" w:hAnsi="Times New Roman" w:cs="Times New Roman"/>
          <w:color w:val="000000" w:themeColor="text1"/>
          <w14:textFill>
            <w14:solidFill>
              <w14:schemeClr w14:val="tx1"/>
            </w14:solidFill>
          </w14:textFill>
        </w:rPr>
        <w:t>干清粪</w:t>
      </w:r>
      <w:r>
        <w:rPr>
          <w:rFonts w:ascii="Times New Roman" w:hAnsi="Times New Roman" w:cs="Times New Roman"/>
          <w:color w:val="000000" w:themeColor="text1"/>
          <w14:textFill>
            <w14:solidFill>
              <w14:schemeClr w14:val="tx1"/>
            </w14:solidFill>
          </w14:textFill>
        </w:rPr>
        <w:t>工艺近年来在我国大中型集中式养殖场有着广泛的应用，其特点是可以定时、有效地清除畜舍内的粪便、尿液，减少粪污清理过程中的劳动力投入，减少猪舍恶臭的产生量，减少冲洗用水，提高养殖场自动化管理水平。从总体来说，该工艺具有一定的优越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②设备先进性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整个生产过程中，最大限度使用物料的机械输送设备，减少劳动强度、提高生产效率，减少人为操作失误造成的安全事故及能源浪费。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选用节能电机；对水泵等机电产品、食槽等生产设备的选型上，力求先进合理，选用效率高、能耗低的新型产品，同时，在满足生产工艺要求的条件下，尽量选用功率小的节能型电气设备，电机采用变频节电型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本项目采用的技术设备较为先进，符合清洁生产要求。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（3）资源能源利用指标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w:t>
      </w:r>
      <w:r>
        <w:rPr>
          <w:rFonts w:hint="eastAsia" w:ascii="Times New Roman" w:hAnsi="Times New Roman" w:cs="Times New Roman"/>
          <w:color w:val="000000" w:themeColor="text1"/>
          <w14:textFill>
            <w14:solidFill>
              <w14:schemeClr w14:val="tx1"/>
            </w14:solidFill>
          </w14:textFill>
        </w:rPr>
        <w:t>干</w:t>
      </w:r>
      <w:r>
        <w:rPr>
          <w:rFonts w:ascii="Times New Roman" w:hAnsi="Times New Roman" w:cs="Times New Roman"/>
          <w:color w:val="000000" w:themeColor="text1"/>
          <w14:textFill>
            <w14:solidFill>
              <w14:schemeClr w14:val="tx1"/>
            </w14:solidFill>
          </w14:textFill>
        </w:rPr>
        <w:t>清粪工艺，用水、电、物料消耗均小于其他传统工艺。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本项目严格采购符合国家标准的药物、饲料，最大限度减少使用抗生素药物、饲料，确保猪粪中抗生素含量低于相关标准要求。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（4）污染物产生指标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本项目养殖废水和生活污水全部进粪污处理系统处理达标后回用于</w:t>
      </w:r>
      <w:r>
        <w:rPr>
          <w:rFonts w:hint="eastAsia" w:ascii="Times New Roman" w:hAnsi="Times New Roman" w:cs="Times New Roman"/>
          <w:color w:val="000000" w:themeColor="text1"/>
          <w14:textFill>
            <w14:solidFill>
              <w14:schemeClr w14:val="tx1"/>
            </w14:solidFill>
          </w14:textFill>
        </w:rPr>
        <w:t>周边农田</w:t>
      </w:r>
      <w:r>
        <w:rPr>
          <w:rFonts w:ascii="Times New Roman" w:hAnsi="Times New Roman" w:cs="Times New Roman"/>
          <w:color w:val="000000" w:themeColor="text1"/>
          <w14:textFill>
            <w14:solidFill>
              <w14:schemeClr w14:val="tx1"/>
            </w14:solidFill>
          </w14:textFill>
        </w:rPr>
        <w:t>灌溉。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项目运行过程中产生的废气主要为猪舍、粪污处理系统和病死猪无害化处理车间在运行过程中产生恶臭气体，经采取相应控制措施后均可达标排放。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产生的固体废物主要包括粪渣、病死猪、污水处理站污泥和生活垃圾。其中粪渣堆肥发酵生产有机肥基料外售；病死猪进入自建病死猪无害化处理车间采用高温生物发酵法处理；污水处理站污泥和生活垃圾由环卫部门统一收集送垃圾填埋厂处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（5）废物回收利用指标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项目废水最终全部经自建</w:t>
      </w:r>
      <w:r>
        <w:rPr>
          <w:rFonts w:hint="eastAsia" w:ascii="Times New Roman" w:hAnsi="Times New Roman" w:cs="Times New Roman"/>
          <w:color w:val="000000" w:themeColor="text1"/>
          <w14:textFill>
            <w14:solidFill>
              <w14:schemeClr w14:val="tx1"/>
            </w14:solidFill>
          </w14:textFill>
        </w:rPr>
        <w:t>粪污处理系统</w:t>
      </w:r>
      <w:r>
        <w:rPr>
          <w:rFonts w:ascii="Times New Roman" w:hAnsi="Times New Roman" w:cs="Times New Roman"/>
          <w:color w:val="000000" w:themeColor="text1"/>
          <w14:textFill>
            <w14:solidFill>
              <w14:schemeClr w14:val="tx1"/>
            </w14:solidFill>
          </w14:textFill>
        </w:rPr>
        <w:t>处理后回用于</w:t>
      </w:r>
      <w:r>
        <w:rPr>
          <w:rFonts w:hint="eastAsia" w:ascii="Times New Roman" w:hAnsi="Times New Roman" w:cs="Times New Roman"/>
          <w:color w:val="000000" w:themeColor="text1"/>
          <w14:textFill>
            <w14:solidFill>
              <w14:schemeClr w14:val="tx1"/>
            </w14:solidFill>
          </w14:textFill>
        </w:rPr>
        <w:t>周边农田</w:t>
      </w:r>
      <w:r>
        <w:rPr>
          <w:rFonts w:ascii="Times New Roman" w:hAnsi="Times New Roman" w:cs="Times New Roman"/>
          <w:color w:val="000000" w:themeColor="text1"/>
          <w14:textFill>
            <w14:solidFill>
              <w14:schemeClr w14:val="tx1"/>
            </w14:solidFill>
          </w14:textFill>
        </w:rPr>
        <w:t>灌溉。粪渣进行粪污处理系统进行发酵堆肥最终成为有机肥基料。</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（6）环境管理要求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管理是企业管理中的重要环节之一。在企业中，建立健全环保机构，加强环保管理工作，并把环保工作纳入生产管理，对于减少企业内污染物排放，促进资源的合理利用与回收，提高经济效益和环境效益有着重要意义。本项目建成投产后，充分利用环保管理机构，进行环境保护管理工作，具体方案见表3.6-2。</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表3.6-</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 xml:space="preserve">     本项目环境管理实施方案一览表</w:t>
      </w:r>
    </w:p>
    <w:tbl>
      <w:tblPr>
        <w:tblStyle w:val="27"/>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85"/>
        <w:gridCol w:w="1262"/>
        <w:gridCol w:w="6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blHeader/>
        </w:trPr>
        <w:tc>
          <w:tcPr>
            <w:tcW w:w="29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w:t>
            </w:r>
          </w:p>
        </w:tc>
        <w:tc>
          <w:tcPr>
            <w:tcW w:w="756"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指标</w:t>
            </w:r>
          </w:p>
        </w:tc>
        <w:tc>
          <w:tcPr>
            <w:tcW w:w="3952"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实施方案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8" w:hRule="atLeast"/>
        </w:trPr>
        <w:tc>
          <w:tcPr>
            <w:tcW w:w="29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7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环境法律法规标准</w:t>
            </w:r>
          </w:p>
        </w:tc>
        <w:tc>
          <w:tcPr>
            <w:tcW w:w="395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严格遵守国家和地方有关法律、法规和排污许可证管理要求；污染物排放达到国家和地方排放标准：废气满足《恶臭污染物排放标准》（GB14554-93）、《畜禽养殖业污染物排放标准》（GB18596-2001）；废水满足《农田灌溉水质标准》（GB5084-2005）；噪声满足《工业企业厂界环境噪声排放标准》（GB12348-2008）2类标准要求；固体废物处理遵守《一般工业固体废物贮存、处置场污染控制标准》（GB18599-2001）、《危险废物贮存污染控制标准》（GB18597-2001）及修改单要求、《畜禽养殖业污染物排放标准》（GB18596-2001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9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7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组织机构</w:t>
            </w:r>
          </w:p>
        </w:tc>
        <w:tc>
          <w:tcPr>
            <w:tcW w:w="395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设置节能环保科，环保专职人员1名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9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7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环境审核</w:t>
            </w:r>
          </w:p>
        </w:tc>
        <w:tc>
          <w:tcPr>
            <w:tcW w:w="395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项目投产后，委托有资质单位进行清洁生产审核；健全环境管理制度，保证原始记录及统计数据齐全有效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9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7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废物处理</w:t>
            </w:r>
          </w:p>
        </w:tc>
        <w:tc>
          <w:tcPr>
            <w:tcW w:w="395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用符合国家规定的废物处置方法处置废物，固体废物均得到妥善处置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9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7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生产过程环境管理</w:t>
            </w:r>
          </w:p>
        </w:tc>
        <w:tc>
          <w:tcPr>
            <w:tcW w:w="395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对每个生产装置制作操作规程，对重点岗位下发作业指导书；在易造成污染的设备和废物产生部位建立警示牌；健全环境管理监测制度和污染事故应急程序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9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7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相关方环境管理</w:t>
            </w:r>
          </w:p>
        </w:tc>
        <w:tc>
          <w:tcPr>
            <w:tcW w:w="3952"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选择有资质、环境管理规范的原料供应单位、协作方</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由表可以看出，本项目环境管理符合清洁生产标准要求，具有一定的清洁生产水平。</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427" w:name="_Toc5408"/>
      <w:bookmarkStart w:id="428" w:name="_Toc11923"/>
      <w:bookmarkStart w:id="429" w:name="_Toc389"/>
      <w:bookmarkStart w:id="430" w:name="_Toc8659"/>
      <w:bookmarkStart w:id="431" w:name="_Toc3728"/>
      <w:r>
        <w:rPr>
          <w:rFonts w:ascii="Times New Roman" w:hAnsi="Times New Roman" w:cs="Times New Roman"/>
          <w:color w:val="000000" w:themeColor="text1"/>
          <w:kern w:val="0"/>
          <w:szCs w:val="30"/>
          <w14:textFill>
            <w14:solidFill>
              <w14:schemeClr w14:val="tx1"/>
            </w14:solidFill>
          </w14:textFill>
        </w:rPr>
        <w:t>3.</w:t>
      </w:r>
      <w:r>
        <w:rPr>
          <w:rFonts w:hint="eastAsia" w:ascii="Times New Roman" w:hAnsi="Times New Roman" w:cs="Times New Roman"/>
          <w:color w:val="000000" w:themeColor="text1"/>
          <w:kern w:val="0"/>
          <w:szCs w:val="30"/>
          <w14:textFill>
            <w14:solidFill>
              <w14:schemeClr w14:val="tx1"/>
            </w14:solidFill>
          </w14:textFill>
        </w:rPr>
        <w:t>7</w:t>
      </w:r>
      <w:r>
        <w:rPr>
          <w:rFonts w:ascii="Times New Roman" w:hAnsi="Times New Roman" w:cs="Times New Roman"/>
          <w:color w:val="000000" w:themeColor="text1"/>
          <w:kern w:val="0"/>
          <w:szCs w:val="30"/>
          <w14:textFill>
            <w14:solidFill>
              <w14:schemeClr w14:val="tx1"/>
            </w14:solidFill>
          </w14:textFill>
        </w:rPr>
        <w:t xml:space="preserve"> 项目建设可行性分析</w:t>
      </w:r>
      <w:bookmarkEnd w:id="427"/>
      <w:bookmarkEnd w:id="428"/>
      <w:bookmarkEnd w:id="429"/>
      <w:bookmarkEnd w:id="430"/>
      <w:bookmarkEnd w:id="431"/>
    </w:p>
    <w:p>
      <w:pPr>
        <w:pStyle w:val="6"/>
        <w:rPr>
          <w:rFonts w:ascii="Times New Roman" w:hAnsi="Times New Roman" w:cs="Times New Roman"/>
          <w:color w:val="000000" w:themeColor="text1"/>
          <w14:textFill>
            <w14:solidFill>
              <w14:schemeClr w14:val="tx1"/>
            </w14:solidFill>
          </w14:textFill>
        </w:rPr>
      </w:pPr>
      <w:bookmarkStart w:id="432" w:name="_Toc20538"/>
      <w:bookmarkStart w:id="433" w:name="_Toc17750"/>
      <w:bookmarkStart w:id="434" w:name="_Toc7677"/>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.1 产业政策符合性</w:t>
      </w:r>
      <w:bookmarkEnd w:id="432"/>
      <w:r>
        <w:rPr>
          <w:rFonts w:ascii="Times New Roman" w:hAnsi="Times New Roman" w:cs="Times New Roman"/>
          <w:color w:val="000000" w:themeColor="text1"/>
          <w14:textFill>
            <w14:solidFill>
              <w14:schemeClr w14:val="tx1"/>
            </w14:solidFill>
          </w14:textFill>
        </w:rPr>
        <w:t>分析</w:t>
      </w:r>
      <w:bookmarkEnd w:id="433"/>
      <w:bookmarkEnd w:id="43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（1）与《产业结构调整指导目录（2019年本）》相符性分析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规模化的养殖场可使生猪养殖由分散养殖向适度规模、集中养殖转变，由粗放养殖向集约化养殖转变，由兼业经营向专业化经营转变，提高劳动生产率，提高环境质量，加速我国生猪饲养的规范化进程。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根据《产业结构调整指导目录（2019年本）》，本项目属于“第一类鼓励类，第一项农林业，第4条畜禽标准化规模养殖技术开发与应用”项目，符合国家产业政策。</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（2）与国土资发〔2012〕98号文件相符性分析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通过对照分析，项目不在《限制用地项目目录（2012年本）》和《禁止用地项目目录（2012年本）》的范围之内，符合国土资发〔2012〕98号文件要求。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（3）与《畜禽规模养殖污染防治条例》（国务院令第643号）相符性分析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根据《畜禽规模养殖污染防治条例》（国务院令第643号）第十一条，畜禽养殖业选址必须符合下列要求：禁止在下列区域内建设畜禽养殖场、养殖小区：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（一）饮用水水源保护区，风景名胜区；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（二）自然保护区的核心区和缓冲区；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（三）城镇居民区、文化教育科学研究区等人口集中区域；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（四）法律、法规规定的其他禁止养殖区域</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w:t>
      </w:r>
      <w:r>
        <w:rPr>
          <w:rFonts w:hint="eastAsia" w:cs="Times New Roman"/>
          <w:color w:val="000000" w:themeColor="text1"/>
          <w14:textFill>
            <w14:solidFill>
              <w14:schemeClr w14:val="tx1"/>
            </w14:solidFill>
          </w14:textFill>
        </w:rPr>
        <w:t>.7-1</w:t>
      </w:r>
      <w:r>
        <w:rPr>
          <w:rFonts w:cs="Times New Roman"/>
          <w:color w:val="000000" w:themeColor="text1"/>
          <w14:textFill>
            <w14:solidFill>
              <w14:schemeClr w14:val="tx1"/>
            </w14:solidFill>
          </w14:textFill>
        </w:rPr>
        <w:t xml:space="preserve">   本项目与国务院令第 643 号符合性分析</w:t>
      </w:r>
    </w:p>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60"/>
        <w:gridCol w:w="4479"/>
        <w:gridCol w:w="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blHeader/>
        </w:trPr>
        <w:tc>
          <w:tcPr>
            <w:tcW w:w="1840"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选址条件</w:t>
            </w:r>
          </w:p>
        </w:tc>
        <w:tc>
          <w:tcPr>
            <w:tcW w:w="2693"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项目情况</w:t>
            </w:r>
          </w:p>
        </w:tc>
        <w:tc>
          <w:tcPr>
            <w:tcW w:w="465"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4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禁止在饮用水水源保护区，风景名胜区建设</w:t>
            </w:r>
          </w:p>
        </w:tc>
        <w:tc>
          <w:tcPr>
            <w:tcW w:w="269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项目所在地不是生活饮用水水源保护区、风景名胜区</w:t>
            </w:r>
          </w:p>
        </w:tc>
        <w:tc>
          <w:tcPr>
            <w:tcW w:w="46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84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禁止在自然保护区的核心区和缓冲区建设</w:t>
            </w:r>
          </w:p>
        </w:tc>
        <w:tc>
          <w:tcPr>
            <w:tcW w:w="269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项目所在地不属于自然保护区的核心区和缓冲区</w:t>
            </w:r>
          </w:p>
        </w:tc>
        <w:tc>
          <w:tcPr>
            <w:tcW w:w="46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84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禁止在城镇居民区、文化教育科学</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研究区等人口集中区域建设</w:t>
            </w:r>
          </w:p>
        </w:tc>
        <w:tc>
          <w:tcPr>
            <w:tcW w:w="269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项目所在地不位于城市和城镇居民区</w:t>
            </w:r>
          </w:p>
        </w:tc>
        <w:tc>
          <w:tcPr>
            <w:tcW w:w="46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840"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禁止在法律、法规规定的其他禁止</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养殖区域建设</w:t>
            </w:r>
          </w:p>
        </w:tc>
        <w:tc>
          <w:tcPr>
            <w:tcW w:w="269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项目所在地不属于国家或地方法律、法规规定需特殊保护的其它区域</w:t>
            </w:r>
          </w:p>
        </w:tc>
        <w:tc>
          <w:tcPr>
            <w:tcW w:w="46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（4）与《土壤污染防治行动计划》的相符性分析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国务院关于印发土壤污染防治行动计划的通知》（国发〔2016〕31号），《土壤污染防治行动计划》（土十条）“第六条加强污染源监管，做好土壤污染预防工作”，本项目为畜禽养殖类项目，项目在运行过程中严格规范兽药、饲料添加剂的生产和使用，防止过量使用，促进源头减量。项目建设了配套的粪污处理系统，采用种养结合模式对粪污进行综合利用，符合《土壤污染防治行动计划》（土十条）中的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（5）10.1.9与《关于做好畜禽规模养殖项目环境影响评价管理工作的通知》（环办环评〔2018〕31号）的相符性分析</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w:t>
      </w:r>
      <w:r>
        <w:rPr>
          <w:rFonts w:hint="eastAsia" w:cs="Times New Roman"/>
          <w:color w:val="000000" w:themeColor="text1"/>
          <w14:textFill>
            <w14:solidFill>
              <w14:schemeClr w14:val="tx1"/>
            </w14:solidFill>
          </w14:textFill>
        </w:rPr>
        <w:t>7-2</w:t>
      </w:r>
      <w:r>
        <w:rPr>
          <w:rFonts w:cs="Times New Roman"/>
          <w:color w:val="000000" w:themeColor="text1"/>
          <w14:textFill>
            <w14:solidFill>
              <w14:schemeClr w14:val="tx1"/>
            </w14:solidFill>
          </w14:textFill>
        </w:rPr>
        <w:t xml:space="preserve">   本项目与国务院令第 643 号符合性分析</w:t>
      </w:r>
    </w:p>
    <w:tbl>
      <w:tblPr>
        <w:tblStyle w:val="27"/>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81"/>
        <w:gridCol w:w="2744"/>
        <w:gridCol w:w="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blHeader/>
        </w:trPr>
        <w:tc>
          <w:tcPr>
            <w:tcW w:w="275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文件规定</w:t>
            </w:r>
          </w:p>
        </w:tc>
        <w:tc>
          <w:tcPr>
            <w:tcW w:w="1648"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本项目情况</w:t>
            </w:r>
          </w:p>
        </w:tc>
        <w:tc>
          <w:tcPr>
            <w:tcW w:w="599"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符合情况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275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项目养殖场500米范围内不涉及禁建区域，并且与昌吉国家农业科技园区总体规划不冲突</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2751"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本项目采用全价饲料，采用</w:t>
            </w:r>
            <w:r>
              <w:rPr>
                <w:rFonts w:hint="eastAsia" w:ascii="Times New Roman" w:hAnsi="Times New Roman" w:cs="Times New Roman"/>
                <w:color w:val="000000" w:themeColor="text1"/>
                <w:sz w:val="21"/>
                <w:szCs w:val="21"/>
                <w14:textFill>
                  <w14:solidFill>
                    <w14:schemeClr w14:val="tx1"/>
                  </w14:solidFill>
                </w14:textFill>
              </w:rPr>
              <w:t>干清粪</w:t>
            </w:r>
            <w:r>
              <w:rPr>
                <w:rFonts w:ascii="Times New Roman" w:hAnsi="Times New Roman" w:cs="Times New Roman"/>
                <w:color w:val="000000" w:themeColor="text1"/>
                <w:sz w:val="21"/>
                <w:szCs w:val="21"/>
                <w14:textFill>
                  <w14:solidFill>
                    <w14:schemeClr w14:val="tx1"/>
                  </w14:solidFill>
                </w14:textFill>
              </w:rPr>
              <w:t>工艺，最大限度的减少用水量</w:t>
            </w:r>
            <w:r>
              <w:rPr>
                <w:rFonts w:hint="eastAsia" w:ascii="Times New Roman" w:hAnsi="Times New Roman" w:cs="Times New Roman"/>
                <w:color w:val="000000" w:themeColor="text1"/>
                <w:sz w:val="21"/>
                <w:szCs w:val="21"/>
                <w14:textFill>
                  <w14:solidFill>
                    <w14:schemeClr w14:val="tx1"/>
                  </w14:solidFill>
                </w14:textFill>
              </w:rPr>
              <w:t>。</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2751"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种养结合”绿色发展。</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粪污分离出的固形物送至粪场生产有机肥基料，分离液经污</w:t>
            </w:r>
            <w:r>
              <w:rPr>
                <w:rFonts w:ascii="Times New Roman" w:hAnsi="Times New Roman" w:cs="Times New Roman"/>
                <w:color w:val="000000" w:themeColor="text1"/>
                <w:spacing w:val="-11"/>
                <w:sz w:val="21"/>
                <w:szCs w:val="21"/>
                <w14:textFill>
                  <w14:solidFill>
                    <w14:schemeClr w14:val="tx1"/>
                  </w14:solidFill>
                </w14:textFill>
              </w:rPr>
              <w:t>水过“固液分离＋厌氧储存塘”工艺处理后回用于</w:t>
            </w:r>
            <w:r>
              <w:rPr>
                <w:rFonts w:hint="eastAsia" w:ascii="Times New Roman" w:hAnsi="Times New Roman" w:cs="Times New Roman"/>
                <w:color w:val="000000" w:themeColor="text1"/>
                <w:spacing w:val="-11"/>
                <w:sz w:val="21"/>
                <w:szCs w:val="21"/>
                <w14:textFill>
                  <w14:solidFill>
                    <w14:schemeClr w14:val="tx1"/>
                  </w14:solidFill>
                </w14:textFill>
              </w:rPr>
              <w:t>周边农田</w:t>
            </w:r>
            <w:r>
              <w:rPr>
                <w:rFonts w:ascii="Times New Roman" w:hAnsi="Times New Roman" w:cs="Times New Roman"/>
                <w:color w:val="000000" w:themeColor="text1"/>
                <w:spacing w:val="-11"/>
                <w:sz w:val="21"/>
                <w:szCs w:val="21"/>
                <w14:textFill>
                  <w14:solidFill>
                    <w14:schemeClr w14:val="tx1"/>
                  </w14:solidFill>
                </w14:textFill>
              </w:rPr>
              <w:t>灌溉</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751"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固液分离</w:t>
            </w:r>
            <w:r>
              <w:rPr>
                <w:rStyle w:val="33"/>
                <w:rFonts w:hint="eastAsia"/>
                <w:lang w:val="en-US" w:eastAsia="zh-CN"/>
              </w:rPr>
              <w:t>车间</w:t>
            </w:r>
            <w:r>
              <w:rPr>
                <w:rFonts w:hint="eastAsia" w:ascii="Times New Roman" w:hAnsi="Times New Roman" w:cs="Times New Roman"/>
                <w:color w:val="000000" w:themeColor="text1"/>
                <w:sz w:val="21"/>
                <w:szCs w:val="21"/>
                <w:lang w:val="en-US" w:eastAsia="zh-CN"/>
                <w14:textFill>
                  <w14:solidFill>
                    <w14:schemeClr w14:val="tx1"/>
                  </w14:solidFill>
                </w14:textFill>
              </w:rPr>
              <w:t>采用</w:t>
            </w:r>
            <w:r>
              <w:rPr>
                <w:rFonts w:ascii="Times New Roman" w:hAnsi="Times New Roman" w:cs="Times New Roman"/>
                <w:color w:val="000000" w:themeColor="text1"/>
                <w:sz w:val="21"/>
                <w:szCs w:val="21"/>
                <w14:textFill>
                  <w14:solidFill>
                    <w14:schemeClr w14:val="tx1"/>
                  </w14:solidFill>
                </w14:textFill>
              </w:rPr>
              <w:t>封闭运行，并做好防渗。</w:t>
            </w:r>
            <w:r>
              <w:rPr>
                <w:rFonts w:hint="eastAsia" w:ascii="Times New Roman" w:hAnsi="Times New Roman" w:cs="Times New Roman"/>
                <w:color w:val="000000" w:themeColor="text1"/>
                <w:sz w:val="21"/>
                <w:szCs w:val="21"/>
                <w:lang w:val="en-US" w:eastAsia="zh-CN"/>
                <w14:textFill>
                  <w14:solidFill>
                    <w14:schemeClr w14:val="tx1"/>
                  </w14:solidFill>
                </w14:textFill>
              </w:rPr>
              <w:t>厌氧储存塘</w:t>
            </w:r>
            <w:r>
              <w:rPr>
                <w:rFonts w:ascii="Times New Roman" w:hAnsi="Times New Roman" w:cs="Times New Roman"/>
                <w:color w:val="000000" w:themeColor="text1"/>
                <w:sz w:val="21"/>
                <w:szCs w:val="21"/>
                <w14:textFill>
                  <w14:solidFill>
                    <w14:schemeClr w14:val="tx1"/>
                  </w14:solidFill>
                </w14:textFill>
              </w:rPr>
              <w:t>的容积足够满足本项目粪污处理需</w:t>
            </w:r>
            <w:r>
              <w:rPr>
                <w:rFonts w:ascii="Times New Roman" w:hAnsi="Times New Roman" w:cs="Times New Roman"/>
                <w:color w:val="000000" w:themeColor="text1"/>
                <w:spacing w:val="-11"/>
                <w:sz w:val="21"/>
                <w:szCs w:val="21"/>
                <w14:textFill>
                  <w14:solidFill>
                    <w14:schemeClr w14:val="tx1"/>
                  </w14:solidFill>
                </w14:textFill>
              </w:rPr>
              <w:t>求</w:t>
            </w:r>
            <w:r>
              <w:rPr>
                <w:rFonts w:hint="eastAsia" w:ascii="Times New Roman" w:hAnsi="Times New Roman" w:cs="Times New Roman"/>
                <w:color w:val="000000" w:themeColor="text1"/>
                <w:spacing w:val="-11"/>
                <w:sz w:val="21"/>
                <w:szCs w:val="21"/>
                <w:lang w:eastAsia="zh-CN"/>
                <w14:textFill>
                  <w14:solidFill>
                    <w14:schemeClr w14:val="tx1"/>
                  </w14:solidFill>
                </w14:textFill>
              </w:rPr>
              <w:t>，粪污分离出的固形物送至粪场生产有机肥基料，分离液经污水过“固液分离＋厌氧储存塘”工艺处理后回用于周边农田灌溉。</w:t>
            </w:r>
            <w:r>
              <w:rPr>
                <w:rFonts w:ascii="Times New Roman" w:hAnsi="Times New Roman" w:cs="Times New Roman"/>
                <w:color w:val="000000" w:themeColor="text1"/>
                <w:spacing w:val="-11"/>
                <w:sz w:val="21"/>
                <w:szCs w:val="21"/>
                <w14:textFill>
                  <w14:solidFill>
                    <w14:schemeClr w14:val="tx1"/>
                  </w14:solidFill>
                </w14:textFill>
              </w:rPr>
              <w:t>本项目将制定应急预案，并制定严格的环境风险防范措施</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2751"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病死猪采用高温与生物降解畜禽无害化处理技术进行无害化处理，养殖项目产生的恶臭通过增加清粪频次；加强猪舍通排风、采用除臭剂，确保项目恶臭能够达标排放</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bl>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（6）与《畜禽规模养殖场粪污资源化利用设施建设规范（试行）》的通知（农办牧〔2018〕2号）的符合性分析</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w:t>
      </w:r>
      <w:r>
        <w:rPr>
          <w:rFonts w:hint="eastAsia" w:cs="Times New Roman"/>
          <w:color w:val="000000" w:themeColor="text1"/>
          <w14:textFill>
            <w14:solidFill>
              <w14:schemeClr w14:val="tx1"/>
            </w14:solidFill>
          </w14:textFill>
        </w:rPr>
        <w:t>7-3</w:t>
      </w:r>
      <w:r>
        <w:rPr>
          <w:rFonts w:cs="Times New Roman"/>
          <w:color w:val="000000" w:themeColor="text1"/>
          <w14:textFill>
            <w14:solidFill>
              <w14:schemeClr w14:val="tx1"/>
            </w14:solidFill>
          </w14:textFill>
        </w:rPr>
        <w:t xml:space="preserve">   与农办牧〔2018〕2号的符合性分析</w:t>
      </w:r>
    </w:p>
    <w:tbl>
      <w:tblPr>
        <w:tblStyle w:val="27"/>
        <w:tblW w:w="503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610"/>
        <w:gridCol w:w="2760"/>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2752"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文件规定</w:t>
            </w:r>
          </w:p>
        </w:tc>
        <w:tc>
          <w:tcPr>
            <w:tcW w:w="1648"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本项目情况</w:t>
            </w:r>
          </w:p>
        </w:tc>
        <w:tc>
          <w:tcPr>
            <w:tcW w:w="599"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符合情况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52"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畜禽规模养殖场粪污资源化利用应坚持农牧结合、种养平衡，按照资源化、减量化、无害化的原则，对源头减量、过程控制和末端利用各环节进行全程管理，提高粪污综合利用率和设施装备配套率。</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项目产生的粪污经固液分离后，固体粪便经收集后送</w:t>
            </w:r>
            <w:r>
              <w:rPr>
                <w:rFonts w:hint="eastAsia" w:ascii="Times New Roman" w:hAnsi="Times New Roman" w:cs="Times New Roman"/>
                <w:color w:val="000000" w:themeColor="text1"/>
                <w:sz w:val="21"/>
                <w:szCs w:val="21"/>
                <w14:textFill>
                  <w14:solidFill>
                    <w14:schemeClr w14:val="tx1"/>
                  </w14:solidFill>
                </w14:textFill>
              </w:rPr>
              <w:t>堆肥场</w:t>
            </w:r>
            <w:r>
              <w:rPr>
                <w:rFonts w:ascii="Times New Roman" w:hAnsi="Times New Roman" w:cs="Times New Roman"/>
                <w:color w:val="000000" w:themeColor="text1"/>
                <w:sz w:val="21"/>
                <w:szCs w:val="21"/>
                <w14:textFill>
                  <w14:solidFill>
                    <w14:schemeClr w14:val="tx1"/>
                  </w14:solidFill>
                </w14:textFill>
              </w:rPr>
              <w:t>生产有机肥基料，养殖废水和生活污水收集排入</w:t>
            </w:r>
            <w:r>
              <w:rPr>
                <w:rFonts w:hint="eastAsia" w:ascii="Times New Roman" w:hAnsi="Times New Roman" w:cs="Times New Roman"/>
                <w:color w:val="000000" w:themeColor="text1"/>
                <w:sz w:val="21"/>
                <w:szCs w:val="21"/>
                <w14:textFill>
                  <w14:solidFill>
                    <w14:schemeClr w14:val="tx1"/>
                  </w14:solidFill>
                </w14:textFill>
              </w:rPr>
              <w:t>氧化塘</w:t>
            </w:r>
            <w:r>
              <w:rPr>
                <w:rFonts w:ascii="Times New Roman" w:hAnsi="Times New Roman" w:cs="Times New Roman"/>
                <w:color w:val="000000" w:themeColor="text1"/>
                <w:sz w:val="21"/>
                <w:szCs w:val="21"/>
                <w14:textFill>
                  <w14:solidFill>
                    <w14:schemeClr w14:val="tx1"/>
                  </w14:solidFill>
                </w14:textFill>
              </w:rPr>
              <w:t>处理后回用于</w:t>
            </w:r>
            <w:r>
              <w:rPr>
                <w:rFonts w:hint="eastAsia" w:ascii="Times New Roman" w:hAnsi="Times New Roman" w:cs="Times New Roman"/>
                <w:color w:val="000000" w:themeColor="text1"/>
                <w:sz w:val="21"/>
                <w:szCs w:val="21"/>
                <w14:textFill>
                  <w14:solidFill>
                    <w14:schemeClr w14:val="tx1"/>
                  </w14:solidFill>
                </w14:textFill>
              </w:rPr>
              <w:t>周边农田</w:t>
            </w:r>
            <w:r>
              <w:rPr>
                <w:rFonts w:ascii="Times New Roman" w:hAnsi="Times New Roman" w:cs="Times New Roman"/>
                <w:color w:val="000000" w:themeColor="text1"/>
                <w:sz w:val="21"/>
                <w:szCs w:val="21"/>
                <w14:textFill>
                  <w14:solidFill>
                    <w14:schemeClr w14:val="tx1"/>
                  </w14:solidFill>
                </w14:textFill>
              </w:rPr>
              <w:t>灌溉</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52"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畜禽规模养殖场应根据养殖污染防治要求，建设与养殖规模相配套的粪污资源化利用设施设备，并确保正常运行。</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项目产生的粪污经固液分离后，固体粪便经收集后送堆肥场生产有机肥基料，养殖废水和生活污水收集排入氧化塘处理后回用于周边农田灌溉。工艺可行，可确保正常运行。</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52"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畜禽规模养殖场宜采用干清粪工艺。采用水泡粪工艺的，要控制用水量，减少粪污产生总量。鼓励水冲粪工艺改造为干清粪或水泡粪。不同畜种不同清粪工艺最高允许排水量按照GB18596执行。</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本项目采用</w:t>
            </w:r>
            <w:r>
              <w:rPr>
                <w:rFonts w:hint="eastAsia" w:ascii="Times New Roman" w:hAnsi="Times New Roman" w:cs="Times New Roman"/>
                <w:color w:val="000000" w:themeColor="text1"/>
                <w:sz w:val="21"/>
                <w:szCs w:val="21"/>
                <w14:textFill>
                  <w14:solidFill>
                    <w14:schemeClr w14:val="tx1"/>
                  </w14:solidFill>
                </w14:textFill>
              </w:rPr>
              <w:t>干清粪</w:t>
            </w:r>
            <w:r>
              <w:rPr>
                <w:rFonts w:ascii="Times New Roman" w:hAnsi="Times New Roman" w:cs="Times New Roman"/>
                <w:color w:val="000000" w:themeColor="text1"/>
                <w:sz w:val="21"/>
                <w:szCs w:val="21"/>
                <w14:textFill>
                  <w14:solidFill>
                    <w14:schemeClr w14:val="tx1"/>
                  </w14:solidFill>
                </w14:textFill>
              </w:rPr>
              <w:t>工艺</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52"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畜禽规模养殖场应及时对粪污进行收集、贮存，粪污暂存池（场）应满足防渗、防雨、防溢流等要求。固体粪便暂存池（场）的设计按照GB/T27622执行。污水暂存池的设计按照GB/T 26624执行。</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堆肥场</w:t>
            </w:r>
            <w:r>
              <w:rPr>
                <w:rFonts w:ascii="Times New Roman" w:hAnsi="Times New Roman" w:cs="Times New Roman"/>
                <w:color w:val="000000" w:themeColor="text1"/>
                <w:sz w:val="21"/>
                <w:szCs w:val="21"/>
                <w14:textFill>
                  <w14:solidFill>
                    <w14:schemeClr w14:val="tx1"/>
                  </w14:solidFill>
                </w14:textFill>
              </w:rPr>
              <w:t>设有顶棚和围堰，均可满足防渗、防雨、防溢流要求</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52"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规模养殖场干清粪或固液分离后的固体粪便可采用堆肥、沤肥、生产垫料等方式进行处理利用。固体粪便堆肥（生产垫料）宜采用条垛式、槽式、发酵仓、强制通风静态垛等好氧工艺，或其他适用技术，同时配套必要的混合、输送、搅拌、供氧等设施设备。</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项目采用</w:t>
            </w:r>
            <w:r>
              <w:rPr>
                <w:rFonts w:hint="eastAsia" w:ascii="Times New Roman" w:hAnsi="Times New Roman" w:cs="Times New Roman"/>
                <w:color w:val="000000" w:themeColor="text1"/>
                <w:sz w:val="21"/>
                <w:szCs w:val="21"/>
                <w14:textFill>
                  <w14:solidFill>
                    <w14:schemeClr w14:val="tx1"/>
                  </w14:solidFill>
                </w14:textFill>
              </w:rPr>
              <w:t>干清粪</w:t>
            </w:r>
            <w:r>
              <w:rPr>
                <w:rFonts w:ascii="Times New Roman" w:hAnsi="Times New Roman" w:cs="Times New Roman"/>
                <w:color w:val="000000" w:themeColor="text1"/>
                <w:sz w:val="21"/>
                <w:szCs w:val="21"/>
                <w14:textFill>
                  <w14:solidFill>
                    <w14:schemeClr w14:val="tx1"/>
                  </w14:solidFill>
                </w14:textFill>
              </w:rPr>
              <w:t>工艺，猪粪收集后送</w:t>
            </w:r>
            <w:r>
              <w:rPr>
                <w:rFonts w:hint="eastAsia" w:ascii="Times New Roman" w:hAnsi="Times New Roman" w:cs="Times New Roman"/>
                <w:color w:val="000000" w:themeColor="text1"/>
                <w:sz w:val="21"/>
                <w:szCs w:val="21"/>
                <w14:textFill>
                  <w14:solidFill>
                    <w14:schemeClr w14:val="tx1"/>
                  </w14:solidFill>
                </w14:textFill>
              </w:rPr>
              <w:t>堆肥场</w:t>
            </w:r>
            <w:r>
              <w:rPr>
                <w:rFonts w:ascii="Times New Roman" w:hAnsi="Times New Roman" w:cs="Times New Roman"/>
                <w:color w:val="000000" w:themeColor="text1"/>
                <w:sz w:val="21"/>
                <w:szCs w:val="21"/>
                <w14:textFill>
                  <w14:solidFill>
                    <w14:schemeClr w14:val="tx1"/>
                  </w14:solidFill>
                </w14:textFill>
              </w:rPr>
              <w:t>好氧发酵生产有机肥基料</w:t>
            </w:r>
          </w:p>
        </w:tc>
        <w:tc>
          <w:tcPr>
            <w:tcW w:w="599"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52"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堆肥、沤肥、沼肥、肥水等还田利用的，依据畜禽养殖粪污土地承载力测算技术指南合理确定配套农田面积。</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已按照畜禽养殖粪污土地承载力测算技术指南计算配套农田面积</w:t>
            </w:r>
          </w:p>
        </w:tc>
        <w:tc>
          <w:tcPr>
            <w:tcW w:w="0" w:type="auto"/>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52"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固体粪便、污水和沼液贮存设施建设要求按照GB/T26622、GB/T 26624 和NY/T 2374执行。</w:t>
            </w:r>
          </w:p>
        </w:tc>
        <w:tc>
          <w:tcPr>
            <w:tcW w:w="1648" w:type="pct"/>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猪粪、污水贮存设施建设按GB/T26622、GB/T 26624执行</w:t>
            </w:r>
          </w:p>
        </w:tc>
        <w:tc>
          <w:tcPr>
            <w:tcW w:w="0" w:type="auto"/>
            <w:vAlign w:val="center"/>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bl>
    <w:p>
      <w:pPr>
        <w:pStyle w:val="6"/>
        <w:rPr>
          <w:rFonts w:ascii="Times New Roman" w:hAnsi="Times New Roman" w:cs="Times New Roman"/>
          <w:color w:val="000000" w:themeColor="text1"/>
          <w14:textFill>
            <w14:solidFill>
              <w14:schemeClr w14:val="tx1"/>
            </w14:solidFill>
          </w14:textFill>
        </w:rPr>
      </w:pPr>
      <w:bookmarkStart w:id="435" w:name="_Toc15356"/>
      <w:bookmarkStart w:id="436" w:name="_Toc4966"/>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.2 规划相符性分析</w:t>
      </w:r>
      <w:bookmarkEnd w:id="435"/>
      <w:bookmarkEnd w:id="43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（1）与昌吉国家农业科技园区总体规划的相符性分析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根据《昌吉国家农业科技园区总体规划-昌吉市牛圈子湖示范一区土地利用总体规划图（2017-2035）》，项目所在区域规划为</w:t>
      </w:r>
      <w:r>
        <w:rPr>
          <w:rFonts w:hint="eastAsia" w:ascii="Times New Roman" w:hAnsi="Times New Roman" w:cs="Times New Roman"/>
          <w:color w:val="000000" w:themeColor="text1"/>
          <w14:textFill>
            <w14:solidFill>
              <w14:schemeClr w14:val="tx1"/>
            </w14:solidFill>
          </w14:textFill>
        </w:rPr>
        <w:t>农用设施用地</w:t>
      </w:r>
      <w:r>
        <w:rPr>
          <w:rFonts w:ascii="Times New Roman" w:hAnsi="Times New Roman" w:cs="Times New Roman"/>
          <w:color w:val="000000" w:themeColor="text1"/>
          <w14:textFill>
            <w14:solidFill>
              <w14:schemeClr w14:val="tx1"/>
            </w14:solidFill>
          </w14:textFill>
        </w:rPr>
        <w:t>。通过现场踏勘，项目区符合设施农用地使用要求，区域内无国家保护的野生珍稀动植物。根据新疆昌吉国家农业科技园区经济发展局（昌农科经字〔2021〕21号），同意项目立项，因此项目建设与规划相符。</w:t>
      </w:r>
    </w:p>
    <w:p>
      <w:pPr>
        <w:spacing w:line="520" w:lineRule="exact"/>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spacing w:val="-6"/>
          <w14:textFill>
            <w14:solidFill>
              <w14:schemeClr w14:val="tx1"/>
            </w14:solidFill>
          </w14:textFill>
        </w:rPr>
        <w:t>与《新疆维吾尔自治区畜牧业现代化“十三五”发展规划》符合性分析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疆维吾尔自治区畜牧业现代化“十三五”发展规划》提出“十三五”期间以供给侧结构性改革为主线，以变革创新、可持续发展和全产业链建设统揽全局，全面推进传统畜牧业改造提升和现代畜牧业开拓创新。遵循现代化发展规律，以结构调整和科技创新为动力，以培育发展大产业、大品牌、大市场为目标，加快构建新型畜牧业产业体系、生产体系和经营体系，强化生产保障体系建设。推进产业精准脱贫，把畜牧业提质增效和农牧民增收放到更加突出位置，尽快走出一条产出高效、产品安全、资源节约、环境友好的具有新疆特色的畜牧业化现代道路，促进新疆畜牧业转型升级和民生持续改善，为新疆农牧区经济平稳健康发展和社会稳定和谐提供有力支撑。</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三五”期间，新疆畜牧业力争在畜产品市场保供、生态环境保护、畜牧生产基础保障、畜牧产业融合、畜牧业物质装备和提高动物防疫、畜产品质量安全水平等重点领域取得显著进展。到2020年，构建起更加健全的现代畜牧业产业体系、生产体系、经营体系，和强有力的生产保障体系。全区畜牧业产值达到800亿元以上，年均增长4.2%，农牧民来自畜牧业年均增收400元以上，全区畜牧业现代化发展水平明显提高。全区肉类总产量达到200万吨，奶类总产量达到200万吨，禽蛋产量达到50万吨，分别较“十二五”末增长28.34%、28.39%、53.19%。其他畜产品和特色畜产品增产10%。主要畜产品结构优化，市场供给能力增强，质量和效益显著提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本项目属于畜禽标准化规模养殖项目，项目符合《新疆维吾尔自治区畜牧业现代化“十三五”发展规划》相关要求。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（2）《新疆规模化畜禽养殖污染防治“十三五”规划》符合性分析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疆规模化畜禽养殖污染防治“十三五”规划》指出，各畜禽养殖单位应根据养殖种类、养殖规模、粪污收集方式以及当地的地理环境条件和废水排放去向等因素，因地制宜发展生态养殖模式，优先考虑资源综合利用，合理确定畜禽养殖污染防治措施。鼓励发展专业化集中式畜禽养殖粪污能源化利用和肥料化利用，加大对粪污水处理、有机肥加工和发酵产物综合利用产业政策的扶持和资金补贴力度，支持畜禽养殖粪污的社会化集中处理和规模化利用，加快建立循环经济产业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本项目属于集约化养殖项目，符合环保部批准发布的《农村小型畜禽养殖污染防治项目建设与投资指南》“堆肥+废水处理”模式，本项目粪污水最终经过“固液分离+</w:t>
      </w:r>
      <w:r>
        <w:rPr>
          <w:rFonts w:hint="eastAsia" w:ascii="Times New Roman" w:hAnsi="Times New Roman" w:cs="Times New Roman"/>
          <w:color w:val="000000" w:themeColor="text1"/>
          <w14:textFill>
            <w14:solidFill>
              <w14:schemeClr w14:val="tx1"/>
            </w14:solidFill>
          </w14:textFill>
        </w:rPr>
        <w:t>厌氧储存塘</w:t>
      </w:r>
      <w:r>
        <w:rPr>
          <w:rFonts w:ascii="Times New Roman" w:hAnsi="Times New Roman" w:cs="Times New Roman"/>
          <w:color w:val="000000" w:themeColor="text1"/>
          <w14:textFill>
            <w14:solidFill>
              <w14:schemeClr w14:val="tx1"/>
            </w14:solidFill>
          </w14:textFill>
        </w:rPr>
        <w:t>”处理后，</w:t>
      </w:r>
      <w:r>
        <w:rPr>
          <w:rFonts w:ascii="Times New Roman" w:hAnsi="Times New Roman" w:cs="Times New Roman"/>
          <w:color w:val="000000" w:themeColor="text1"/>
          <w:highlight w:val="none"/>
          <w14:textFill>
            <w14:solidFill>
              <w14:schemeClr w14:val="tx1"/>
            </w14:solidFill>
          </w14:textFill>
        </w:rPr>
        <w:t>可以满足《</w:t>
      </w:r>
      <w:r>
        <w:rPr>
          <w:rFonts w:hint="eastAsia" w:ascii="Times New Roman" w:hAnsi="Times New Roman" w:cs="Times New Roman"/>
          <w:color w:val="000000" w:themeColor="text1"/>
          <w:highlight w:val="none"/>
          <w:lang w:val="en-US" w:eastAsia="zh-CN"/>
          <w14:textFill>
            <w14:solidFill>
              <w14:schemeClr w14:val="tx1"/>
            </w14:solidFill>
          </w14:textFill>
        </w:rPr>
        <w:t>畜禽粪便无害化处理技术规范</w:t>
      </w:r>
      <w:r>
        <w:rPr>
          <w:rFonts w:ascii="Times New Roman" w:hAnsi="Times New Roman" w:cs="Times New Roman"/>
          <w:color w:val="000000" w:themeColor="text1"/>
          <w:highlight w:val="none"/>
          <w14:textFill>
            <w14:solidFill>
              <w14:schemeClr w14:val="tx1"/>
            </w14:solidFill>
          </w14:textFill>
        </w:rPr>
        <w:t>》（GB</w:t>
      </w:r>
      <w:r>
        <w:rPr>
          <w:rFonts w:hint="eastAsia" w:ascii="Times New Roman" w:hAnsi="Times New Roman" w:cs="Times New Roman"/>
          <w:color w:val="000000" w:themeColor="text1"/>
          <w:highlight w:val="none"/>
          <w:lang w:val="en-US" w:eastAsia="zh-CN"/>
          <w14:textFill>
            <w14:solidFill>
              <w14:schemeClr w14:val="tx1"/>
            </w14:solidFill>
          </w14:textFill>
        </w:rPr>
        <w:t>/T36195-2018</w:t>
      </w:r>
      <w:r>
        <w:rPr>
          <w:rFonts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和《粪便无害化卫生要求》（GB 7959-2012）</w:t>
      </w:r>
      <w:r>
        <w:rPr>
          <w:rFonts w:ascii="Times New Roman" w:hAnsi="Times New Roman" w:cs="Times New Roman"/>
          <w:color w:val="000000" w:themeColor="text1"/>
          <w:highlight w:val="none"/>
          <w14:textFill>
            <w14:solidFill>
              <w14:schemeClr w14:val="tx1"/>
            </w14:solidFill>
          </w14:textFill>
        </w:rPr>
        <w:t>，用于</w:t>
      </w:r>
      <w:r>
        <w:rPr>
          <w:rFonts w:hint="eastAsia" w:ascii="Times New Roman" w:hAnsi="Times New Roman" w:cs="Times New Roman"/>
          <w:color w:val="000000" w:themeColor="text1"/>
          <w:highlight w:val="none"/>
          <w:lang w:val="en-US" w:eastAsia="zh-CN"/>
          <w14:textFill>
            <w14:solidFill>
              <w14:schemeClr w14:val="tx1"/>
            </w14:solidFill>
          </w14:textFill>
        </w:rPr>
        <w:t>周边</w:t>
      </w:r>
      <w:r>
        <w:rPr>
          <w:rFonts w:ascii="Times New Roman" w:hAnsi="Times New Roman" w:cs="Times New Roman"/>
          <w:color w:val="000000" w:themeColor="text1"/>
          <w:highlight w:val="none"/>
          <w14:textFill>
            <w14:solidFill>
              <w14:schemeClr w14:val="tx1"/>
            </w14:solidFill>
          </w14:textFill>
        </w:rPr>
        <w:t>农田灌溉。</w:t>
      </w:r>
      <w:r>
        <w:rPr>
          <w:rFonts w:ascii="Times New Roman" w:hAnsi="Times New Roman" w:cs="Times New Roman"/>
          <w:color w:val="000000" w:themeColor="text1"/>
          <w14:textFill>
            <w14:solidFill>
              <w14:schemeClr w14:val="tx1"/>
            </w14:solidFill>
          </w14:textFill>
        </w:rPr>
        <w:t>固液分离后的猪粪按规范要求堆肥，无害化处置后，做固体有机肥外售。因此，本项目能够形成“畜禽-粪便-肥料-农田”的良性循环，符合《新疆规模化畜禽养殖污染防治“十三五”规划》。</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（3）与有关畜禽养殖禁养区、限养区规定的符合性分析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根据《昌吉</w:t>
      </w:r>
      <w:r>
        <w:rPr>
          <w:rFonts w:hint="eastAsia" w:ascii="Times New Roman" w:hAnsi="Times New Roman" w:cs="Times New Roman"/>
          <w:color w:val="000000" w:themeColor="text1"/>
          <w14:textFill>
            <w14:solidFill>
              <w14:schemeClr w14:val="tx1"/>
            </w14:solidFill>
          </w14:textFill>
        </w:rPr>
        <w:t>国家农业科技园区划分</w:t>
      </w:r>
      <w:r>
        <w:rPr>
          <w:rFonts w:ascii="Times New Roman" w:hAnsi="Times New Roman" w:cs="Times New Roman"/>
          <w:color w:val="000000" w:themeColor="text1"/>
          <w14:textFill>
            <w14:solidFill>
              <w14:schemeClr w14:val="tx1"/>
            </w14:solidFill>
          </w14:textFill>
        </w:rPr>
        <w:t>畜禽养殖禁养区</w:t>
      </w:r>
      <w:r>
        <w:rPr>
          <w:rFonts w:hint="eastAsia"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14:textFill>
            <w14:solidFill>
              <w14:schemeClr w14:val="tx1"/>
            </w14:solidFill>
          </w14:textFill>
        </w:rPr>
        <w:t>限养区实施方案》中关于禁养区划定：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w:t>
      </w:r>
      <w:r>
        <w:rPr>
          <w:rFonts w:hint="eastAsia" w:ascii="Times New Roman" w:hAnsi="Times New Roman" w:cs="Times New Roman"/>
          <w:color w:val="000000" w:themeColor="text1"/>
          <w14:textFill>
            <w14:solidFill>
              <w14:schemeClr w14:val="tx1"/>
            </w14:solidFill>
          </w14:textFill>
        </w:rPr>
        <w:t>核心区范围内。</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w:t>
      </w:r>
      <w:r>
        <w:rPr>
          <w:rFonts w:hint="eastAsia" w:ascii="Times New Roman" w:hAnsi="Times New Roman" w:cs="Times New Roman"/>
          <w:color w:val="000000" w:themeColor="text1"/>
          <w14:textFill>
            <w14:solidFill>
              <w14:schemeClr w14:val="tx1"/>
            </w14:solidFill>
          </w14:textFill>
        </w:rPr>
        <w:t>饮用水源地保护区。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w:t>
      </w:r>
      <w:r>
        <w:rPr>
          <w:rFonts w:hint="eastAsia" w:ascii="Times New Roman" w:hAnsi="Times New Roman" w:cs="Times New Roman"/>
          <w:color w:val="000000" w:themeColor="text1"/>
          <w14:textFill>
            <w14:solidFill>
              <w14:schemeClr w14:val="tx1"/>
            </w14:solidFill>
          </w14:textFill>
        </w:rPr>
        <w:t>重要地表水体功能区范围内畜禽养殖禁养区。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④风景名胜区、旅游度假区、文物历史遗迹保护区</w:t>
      </w:r>
      <w:r>
        <w:rPr>
          <w:rFonts w:hint="eastAsia" w:ascii="Times New Roman" w:hAnsi="Times New Roman" w:cs="Times New Roman"/>
          <w:color w:val="000000" w:themeColor="text1"/>
          <w14:textFill>
            <w14:solidFill>
              <w14:schemeClr w14:val="tx1"/>
            </w14:solidFill>
          </w14:textFill>
        </w:rPr>
        <w:t>。农业博览园附近外延500m范围内。</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⑤主要交通干线两侧范围。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⑥</w:t>
      </w:r>
      <w:r>
        <w:rPr>
          <w:rFonts w:hint="eastAsia" w:ascii="Times New Roman" w:hAnsi="Times New Roman" w:cs="Times New Roman"/>
          <w:color w:val="000000" w:themeColor="text1"/>
          <w14:textFill>
            <w14:solidFill>
              <w14:schemeClr w14:val="tx1"/>
            </w14:solidFill>
          </w14:textFill>
        </w:rPr>
        <w:t>其他法律、法规、行政规章规定的区域</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对照禁养区的要求，本项目选址不属于禁养区范围。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根据《昌吉</w:t>
      </w:r>
      <w:r>
        <w:rPr>
          <w:rFonts w:hint="eastAsia" w:ascii="Times New Roman" w:hAnsi="Times New Roman" w:cs="Times New Roman"/>
          <w:color w:val="000000" w:themeColor="text1"/>
          <w14:textFill>
            <w14:solidFill>
              <w14:schemeClr w14:val="tx1"/>
            </w14:solidFill>
          </w14:textFill>
        </w:rPr>
        <w:t>国家农业科技园区划分</w:t>
      </w:r>
      <w:r>
        <w:rPr>
          <w:rFonts w:ascii="Times New Roman" w:hAnsi="Times New Roman" w:cs="Times New Roman"/>
          <w:color w:val="000000" w:themeColor="text1"/>
          <w14:textFill>
            <w14:solidFill>
              <w14:schemeClr w14:val="tx1"/>
            </w14:solidFill>
          </w14:textFill>
        </w:rPr>
        <w:t>畜禽养殖禁养区</w:t>
      </w:r>
      <w:r>
        <w:rPr>
          <w:rFonts w:hint="eastAsia"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14:textFill>
            <w14:solidFill>
              <w14:schemeClr w14:val="tx1"/>
            </w14:solidFill>
          </w14:textFill>
        </w:rPr>
        <w:t>限养区实施方案》中关于限养区划定：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w:t>
      </w:r>
      <w:r>
        <w:rPr>
          <w:rFonts w:hint="eastAsia" w:ascii="Times New Roman" w:hAnsi="Times New Roman" w:cs="Times New Roman"/>
          <w:color w:val="000000" w:themeColor="text1"/>
          <w14:textFill>
            <w14:solidFill>
              <w14:schemeClr w14:val="tx1"/>
            </w14:solidFill>
          </w14:textFill>
        </w:rPr>
        <w:t>核心区</w:t>
      </w:r>
      <w:r>
        <w:rPr>
          <w:rFonts w:ascii="Times New Roman" w:hAnsi="Times New Roman" w:cs="Times New Roman"/>
          <w:color w:val="000000" w:themeColor="text1"/>
          <w14:textFill>
            <w14:solidFill>
              <w14:schemeClr w14:val="tx1"/>
            </w14:solidFill>
          </w14:textFill>
        </w:rPr>
        <w:t>上风向1000米范围内的区域，</w:t>
      </w:r>
      <w:r>
        <w:rPr>
          <w:rFonts w:hint="eastAsia" w:ascii="Times New Roman" w:hAnsi="Times New Roman" w:cs="Times New Roman"/>
          <w:color w:val="000000" w:themeColor="text1"/>
          <w14:textFill>
            <w14:solidFill>
              <w14:schemeClr w14:val="tx1"/>
            </w14:solidFill>
          </w14:textFill>
        </w:rPr>
        <w:t>现有规模化</w:t>
      </w:r>
      <w:r>
        <w:rPr>
          <w:rFonts w:ascii="Times New Roman" w:hAnsi="Times New Roman" w:cs="Times New Roman"/>
          <w:color w:val="000000" w:themeColor="text1"/>
          <w14:textFill>
            <w14:solidFill>
              <w14:schemeClr w14:val="tx1"/>
            </w14:solidFill>
          </w14:textFill>
        </w:rPr>
        <w:t>畜禽养殖</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周围的</w:t>
      </w:r>
      <w:r>
        <w:rPr>
          <w:rFonts w:hint="eastAsia" w:ascii="Times New Roman" w:hAnsi="Times New Roman" w:cs="Times New Roman"/>
          <w:color w:val="000000" w:themeColor="text1"/>
          <w14:textFill>
            <w14:solidFill>
              <w14:schemeClr w14:val="tx1"/>
            </w14:solidFill>
          </w14:textFill>
        </w:rPr>
        <w:t>动物防疫</w:t>
      </w:r>
      <w:r>
        <w:rPr>
          <w:rFonts w:ascii="Times New Roman" w:hAnsi="Times New Roman" w:cs="Times New Roman"/>
          <w:color w:val="000000" w:themeColor="text1"/>
          <w14:textFill>
            <w14:solidFill>
              <w14:schemeClr w14:val="tx1"/>
            </w14:solidFill>
          </w14:textFill>
        </w:rPr>
        <w:t>防护距离应控制在</w:t>
      </w:r>
      <w:r>
        <w:rPr>
          <w:rFonts w:hint="eastAsia" w:ascii="Times New Roman" w:hAnsi="Times New Roman" w:cs="Times New Roman"/>
          <w:color w:val="000000" w:themeColor="text1"/>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00米以上。</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园区现代农业精深加工示范区规划区域和现代农业精深加工示范区上风向1000米范围内的区域。</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农场厂部聚集区周边500米范围内的区域。</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在饮用水源保护区、自然保护区、旅游景区和文物历史遗迹保护区等区域设定的禁养区外延500米范围内。</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⑤</w:t>
      </w:r>
      <w:r>
        <w:rPr>
          <w:rFonts w:ascii="Times New Roman" w:hAnsi="Times New Roman" w:cs="Times New Roman"/>
          <w:color w:val="000000" w:themeColor="text1"/>
          <w14:textFill>
            <w14:solidFill>
              <w14:schemeClr w14:val="tx1"/>
            </w14:solidFill>
          </w14:textFill>
        </w:rPr>
        <w:t>园区基本农田范围内。</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⑥</w:t>
      </w:r>
      <w:r>
        <w:rPr>
          <w:rFonts w:ascii="Times New Roman" w:hAnsi="Times New Roman" w:cs="Times New Roman"/>
          <w:color w:val="000000" w:themeColor="text1"/>
          <w14:textFill>
            <w14:solidFill>
              <w14:schemeClr w14:val="tx1"/>
            </w14:solidFill>
          </w14:textFill>
        </w:rPr>
        <w:t>园区公益林范围内。</w:t>
      </w:r>
    </w:p>
    <w:p>
      <w:pPr>
        <w:spacing w:line="520" w:lineRule="exact"/>
        <w:ind w:firstLine="456"/>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pacing w:val="-6"/>
          <w14:textFill>
            <w14:solidFill>
              <w14:schemeClr w14:val="tx1"/>
            </w14:solidFill>
          </w14:textFill>
        </w:rPr>
        <w:t>⑦</w:t>
      </w:r>
      <w:r>
        <w:rPr>
          <w:rFonts w:ascii="Times New Roman" w:hAnsi="Times New Roman" w:cs="Times New Roman"/>
          <w:color w:val="000000" w:themeColor="text1"/>
          <w:spacing w:val="-6"/>
          <w14:textFill>
            <w14:solidFill>
              <w14:schemeClr w14:val="tx1"/>
            </w14:solidFill>
          </w14:textFill>
        </w:rPr>
        <w:t>根据园区发展规划和区域污染物排放总量控制要求，应当限制养殖的区域。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对照限养区的要求，本项目选址不属于</w:t>
      </w:r>
      <w:r>
        <w:rPr>
          <w:rFonts w:hint="eastAsia" w:ascii="Times New Roman" w:hAnsi="Times New Roman" w:cs="Times New Roman"/>
          <w:color w:val="000000" w:themeColor="text1"/>
          <w14:textFill>
            <w14:solidFill>
              <w14:schemeClr w14:val="tx1"/>
            </w14:solidFill>
          </w14:textFill>
        </w:rPr>
        <w:t>限养</w:t>
      </w:r>
      <w:r>
        <w:rPr>
          <w:rFonts w:ascii="Times New Roman" w:hAnsi="Times New Roman" w:cs="Times New Roman"/>
          <w:color w:val="000000" w:themeColor="text1"/>
          <w14:textFill>
            <w14:solidFill>
              <w14:schemeClr w14:val="tx1"/>
            </w14:solidFill>
          </w14:textFill>
        </w:rPr>
        <w:t>区范围。</w:t>
      </w:r>
    </w:p>
    <w:p>
      <w:pPr>
        <w:pStyle w:val="6"/>
        <w:rPr>
          <w:rFonts w:ascii="Times New Roman" w:hAnsi="Times New Roman" w:cs="Times New Roman"/>
          <w:color w:val="000000" w:themeColor="text1"/>
          <w14:textFill>
            <w14:solidFill>
              <w14:schemeClr w14:val="tx1"/>
            </w14:solidFill>
          </w14:textFill>
        </w:rPr>
      </w:pPr>
      <w:bookmarkStart w:id="437" w:name="_Toc17548"/>
      <w:bookmarkStart w:id="438" w:name="_Toc5723"/>
      <w:bookmarkStart w:id="439" w:name="_Toc26220"/>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7.3</w:t>
      </w:r>
      <w:r>
        <w:rPr>
          <w:rFonts w:ascii="Times New Roman" w:hAnsi="Times New Roman" w:cs="Times New Roman"/>
          <w:color w:val="000000" w:themeColor="text1"/>
          <w14:textFill>
            <w14:solidFill>
              <w14:schemeClr w14:val="tx1"/>
            </w14:solidFill>
          </w14:textFill>
        </w:rPr>
        <w:t xml:space="preserve"> 项目选址可行性</w:t>
      </w:r>
      <w:bookmarkEnd w:id="437"/>
      <w:r>
        <w:rPr>
          <w:rFonts w:ascii="Times New Roman" w:hAnsi="Times New Roman" w:cs="Times New Roman"/>
          <w:color w:val="000000" w:themeColor="text1"/>
          <w14:textFill>
            <w14:solidFill>
              <w14:schemeClr w14:val="tx1"/>
            </w14:solidFill>
          </w14:textFill>
        </w:rPr>
        <w:t>分析</w:t>
      </w:r>
      <w:bookmarkEnd w:id="438"/>
      <w:bookmarkEnd w:id="439"/>
    </w:p>
    <w:p>
      <w:pPr>
        <w:pStyle w:val="7"/>
        <w:rPr>
          <w:rFonts w:cs="Times New Roman"/>
          <w:color w:val="000000" w:themeColor="text1"/>
          <w14:textFill>
            <w14:solidFill>
              <w14:schemeClr w14:val="tx1"/>
            </w14:solidFill>
          </w14:textFill>
        </w:rPr>
      </w:pPr>
      <w:bookmarkStart w:id="440" w:name="_Toc3905"/>
      <w:bookmarkStart w:id="441" w:name="_Toc16701"/>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7.3.1</w:t>
      </w:r>
      <w:r>
        <w:rPr>
          <w:rFonts w:cs="Times New Roman"/>
          <w:color w:val="000000" w:themeColor="text1"/>
          <w14:textFill>
            <w14:solidFill>
              <w14:schemeClr w14:val="tx1"/>
            </w14:solidFill>
          </w14:textFill>
        </w:rPr>
        <w:t xml:space="preserve"> 畜禽养殖场选址要求</w:t>
      </w:r>
      <w:bookmarkEnd w:id="440"/>
      <w:bookmarkEnd w:id="44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（1）根据《畜禽养殖业污染防治技术规范》（HJ/T81-2001）的规定，畜禽养殖场场址的选择应符合下列要求：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①禁止在下列区域内建设畜禽养殖场：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a、生活饮用水水源保护区、风景名胜区、自然保护区的核心区及缓冲区；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b、城市和城镇居民区，包括文教科研区、医疗区、商业区、工业区、游览区等人口集中地区；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c、县级人民政府依法划定的禁养区域；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d、国家或地方法律、法规规定需要特殊保护的其它区域。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②新建、改建、扩建的畜禽养殖场选址应避开上述禁建区域，在禁建区域附近建设的，应设在上述禁建区域常年主导风向的下风向或侧风向处，</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与禁建区域边界的最小距离不得小于500m。</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③畜禽粪便储存设施必须远离各类功能地表水体（距离不得小于400m）要求，并应设在养殖场生产及生活管理区的常年主导风向的下风向或侧风向处。</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（2）根据《畜禽养殖业污染治理工程技术规范》（HJ497-2009）的规定，畜禽养殖场场址的选择应符合下列要求：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①畜禽养殖业污染治理工程应与养殖场生产区、居民区等建筑保持一定的卫生防护距离，设置在畜禽养殖场的生产区、生活区主导风向的下风向或侧风向处。</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②畜禽养殖业污染治理工程的位置应有利于排放、资源化利用和运输，并留有扩建的余地，方便施工、运行和维护。</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（3）《新疆维吾尔自治区环境保护条例》（2018年）中规定：森林公园、世界自然和文化遗产地、文物保护单位保护范围及其他历史、文化、自然保护地禁止建设畜禽养殖场。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（4）《动物防疫条件审查办法》（中华人民共和国农业部令2010年第7号，2010年5月1日施行）中规定，动物饲养场、养殖小区选址应当符合下列条件：</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①距离生活饮用水源地、动物屠宰加工场所、动物和动物产品集贸市场500m以上；距离种畜禽场1000m以上；距离动物诊疗场所200m以上；动物饲养场（养殖小区）之间距离不少于500m；</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②距离动物隔离场所、无害化处理场所3000m以上；</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③距离城镇居民区、文化教育科研等人口集中区域及公路、铁路等主要交通干线500m以上；</w:t>
      </w:r>
    </w:p>
    <w:p>
      <w:pPr>
        <w:pStyle w:val="7"/>
        <w:rPr>
          <w:rFonts w:cs="Times New Roman"/>
          <w:color w:val="000000" w:themeColor="text1"/>
          <w14:textFill>
            <w14:solidFill>
              <w14:schemeClr w14:val="tx1"/>
            </w14:solidFill>
          </w14:textFill>
        </w:rPr>
      </w:pPr>
      <w:bookmarkStart w:id="442" w:name="_Toc29636"/>
      <w:bookmarkStart w:id="443" w:name="_Toc15364"/>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7.3</w:t>
      </w:r>
      <w:r>
        <w:rPr>
          <w:rFonts w:cs="Times New Roman"/>
          <w:color w:val="000000" w:themeColor="text1"/>
          <w14:textFill>
            <w14:solidFill>
              <w14:schemeClr w14:val="tx1"/>
            </w14:solidFill>
          </w14:textFill>
        </w:rPr>
        <w:t>.2 本项目选址的基本情况</w:t>
      </w:r>
      <w:bookmarkEnd w:id="442"/>
      <w:bookmarkEnd w:id="44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本项目位于昌吉农业园区牛圈子湖示范一区，项目区东、西侧均为空地，项目区南</w:t>
      </w:r>
      <w:r>
        <w:rPr>
          <w:rFonts w:hint="eastAsia" w:ascii="Times New Roman" w:hAnsi="Times New Roman" w:cs="Times New Roman"/>
          <w:color w:val="000000" w:themeColor="text1"/>
          <w:lang w:val="en-US" w:eastAsia="zh-CN"/>
          <w14:textFill>
            <w14:solidFill>
              <w14:schemeClr w14:val="tx1"/>
            </w14:solidFill>
          </w14:textFill>
        </w:rPr>
        <w:t>侧</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西</w:t>
      </w:r>
      <w:r>
        <w:rPr>
          <w:rFonts w:ascii="Times New Roman" w:hAnsi="Times New Roman" w:cs="Times New Roman"/>
          <w:color w:val="000000" w:themeColor="text1"/>
          <w14:textFill>
            <w14:solidFill>
              <w14:schemeClr w14:val="tx1"/>
            </w14:solidFill>
          </w14:textFill>
        </w:rPr>
        <w:t>侧均为农田，本项目用地范围内不涉及自然保护区、风景名胜区、文物古迹、水源保护区等需要特殊保护的环境敏感区域。</w:t>
      </w:r>
    </w:p>
    <w:p>
      <w:pPr>
        <w:pStyle w:val="7"/>
        <w:rPr>
          <w:rFonts w:cs="Times New Roman"/>
          <w:color w:val="000000" w:themeColor="text1"/>
          <w14:textFill>
            <w14:solidFill>
              <w14:schemeClr w14:val="tx1"/>
            </w14:solidFill>
          </w14:textFill>
        </w:rPr>
      </w:pPr>
      <w:bookmarkStart w:id="444" w:name="_Toc8418"/>
      <w:bookmarkStart w:id="445" w:name="_Toc5975"/>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7.3</w:t>
      </w:r>
      <w:r>
        <w:rPr>
          <w:rFonts w:cs="Times New Roman"/>
          <w:color w:val="000000" w:themeColor="text1"/>
          <w14:textFill>
            <w14:solidFill>
              <w14:schemeClr w14:val="tx1"/>
            </w14:solidFill>
          </w14:textFill>
        </w:rPr>
        <w:t>.3 选址合理性分析</w:t>
      </w:r>
      <w:bookmarkEnd w:id="444"/>
      <w:bookmarkEnd w:id="445"/>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首先，从上述相关规范、条例、《动物防疫条件审查办法》等角度分析，对照畜禽养殖场选址的基本要求，评价本项目选址的合理性进行分析。</w:t>
      </w:r>
    </w:p>
    <w:p>
      <w:pPr>
        <w:numPr>
          <w:ilvl w:val="0"/>
          <w:numId w:val="3"/>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本项目位于昌吉农业园区牛圈子湖示范一区，项目区周边500m范围内无村庄、居住区、公共场所、交通干线等，满足《畜禽养殖业污染防治技术规范》（HJ/T81-2001）要求的距离。</w:t>
      </w:r>
    </w:p>
    <w:p>
      <w:pPr>
        <w:numPr>
          <w:ilvl w:val="0"/>
          <w:numId w:val="3"/>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场址用地不属于林地、不属于草地，属于设施农用地。</w:t>
      </w:r>
    </w:p>
    <w:p>
      <w:pPr>
        <w:numPr>
          <w:ilvl w:val="0"/>
          <w:numId w:val="3"/>
        </w:num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项目选址也不属于国家或地方法律、法规规定需要特殊保护的其它区域。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（4）项目区南</w:t>
      </w:r>
      <w:r>
        <w:rPr>
          <w:rFonts w:hint="eastAsia" w:ascii="Times New Roman" w:hAnsi="Times New Roman" w:cs="Times New Roman"/>
          <w:color w:val="000000" w:themeColor="text1"/>
          <w:lang w:val="en-US" w:eastAsia="zh-CN"/>
          <w14:textFill>
            <w14:solidFill>
              <w14:schemeClr w14:val="tx1"/>
            </w14:solidFill>
          </w14:textFill>
        </w:rPr>
        <w:t>侧</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西</w:t>
      </w:r>
      <w:r>
        <w:rPr>
          <w:rFonts w:ascii="Times New Roman" w:hAnsi="Times New Roman" w:cs="Times New Roman"/>
          <w:color w:val="000000" w:themeColor="text1"/>
          <w14:textFill>
            <w14:solidFill>
              <w14:schemeClr w14:val="tx1"/>
            </w14:solidFill>
          </w14:textFill>
        </w:rPr>
        <w:t>侧均有农田，有利于实现无害化的粪尿及冲洗水的自身消纳，不对外环境增加污染负荷。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（5）根据《昌吉</w:t>
      </w:r>
      <w:r>
        <w:rPr>
          <w:rFonts w:hint="eastAsia" w:ascii="Times New Roman" w:hAnsi="Times New Roman" w:cs="Times New Roman"/>
          <w:color w:val="000000" w:themeColor="text1"/>
          <w14:textFill>
            <w14:solidFill>
              <w14:schemeClr w14:val="tx1"/>
            </w14:solidFill>
          </w14:textFill>
        </w:rPr>
        <w:t>国家农业科技园区划分</w:t>
      </w:r>
      <w:r>
        <w:rPr>
          <w:rFonts w:ascii="Times New Roman" w:hAnsi="Times New Roman" w:cs="Times New Roman"/>
          <w:color w:val="000000" w:themeColor="text1"/>
          <w14:textFill>
            <w14:solidFill>
              <w14:schemeClr w14:val="tx1"/>
            </w14:solidFill>
          </w14:textFill>
        </w:rPr>
        <w:t>畜禽养殖禁养区</w:t>
      </w:r>
      <w:r>
        <w:rPr>
          <w:rFonts w:hint="eastAsia"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14:textFill>
            <w14:solidFill>
              <w14:schemeClr w14:val="tx1"/>
            </w14:solidFill>
          </w14:textFill>
        </w:rPr>
        <w:t>限养区实施方案》，本项目不在</w:t>
      </w:r>
      <w:r>
        <w:rPr>
          <w:rFonts w:hint="eastAsia" w:ascii="Times New Roman" w:hAnsi="Times New Roman" w:cs="Times New Roman"/>
          <w:color w:val="000000" w:themeColor="text1"/>
          <w14:textFill>
            <w14:solidFill>
              <w14:schemeClr w14:val="tx1"/>
            </w14:solidFill>
          </w14:textFill>
        </w:rPr>
        <w:t>昌吉国家农业科技园区</w:t>
      </w:r>
      <w:r>
        <w:rPr>
          <w:rFonts w:ascii="Times New Roman" w:hAnsi="Times New Roman" w:cs="Times New Roman"/>
          <w:color w:val="000000" w:themeColor="text1"/>
          <w14:textFill>
            <w14:solidFill>
              <w14:schemeClr w14:val="tx1"/>
            </w14:solidFill>
          </w14:textFill>
        </w:rPr>
        <w:t>畜禽养殖禁养区和限养区范围内。</w:t>
      </w:r>
    </w:p>
    <w:p>
      <w:pPr>
        <w:pStyle w:val="6"/>
        <w:rPr>
          <w:rFonts w:ascii="Times New Roman" w:hAnsi="Times New Roman" w:cs="Times New Roman"/>
          <w:color w:val="000000" w:themeColor="text1"/>
          <w14:textFill>
            <w14:solidFill>
              <w14:schemeClr w14:val="tx1"/>
            </w14:solidFill>
          </w14:textFill>
        </w:rPr>
      </w:pPr>
      <w:bookmarkStart w:id="446" w:name="_Toc19976"/>
      <w:bookmarkStart w:id="447" w:name="_Toc24582"/>
      <w:bookmarkStart w:id="448" w:name="_Toc15638"/>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7.4</w:t>
      </w:r>
      <w:r>
        <w:rPr>
          <w:rFonts w:ascii="Times New Roman" w:hAnsi="Times New Roman" w:cs="Times New Roman"/>
          <w:color w:val="000000" w:themeColor="text1"/>
          <w14:textFill>
            <w14:solidFill>
              <w14:schemeClr w14:val="tx1"/>
            </w14:solidFill>
          </w14:textFill>
        </w:rPr>
        <w:t xml:space="preserve"> 平面布置合理性分析</w:t>
      </w:r>
      <w:bookmarkEnd w:id="446"/>
      <w:bookmarkEnd w:id="447"/>
      <w:bookmarkEnd w:id="44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项目总平面布置，项目场区按生产工艺分区布置，总体上做到了生产与办公生活分开、清洁区与污物区分开、粪污处理区与养殖、办公生活区分开。体现了功能分区的原则，建设设施按使用功能要求，办公生活区位于猪舍侧风向，尽量减轻办公生活受生产区恶臭的影响，也减少了生产过程对职工生活的干扰。粪污区设置在生活管理区侧风向，且粪污区位置距离周围村庄较远，可以有效地避免粪污场恶臭气体等对村庄等保护目标造成不利影响。符合《畜禽养殖业污染防治技术规范》（HJ/T81-2001）的要求。场内通道即为饲料通道，又是人流通道，且道路之间没有交叉，不易形成交叉污染。满足生产工艺需要和卫生防疫要求。因此，拟建项目场区总平面布置基本合理</w:t>
      </w:r>
      <w:r>
        <w:rPr>
          <w:rFonts w:hint="eastAsia" w:ascii="Times New Roman" w:hAnsi="Times New Roman" w:cs="Times New Roman"/>
          <w:color w:val="000000" w:themeColor="text1"/>
          <w14:textFill>
            <w14:solidFill>
              <w14:schemeClr w14:val="tx1"/>
            </w14:solidFill>
          </w14:textFill>
        </w:rPr>
        <w:t>、可行</w:t>
      </w:r>
      <w:r>
        <w:rPr>
          <w:rFonts w:ascii="Times New Roman" w:hAnsi="Times New Roman" w:cs="Times New Roman"/>
          <w:color w:val="000000" w:themeColor="text1"/>
          <w14:textFill>
            <w14:solidFill>
              <w14:schemeClr w14:val="tx1"/>
            </w14:solidFill>
          </w14:textFill>
        </w:rPr>
        <w:t>。</w:t>
      </w:r>
    </w:p>
    <w:p>
      <w:pPr>
        <w:pStyle w:val="5"/>
        <w:keepLines w:val="0"/>
        <w:jc w:val="left"/>
        <w:rPr>
          <w:rFonts w:ascii="Times New Roman" w:hAnsi="Times New Roman" w:cs="Times New Roman"/>
          <w:color w:val="000000" w:themeColor="text1"/>
          <w:kern w:val="0"/>
          <w:szCs w:val="30"/>
          <w14:textFill>
            <w14:solidFill>
              <w14:schemeClr w14:val="tx1"/>
            </w14:solidFill>
          </w14:textFill>
        </w:rPr>
      </w:pPr>
      <w:bookmarkStart w:id="449" w:name="_Toc1315"/>
      <w:bookmarkStart w:id="450" w:name="_Toc17407"/>
      <w:bookmarkStart w:id="451" w:name="_Toc7112"/>
      <w:bookmarkStart w:id="452" w:name="_Toc25812"/>
      <w:r>
        <w:rPr>
          <w:rFonts w:ascii="Times New Roman" w:hAnsi="Times New Roman" w:cs="Times New Roman"/>
          <w:color w:val="000000" w:themeColor="text1"/>
          <w:kern w:val="0"/>
          <w:szCs w:val="30"/>
          <w14:textFill>
            <w14:solidFill>
              <w14:schemeClr w14:val="tx1"/>
            </w14:solidFill>
          </w14:textFill>
        </w:rPr>
        <w:t>3.</w:t>
      </w:r>
      <w:r>
        <w:rPr>
          <w:rFonts w:hint="eastAsia" w:ascii="Times New Roman" w:hAnsi="Times New Roman" w:cs="Times New Roman"/>
          <w:color w:val="000000" w:themeColor="text1"/>
          <w:kern w:val="0"/>
          <w:szCs w:val="30"/>
          <w14:textFill>
            <w14:solidFill>
              <w14:schemeClr w14:val="tx1"/>
            </w14:solidFill>
          </w14:textFill>
        </w:rPr>
        <w:t>8</w:t>
      </w:r>
      <w:r>
        <w:rPr>
          <w:rFonts w:ascii="Times New Roman" w:hAnsi="Times New Roman" w:cs="Times New Roman"/>
          <w:color w:val="000000" w:themeColor="text1"/>
          <w:kern w:val="0"/>
          <w:szCs w:val="30"/>
          <w14:textFill>
            <w14:solidFill>
              <w14:schemeClr w14:val="tx1"/>
            </w14:solidFill>
          </w14:textFill>
        </w:rPr>
        <w:t xml:space="preserve"> 总量控制</w:t>
      </w:r>
      <w:bookmarkEnd w:id="449"/>
      <w:bookmarkEnd w:id="450"/>
      <w:bookmarkEnd w:id="451"/>
      <w:bookmarkEnd w:id="45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实施污染物总量控制是考核各级政府和企业环境保护目标责任制的重要指标，也是改善环境质量的具体措施之一。目前，国家实施污染物总量控制的基本原则是：由各级政府层层分解、下达区域控制指标，各级政府根据辖区内企业发展方向和污染防治规划情况，给企业分解、下达具体控制指标。对确实需要增加排污总量的新建项目，可经企业申请，由当地政府根据环境容量条件，从区域控制指标调剂解决。</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根据《国务院关于印发“十三五”节能减排综合工作方案的通知》（国发〔2016〕74号）确定实施总量控制的5项污染物为COD、氨氮、SO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、NOx、颗粒物（烟粉尘）、挥发性有机物。</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本项目养殖废水和生活污水全部进入自建污水处理站处理达标后回用于</w:t>
      </w:r>
      <w:r>
        <w:rPr>
          <w:rFonts w:hint="eastAsia" w:ascii="Times New Roman" w:hAnsi="Times New Roman" w:cs="Times New Roman"/>
          <w:color w:val="000000" w:themeColor="text1"/>
          <w14:textFill>
            <w14:solidFill>
              <w14:schemeClr w14:val="tx1"/>
            </w14:solidFill>
          </w14:textFill>
        </w:rPr>
        <w:t>周边农田</w:t>
      </w:r>
      <w:r>
        <w:rPr>
          <w:rFonts w:ascii="Times New Roman" w:hAnsi="Times New Roman" w:cs="Times New Roman"/>
          <w:color w:val="000000" w:themeColor="text1"/>
          <w14:textFill>
            <w14:solidFill>
              <w14:schemeClr w14:val="tx1"/>
            </w14:solidFill>
          </w14:textFill>
        </w:rPr>
        <w:t>灌溉，不外排，因此不需要COD和氨氮总量控制指标。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本项目不涉及挥发性有机物。本项目生猪养殖及职工生活均采用电能，无燃煤、燃气等设施，不会产生SO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、NOx、颗粒物（烟粉尘），因此不需要SO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、NOx、颗粒物（烟粉尘）总量控制指标。</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综上所述，</w:t>
      </w:r>
      <w:r>
        <w:rPr>
          <w:rFonts w:ascii="Times New Roman" w:hAnsi="Times New Roman" w:cs="Times New Roman"/>
          <w:color w:val="000000" w:themeColor="text1"/>
          <w14:textFill>
            <w14:solidFill>
              <w14:schemeClr w14:val="tx1"/>
            </w14:solidFill>
          </w14:textFill>
        </w:rPr>
        <w:t>本项目不需要总量控制指标。</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sectPr>
          <w:pgSz w:w="11906" w:h="16838"/>
          <w:pgMar w:top="1440" w:right="1800" w:bottom="1440" w:left="1800" w:header="992" w:footer="992" w:gutter="0"/>
          <w:cols w:space="425" w:num="1"/>
          <w:docGrid w:type="lines" w:linePitch="312" w:charSpace="0"/>
        </w:sectPr>
      </w:pPr>
    </w:p>
    <w:p>
      <w:pPr>
        <w:pStyle w:val="4"/>
        <w:jc w:val="center"/>
        <w:rPr>
          <w:rFonts w:ascii="Times New Roman" w:hAnsi="Times New Roman" w:cs="Times New Roman"/>
          <w:color w:val="000000" w:themeColor="text1"/>
          <w14:textFill>
            <w14:solidFill>
              <w14:schemeClr w14:val="tx1"/>
            </w14:solidFill>
          </w14:textFill>
        </w:rPr>
      </w:pPr>
      <w:bookmarkStart w:id="453" w:name="_Toc501940723"/>
      <w:bookmarkStart w:id="454" w:name="_Toc6634"/>
      <w:bookmarkStart w:id="455" w:name="_Toc504733732"/>
      <w:bookmarkStart w:id="456" w:name="_Toc14754"/>
      <w:bookmarkStart w:id="457" w:name="_Toc25624"/>
      <w:bookmarkStart w:id="458" w:name="_Toc14583"/>
      <w:bookmarkStart w:id="459" w:name="_Toc31296_WPSOffice_Level1"/>
      <w:bookmarkStart w:id="460" w:name="_Toc1360"/>
      <w:r>
        <w:rPr>
          <w:rFonts w:ascii="Times New Roman" w:hAnsi="Times New Roman" w:cs="Times New Roman"/>
          <w:color w:val="000000" w:themeColor="text1"/>
          <w14:textFill>
            <w14:solidFill>
              <w14:schemeClr w14:val="tx1"/>
            </w14:solidFill>
          </w14:textFill>
        </w:rPr>
        <w:t>4 环境现状调查与评价</w:t>
      </w:r>
      <w:bookmarkEnd w:id="453"/>
      <w:bookmarkEnd w:id="454"/>
      <w:bookmarkEnd w:id="455"/>
      <w:bookmarkEnd w:id="456"/>
      <w:bookmarkEnd w:id="457"/>
      <w:bookmarkEnd w:id="458"/>
      <w:bookmarkEnd w:id="459"/>
      <w:bookmarkEnd w:id="460"/>
    </w:p>
    <w:p>
      <w:pPr>
        <w:pStyle w:val="5"/>
        <w:rPr>
          <w:rFonts w:ascii="Times New Roman" w:hAnsi="Times New Roman" w:cs="Times New Roman"/>
          <w:color w:val="000000" w:themeColor="text1"/>
          <w14:textFill>
            <w14:solidFill>
              <w14:schemeClr w14:val="tx1"/>
            </w14:solidFill>
          </w14:textFill>
        </w:rPr>
      </w:pPr>
      <w:bookmarkStart w:id="461" w:name="_Toc1554"/>
      <w:bookmarkStart w:id="462" w:name="_Toc504733733"/>
      <w:bookmarkStart w:id="463" w:name="_Toc4169"/>
      <w:bookmarkStart w:id="464" w:name="_Toc13907_WPSOffice_Level2"/>
      <w:bookmarkStart w:id="465" w:name="_Toc501940724"/>
      <w:bookmarkStart w:id="466" w:name="_Toc11031"/>
      <w:bookmarkStart w:id="467" w:name="_Toc30390"/>
      <w:bookmarkStart w:id="468" w:name="_Toc1424"/>
      <w:bookmarkStart w:id="469" w:name="_Toc483293646"/>
      <w:r>
        <w:rPr>
          <w:rFonts w:ascii="Times New Roman" w:hAnsi="Times New Roman" w:cs="Times New Roman"/>
          <w:color w:val="000000" w:themeColor="text1"/>
          <w14:textFill>
            <w14:solidFill>
              <w14:schemeClr w14:val="tx1"/>
            </w14:solidFill>
          </w14:textFill>
        </w:rPr>
        <w:t>4.1 自然环境现状调查</w:t>
      </w:r>
      <w:bookmarkEnd w:id="461"/>
      <w:bookmarkEnd w:id="462"/>
      <w:bookmarkEnd w:id="463"/>
      <w:bookmarkEnd w:id="464"/>
      <w:bookmarkEnd w:id="465"/>
      <w:bookmarkEnd w:id="466"/>
      <w:bookmarkEnd w:id="467"/>
      <w:bookmarkEnd w:id="468"/>
      <w:bookmarkEnd w:id="469"/>
    </w:p>
    <w:p>
      <w:pPr>
        <w:pStyle w:val="6"/>
        <w:rPr>
          <w:rFonts w:ascii="Times New Roman" w:hAnsi="Times New Roman" w:cs="Times New Roman"/>
          <w:color w:val="000000" w:themeColor="text1"/>
          <w14:textFill>
            <w14:solidFill>
              <w14:schemeClr w14:val="tx1"/>
            </w14:solidFill>
          </w14:textFill>
        </w:rPr>
      </w:pPr>
      <w:bookmarkStart w:id="470" w:name="_Toc501940725"/>
      <w:bookmarkStart w:id="471" w:name="_Toc28132"/>
      <w:bookmarkStart w:id="472" w:name="_Toc504733734"/>
      <w:bookmarkStart w:id="473" w:name="_Toc16522"/>
      <w:bookmarkStart w:id="474" w:name="_Toc14278"/>
      <w:bookmarkStart w:id="475" w:name="_Toc483293647"/>
      <w:r>
        <w:rPr>
          <w:rFonts w:ascii="Times New Roman" w:hAnsi="Times New Roman" w:cs="Times New Roman"/>
          <w:color w:val="000000" w:themeColor="text1"/>
          <w14:textFill>
            <w14:solidFill>
              <w14:schemeClr w14:val="tx1"/>
            </w14:solidFill>
          </w14:textFill>
        </w:rPr>
        <w:t>4.1.1 地理位置</w:t>
      </w:r>
      <w:bookmarkEnd w:id="470"/>
      <w:bookmarkEnd w:id="471"/>
      <w:bookmarkEnd w:id="472"/>
      <w:bookmarkEnd w:id="473"/>
      <w:bookmarkEnd w:id="474"/>
      <w:bookmarkEnd w:id="475"/>
    </w:p>
    <w:p>
      <w:pPr>
        <w:tabs>
          <w:tab w:val="right" w:leader="dot" w:pos="8280"/>
        </w:tabs>
        <w:spacing w:line="520" w:lineRule="exact"/>
        <w:rPr>
          <w:rFonts w:ascii="Times New Roman" w:hAnsi="Times New Roman" w:cs="Times New Roman"/>
          <w:color w:val="000000" w:themeColor="text1"/>
          <w:szCs w:val="26"/>
          <w14:textFill>
            <w14:solidFill>
              <w14:schemeClr w14:val="tx1"/>
            </w14:solidFill>
          </w14:textFill>
        </w:rPr>
      </w:pPr>
      <w:r>
        <w:rPr>
          <w:rFonts w:ascii="Times New Roman" w:hAnsi="Times New Roman" w:cs="Times New Roman"/>
          <w:color w:val="000000" w:themeColor="text1"/>
          <w:szCs w:val="26"/>
          <w14:textFill>
            <w14:solidFill>
              <w14:schemeClr w14:val="tx1"/>
            </w14:solidFill>
          </w14:textFill>
        </w:rPr>
        <w:t>农业科技园位于天山北部昌吉回族自治州昌吉市中部平原区，地处乌鲁木齐都市圈的核心地区，是乌昌都市区的重要组成部分，东距乌鲁木齐国际机场18公里，距乌鲁木齐市28公里，312国道、第二座欧亚大陆桥、乌奎高速公路和三北高速穿境而过，交通便捷。</w:t>
      </w:r>
    </w:p>
    <w:p>
      <w:pPr>
        <w:tabs>
          <w:tab w:val="right" w:leader="dot" w:pos="8280"/>
        </w:tabs>
        <w:spacing w:line="520" w:lineRule="exact"/>
        <w:rPr>
          <w:rFonts w:ascii="Times New Roman" w:hAnsi="Times New Roman" w:cs="Times New Roman"/>
          <w:color w:val="000000" w:themeColor="text1"/>
          <w:szCs w:val="26"/>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14:textFill>
            <w14:solidFill>
              <w14:schemeClr w14:val="tx1"/>
            </w14:solidFill>
          </w14:textFill>
        </w:rPr>
        <w:t>位于昌吉农业园区牛圈子湖示范一区，项目区</w:t>
      </w:r>
      <w:r>
        <w:rPr>
          <w:rFonts w:hint="eastAsia" w:ascii="Times New Roman" w:hAnsi="Times New Roman" w:cs="Times New Roman"/>
          <w:color w:val="000000" w:themeColor="text1"/>
          <w14:textFill>
            <w14:solidFill>
              <w14:schemeClr w14:val="tx1"/>
            </w14:solidFill>
          </w14:textFill>
        </w:rPr>
        <w:t>北</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东</w:t>
      </w:r>
      <w:r>
        <w:rPr>
          <w:rFonts w:ascii="Times New Roman" w:hAnsi="Times New Roman" w:cs="Times New Roman"/>
          <w:color w:val="000000" w:themeColor="text1"/>
          <w14:textFill>
            <w14:solidFill>
              <w14:schemeClr w14:val="tx1"/>
            </w14:solidFill>
          </w14:textFill>
        </w:rPr>
        <w:t>侧均为空地，项目区南、</w:t>
      </w:r>
      <w:r>
        <w:rPr>
          <w:rFonts w:hint="eastAsia" w:ascii="Times New Roman" w:hAnsi="Times New Roman" w:cs="Times New Roman"/>
          <w:color w:val="000000" w:themeColor="text1"/>
          <w14:textFill>
            <w14:solidFill>
              <w14:schemeClr w14:val="tx1"/>
            </w14:solidFill>
          </w14:textFill>
        </w:rPr>
        <w:t>西</w:t>
      </w:r>
      <w:r>
        <w:rPr>
          <w:rFonts w:ascii="Times New Roman" w:hAnsi="Times New Roman" w:cs="Times New Roman"/>
          <w:color w:val="000000" w:themeColor="text1"/>
          <w14:textFill>
            <w14:solidFill>
              <w14:schemeClr w14:val="tx1"/>
            </w14:solidFill>
          </w14:textFill>
        </w:rPr>
        <w:t>侧均为农田，中心坐标：东经87°8′28.70″，北纬44°19′5.85″。</w:t>
      </w:r>
    </w:p>
    <w:p>
      <w:pPr>
        <w:pStyle w:val="6"/>
        <w:rPr>
          <w:rFonts w:ascii="Times New Roman" w:hAnsi="Times New Roman" w:cs="Times New Roman"/>
          <w:color w:val="000000" w:themeColor="text1"/>
          <w14:textFill>
            <w14:solidFill>
              <w14:schemeClr w14:val="tx1"/>
            </w14:solidFill>
          </w14:textFill>
        </w:rPr>
      </w:pPr>
      <w:bookmarkStart w:id="476" w:name="_Toc5921"/>
      <w:bookmarkStart w:id="477" w:name="_Toc501940726"/>
      <w:bookmarkStart w:id="478" w:name="_Toc483293648"/>
      <w:bookmarkStart w:id="479" w:name="_Toc504733735"/>
      <w:bookmarkStart w:id="480" w:name="_Toc30596"/>
      <w:bookmarkStart w:id="481" w:name="_Toc28447"/>
      <w:r>
        <w:rPr>
          <w:rFonts w:ascii="Times New Roman" w:hAnsi="Times New Roman" w:cs="Times New Roman"/>
          <w:color w:val="000000" w:themeColor="text1"/>
          <w14:textFill>
            <w14:solidFill>
              <w14:schemeClr w14:val="tx1"/>
            </w14:solidFill>
          </w14:textFill>
        </w:rPr>
        <w:t>4.1.2 地形地貌</w:t>
      </w:r>
      <w:bookmarkEnd w:id="476"/>
      <w:bookmarkEnd w:id="477"/>
      <w:bookmarkEnd w:id="478"/>
      <w:bookmarkEnd w:id="479"/>
      <w:bookmarkEnd w:id="480"/>
      <w:bookmarkEnd w:id="481"/>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农业科技园在地貌单元上属于头屯河出山口西侧及三屯河出山口以下的冲洪积倾斜平原及沙漠南缘的细土平原区，属乌鲁木齐坳陷带的中段，在坳陷带内沉积了巨厚的第四纪沉积物，由北向南增厚，沉积物大多未胶结，其结构松散且多孔隙，因而地表水易渗入，为地下水的径流、贮存、补给供了良好的水文地质条件。</w:t>
      </w:r>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海拔高程介于400-500米，总体地势平坦开阔，但微地形发育，地形坡度由15‰的倾斜平原逐渐降至1‰~3‰的细土平原。在示范区内，老龙河古河道、洪沟以及大小不等的地面冲向零散分布，耕地“大平小不平”。在冲积、洪积物上发育形成的荒漠灰钙土为平原地区耕作土，其间有可供发展畜牧业的荒地、盐碱地和沼泽地。</w:t>
      </w:r>
    </w:p>
    <w:p>
      <w:pPr>
        <w:pStyle w:val="6"/>
        <w:rPr>
          <w:rFonts w:ascii="Times New Roman" w:hAnsi="Times New Roman" w:cs="Times New Roman"/>
          <w:color w:val="000000" w:themeColor="text1"/>
          <w14:textFill>
            <w14:solidFill>
              <w14:schemeClr w14:val="tx1"/>
            </w14:solidFill>
          </w14:textFill>
        </w:rPr>
      </w:pPr>
      <w:bookmarkStart w:id="482" w:name="_Toc504733736"/>
      <w:bookmarkStart w:id="483" w:name="_Toc483293649"/>
      <w:bookmarkStart w:id="484" w:name="_Toc501940727"/>
      <w:bookmarkStart w:id="485" w:name="_Toc19414"/>
      <w:bookmarkStart w:id="486" w:name="_Toc1405"/>
      <w:bookmarkStart w:id="487" w:name="_Toc12059"/>
      <w:r>
        <w:rPr>
          <w:rFonts w:ascii="Times New Roman" w:hAnsi="Times New Roman" w:cs="Times New Roman"/>
          <w:color w:val="000000" w:themeColor="text1"/>
          <w14:textFill>
            <w14:solidFill>
              <w14:schemeClr w14:val="tx1"/>
            </w14:solidFill>
          </w14:textFill>
        </w:rPr>
        <w:t>4.1.3 地质</w:t>
      </w:r>
      <w:bookmarkEnd w:id="482"/>
      <w:bookmarkEnd w:id="483"/>
      <w:bookmarkEnd w:id="484"/>
      <w:bookmarkEnd w:id="485"/>
      <w:r>
        <w:rPr>
          <w:rFonts w:ascii="Times New Roman" w:hAnsi="Times New Roman" w:cs="Times New Roman"/>
          <w:color w:val="000000" w:themeColor="text1"/>
          <w14:textFill>
            <w14:solidFill>
              <w14:schemeClr w14:val="tx1"/>
            </w14:solidFill>
          </w14:textFill>
        </w:rPr>
        <w:t>条件</w:t>
      </w:r>
      <w:bookmarkEnd w:id="486"/>
      <w:bookmarkEnd w:id="48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（1）地层岩性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出露地层主要有第四系上更新统（Q3）—全新统（Q4）地层。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①第四系上更新统风积层（Q3COL）：主要分布于园区西部，由黄土台地、黄土梁组成，岩性为黄土，厚度较大。该黄土为非湿陷性黄土。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②第四系全新统冲洪积层（Q4al+pl）：在园区大面积分布，岩性为低液限粉土、低液限粘土、高液限粘土、局部夹淤泥质粘土、砂卵砾石、含土砂卵砾石和中细砂，厚度几米～数十米。</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③第四系全新统冲积层（Q4al）：主要分布于河流现代河床内，厚度不大，岩性为砂卵砾石、含土砂卵石和中细砂。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（2）地质构造与地震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农业园区位于准噶尔—北天山褶皱系（Ⅱ）中的乌鲁木齐山前坳陷区（Ⅱ36）和准噶尔坳陷中央坳陷区构造单元内。乌鲁不齐山前坳陷区（Ⅱ36）在区域上属于乌鲁木齐中新生代坳陷即博格达弧形推覆构造带的前缘，主要发育新生代T、J、K及N、E和第四系（Q）地层，中生代和新老第三系地层组成宽缓的背向斜构造。由中新生代地层组成，从南到北基本上由2～3个高陡倾角或向北倒转的背向斜和几条与其平等的逆冲断裂组成。根据中华人民共和国国家标准（GB18360-2001）1:400万《中国地震动峰值加速度区划图》，50年超越概率10%的地震动峰值加速度值为0.1g，相应地震基本烈度Ⅶ度。</w:t>
      </w:r>
    </w:p>
    <w:p>
      <w:pPr>
        <w:pStyle w:val="6"/>
        <w:rPr>
          <w:rFonts w:ascii="Times New Roman" w:hAnsi="Times New Roman" w:cs="Times New Roman"/>
          <w:color w:val="000000" w:themeColor="text1"/>
          <w14:textFill>
            <w14:solidFill>
              <w14:schemeClr w14:val="tx1"/>
            </w14:solidFill>
          </w14:textFill>
        </w:rPr>
      </w:pPr>
      <w:bookmarkStart w:id="488" w:name="_Toc17142"/>
      <w:bookmarkStart w:id="489" w:name="_Toc501940728"/>
      <w:bookmarkStart w:id="490" w:name="_Toc483293650"/>
      <w:bookmarkStart w:id="491" w:name="_Toc11255"/>
      <w:bookmarkStart w:id="492" w:name="_Toc504733737"/>
      <w:bookmarkStart w:id="493" w:name="_Toc13564"/>
      <w:r>
        <w:rPr>
          <w:rFonts w:ascii="Times New Roman" w:hAnsi="Times New Roman" w:cs="Times New Roman"/>
          <w:color w:val="000000" w:themeColor="text1"/>
          <w14:textFill>
            <w14:solidFill>
              <w14:schemeClr w14:val="tx1"/>
            </w14:solidFill>
          </w14:textFill>
        </w:rPr>
        <w:t>4.1.4 水文地质</w:t>
      </w:r>
      <w:bookmarkEnd w:id="488"/>
      <w:bookmarkEnd w:id="489"/>
      <w:bookmarkEnd w:id="490"/>
      <w:bookmarkEnd w:id="491"/>
      <w:bookmarkEnd w:id="492"/>
      <w:bookmarkEnd w:id="493"/>
    </w:p>
    <w:p>
      <w:pPr>
        <w:tabs>
          <w:tab w:val="right" w:leader="dot" w:pos="8280"/>
        </w:tabs>
        <w:spacing w:line="520" w:lineRule="exact"/>
        <w:rPr>
          <w:rFonts w:ascii="Times New Roman" w:hAnsi="Times New Roman" w:cs="Times New Roman"/>
          <w:color w:val="000000" w:themeColor="text1"/>
          <w:szCs w:val="26"/>
          <w14:textFill>
            <w14:solidFill>
              <w14:schemeClr w14:val="tx1"/>
            </w14:solidFill>
          </w14:textFill>
        </w:rPr>
      </w:pPr>
      <w:r>
        <w:rPr>
          <w:rFonts w:ascii="Times New Roman" w:hAnsi="Times New Roman" w:cs="Times New Roman"/>
          <w:color w:val="000000" w:themeColor="text1"/>
          <w:szCs w:val="26"/>
          <w14:textFill>
            <w14:solidFill>
              <w14:schemeClr w14:val="tx1"/>
            </w14:solidFill>
          </w14:textFill>
        </w:rPr>
        <w:t>农业科技园位于三屯河河流形成的冲洪积平原下部的细土平原区，地下水运动以垂向（蒸发和人工开采）和侧向排泄为主，在水文地质单元上属径流排泄区。园区内主要分布多层结构砂砾石孔隙承压水和自流水。</w:t>
      </w:r>
    </w:p>
    <w:p>
      <w:pPr>
        <w:tabs>
          <w:tab w:val="right" w:leader="dot" w:pos="8280"/>
        </w:tabs>
        <w:spacing w:line="520" w:lineRule="exact"/>
        <w:rPr>
          <w:rFonts w:ascii="Times New Roman" w:hAnsi="Times New Roman" w:cs="Times New Roman"/>
          <w:color w:val="000000" w:themeColor="text1"/>
          <w:szCs w:val="26"/>
          <w14:textFill>
            <w14:solidFill>
              <w14:schemeClr w14:val="tx1"/>
            </w14:solidFill>
          </w14:textFill>
        </w:rPr>
      </w:pPr>
      <w:r>
        <w:rPr>
          <w:rFonts w:ascii="Times New Roman" w:hAnsi="Times New Roman" w:cs="Times New Roman"/>
          <w:color w:val="000000" w:themeColor="text1"/>
          <w:szCs w:val="26"/>
          <w14:textFill>
            <w14:solidFill>
              <w14:schemeClr w14:val="tx1"/>
            </w14:solidFill>
          </w14:textFill>
        </w:rPr>
        <w:t>资料显示，园区加工区和示范区的地层岩性基本相同，主要为粉土、粉质粘土和含砂砾土，其含水层顶底板主要为粉土、粉质粘土构成。承压含水层段呈相互层状，最多见有七层，单层厚度6.7~32.24m不等，含水介质由南向北流径逐渐变小，含水层厚度变薄。渗透系数由南向北逐渐减小，为9~49.3m/d。承压水的水头随地形向北降低，水位埋深变浅。承压含水量的储水能力和释放能力由南</w:t>
      </w:r>
      <w:r>
        <w:rPr>
          <w:rFonts w:ascii="Times New Roman" w:hAnsi="Times New Roman" w:cs="Times New Roman"/>
          <w:color w:val="000000" w:themeColor="text1"/>
          <w:spacing w:val="-6"/>
          <w:szCs w:val="26"/>
          <w14:textFill>
            <w14:solidFill>
              <w14:schemeClr w14:val="tx1"/>
            </w14:solidFill>
          </w14:textFill>
        </w:rPr>
        <w:t>向北逐渐减弱。地下潜水埋深最大值大于60m，最小埋深小于5m。最大埋深位于老龙河区东北部，最小埋深位于老龙河边界。牛圈子湖区潜水位埋深一般在10~35m。</w:t>
      </w:r>
    </w:p>
    <w:p>
      <w:pPr>
        <w:pStyle w:val="6"/>
        <w:rPr>
          <w:rFonts w:ascii="Times New Roman" w:hAnsi="Times New Roman" w:cs="Times New Roman"/>
          <w:color w:val="000000" w:themeColor="text1"/>
          <w14:textFill>
            <w14:solidFill>
              <w14:schemeClr w14:val="tx1"/>
            </w14:solidFill>
          </w14:textFill>
        </w:rPr>
      </w:pPr>
      <w:bookmarkStart w:id="494" w:name="_Toc29240"/>
      <w:bookmarkStart w:id="495" w:name="_Toc501940729"/>
      <w:bookmarkStart w:id="496" w:name="_Toc483293651"/>
      <w:bookmarkStart w:id="497" w:name="_Toc504733738"/>
      <w:bookmarkStart w:id="498" w:name="_Toc4500"/>
      <w:bookmarkStart w:id="499" w:name="_Toc23694"/>
      <w:r>
        <w:rPr>
          <w:rFonts w:ascii="Times New Roman" w:hAnsi="Times New Roman" w:cs="Times New Roman"/>
          <w:color w:val="000000" w:themeColor="text1"/>
          <w14:textFill>
            <w14:solidFill>
              <w14:schemeClr w14:val="tx1"/>
            </w14:solidFill>
          </w14:textFill>
        </w:rPr>
        <w:t>4.1.5 气象</w:t>
      </w:r>
      <w:bookmarkEnd w:id="494"/>
      <w:bookmarkEnd w:id="495"/>
      <w:bookmarkEnd w:id="496"/>
      <w:bookmarkEnd w:id="497"/>
      <w:bookmarkEnd w:id="498"/>
      <w:bookmarkEnd w:id="499"/>
    </w:p>
    <w:p>
      <w:pPr>
        <w:rPr>
          <w:rFonts w:ascii="Times New Roman" w:hAnsi="Times New Roman" w:cs="Times New Roman"/>
          <w:color w:val="000000" w:themeColor="text1"/>
          <w14:textFill>
            <w14:solidFill>
              <w14:schemeClr w14:val="tx1"/>
            </w14:solidFill>
          </w14:textFill>
        </w:rPr>
      </w:pPr>
      <w:bookmarkStart w:id="500" w:name="_Toc12767"/>
      <w:bookmarkStart w:id="501" w:name="_Toc483293652"/>
      <w:bookmarkStart w:id="502" w:name="_Toc501940730"/>
      <w:bookmarkStart w:id="503" w:name="_Toc504733739"/>
      <w:r>
        <w:rPr>
          <w:rFonts w:ascii="Times New Roman" w:hAnsi="Times New Roman" w:cs="Times New Roman"/>
          <w:color w:val="000000" w:themeColor="text1"/>
          <w14:textFill>
            <w14:solidFill>
              <w14:schemeClr w14:val="tx1"/>
            </w14:solidFill>
          </w14:textFill>
        </w:rPr>
        <w:t>农业科技园因远离海洋而气候干燥，既有中温带大陆性干燥气候的特征，又有垂直气候分带的特点。表现为夏季炎热，冬季寒冷，气温随地势高低而异，降水因地面海拔高度不同也有大小之分。受太阳辐射、下垫面和大气环流的影响，全流域南北气候差异显著。</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园区热量丰富，光照充足，气温年（日）较差大，作物生长期长，但降水不足，蒸发强烈，气候干燥，属典型大陆性干旱气候。春季升温快而不稳，且多大风，常伴有“倒春寒”天气出现。</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根据流域内气候资料统计，平原区（昌吉（气）站）为6.8℃，沙漠地区（蔡家湖（气）站）为5.7℃。</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园区气温年较差42.1℃，日较差13.2℃，极端最高气温42.0℃，极端最低气温-38.2℃，多年平均风速3.0m/s，极端最大风速30m/s，风向以西北风居多，≥0℃的积温为3834℃，≥10℃的积温为3374℃，无霜期最长达183天，最短为126天，一般年份都在160天以上。</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平原区（昌吉（气）站）年日照数时数为2833小时，年日照百分率为64%；沙漠边缘地区蔡家湖（气）站）年日照时数为2936小时，年日照百分率为66%。</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降水量的地区分布为：平原区（昌吉（气）站）多年平均点降水量为192.3mm，沙漠边缘地区（蔡家湖（气）站）多年平均点降水量140.4mm。反映了随地面海拔高度的降低，降水量由大变小的垂直地带分布规律。平原区积雪深度约为20cm，最大为39cm。</w:t>
      </w:r>
    </w:p>
    <w:bookmarkEnd w:id="500"/>
    <w:bookmarkEnd w:id="501"/>
    <w:bookmarkEnd w:id="502"/>
    <w:bookmarkEnd w:id="503"/>
    <w:p>
      <w:pPr>
        <w:pStyle w:val="6"/>
        <w:rPr>
          <w:rFonts w:ascii="Times New Roman" w:hAnsi="Times New Roman" w:cs="Times New Roman"/>
          <w:color w:val="000000" w:themeColor="text1"/>
          <w14:textFill>
            <w14:solidFill>
              <w14:schemeClr w14:val="tx1"/>
            </w14:solidFill>
          </w14:textFill>
        </w:rPr>
      </w:pPr>
      <w:bookmarkStart w:id="504" w:name="_Toc1895"/>
      <w:bookmarkStart w:id="505" w:name="_Toc16685"/>
      <w:bookmarkStart w:id="506" w:name="_Toc504733741"/>
      <w:bookmarkStart w:id="507" w:name="_Toc21768"/>
      <w:bookmarkStart w:id="508" w:name="_Toc501940732"/>
      <w:bookmarkStart w:id="509" w:name="_Toc12455_WPSOffice_Level2"/>
      <w:bookmarkStart w:id="510" w:name="_Toc483293653"/>
      <w:r>
        <w:rPr>
          <w:rFonts w:ascii="Times New Roman" w:hAnsi="Times New Roman" w:cs="Times New Roman"/>
          <w:color w:val="000000" w:themeColor="text1"/>
          <w14:textFill>
            <w14:solidFill>
              <w14:schemeClr w14:val="tx1"/>
            </w14:solidFill>
          </w14:textFill>
        </w:rPr>
        <w:t>4.1.6 动植物</w:t>
      </w:r>
      <w:bookmarkEnd w:id="504"/>
      <w:bookmarkEnd w:id="505"/>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昌吉市现有可耕地120万亩，土壤有机质含量3.32-5.51%之间，土层厚1米左右，良田60万亩，是种植小麦、玉米、油料、瓜类、棉花和园艺型等农作物综合高产开发的首选之地。全市有林地面积46.12万亩，其中山区林地面积21.9万亩；天然草场1203万亩，可利用草场面积819.23万亩。</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本项目占地为建设用地，植被主要是道路两侧的人工绿化地。树种主要有白杨树、榆树等。野生动物为鸟类的家燕、麻雀和啮齿类老鼠等，种类较单一，无珍稀保护物种分布。</w:t>
      </w:r>
    </w:p>
    <w:p>
      <w:pPr>
        <w:pStyle w:val="5"/>
        <w:rPr>
          <w:rFonts w:ascii="Times New Roman" w:hAnsi="Times New Roman" w:cs="Times New Roman"/>
          <w:color w:val="000000" w:themeColor="text1"/>
          <w14:textFill>
            <w14:solidFill>
              <w14:schemeClr w14:val="tx1"/>
            </w14:solidFill>
          </w14:textFill>
        </w:rPr>
      </w:pPr>
      <w:bookmarkStart w:id="511" w:name="_Toc15217"/>
      <w:bookmarkStart w:id="512" w:name="_Toc21291"/>
      <w:bookmarkStart w:id="513" w:name="_Toc12478"/>
      <w:bookmarkStart w:id="514" w:name="_Toc9684"/>
      <w:bookmarkStart w:id="515" w:name="_Toc29876"/>
      <w:bookmarkStart w:id="516" w:name="_Toc10464"/>
      <w:bookmarkStart w:id="517" w:name="_Toc18636"/>
      <w:r>
        <w:rPr>
          <w:rFonts w:ascii="Times New Roman" w:hAnsi="Times New Roman" w:cs="Times New Roman"/>
          <w:color w:val="000000" w:themeColor="text1"/>
          <w14:textFill>
            <w14:solidFill>
              <w14:schemeClr w14:val="tx1"/>
            </w14:solidFill>
          </w14:textFill>
        </w:rPr>
        <w:t>4.2</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昌吉国家农业科技园区概况</w:t>
      </w:r>
      <w:bookmarkEnd w:id="511"/>
      <w:bookmarkEnd w:id="512"/>
      <w:bookmarkEnd w:id="513"/>
      <w:bookmarkEnd w:id="514"/>
      <w:bookmarkEnd w:id="515"/>
      <w:bookmarkEnd w:id="516"/>
      <w:bookmarkEnd w:id="517"/>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疆昌吉国家农业科技园区（以下简称园区）于2002年经国家科技部批准，是全国36家农业科技园区之一，也是新疆地方唯一的国家级农业科技园区。园区位于新疆昌吉州首府所在地昌吉市，园区总规划面积面积为332.3平方公里，距昌吉高新区5公里、312国道10公里、乌奎高速公路20公里、昌吉市火车站25公里、乌鲁木齐国际机场50公里，交通便利、区位优越。总体规划为农副产品精深加工、食品加工、生物医药、农机装备制造、农产品物流等产业功能区，2015年获批为自治州级特色产业园区。</w:t>
      </w:r>
    </w:p>
    <w:p>
      <w:pPr>
        <w:pStyle w:val="6"/>
        <w:rPr>
          <w:rFonts w:ascii="Times New Roman" w:hAnsi="Times New Roman" w:cs="Times New Roman"/>
          <w:color w:val="000000" w:themeColor="text1"/>
          <w14:textFill>
            <w14:solidFill>
              <w14:schemeClr w14:val="tx1"/>
            </w14:solidFill>
          </w14:textFill>
        </w:rPr>
      </w:pPr>
      <w:bookmarkStart w:id="518" w:name="_Toc29802"/>
      <w:bookmarkStart w:id="519" w:name="_Toc14379"/>
      <w:r>
        <w:rPr>
          <w:rFonts w:ascii="Times New Roman" w:hAnsi="Times New Roman" w:cs="Times New Roman"/>
          <w:color w:val="000000" w:themeColor="text1"/>
          <w14:textFill>
            <w14:solidFill>
              <w14:schemeClr w14:val="tx1"/>
            </w14:solidFill>
          </w14:textFill>
        </w:rPr>
        <w:t>4.2.1</w:t>
      </w:r>
      <w:r>
        <w:rPr>
          <w:rFonts w:hint="eastAsia" w:ascii="Times New Roman" w:hAnsi="Times New Roman" w:cs="Times New Roman"/>
          <w:color w:val="000000" w:themeColor="text1"/>
          <w14:textFill>
            <w14:solidFill>
              <w14:schemeClr w14:val="tx1"/>
            </w14:solidFill>
          </w14:textFill>
        </w:rPr>
        <w:t xml:space="preserve"> </w:t>
      </w:r>
      <w:r>
        <w:fldChar w:fldCharType="begin"/>
      </w:r>
      <w:r>
        <w:instrText xml:space="preserve"> HYPERLINK \l "_Toc296529882" </w:instrText>
      </w:r>
      <w:r>
        <w:fldChar w:fldCharType="separate"/>
      </w:r>
      <w:bookmarkStart w:id="520" w:name="_Toc402540270"/>
      <w:r>
        <w:rPr>
          <w:rFonts w:ascii="Times New Roman" w:hAnsi="Times New Roman" w:cs="Times New Roman"/>
          <w:color w:val="000000" w:themeColor="text1"/>
          <w14:textFill>
            <w14:solidFill>
              <w14:schemeClr w14:val="tx1"/>
            </w14:solidFill>
          </w14:textFill>
        </w:rPr>
        <w:t>规划年</w:t>
      </w:r>
      <w:r>
        <w:rPr>
          <w:rFonts w:ascii="Times New Roman" w:hAnsi="Times New Roman" w:cs="Times New Roman"/>
          <w:color w:val="000000" w:themeColor="text1"/>
          <w14:textFill>
            <w14:solidFill>
              <w14:schemeClr w14:val="tx1"/>
            </w14:solidFill>
          </w14:textFill>
        </w:rPr>
        <w:fldChar w:fldCharType="end"/>
      </w:r>
      <w:bookmarkEnd w:id="520"/>
      <w:r>
        <w:rPr>
          <w:rFonts w:ascii="Times New Roman" w:hAnsi="Times New Roman" w:cs="Times New Roman"/>
          <w:color w:val="000000" w:themeColor="text1"/>
          <w14:textFill>
            <w14:solidFill>
              <w14:schemeClr w14:val="tx1"/>
            </w14:solidFill>
          </w14:textFill>
        </w:rPr>
        <w:t>限</w:t>
      </w:r>
      <w:bookmarkEnd w:id="518"/>
      <w:bookmarkEnd w:id="519"/>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根据《新疆昌吉国家农业科技园区高新农业产业园总体规划2011-2030》规划（以下简称总规），分为近中期、远期。近中期为2011-2020年，远期2021年-2030年。</w:t>
      </w:r>
    </w:p>
    <w:p>
      <w:pPr>
        <w:pStyle w:val="6"/>
        <w:rPr>
          <w:rFonts w:ascii="Times New Roman" w:hAnsi="Times New Roman" w:cs="Times New Roman"/>
          <w:color w:val="000000" w:themeColor="text1"/>
          <w:lang w:val="zh-CN"/>
          <w14:textFill>
            <w14:solidFill>
              <w14:schemeClr w14:val="tx1"/>
            </w14:solidFill>
          </w14:textFill>
        </w:rPr>
      </w:pPr>
      <w:bookmarkStart w:id="521" w:name="_Toc21985"/>
      <w:bookmarkStart w:id="522" w:name="_Toc16717"/>
      <w:r>
        <w:rPr>
          <w:rFonts w:ascii="Times New Roman" w:hAnsi="Times New Roman" w:cs="Times New Roman"/>
          <w:color w:val="000000" w:themeColor="text1"/>
          <w14:textFill>
            <w14:solidFill>
              <w14:schemeClr w14:val="tx1"/>
            </w14:solidFill>
          </w14:textFill>
        </w:rPr>
        <w:t>4.2.2</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val="zh-CN"/>
          <w14:textFill>
            <w14:solidFill>
              <w14:schemeClr w14:val="tx1"/>
            </w14:solidFill>
          </w14:textFill>
        </w:rPr>
        <w:t>规划范围</w:t>
      </w:r>
      <w:bookmarkEnd w:id="521"/>
      <w:bookmarkEnd w:id="522"/>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根据《总规》，园区规划范围：西至昌吉市界，南至昌吉市榆树沟镇曙光村北界、规划三北高速公路北侧，东至牛圈子示范区，北至500西沿干渠以北1.8km处，总用地面积为56.16平方公里。</w:t>
      </w:r>
    </w:p>
    <w:p>
      <w:pPr>
        <w:pStyle w:val="6"/>
        <w:rPr>
          <w:rFonts w:ascii="Times New Roman" w:hAnsi="Times New Roman" w:cs="Times New Roman"/>
          <w:color w:val="000000" w:themeColor="text1"/>
          <w14:textFill>
            <w14:solidFill>
              <w14:schemeClr w14:val="tx1"/>
            </w14:solidFill>
          </w14:textFill>
        </w:rPr>
      </w:pPr>
      <w:bookmarkStart w:id="523" w:name="_Toc26081"/>
      <w:bookmarkStart w:id="524" w:name="_Toc26083"/>
      <w:r>
        <w:rPr>
          <w:rFonts w:ascii="Times New Roman" w:hAnsi="Times New Roman" w:cs="Times New Roman"/>
          <w:color w:val="000000" w:themeColor="text1"/>
          <w14:textFill>
            <w14:solidFill>
              <w14:schemeClr w14:val="tx1"/>
            </w14:solidFill>
          </w14:textFill>
        </w:rPr>
        <w:t>4.2.3</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园区性质及规模</w:t>
      </w:r>
      <w:bookmarkEnd w:id="523"/>
      <w:bookmarkEnd w:id="524"/>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总规》，园区总规划面积340.7平方公里，其中核心区28.3平方公里，示范区312.4平方公里。目前园区核心区完成通水、通电、供热、供气、排水、道路、通讯、绿化、美化、亮化和场地平整“七通一平”基础设施建设；示范区构筑了“三纵三横”道路主题框架，是立项的经济发展区域。</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本项目位于高新农业产业园区示范区，项目选址符合园区总体规划中供热规划的要求。新疆昌吉国家农业科技园区高新农业产业园总体规划图见附图4.2-1。</w:t>
      </w:r>
    </w:p>
    <w:p>
      <w:pPr>
        <w:pStyle w:val="6"/>
        <w:rPr>
          <w:rFonts w:ascii="Times New Roman" w:hAnsi="Times New Roman" w:cs="Times New Roman"/>
          <w:color w:val="000000" w:themeColor="text1"/>
          <w14:textFill>
            <w14:solidFill>
              <w14:schemeClr w14:val="tx1"/>
            </w14:solidFill>
          </w14:textFill>
        </w:rPr>
      </w:pPr>
      <w:bookmarkStart w:id="525" w:name="_Toc22051"/>
      <w:bookmarkStart w:id="526" w:name="_Toc10016"/>
      <w:r>
        <w:rPr>
          <w:rFonts w:ascii="Times New Roman" w:hAnsi="Times New Roman" w:cs="Times New Roman"/>
          <w:color w:val="000000" w:themeColor="text1"/>
          <w14:textFill>
            <w14:solidFill>
              <w14:schemeClr w14:val="tx1"/>
            </w14:solidFill>
          </w14:textFill>
        </w:rPr>
        <w:t>4.2.4</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园区发展定位</w:t>
      </w:r>
      <w:bookmarkEnd w:id="525"/>
      <w:bookmarkEnd w:id="526"/>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总规》，新疆昌吉国家农业科技园区高新农业产业园定位为：面向中亚的国际性农贸出口加工基地，自治区现代农牧业装备制造基地，自治区现代农业高新技术产业示范基地，昌吉州新型工业化带动农业现代化的示范基地，昌吉州生态循环示范园区。</w:t>
      </w:r>
    </w:p>
    <w:p>
      <w:pPr>
        <w:pStyle w:val="6"/>
        <w:rPr>
          <w:rFonts w:ascii="Times New Roman" w:hAnsi="Times New Roman" w:cs="Times New Roman"/>
          <w:color w:val="000000" w:themeColor="text1"/>
          <w14:textFill>
            <w14:solidFill>
              <w14:schemeClr w14:val="tx1"/>
            </w14:solidFill>
          </w14:textFill>
        </w:rPr>
      </w:pPr>
      <w:bookmarkStart w:id="527" w:name="3.3.6.10企业入驻及排污情况"/>
      <w:bookmarkEnd w:id="527"/>
      <w:bookmarkStart w:id="528" w:name="_Toc9313"/>
      <w:bookmarkStart w:id="529" w:name="_Toc20862"/>
      <w:r>
        <w:rPr>
          <w:rFonts w:ascii="Times New Roman" w:hAnsi="Times New Roman" w:cs="Times New Roman"/>
          <w:color w:val="000000" w:themeColor="text1"/>
          <w14:textFill>
            <w14:solidFill>
              <w14:schemeClr w14:val="tx1"/>
            </w14:solidFill>
          </w14:textFill>
        </w:rPr>
        <w:t>4.2.5</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规划环评情况</w:t>
      </w:r>
      <w:bookmarkEnd w:id="528"/>
      <w:bookmarkEnd w:id="529"/>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2014年委托新疆维吾尔自治区环境保护技术咨询中心编制完成了《新疆昌吉国家农业科技园区高新农业产业园总体规划（2011-2030）》环境影响报告书，并于2014年12月取得了《关于新建昌吉国家农业科技园区高新农业产业园总体规划（2011-2030）环境影响报告书的审查意见》（新环函〔2014〕1245号）。</w:t>
      </w:r>
    </w:p>
    <w:p>
      <w:pPr>
        <w:pStyle w:val="5"/>
        <w:rPr>
          <w:rFonts w:ascii="Times New Roman" w:hAnsi="Times New Roman" w:cs="Times New Roman"/>
          <w:color w:val="000000" w:themeColor="text1"/>
          <w14:textFill>
            <w14:solidFill>
              <w14:schemeClr w14:val="tx1"/>
            </w14:solidFill>
          </w14:textFill>
        </w:rPr>
      </w:pPr>
      <w:bookmarkStart w:id="530" w:name="_Toc13383"/>
      <w:bookmarkStart w:id="531" w:name="_Toc6170"/>
      <w:bookmarkStart w:id="532" w:name="_Toc16336"/>
      <w:bookmarkStart w:id="533" w:name="_Toc21698"/>
      <w:r>
        <w:rPr>
          <w:rFonts w:ascii="Times New Roman" w:hAnsi="Times New Roman" w:cs="Times New Roman"/>
          <w:color w:val="000000" w:themeColor="text1"/>
          <w14:textFill>
            <w14:solidFill>
              <w14:schemeClr w14:val="tx1"/>
            </w14:solidFill>
          </w14:textFill>
        </w:rPr>
        <w:t>4.3 环境质量现状调查与评价</w:t>
      </w:r>
      <w:bookmarkEnd w:id="506"/>
      <w:bookmarkEnd w:id="507"/>
      <w:bookmarkEnd w:id="508"/>
      <w:bookmarkEnd w:id="509"/>
      <w:bookmarkEnd w:id="510"/>
      <w:bookmarkEnd w:id="530"/>
      <w:bookmarkEnd w:id="531"/>
      <w:bookmarkEnd w:id="532"/>
      <w:bookmarkEnd w:id="533"/>
    </w:p>
    <w:p>
      <w:pPr>
        <w:pStyle w:val="6"/>
        <w:rPr>
          <w:rFonts w:ascii="Times New Roman" w:hAnsi="Times New Roman" w:cs="Times New Roman"/>
          <w:color w:val="000000" w:themeColor="text1"/>
          <w14:textFill>
            <w14:solidFill>
              <w14:schemeClr w14:val="tx1"/>
            </w14:solidFill>
          </w14:textFill>
        </w:rPr>
      </w:pPr>
      <w:bookmarkStart w:id="534" w:name="_Toc16450"/>
      <w:bookmarkStart w:id="535" w:name="_Toc504733742"/>
      <w:bookmarkStart w:id="536" w:name="_Toc8655"/>
      <w:bookmarkStart w:id="537" w:name="_Toc501940733"/>
      <w:bookmarkStart w:id="538" w:name="_Toc483293654"/>
      <w:bookmarkStart w:id="539" w:name="_Toc29025"/>
      <w:r>
        <w:rPr>
          <w:rFonts w:ascii="Times New Roman" w:hAnsi="Times New Roman" w:cs="Times New Roman"/>
          <w:color w:val="000000" w:themeColor="text1"/>
          <w14:textFill>
            <w14:solidFill>
              <w14:schemeClr w14:val="tx1"/>
            </w14:solidFill>
          </w14:textFill>
        </w:rPr>
        <w:t>4.3.1 大气环境质量现状调查与评价</w:t>
      </w:r>
      <w:bookmarkEnd w:id="534"/>
      <w:bookmarkEnd w:id="535"/>
      <w:bookmarkEnd w:id="536"/>
      <w:bookmarkEnd w:id="537"/>
      <w:bookmarkEnd w:id="538"/>
      <w:bookmarkEnd w:id="539"/>
    </w:p>
    <w:p>
      <w:pPr>
        <w:pStyle w:val="7"/>
        <w:rPr>
          <w:rFonts w:cs="Times New Roman"/>
          <w:color w:val="000000" w:themeColor="text1"/>
          <w14:textFill>
            <w14:solidFill>
              <w14:schemeClr w14:val="tx1"/>
            </w14:solidFill>
          </w14:textFill>
        </w:rPr>
      </w:pPr>
      <w:bookmarkStart w:id="540" w:name="_Toc6724"/>
      <w:bookmarkStart w:id="541" w:name="_Toc22724"/>
      <w:r>
        <w:rPr>
          <w:rFonts w:cs="Times New Roman"/>
          <w:color w:val="000000" w:themeColor="text1"/>
          <w14:textFill>
            <w14:solidFill>
              <w14:schemeClr w14:val="tx1"/>
            </w14:solidFill>
          </w14:textFill>
        </w:rPr>
        <w:t>4.3.1.1 基本污染物环境质量现状评价</w:t>
      </w:r>
      <w:bookmarkEnd w:id="540"/>
      <w:bookmarkEnd w:id="54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（1）数据来源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 大气环境》（H.J2.2-2018）中6.2.1.2：采用评价范围内国家或地方环境空气质量监测网中评价基准年连续1年的监测数据，或采用生态环境主管部门公开发布的环境空气质量现状数据。本次评价选择距离项目最近的昌吉市监测站环境空气质量自动监测子站逐日监测数据，作为本项目</w:t>
      </w:r>
      <w:r>
        <w:rPr>
          <w:rFonts w:ascii="Times New Roman" w:hAnsi="Times New Roman" w:cs="Times New Roman"/>
          <w:color w:val="000000" w:themeColor="text1"/>
          <w:spacing w:val="-6"/>
          <w14:textFill>
            <w14:solidFill>
              <w14:schemeClr w14:val="tx1"/>
            </w14:solidFill>
          </w14:textFill>
        </w:rPr>
        <w:t>环境空气现状评价基本污染物SO</w:t>
      </w:r>
      <w:r>
        <w:rPr>
          <w:rFonts w:ascii="Times New Roman" w:hAnsi="Times New Roman" w:cs="Times New Roman"/>
          <w:color w:val="000000" w:themeColor="text1"/>
          <w:spacing w:val="-6"/>
          <w:vertAlign w:val="subscript"/>
          <w14:textFill>
            <w14:solidFill>
              <w14:schemeClr w14:val="tx1"/>
            </w14:solidFill>
          </w14:textFill>
        </w:rPr>
        <w:t>2</w:t>
      </w:r>
      <w:r>
        <w:rPr>
          <w:rFonts w:ascii="Times New Roman" w:hAnsi="Times New Roman" w:cs="Times New Roman"/>
          <w:color w:val="000000" w:themeColor="text1"/>
          <w:spacing w:val="-6"/>
          <w14:textFill>
            <w14:solidFill>
              <w14:schemeClr w14:val="tx1"/>
            </w14:solidFill>
          </w14:textFill>
        </w:rPr>
        <w:t>、NO</w:t>
      </w:r>
      <w:r>
        <w:rPr>
          <w:rFonts w:ascii="Times New Roman" w:hAnsi="Times New Roman" w:cs="Times New Roman"/>
          <w:color w:val="000000" w:themeColor="text1"/>
          <w:spacing w:val="-6"/>
          <w:vertAlign w:val="subscript"/>
          <w14:textFill>
            <w14:solidFill>
              <w14:schemeClr w14:val="tx1"/>
            </w14:solidFill>
          </w14:textFill>
        </w:rPr>
        <w:t>2</w:t>
      </w:r>
      <w:r>
        <w:rPr>
          <w:rFonts w:ascii="Times New Roman" w:hAnsi="Times New Roman" w:cs="Times New Roman"/>
          <w:color w:val="000000" w:themeColor="text1"/>
          <w:spacing w:val="-6"/>
          <w14:textFill>
            <w14:solidFill>
              <w14:schemeClr w14:val="tx1"/>
            </w14:solidFill>
          </w14:textFill>
        </w:rPr>
        <w:t>、PM</w:t>
      </w:r>
      <w:r>
        <w:rPr>
          <w:rFonts w:ascii="Times New Roman" w:hAnsi="Times New Roman" w:cs="Times New Roman"/>
          <w:color w:val="000000" w:themeColor="text1"/>
          <w:spacing w:val="-6"/>
          <w:vertAlign w:val="subscript"/>
          <w14:textFill>
            <w14:solidFill>
              <w14:schemeClr w14:val="tx1"/>
            </w14:solidFill>
          </w14:textFill>
        </w:rPr>
        <w:t>10</w:t>
      </w:r>
      <w:r>
        <w:rPr>
          <w:rFonts w:ascii="Times New Roman" w:hAnsi="Times New Roman" w:cs="Times New Roman"/>
          <w:color w:val="000000" w:themeColor="text1"/>
          <w:spacing w:val="-6"/>
          <w14:textFill>
            <w14:solidFill>
              <w14:schemeClr w14:val="tx1"/>
            </w14:solidFill>
          </w14:textFill>
        </w:rPr>
        <w:t>、PM</w:t>
      </w:r>
      <w:r>
        <w:rPr>
          <w:rFonts w:ascii="Times New Roman" w:hAnsi="Times New Roman" w:cs="Times New Roman"/>
          <w:color w:val="000000" w:themeColor="text1"/>
          <w:spacing w:val="-6"/>
          <w:vertAlign w:val="subscript"/>
          <w14:textFill>
            <w14:solidFill>
              <w14:schemeClr w14:val="tx1"/>
            </w14:solidFill>
          </w14:textFill>
        </w:rPr>
        <w:t>2.5</w:t>
      </w:r>
      <w:r>
        <w:rPr>
          <w:rFonts w:ascii="Times New Roman" w:hAnsi="Times New Roman" w:cs="Times New Roman"/>
          <w:color w:val="000000" w:themeColor="text1"/>
          <w:spacing w:val="-6"/>
          <w14:textFill>
            <w14:solidFill>
              <w14:schemeClr w14:val="tx1"/>
            </w14:solidFill>
          </w14:textFill>
        </w:rPr>
        <w:t>、CO和O</w:t>
      </w:r>
      <w:r>
        <w:rPr>
          <w:rFonts w:ascii="Times New Roman" w:hAnsi="Times New Roman" w:cs="Times New Roman"/>
          <w:color w:val="000000" w:themeColor="text1"/>
          <w:spacing w:val="-6"/>
          <w:vertAlign w:val="subscript"/>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的数据来源可行。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（2）评价标准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基本污染物SO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、CO和O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执行《环境空气质量标准》（GB3095-2012）中的二级标准。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（3）评价方法</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环境空气质量现状采用单因子污染指数法进行评价。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计算公式为：</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eastAsiaTheme="minorEastAsia"/>
          <w:color w:val="000000" w:themeColor="text1"/>
          <w:position w:val="-30"/>
          <w14:textFill>
            <w14:solidFill>
              <w14:schemeClr w14:val="tx1"/>
            </w14:solidFill>
          </w14:textFill>
        </w:rPr>
        <w:object>
          <v:shape id="_x0000_i1028" o:spt="75" type="#_x0000_t75" style="height:34.2pt;width:42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式中：P</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——污染物i的单项污染指数；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——污染物i的实测浓度值（mg/m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oi</w:t>
      </w:r>
      <w:r>
        <w:rPr>
          <w:rFonts w:ascii="Times New Roman" w:hAnsi="Times New Roman" w:cs="Times New Roman"/>
          <w:color w:val="000000" w:themeColor="text1"/>
          <w14:textFill>
            <w14:solidFill>
              <w14:schemeClr w14:val="tx1"/>
            </w14:solidFill>
          </w14:textFill>
        </w:rPr>
        <w:t>——污染物i的评价标准（mg/m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（4）区域达标判定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w:t>
      </w:r>
      <w:r>
        <w:rPr>
          <w:rFonts w:hint="eastAsia" w:ascii="Times New Roman" w:hAnsi="Times New Roman" w:cs="Times New Roman"/>
          <w:color w:val="000000" w:themeColor="text1"/>
          <w14:textFill>
            <w14:solidFill>
              <w14:schemeClr w14:val="tx1"/>
            </w14:solidFill>
          </w14:textFill>
        </w:rPr>
        <w:t>2019</w:t>
      </w:r>
      <w:r>
        <w:rPr>
          <w:rFonts w:ascii="Times New Roman" w:hAnsi="Times New Roman" w:cs="Times New Roman"/>
          <w:color w:val="000000" w:themeColor="text1"/>
          <w14:textFill>
            <w14:solidFill>
              <w14:schemeClr w14:val="tx1"/>
            </w14:solidFill>
          </w14:textFill>
        </w:rPr>
        <w:t>年昌吉市监测站环境空气质量自动监测子站逐日监测数据，SO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、CO、O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各有365个有效数据，空气质量达标区判定结果见表4.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-1。</w:t>
      </w:r>
    </w:p>
    <w:p>
      <w:pPr>
        <w:wordWrap w:val="0"/>
        <w:overflowPunct w:val="0"/>
        <w:spacing w:line="520" w:lineRule="exact"/>
        <w:ind w:firstLine="422"/>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表4.</w:t>
      </w:r>
      <w:r>
        <w:rPr>
          <w:rFonts w:hint="eastAsia" w:ascii="Times New Roman" w:hAnsi="Times New Roman" w:cs="Times New Roman" w:eastAsiaTheme="minorEastAsia"/>
          <w:b/>
          <w:bCs/>
          <w:color w:val="000000" w:themeColor="text1"/>
          <w:sz w:val="21"/>
          <w:szCs w:val="21"/>
          <w14:textFill>
            <w14:solidFill>
              <w14:schemeClr w14:val="tx1"/>
            </w14:solidFill>
          </w14:textFill>
        </w:rPr>
        <w:t>3</w:t>
      </w:r>
      <w:r>
        <w:rPr>
          <w:rFonts w:ascii="Times New Roman" w:hAnsi="Times New Roman" w:cs="Times New Roman" w:eastAsiaTheme="minorEastAsia"/>
          <w:b/>
          <w:bCs/>
          <w:color w:val="000000" w:themeColor="text1"/>
          <w:sz w:val="21"/>
          <w:szCs w:val="21"/>
          <w14:textFill>
            <w14:solidFill>
              <w14:schemeClr w14:val="tx1"/>
            </w14:solidFill>
          </w14:textFill>
        </w:rPr>
        <w:t>-1   区域空气质量现状评价表</w:t>
      </w:r>
    </w:p>
    <w:tbl>
      <w:tblPr>
        <w:tblStyle w:val="27"/>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1"/>
        <w:gridCol w:w="2482"/>
        <w:gridCol w:w="1304"/>
        <w:gridCol w:w="1327"/>
        <w:gridCol w:w="1013"/>
        <w:gridCol w:w="853"/>
        <w:gridCol w:w="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439" w:type="pct"/>
            <w:vMerge w:val="restar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评价</w:t>
            </w:r>
          </w:p>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因子</w:t>
            </w:r>
          </w:p>
        </w:tc>
        <w:tc>
          <w:tcPr>
            <w:tcW w:w="1490" w:type="pct"/>
            <w:vMerge w:val="restar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平均时段</w:t>
            </w:r>
          </w:p>
        </w:tc>
        <w:tc>
          <w:tcPr>
            <w:tcW w:w="783" w:type="pct"/>
            <w:vMerge w:val="restar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百分位</w:t>
            </w:r>
          </w:p>
        </w:tc>
        <w:tc>
          <w:tcPr>
            <w:tcW w:w="797"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现状浓度/</w:t>
            </w:r>
          </w:p>
        </w:tc>
        <w:tc>
          <w:tcPr>
            <w:tcW w:w="608"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标准限值/</w:t>
            </w:r>
          </w:p>
        </w:tc>
        <w:tc>
          <w:tcPr>
            <w:tcW w:w="512" w:type="pct"/>
            <w:vMerge w:val="restar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占标率/%</w:t>
            </w:r>
          </w:p>
        </w:tc>
        <w:tc>
          <w:tcPr>
            <w:tcW w:w="367" w:type="pct"/>
            <w:vMerge w:val="restar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439" w:type="pct"/>
            <w:vMerge w:val="continue"/>
            <w:vAlign w:val="center"/>
          </w:tcPr>
          <w:p>
            <w:pPr>
              <w:pStyle w:val="40"/>
              <w:rPr>
                <w:rFonts w:ascii="Times New Roman" w:hAnsi="Times New Roman" w:cs="Times New Roman"/>
                <w:b/>
                <w:bCs/>
                <w:color w:val="000000" w:themeColor="text1"/>
                <w:szCs w:val="21"/>
                <w14:textFill>
                  <w14:solidFill>
                    <w14:schemeClr w14:val="tx1"/>
                  </w14:solidFill>
                </w14:textFill>
              </w:rPr>
            </w:pPr>
          </w:p>
        </w:tc>
        <w:tc>
          <w:tcPr>
            <w:tcW w:w="1490" w:type="pct"/>
            <w:vMerge w:val="continue"/>
            <w:vAlign w:val="center"/>
          </w:tcPr>
          <w:p>
            <w:pPr>
              <w:pStyle w:val="40"/>
              <w:rPr>
                <w:rFonts w:ascii="Times New Roman" w:hAnsi="Times New Roman" w:cs="Times New Roman"/>
                <w:b/>
                <w:bCs/>
                <w:color w:val="000000" w:themeColor="text1"/>
                <w:szCs w:val="21"/>
                <w14:textFill>
                  <w14:solidFill>
                    <w14:schemeClr w14:val="tx1"/>
                  </w14:solidFill>
                </w14:textFill>
              </w:rPr>
            </w:pPr>
          </w:p>
        </w:tc>
        <w:tc>
          <w:tcPr>
            <w:tcW w:w="783" w:type="pct"/>
            <w:vMerge w:val="continue"/>
            <w:vAlign w:val="center"/>
          </w:tcPr>
          <w:p>
            <w:pPr>
              <w:pStyle w:val="40"/>
              <w:rPr>
                <w:rFonts w:ascii="Times New Roman" w:hAnsi="Times New Roman" w:cs="Times New Roman"/>
                <w:b/>
                <w:bCs/>
                <w:color w:val="000000" w:themeColor="text1"/>
                <w:szCs w:val="21"/>
                <w14:textFill>
                  <w14:solidFill>
                    <w14:schemeClr w14:val="tx1"/>
                  </w14:solidFill>
                </w14:textFill>
              </w:rPr>
            </w:pPr>
          </w:p>
        </w:tc>
        <w:tc>
          <w:tcPr>
            <w:tcW w:w="797"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（μg/m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p>
        </w:tc>
        <w:tc>
          <w:tcPr>
            <w:tcW w:w="608" w:type="pct"/>
            <w:vAlign w:val="center"/>
          </w:tcPr>
          <w:p>
            <w:pPr>
              <w:pStyle w:val="4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（μg/m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p>
        </w:tc>
        <w:tc>
          <w:tcPr>
            <w:tcW w:w="512" w:type="pct"/>
            <w:vMerge w:val="continue"/>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367" w:type="pct"/>
            <w:vMerge w:val="continue"/>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439" w:type="pct"/>
            <w:vMerge w:val="restar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SO</w:t>
            </w:r>
            <w:r>
              <w:rPr>
                <w:rFonts w:ascii="Times New Roman" w:hAnsi="Times New Roman" w:cs="Times New Roman"/>
                <w:color w:val="000000" w:themeColor="text1"/>
                <w:szCs w:val="21"/>
                <w:vertAlign w:val="subscript"/>
                <w14:textFill>
                  <w14:solidFill>
                    <w14:schemeClr w14:val="tx1"/>
                  </w14:solidFill>
                </w14:textFill>
              </w:rPr>
              <w:t>2</w:t>
            </w: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年平均浓度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0.25</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39" w:type="pct"/>
            <w:vMerge w:val="continue"/>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百分位上日平均质量浓度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98%（k=354）</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150</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18.7</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39" w:type="pct"/>
            <w:vMerge w:val="restar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NO</w:t>
            </w:r>
            <w:r>
              <w:rPr>
                <w:rFonts w:ascii="Times New Roman" w:hAnsi="Times New Roman" w:cs="Times New Roman"/>
                <w:color w:val="000000" w:themeColor="text1"/>
                <w:szCs w:val="21"/>
                <w:vertAlign w:val="subscript"/>
                <w14:textFill>
                  <w14:solidFill>
                    <w14:schemeClr w14:val="tx1"/>
                  </w14:solidFill>
                </w14:textFill>
              </w:rPr>
              <w:t>2</w:t>
            </w: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年平均浓度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33.92</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84.8</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39" w:type="pct"/>
            <w:vMerge w:val="continue"/>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百分位上日平均质量浓度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98%（k=354）</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91</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80</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113.75</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39"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w:t>
            </w: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百分位上日平均质量浓度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95%（k=343）</w:t>
            </w:r>
          </w:p>
        </w:tc>
        <w:tc>
          <w:tcPr>
            <w:tcW w:w="797" w:type="pct"/>
            <w:tcBorders>
              <w:tl2br w:val="nil"/>
              <w:tr2bl w:val="nil"/>
            </w:tcBorders>
            <w:vAlign w:val="center"/>
          </w:tcPr>
          <w:p>
            <w:pPr>
              <w:pStyle w:val="40"/>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1200</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4000</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30.00</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39"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O</w:t>
            </w:r>
            <w:r>
              <w:rPr>
                <w:rFonts w:ascii="Times New Roman" w:hAnsi="Times New Roman" w:cs="Times New Roman"/>
                <w:color w:val="000000" w:themeColor="text1"/>
                <w:szCs w:val="21"/>
                <w:vertAlign w:val="subscript"/>
                <w14:textFill>
                  <w14:solidFill>
                    <w14:schemeClr w14:val="tx1"/>
                  </w14:solidFill>
                </w14:textFill>
              </w:rPr>
              <w:t>3</w:t>
            </w: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百分位上8h平均质量浓度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90%（k=329）</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t>84</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160</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52.50</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39" w:type="pct"/>
            <w:vMerge w:val="restar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w:t>
            </w:r>
            <w:r>
              <w:rPr>
                <w:rFonts w:ascii="Times New Roman" w:hAnsi="Times New Roman" w:cs="Times New Roman"/>
                <w:color w:val="000000" w:themeColor="text1"/>
                <w:szCs w:val="21"/>
                <w:vertAlign w:val="subscript"/>
                <w14:textFill>
                  <w14:solidFill>
                    <w14:schemeClr w14:val="tx1"/>
                  </w14:solidFill>
                </w14:textFill>
              </w:rPr>
              <w:t>2.5</w:t>
            </w: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年平均浓度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61</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35</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174.29</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39" w:type="pct"/>
            <w:vMerge w:val="continue"/>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百分位上日平均质量浓度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95%（k=343）</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140</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75</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186.7</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39" w:type="pct"/>
            <w:vMerge w:val="restar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w:t>
            </w:r>
            <w:r>
              <w:rPr>
                <w:rFonts w:ascii="Times New Roman" w:hAnsi="Times New Roman" w:cs="Times New Roman"/>
                <w:color w:val="000000" w:themeColor="text1"/>
                <w:szCs w:val="21"/>
                <w:vertAlign w:val="subscript"/>
                <w14:textFill>
                  <w14:solidFill>
                    <w14:schemeClr w14:val="tx1"/>
                  </w14:solidFill>
                </w14:textFill>
              </w:rPr>
              <w:t>10</w:t>
            </w: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年平均浓度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105</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150</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39" w:type="pct"/>
            <w:vMerge w:val="continue"/>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p>
        </w:tc>
        <w:tc>
          <w:tcPr>
            <w:tcW w:w="1490"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百分位上日平均质量浓度</w:t>
            </w:r>
          </w:p>
        </w:tc>
        <w:tc>
          <w:tcPr>
            <w:tcW w:w="783"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95%（k=343）</w:t>
            </w:r>
          </w:p>
        </w:tc>
        <w:tc>
          <w:tcPr>
            <w:tcW w:w="79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252</w:t>
            </w:r>
          </w:p>
        </w:tc>
        <w:tc>
          <w:tcPr>
            <w:tcW w:w="608"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150</w:t>
            </w:r>
          </w:p>
        </w:tc>
        <w:tc>
          <w:tcPr>
            <w:tcW w:w="512"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168</w:t>
            </w:r>
          </w:p>
        </w:tc>
        <w:tc>
          <w:tcPr>
            <w:tcW w:w="367" w:type="pct"/>
            <w:tcBorders>
              <w:tl2br w:val="nil"/>
              <w:tr2bl w:val="nil"/>
            </w:tcBorders>
            <w:vAlign w:val="center"/>
          </w:tcPr>
          <w:p>
            <w:pPr>
              <w:pStyle w:val="4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超标</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项目所在区域SO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、CO、O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日平均浓度及年均浓度和NO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年平均浓度均满足《环境空气质量标准》（GB3095-2012）的二级标准要求；PM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日均浓度、年均浓度和NO</w:t>
      </w:r>
      <w:r>
        <w:rPr>
          <w:rFonts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日</w:t>
      </w:r>
      <w:r>
        <w:rPr>
          <w:rFonts w:ascii="Times New Roman" w:hAnsi="Times New Roman" w:cs="Times New Roman"/>
          <w:color w:val="000000" w:themeColor="text1"/>
          <w14:textFill>
            <w14:solidFill>
              <w14:schemeClr w14:val="tx1"/>
            </w14:solidFill>
          </w14:textFill>
        </w:rPr>
        <w:t>平均浓度均超过《环境空气质量标准》（GB3095-2012）的二级标准要求，本项目所在区域为非达标区域。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（5）基本污染物环境质量现状评价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根据2019年昌吉市监测站环境空气质量自动监测子站逐日监测数据，SO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、CO、O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各有356个有效数据，见表4.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-1，分析可知，园区所在区域不达标的污染物NO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的百分位数日平均浓度最大占标率分别为113.75%、186.7%、168%，因此，根据对基本污染物的评价指标的分析结果，园区所在区域SO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、CO、O</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的评价指标为达标；NO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的评价指标均有超标。</w:t>
      </w:r>
    </w:p>
    <w:p>
      <w:pPr>
        <w:spacing w:line="520" w:lineRule="exact"/>
        <w:rPr>
          <w:rFonts w:cs="Times New Roman"/>
          <w:color w:val="000000" w:themeColor="text1"/>
          <w14:textFill>
            <w14:solidFill>
              <w14:schemeClr w14:val="tx1"/>
            </w14:solidFill>
          </w14:textFill>
        </w:rPr>
      </w:pPr>
      <w:bookmarkStart w:id="542" w:name="_Toc391919887"/>
      <w:bookmarkStart w:id="543" w:name="_Toc422417059"/>
      <w:bookmarkStart w:id="544" w:name="_Toc31153"/>
      <w:bookmarkStart w:id="545" w:name="_Toc445393748"/>
      <w:bookmarkStart w:id="546" w:name="_Toc515900225"/>
      <w:bookmarkStart w:id="547" w:name="_Toc391896413"/>
    </w:p>
    <w:p>
      <w:pPr>
        <w:pStyle w:val="7"/>
        <w:rPr>
          <w:rFonts w:cs="Times New Roman"/>
          <w:color w:val="000000" w:themeColor="text1"/>
          <w14:textFill>
            <w14:solidFill>
              <w14:schemeClr w14:val="tx1"/>
            </w14:solidFill>
          </w14:textFill>
        </w:rPr>
      </w:pPr>
      <w:bookmarkStart w:id="548" w:name="_Toc9645"/>
      <w:bookmarkStart w:id="549" w:name="_Toc22345"/>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.1.2 特征污染物环境质量现状评价</w:t>
      </w:r>
      <w:bookmarkEnd w:id="548"/>
      <w:bookmarkEnd w:id="54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（1）监测布点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按本区域主导风向，考虑区域功能以及对周边环境的影响，在</w:t>
      </w:r>
      <w:r>
        <w:rPr>
          <w:rFonts w:hint="eastAsia" w:ascii="Times New Roman" w:hAnsi="Times New Roman" w:cs="Times New Roman"/>
          <w:color w:val="000000" w:themeColor="text1"/>
          <w14:textFill>
            <w14:solidFill>
              <w14:schemeClr w14:val="tx1"/>
            </w14:solidFill>
          </w14:textFill>
        </w:rPr>
        <w:t>项目区下风向</w:t>
      </w:r>
      <w:r>
        <w:rPr>
          <w:rFonts w:ascii="Times New Roman" w:hAnsi="Times New Roman" w:cs="Times New Roman"/>
          <w:color w:val="000000" w:themeColor="text1"/>
          <w14:textFill>
            <w14:solidFill>
              <w14:schemeClr w14:val="tx1"/>
            </w14:solidFill>
          </w14:textFill>
        </w:rPr>
        <w:t>布设</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个大气监测点，监测点方位及距离见表4.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，具体位置见图4.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-1。</w:t>
      </w:r>
    </w:p>
    <w:p>
      <w:pPr>
        <w:wordWrap w:val="0"/>
        <w:overflowPunct w:val="0"/>
        <w:spacing w:line="520" w:lineRule="exact"/>
        <w:ind w:firstLine="422"/>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表4.</w:t>
      </w:r>
      <w:r>
        <w:rPr>
          <w:rFonts w:hint="eastAsia" w:ascii="Times New Roman" w:hAnsi="Times New Roman" w:cs="Times New Roman" w:eastAsiaTheme="minorEastAsia"/>
          <w:b/>
          <w:bCs/>
          <w:color w:val="000000" w:themeColor="text1"/>
          <w:sz w:val="21"/>
          <w:szCs w:val="21"/>
          <w14:textFill>
            <w14:solidFill>
              <w14:schemeClr w14:val="tx1"/>
            </w14:solidFill>
          </w14:textFill>
        </w:rPr>
        <w:t>3</w:t>
      </w:r>
      <w:r>
        <w:rPr>
          <w:rFonts w:ascii="Times New Roman" w:hAnsi="Times New Roman" w:cs="Times New Roman" w:eastAsiaTheme="minorEastAsia"/>
          <w:b/>
          <w:bCs/>
          <w:color w:val="000000" w:themeColor="text1"/>
          <w:sz w:val="21"/>
          <w:szCs w:val="21"/>
          <w14:textFill>
            <w14:solidFill>
              <w14:schemeClr w14:val="tx1"/>
            </w14:solidFill>
          </w14:textFill>
        </w:rPr>
        <w:t>-2   特征污染物监测点位基本信息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1829"/>
        <w:gridCol w:w="1476"/>
        <w:gridCol w:w="1604"/>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9" w:type="pct"/>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监测点名称</w:t>
            </w:r>
          </w:p>
        </w:tc>
        <w:tc>
          <w:tcPr>
            <w:tcW w:w="1073" w:type="pct"/>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监测点坐标</w:t>
            </w:r>
          </w:p>
        </w:tc>
        <w:tc>
          <w:tcPr>
            <w:tcW w:w="866" w:type="pct"/>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监测因子</w:t>
            </w:r>
          </w:p>
        </w:tc>
        <w:tc>
          <w:tcPr>
            <w:tcW w:w="941" w:type="pct"/>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监测时段</w:t>
            </w:r>
          </w:p>
        </w:tc>
        <w:tc>
          <w:tcPr>
            <w:tcW w:w="1038" w:type="pct"/>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相对方位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9" w:type="pct"/>
            <w:vAlign w:val="center"/>
          </w:tcPr>
          <w:p>
            <w:pPr>
              <w:pStyle w:val="4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项目区下风向</w:t>
            </w:r>
          </w:p>
        </w:tc>
        <w:tc>
          <w:tcPr>
            <w:tcW w:w="1073"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E：87.14527°</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N：44.31270°</w:t>
            </w:r>
          </w:p>
        </w:tc>
        <w:tc>
          <w:tcPr>
            <w:tcW w:w="866" w:type="pct"/>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941" w:type="pct"/>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每天4次</w:t>
            </w:r>
          </w:p>
        </w:tc>
        <w:tc>
          <w:tcPr>
            <w:tcW w:w="1038" w:type="pct"/>
            <w:vAlign w:val="center"/>
          </w:tcPr>
          <w:p>
            <w:pPr>
              <w:pStyle w:val="24"/>
              <w:spacing w:beforeLines="0" w:afterLines="0"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w:t>
            </w:r>
            <w:r>
              <w:rPr>
                <w:rFonts w:hint="eastAsia" w:ascii="Times New Roman" w:hAnsi="Times New Roman" w:eastAsia="宋体"/>
                <w:color w:val="000000" w:themeColor="text1"/>
                <w:sz w:val="21"/>
                <w:szCs w:val="21"/>
                <w14:textFill>
                  <w14:solidFill>
                    <w14:schemeClr w14:val="tx1"/>
                  </w14:solidFill>
                </w14:textFill>
              </w:rPr>
              <w:t>E</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（2）监测时间及频率及监测单位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w:t>
      </w:r>
      <w:r>
        <w:rPr>
          <w:rFonts w:hint="eastAsia" w:ascii="Times New Roman" w:hAnsi="Times New Roman" w:cs="Times New Roman"/>
          <w:color w:val="000000" w:themeColor="text1"/>
          <w14:textFill>
            <w14:solidFill>
              <w14:schemeClr w14:val="tx1"/>
            </w14:solidFill>
          </w14:textFill>
        </w:rPr>
        <w:t>因子</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监测时间：2021</w:t>
      </w:r>
      <w:r>
        <w:rPr>
          <w:rFonts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14:textFill>
            <w14:solidFill>
              <w14:schemeClr w14:val="tx1"/>
            </w14:solidFill>
          </w14:textFill>
        </w:rPr>
        <w:t>20</w:t>
      </w:r>
      <w:r>
        <w:rPr>
          <w:rFonts w:ascii="Times New Roman" w:hAnsi="Times New Roman" w:cs="Times New Roman"/>
          <w:color w:val="000000" w:themeColor="text1"/>
          <w14:textFill>
            <w14:solidFill>
              <w14:schemeClr w14:val="tx1"/>
            </w14:solidFill>
          </w14:textFill>
        </w:rPr>
        <w:t>日至</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14:textFill>
            <w14:solidFill>
              <w14:schemeClr w14:val="tx1"/>
            </w14:solidFill>
          </w14:textFill>
        </w:rPr>
        <w:t>26</w:t>
      </w:r>
      <w:r>
        <w:rPr>
          <w:rFonts w:ascii="Times New Roman" w:hAnsi="Times New Roman" w:cs="Times New Roman"/>
          <w:color w:val="000000" w:themeColor="text1"/>
          <w14:textFill>
            <w14:solidFill>
              <w14:schemeClr w14:val="tx1"/>
            </w14:solidFill>
          </w14:textFill>
        </w:rPr>
        <w:t>日，连续7天监测</w:t>
      </w:r>
      <w:r>
        <w:rPr>
          <w:rFonts w:hint="eastAsia"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监测频率：每日监测4次</w:t>
      </w:r>
      <w:r>
        <w:rPr>
          <w:rFonts w:hint="eastAsia"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监测单位：</w:t>
      </w:r>
      <w:r>
        <w:rPr>
          <w:rFonts w:ascii="Times New Roman" w:hAnsi="Times New Roman" w:cs="Times New Roman"/>
          <w:color w:val="000000" w:themeColor="text1"/>
          <w14:textFill>
            <w14:solidFill>
              <w14:schemeClr w14:val="tx1"/>
            </w14:solidFill>
          </w14:textFill>
        </w:rPr>
        <w:t>新疆锡水金山环境科技有限公司。</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（3）评价标准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执行参照《环境影响评价技术导则 大气环境》（HJ2.2-2018）附录D中表D.1相关浓度标准值。</w:t>
      </w:r>
    </w:p>
    <w:p>
      <w:pPr>
        <w:wordWrap w:val="0"/>
        <w:overflowPunct w:val="0"/>
        <w:spacing w:line="520" w:lineRule="exact"/>
        <w:ind w:firstLine="422"/>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表4.</w:t>
      </w:r>
      <w:r>
        <w:rPr>
          <w:rFonts w:hint="eastAsia" w:ascii="Times New Roman" w:hAnsi="Times New Roman" w:cs="Times New Roman" w:eastAsiaTheme="minorEastAsia"/>
          <w:b/>
          <w:bCs/>
          <w:color w:val="000000" w:themeColor="text1"/>
          <w:sz w:val="21"/>
          <w:szCs w:val="21"/>
          <w14:textFill>
            <w14:solidFill>
              <w14:schemeClr w14:val="tx1"/>
            </w14:solidFill>
          </w14:textFill>
        </w:rPr>
        <w:t>3</w:t>
      </w:r>
      <w:r>
        <w:rPr>
          <w:rFonts w:ascii="Times New Roman" w:hAnsi="Times New Roman" w:cs="Times New Roman" w:eastAsiaTheme="minorEastAsia"/>
          <w:b/>
          <w:bCs/>
          <w:color w:val="000000" w:themeColor="text1"/>
          <w:sz w:val="21"/>
          <w:szCs w:val="21"/>
          <w14:textFill>
            <w14:solidFill>
              <w14:schemeClr w14:val="tx1"/>
            </w14:solidFill>
          </w14:textFill>
        </w:rPr>
        <w:t>-3   特征污染物浓度限值</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61"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污染物名称</w:t>
            </w:r>
          </w:p>
        </w:tc>
        <w:tc>
          <w:tcPr>
            <w:tcW w:w="4261"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标准值（μg/m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426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426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（4）评价方法</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环境空气质量现状采用单因子污染指数法进行评价。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计算公式为：</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eastAsiaTheme="minorEastAsia"/>
          <w:color w:val="000000" w:themeColor="text1"/>
          <w:position w:val="-30"/>
          <w14:textFill>
            <w14:solidFill>
              <w14:schemeClr w14:val="tx1"/>
            </w14:solidFill>
          </w14:textFill>
        </w:rPr>
        <w:object>
          <v:shape id="_x0000_i1029" o:spt="75" type="#_x0000_t75" style="height:34pt;width:42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4">
            <o:LockedField>false</o:LockedField>
          </o:OLEObject>
        </w:objec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式中：P</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——污染物i的单项污染指数；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——污染物i的实测浓度值（mg/m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oi</w:t>
      </w:r>
      <w:r>
        <w:rPr>
          <w:rFonts w:ascii="Times New Roman" w:hAnsi="Times New Roman" w:cs="Times New Roman"/>
          <w:color w:val="000000" w:themeColor="text1"/>
          <w14:textFill>
            <w14:solidFill>
              <w14:schemeClr w14:val="tx1"/>
            </w14:solidFill>
          </w14:textFill>
        </w:rPr>
        <w:t>——污染物i的评价标准（mg/m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（5）特征污染物环境质量现状评价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特征污染物环境质量现状监测结果详见表4.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-4。</w:t>
      </w:r>
    </w:p>
    <w:p>
      <w:pPr>
        <w:wordWrap w:val="0"/>
        <w:overflowPunct w:val="0"/>
        <w:spacing w:line="520" w:lineRule="exact"/>
        <w:ind w:firstLine="422"/>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表4.</w:t>
      </w:r>
      <w:r>
        <w:rPr>
          <w:rFonts w:hint="eastAsia" w:ascii="Times New Roman" w:hAnsi="Times New Roman" w:cs="Times New Roman" w:eastAsiaTheme="minorEastAsia"/>
          <w:b/>
          <w:bCs/>
          <w:color w:val="000000" w:themeColor="text1"/>
          <w:sz w:val="21"/>
          <w:szCs w:val="21"/>
          <w14:textFill>
            <w14:solidFill>
              <w14:schemeClr w14:val="tx1"/>
            </w14:solidFill>
          </w14:textFill>
        </w:rPr>
        <w:t>3</w:t>
      </w:r>
      <w:r>
        <w:rPr>
          <w:rFonts w:ascii="Times New Roman" w:hAnsi="Times New Roman" w:cs="Times New Roman" w:eastAsiaTheme="minorEastAsia"/>
          <w:b/>
          <w:bCs/>
          <w:color w:val="000000" w:themeColor="text1"/>
          <w:sz w:val="21"/>
          <w:szCs w:val="21"/>
          <w14:textFill>
            <w14:solidFill>
              <w14:schemeClr w14:val="tx1"/>
            </w14:solidFill>
          </w14:textFill>
        </w:rPr>
        <w:t>-4   特征污染物环境质量现状监测结果表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855"/>
        <w:gridCol w:w="1290"/>
        <w:gridCol w:w="1650"/>
        <w:gridCol w:w="1695"/>
        <w:gridCol w:w="1100"/>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63" w:type="dxa"/>
            <w:shd w:val="clear" w:color="auto" w:fill="auto"/>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监测点名称</w:t>
            </w:r>
          </w:p>
        </w:tc>
        <w:tc>
          <w:tcPr>
            <w:tcW w:w="855" w:type="dxa"/>
            <w:shd w:val="clear" w:color="auto" w:fill="auto"/>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tc>
        <w:tc>
          <w:tcPr>
            <w:tcW w:w="1290" w:type="dxa"/>
            <w:shd w:val="clear" w:color="auto" w:fill="auto"/>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评价标准（mg/m³）</w:t>
            </w:r>
          </w:p>
        </w:tc>
        <w:tc>
          <w:tcPr>
            <w:tcW w:w="1650" w:type="dxa"/>
            <w:shd w:val="clear" w:color="auto" w:fill="auto"/>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监测浓度范围（mg/m³）</w:t>
            </w:r>
          </w:p>
        </w:tc>
        <w:tc>
          <w:tcPr>
            <w:tcW w:w="1695" w:type="dxa"/>
            <w:shd w:val="clear" w:color="auto" w:fill="auto"/>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最大浓度占标率（%）</w:t>
            </w:r>
          </w:p>
        </w:tc>
        <w:tc>
          <w:tcPr>
            <w:tcW w:w="1100" w:type="dxa"/>
            <w:shd w:val="clear" w:color="auto" w:fill="auto"/>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超标倍数（%）</w:t>
            </w:r>
          </w:p>
        </w:tc>
        <w:tc>
          <w:tcPr>
            <w:tcW w:w="969" w:type="dxa"/>
            <w:shd w:val="clear" w:color="auto" w:fill="auto"/>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达标</w:t>
            </w:r>
          </w:p>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dxa"/>
            <w:vMerge w:val="restart"/>
            <w:shd w:val="clear" w:color="auto" w:fill="auto"/>
            <w:vAlign w:val="center"/>
          </w:tcPr>
          <w:p>
            <w:pPr>
              <w:pStyle w:val="4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项目区下风向</w:t>
            </w:r>
          </w:p>
        </w:tc>
        <w:tc>
          <w:tcPr>
            <w:tcW w:w="855"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290"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0.20</w:t>
            </w:r>
          </w:p>
        </w:tc>
        <w:tc>
          <w:tcPr>
            <w:tcW w:w="1650"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w:t>
            </w:r>
            <w:r>
              <w:rPr>
                <w:rFonts w:hint="eastAsia" w:ascii="Times New Roman" w:hAnsi="Times New Roman" w:cs="Times New Roman"/>
                <w:color w:val="000000" w:themeColor="text1"/>
                <w:sz w:val="21"/>
                <w:szCs w:val="21"/>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-0.</w:t>
            </w:r>
            <w:r>
              <w:rPr>
                <w:rFonts w:hint="eastAsia" w:ascii="Times New Roman" w:hAnsi="Times New Roman" w:cs="Times New Roman"/>
                <w:color w:val="000000" w:themeColor="text1"/>
                <w:sz w:val="21"/>
                <w:szCs w:val="21"/>
                <w14:textFill>
                  <w14:solidFill>
                    <w14:schemeClr w14:val="tx1"/>
                  </w14:solidFill>
                </w14:textFill>
              </w:rPr>
              <w:t>05</w:t>
            </w:r>
          </w:p>
        </w:tc>
        <w:tc>
          <w:tcPr>
            <w:tcW w:w="1695"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25</w:t>
            </w:r>
          </w:p>
        </w:tc>
        <w:tc>
          <w:tcPr>
            <w:tcW w:w="1100"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w:t>
            </w:r>
          </w:p>
        </w:tc>
        <w:tc>
          <w:tcPr>
            <w:tcW w:w="969"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dxa"/>
            <w:vMerge w:val="continue"/>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855"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1290"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0.01</w:t>
            </w:r>
          </w:p>
        </w:tc>
        <w:tc>
          <w:tcPr>
            <w:tcW w:w="1650"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&lt;0.005</w:t>
            </w:r>
          </w:p>
        </w:tc>
        <w:tc>
          <w:tcPr>
            <w:tcW w:w="1695"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w:t>
            </w:r>
          </w:p>
        </w:tc>
        <w:tc>
          <w:tcPr>
            <w:tcW w:w="1100"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w:t>
            </w:r>
          </w:p>
        </w:tc>
        <w:tc>
          <w:tcPr>
            <w:tcW w:w="969" w:type="dxa"/>
            <w:shd w:val="clear" w:color="auto" w:fill="auto"/>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从监测结果可知，特征污染物H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满足《环境影响评价技术导则 大气环境》（HJ2.2-2018）附录D中表D.1相关浓度标准值。</w:t>
      </w:r>
    </w:p>
    <w:p>
      <w:pPr>
        <w:pStyle w:val="6"/>
        <w:rPr>
          <w:rFonts w:ascii="Times New Roman" w:hAnsi="Times New Roman" w:cs="Times New Roman"/>
          <w:color w:val="000000" w:themeColor="text1"/>
          <w14:textFill>
            <w14:solidFill>
              <w14:schemeClr w14:val="tx1"/>
            </w14:solidFill>
          </w14:textFill>
        </w:rPr>
      </w:pPr>
      <w:bookmarkStart w:id="550" w:name="_Toc731"/>
      <w:bookmarkStart w:id="551" w:name="_Toc15689"/>
      <w:r>
        <w:rPr>
          <w:rFonts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.2 地下水环境质量现状调查与评价</w:t>
      </w:r>
      <w:bookmarkEnd w:id="542"/>
      <w:bookmarkEnd w:id="543"/>
      <w:bookmarkEnd w:id="544"/>
      <w:bookmarkEnd w:id="545"/>
      <w:bookmarkEnd w:id="546"/>
      <w:bookmarkEnd w:id="547"/>
      <w:bookmarkEnd w:id="550"/>
      <w:bookmarkEnd w:id="551"/>
    </w:p>
    <w:p>
      <w:pPr>
        <w:pStyle w:val="7"/>
        <w:rPr>
          <w:rFonts w:cs="Times New Roman"/>
          <w:color w:val="000000" w:themeColor="text1"/>
          <w14:textFill>
            <w14:solidFill>
              <w14:schemeClr w14:val="tx1"/>
            </w14:solidFill>
          </w14:textFill>
        </w:rPr>
      </w:pPr>
      <w:bookmarkStart w:id="552" w:name="_Toc16479"/>
      <w:bookmarkStart w:id="553" w:name="_Toc31538"/>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.2.1 监测点位布设</w:t>
      </w:r>
      <w:bookmarkEnd w:id="552"/>
      <w:bookmarkEnd w:id="553"/>
    </w:p>
    <w:p>
      <w:pPr>
        <w:spacing w:line="520" w:lineRule="exac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本次地下水现状监测共布设2个监测点，分别是1#厂区南侧</w:t>
      </w:r>
      <w:r>
        <w:rPr>
          <w:rFonts w:hint="eastAsia" w:ascii="Times New Roman" w:hAnsi="Times New Roman" w:cs="Times New Roman"/>
          <w:bCs/>
          <w:color w:val="000000" w:themeColor="text1"/>
          <w:szCs w:val="20"/>
          <w14:textFill>
            <w14:solidFill>
              <w14:schemeClr w14:val="tx1"/>
            </w14:solidFill>
          </w14:textFill>
        </w:rPr>
        <w:t>地下水</w:t>
      </w:r>
      <w:r>
        <w:rPr>
          <w:rFonts w:ascii="Times New Roman" w:hAnsi="Times New Roman" w:cs="Times New Roman"/>
          <w:bCs/>
          <w:color w:val="000000" w:themeColor="text1"/>
          <w:szCs w:val="20"/>
          <w14:textFill>
            <w14:solidFill>
              <w14:schemeClr w14:val="tx1"/>
            </w14:solidFill>
          </w14:textFill>
        </w:rPr>
        <w:t>水井和2#厂区</w:t>
      </w:r>
      <w:r>
        <w:rPr>
          <w:rFonts w:hint="eastAsia" w:ascii="Times New Roman" w:hAnsi="Times New Roman" w:cs="Times New Roman"/>
          <w:bCs/>
          <w:color w:val="000000" w:themeColor="text1"/>
          <w:szCs w:val="20"/>
          <w14:textFill>
            <w14:solidFill>
              <w14:schemeClr w14:val="tx1"/>
            </w14:solidFill>
          </w14:textFill>
        </w:rPr>
        <w:t>西</w:t>
      </w:r>
      <w:r>
        <w:rPr>
          <w:rFonts w:ascii="Times New Roman" w:hAnsi="Times New Roman" w:cs="Times New Roman"/>
          <w:bCs/>
          <w:color w:val="000000" w:themeColor="text1"/>
          <w:szCs w:val="20"/>
          <w14:textFill>
            <w14:solidFill>
              <w14:schemeClr w14:val="tx1"/>
            </w14:solidFill>
          </w14:textFill>
        </w:rPr>
        <w:t>北侧</w:t>
      </w:r>
      <w:r>
        <w:rPr>
          <w:rFonts w:hint="eastAsia" w:ascii="Times New Roman" w:hAnsi="Times New Roman" w:cs="Times New Roman"/>
          <w:bCs/>
          <w:color w:val="000000" w:themeColor="text1"/>
          <w:szCs w:val="20"/>
          <w14:textFill>
            <w14:solidFill>
              <w14:schemeClr w14:val="tx1"/>
            </w14:solidFill>
          </w14:textFill>
        </w:rPr>
        <w:t>地下水</w:t>
      </w:r>
      <w:r>
        <w:rPr>
          <w:rFonts w:ascii="Times New Roman" w:hAnsi="Times New Roman" w:cs="Times New Roman"/>
          <w:bCs/>
          <w:color w:val="000000" w:themeColor="text1"/>
          <w:szCs w:val="20"/>
          <w14:textFill>
            <w14:solidFill>
              <w14:schemeClr w14:val="tx1"/>
            </w14:solidFill>
          </w14:textFill>
        </w:rPr>
        <w:t>水井。其中1#位于本项目场地地下水流向的上游，2#位于本项目场地的地下水流向的下游。监测的含水层为潜水含水层，具有一定的代表性，符合《环境影响评价技术导则-地下水环境》（HJ610-2016）的布点要求。</w:t>
      </w:r>
    </w:p>
    <w:p>
      <w:pPr>
        <w:spacing w:line="520" w:lineRule="exac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监测点位分布图见图4.</w:t>
      </w:r>
      <w:r>
        <w:rPr>
          <w:rFonts w:hint="eastAsia" w:ascii="Times New Roman" w:hAnsi="Times New Roman" w:cs="Times New Roman"/>
          <w:bCs/>
          <w:color w:val="000000" w:themeColor="text1"/>
          <w:szCs w:val="20"/>
          <w14:textFill>
            <w14:solidFill>
              <w14:schemeClr w14:val="tx1"/>
            </w14:solidFill>
          </w14:textFill>
        </w:rPr>
        <w:t>3-1</w:t>
      </w:r>
      <w:r>
        <w:rPr>
          <w:rFonts w:ascii="Times New Roman" w:hAnsi="Times New Roman" w:cs="Times New Roman"/>
          <w:bCs/>
          <w:color w:val="000000" w:themeColor="text1"/>
          <w:szCs w:val="20"/>
          <w14:textFill>
            <w14:solidFill>
              <w14:schemeClr w14:val="tx1"/>
            </w14:solidFill>
          </w14:textFill>
        </w:rPr>
        <w:t>监测点位图，地下水监测点基本信息见表4.</w:t>
      </w:r>
      <w:r>
        <w:rPr>
          <w:rFonts w:hint="eastAsia" w:ascii="Times New Roman" w:hAnsi="Times New Roman" w:cs="Times New Roman"/>
          <w:bCs/>
          <w:color w:val="000000" w:themeColor="text1"/>
          <w:szCs w:val="20"/>
          <w14:textFill>
            <w14:solidFill>
              <w14:schemeClr w14:val="tx1"/>
            </w14:solidFill>
          </w14:textFill>
        </w:rPr>
        <w:t>3</w:t>
      </w:r>
      <w:r>
        <w:rPr>
          <w:rFonts w:ascii="Times New Roman" w:hAnsi="Times New Roman" w:cs="Times New Roman"/>
          <w:bCs/>
          <w:color w:val="000000" w:themeColor="text1"/>
          <w:szCs w:val="20"/>
          <w14:textFill>
            <w14:solidFill>
              <w14:schemeClr w14:val="tx1"/>
            </w14:solidFill>
          </w14:textFill>
        </w:rPr>
        <w:t>-5。</w:t>
      </w:r>
    </w:p>
    <w:p>
      <w:pPr>
        <w:tabs>
          <w:tab w:val="left" w:pos="3165"/>
        </w:tabs>
        <w:spacing w:line="520" w:lineRule="exact"/>
        <w:ind w:firstLine="422"/>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-5   地下水监测点基本信息表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873"/>
        <w:gridCol w:w="2386"/>
        <w:gridCol w:w="2429"/>
        <w:gridCol w:w="2474"/>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873" w:type="dxa"/>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序号</w:t>
            </w:r>
          </w:p>
        </w:tc>
        <w:tc>
          <w:tcPr>
            <w:tcW w:w="2386" w:type="dxa"/>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监测点名称</w:t>
            </w:r>
          </w:p>
        </w:tc>
        <w:tc>
          <w:tcPr>
            <w:tcW w:w="2429" w:type="dxa"/>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监测点坐标</w:t>
            </w:r>
          </w:p>
        </w:tc>
        <w:tc>
          <w:tcPr>
            <w:tcW w:w="2474" w:type="dxa"/>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与项目区相对位置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873"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2386"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厂区南侧地下水水井</w:t>
            </w:r>
          </w:p>
        </w:tc>
        <w:tc>
          <w:tcPr>
            <w:tcW w:w="2429" w:type="dxa"/>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E 87°8′4.69″</w:t>
            </w:r>
          </w:p>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 44°19′10.53″</w:t>
            </w:r>
          </w:p>
        </w:tc>
        <w:tc>
          <w:tcPr>
            <w:tcW w:w="2474" w:type="dxa"/>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南侧246m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873"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2386"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厂区西北侧地下水水井</w:t>
            </w:r>
          </w:p>
        </w:tc>
        <w:tc>
          <w:tcPr>
            <w:tcW w:w="242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E 87°8′28.71″E</w:t>
            </w:r>
          </w:p>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 44°18′58.05″</w:t>
            </w:r>
          </w:p>
        </w:tc>
        <w:tc>
          <w:tcPr>
            <w:tcW w:w="2474" w:type="dxa"/>
            <w:vAlign w:val="center"/>
          </w:tcPr>
          <w:p>
            <w:pPr>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西北</w:t>
            </w:r>
            <w:r>
              <w:rPr>
                <w:rFonts w:ascii="Times New Roman" w:hAnsi="Times New Roman" w:cs="Times New Roman"/>
                <w:color w:val="000000" w:themeColor="text1"/>
                <w:sz w:val="21"/>
                <w:szCs w:val="21"/>
                <w14:textFill>
                  <w14:solidFill>
                    <w14:schemeClr w14:val="tx1"/>
                  </w14:solidFill>
                </w14:textFill>
              </w:rPr>
              <w:t>侧</w:t>
            </w:r>
            <w:r>
              <w:rPr>
                <w:rFonts w:hint="eastAsia" w:ascii="Times New Roman" w:hAnsi="Times New Roman" w:cs="Times New Roman"/>
                <w:color w:val="000000" w:themeColor="text1"/>
                <w:sz w:val="21"/>
                <w:szCs w:val="21"/>
                <w14:textFill>
                  <w14:solidFill>
                    <w14:schemeClr w14:val="tx1"/>
                  </w14:solidFill>
                </w14:textFill>
              </w:rPr>
              <w:t>520m</w:t>
            </w:r>
          </w:p>
        </w:tc>
      </w:tr>
    </w:tbl>
    <w:p>
      <w:pPr>
        <w:pStyle w:val="7"/>
        <w:rPr>
          <w:rFonts w:cs="Times New Roman"/>
          <w:color w:val="000000" w:themeColor="text1"/>
          <w14:textFill>
            <w14:solidFill>
              <w14:schemeClr w14:val="tx1"/>
            </w14:solidFill>
          </w14:textFill>
        </w:rPr>
      </w:pPr>
      <w:bookmarkStart w:id="554" w:name="_Toc19824"/>
      <w:bookmarkStart w:id="555" w:name="_Toc13069"/>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.2.2 监测时间、监测项目与分析方法</w:t>
      </w:r>
      <w:bookmarkEnd w:id="554"/>
      <w:bookmarkEnd w:id="555"/>
    </w:p>
    <w:p>
      <w:pPr>
        <w:spacing w:line="520" w:lineRule="exac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监测时间：</w:t>
      </w:r>
      <w:r>
        <w:rPr>
          <w:rFonts w:hint="eastAsia" w:ascii="Times New Roman" w:hAnsi="Times New Roman" w:cs="Times New Roman"/>
          <w:bCs/>
          <w:color w:val="000000" w:themeColor="text1"/>
          <w:szCs w:val="20"/>
          <w14:textFill>
            <w14:solidFill>
              <w14:schemeClr w14:val="tx1"/>
            </w14:solidFill>
          </w14:textFill>
        </w:rPr>
        <w:t>2020</w:t>
      </w:r>
      <w:r>
        <w:rPr>
          <w:rFonts w:ascii="Times New Roman" w:hAnsi="Times New Roman" w:cs="Times New Roman"/>
          <w:bCs/>
          <w:color w:val="000000" w:themeColor="text1"/>
          <w:szCs w:val="20"/>
          <w14:textFill>
            <w14:solidFill>
              <w14:schemeClr w14:val="tx1"/>
            </w14:solidFill>
          </w14:textFill>
        </w:rPr>
        <w:t>年</w:t>
      </w:r>
      <w:r>
        <w:rPr>
          <w:rFonts w:hint="eastAsia" w:ascii="Times New Roman" w:hAnsi="Times New Roman" w:cs="Times New Roman"/>
          <w:bCs/>
          <w:color w:val="000000" w:themeColor="text1"/>
          <w:szCs w:val="20"/>
          <w14:textFill>
            <w14:solidFill>
              <w14:schemeClr w14:val="tx1"/>
            </w14:solidFill>
          </w14:textFill>
        </w:rPr>
        <w:t>5</w:t>
      </w:r>
      <w:r>
        <w:rPr>
          <w:rFonts w:ascii="Times New Roman" w:hAnsi="Times New Roman" w:cs="Times New Roman"/>
          <w:bCs/>
          <w:color w:val="000000" w:themeColor="text1"/>
          <w:szCs w:val="20"/>
          <w14:textFill>
            <w14:solidFill>
              <w14:schemeClr w14:val="tx1"/>
            </w14:solidFill>
          </w14:textFill>
        </w:rPr>
        <w:t>月</w:t>
      </w:r>
      <w:r>
        <w:rPr>
          <w:rFonts w:hint="eastAsia" w:ascii="Times New Roman" w:hAnsi="Times New Roman" w:cs="Times New Roman"/>
          <w:bCs/>
          <w:color w:val="000000" w:themeColor="text1"/>
          <w:szCs w:val="20"/>
          <w14:textFill>
            <w14:solidFill>
              <w14:schemeClr w14:val="tx1"/>
            </w14:solidFill>
          </w14:textFill>
        </w:rPr>
        <w:t>20</w:t>
      </w:r>
      <w:r>
        <w:rPr>
          <w:rFonts w:ascii="Times New Roman" w:hAnsi="Times New Roman" w:cs="Times New Roman"/>
          <w:bCs/>
          <w:color w:val="000000" w:themeColor="text1"/>
          <w:szCs w:val="20"/>
          <w14:textFill>
            <w14:solidFill>
              <w14:schemeClr w14:val="tx1"/>
            </w14:solidFill>
          </w14:textFill>
        </w:rPr>
        <w:t>日；</w:t>
      </w:r>
    </w:p>
    <w:p>
      <w:pPr>
        <w:spacing w:line="520" w:lineRule="exac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监测项目：pH、氨氮、硝酸盐、亚硝酸盐、挥发酚、氰化物、砷、汞、六价铬、总硬度、铅、氟</w:t>
      </w:r>
      <w:r>
        <w:rPr>
          <w:rFonts w:hint="eastAsia" w:ascii="Times New Roman" w:hAnsi="Times New Roman" w:cs="Times New Roman"/>
          <w:bCs/>
          <w:color w:val="000000" w:themeColor="text1"/>
          <w:szCs w:val="20"/>
          <w14:textFill>
            <w14:solidFill>
              <w14:schemeClr w14:val="tx1"/>
            </w14:solidFill>
          </w14:textFill>
        </w:rPr>
        <w:t>化物</w:t>
      </w:r>
      <w:r>
        <w:rPr>
          <w:rFonts w:ascii="Times New Roman" w:hAnsi="Times New Roman" w:cs="Times New Roman"/>
          <w:bCs/>
          <w:color w:val="000000" w:themeColor="text1"/>
          <w:szCs w:val="20"/>
          <w14:textFill>
            <w14:solidFill>
              <w14:schemeClr w14:val="tx1"/>
            </w14:solidFill>
          </w14:textFill>
        </w:rPr>
        <w:t>、镉、铁、锰、溶解性总固体、硫酸盐、氯化物、总大肠菌群、细菌总数、钠等共计</w:t>
      </w:r>
      <w:r>
        <w:rPr>
          <w:rFonts w:hint="eastAsia" w:ascii="Times New Roman" w:hAnsi="Times New Roman" w:cs="Times New Roman"/>
          <w:bCs/>
          <w:color w:val="000000" w:themeColor="text1"/>
          <w:szCs w:val="20"/>
          <w14:textFill>
            <w14:solidFill>
              <w14:schemeClr w14:val="tx1"/>
            </w14:solidFill>
          </w14:textFill>
        </w:rPr>
        <w:t>21</w:t>
      </w:r>
      <w:r>
        <w:rPr>
          <w:rFonts w:ascii="Times New Roman" w:hAnsi="Times New Roman" w:cs="Times New Roman"/>
          <w:bCs/>
          <w:color w:val="000000" w:themeColor="text1"/>
          <w:szCs w:val="20"/>
          <w14:textFill>
            <w14:solidFill>
              <w14:schemeClr w14:val="tx1"/>
            </w14:solidFill>
          </w14:textFill>
        </w:rPr>
        <w:t>个监测项目；</w:t>
      </w:r>
    </w:p>
    <w:p>
      <w:pPr>
        <w:spacing w:line="520" w:lineRule="exac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监测分析方法见表4.</w:t>
      </w:r>
      <w:r>
        <w:rPr>
          <w:rFonts w:hint="eastAsia" w:ascii="Times New Roman" w:hAnsi="Times New Roman" w:cs="Times New Roman"/>
          <w:bCs/>
          <w:color w:val="000000" w:themeColor="text1"/>
          <w:szCs w:val="20"/>
          <w14:textFill>
            <w14:solidFill>
              <w14:schemeClr w14:val="tx1"/>
            </w14:solidFill>
          </w14:textFill>
        </w:rPr>
        <w:t>3-6</w:t>
      </w:r>
      <w:r>
        <w:rPr>
          <w:rFonts w:ascii="Times New Roman" w:hAnsi="Times New Roman" w:cs="Times New Roman"/>
          <w:bCs/>
          <w:color w:val="000000" w:themeColor="text1"/>
          <w:szCs w:val="20"/>
          <w14:textFill>
            <w14:solidFill>
              <w14:schemeClr w14:val="tx1"/>
            </w14:solidFill>
          </w14:textFill>
        </w:rPr>
        <w:t>。</w:t>
      </w:r>
    </w:p>
    <w:p>
      <w:pPr>
        <w:tabs>
          <w:tab w:val="left" w:pos="3165"/>
        </w:tabs>
        <w:spacing w:line="520" w:lineRule="exact"/>
        <w:ind w:firstLine="422"/>
        <w:jc w:val="center"/>
        <w:rPr>
          <w:rFonts w:ascii="Times New Roman" w:hAnsi="Times New Roman" w:cs="Times New Roman"/>
          <w:b/>
          <w:bCs/>
          <w:color w:val="000000" w:themeColor="text1"/>
          <w:sz w:val="21"/>
          <w:szCs w:val="21"/>
          <w14:textFill>
            <w14:solidFill>
              <w14:schemeClr w14:val="tx1"/>
            </w14:solidFill>
          </w14:textFill>
        </w:rPr>
      </w:pPr>
    </w:p>
    <w:p>
      <w:pPr>
        <w:tabs>
          <w:tab w:val="left" w:pos="3165"/>
        </w:tabs>
        <w:spacing w:line="520" w:lineRule="exact"/>
        <w:ind w:firstLine="422"/>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14:textFill>
            <w14:solidFill>
              <w14:schemeClr w14:val="tx1"/>
            </w14:solidFill>
          </w14:textFill>
        </w:rPr>
        <w:t>3-6</w:t>
      </w:r>
      <w:r>
        <w:rPr>
          <w:rFonts w:ascii="Times New Roman" w:hAnsi="Times New Roman" w:cs="Times New Roman"/>
          <w:b/>
          <w:bCs/>
          <w:color w:val="000000" w:themeColor="text1"/>
          <w:sz w:val="21"/>
          <w:szCs w:val="21"/>
          <w14:textFill>
            <w14:solidFill>
              <w14:schemeClr w14:val="tx1"/>
            </w14:solidFill>
          </w14:textFill>
        </w:rPr>
        <w:t xml:space="preserve">   地下水水质监测分析方法一览表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764"/>
        <w:gridCol w:w="1418"/>
        <w:gridCol w:w="4731"/>
        <w:gridCol w:w="1249"/>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blHeader/>
        </w:trPr>
        <w:tc>
          <w:tcPr>
            <w:tcW w:w="764" w:type="dxa"/>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序号</w:t>
            </w:r>
          </w:p>
        </w:tc>
        <w:tc>
          <w:tcPr>
            <w:tcW w:w="1418" w:type="dxa"/>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监测项目</w:t>
            </w:r>
          </w:p>
        </w:tc>
        <w:tc>
          <w:tcPr>
            <w:tcW w:w="4731" w:type="dxa"/>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分析方法</w:t>
            </w:r>
          </w:p>
        </w:tc>
        <w:tc>
          <w:tcPr>
            <w:tcW w:w="1249" w:type="dxa"/>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pH</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pH值的测定</w:t>
            </w:r>
            <w:r>
              <w:rPr>
                <w:rFonts w:hint="eastAsia"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玻璃电极法 GB 6920-1986</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总硬度</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水质钙和镁总量的测定EDTA滴定法GB7477-1987</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5.00mg/L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氯化物</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无机阴离子</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F-、Cl-、NO2-、Br-、NO3-、PO43-、SO32-、SO42-</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的测定离子色谱法HJ 84-2016</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0.007</w:t>
            </w:r>
            <w:r>
              <w:rPr>
                <w:rFonts w:ascii="Times New Roman" w:hAnsi="Times New Roman" w:cs="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溶解性总固体</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生活饮用水标准检验方法 感官</w:t>
            </w:r>
            <w:r>
              <w:rPr>
                <w:rFonts w:hint="eastAsia" w:ascii="Times New Roman" w:hAnsi="Times New Roman" w:cs="Times New Roman"/>
                <w:color w:val="000000" w:themeColor="text1"/>
                <w:sz w:val="21"/>
                <w:szCs w:val="21"/>
                <w14:textFill>
                  <w14:solidFill>
                    <w14:schemeClr w14:val="tx1"/>
                  </w14:solidFill>
                </w14:textFill>
              </w:rPr>
              <w:t>性</w:t>
            </w:r>
            <w:r>
              <w:rPr>
                <w:rFonts w:ascii="Times New Roman" w:hAnsi="Times New Roman" w:cs="Times New Roman"/>
                <w:color w:val="000000" w:themeColor="text1"/>
                <w:sz w:val="21"/>
                <w:szCs w:val="21"/>
                <w14:textFill>
                  <w14:solidFill>
                    <w14:schemeClr w14:val="tx1"/>
                  </w14:solidFill>
                </w14:textFill>
              </w:rPr>
              <w:t>状和物理指标GB/T5750.4-2006</w:t>
            </w:r>
            <w:r>
              <w:rPr>
                <w:rFonts w:hint="eastAsia" w:ascii="Times New Roman" w:hAnsi="Times New Roman" w:cs="Times New Roman"/>
                <w:color w:val="000000" w:themeColor="text1"/>
                <w:sz w:val="21"/>
                <w:szCs w:val="21"/>
                <w14:textFill>
                  <w14:solidFill>
                    <w14:schemeClr w14:val="tx1"/>
                  </w14:solidFill>
                </w14:textFill>
              </w:rPr>
              <w:t>（8.1法）</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氟化物</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无机阴离子</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F-、Cl-、NO2-、Br-、NO3-、PO43-、SO32-、SO42-</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的测定离子色谱法HJ 84-2016</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0.006</w:t>
            </w:r>
            <w:r>
              <w:rPr>
                <w:rFonts w:ascii="Times New Roman" w:hAnsi="Times New Roman" w:cs="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氨氮</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氨氮的测定 纳氏试剂分光光度法HJ535-2009</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r>
              <w:rPr>
                <w:rFonts w:hint="eastAsia" w:ascii="Times New Roman" w:hAnsi="Times New Roman" w:cs="Times New Roman"/>
                <w:color w:val="000000" w:themeColor="text1"/>
                <w:sz w:val="21"/>
                <w:szCs w:val="21"/>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硝酸盐</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无机阴离子</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F-、Cl-、NO2-、Br-、NO3-、PO43-、SO32-、SO42-</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的测定离子色谱法HJ 84-2016</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0.004</w:t>
            </w:r>
            <w:r>
              <w:rPr>
                <w:rFonts w:ascii="Times New Roman" w:hAnsi="Times New Roman" w:cs="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亚硝酸盐</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无机阴离子</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F-、Cl-、NO2-、Br-、NO3-、PO43-、SO32-、SO42-</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的测定离子色谱法HJ 84-2016</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0.005</w:t>
            </w:r>
            <w:r>
              <w:rPr>
                <w:rFonts w:ascii="Times New Roman" w:hAnsi="Times New Roman" w:cs="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硫酸盐</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无机阴离子</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F-、Cl-、NO2-、Br-、NO3-、PO43-、SO32-、SO42-</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的测定离子色谱法HJ 84-2016</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0.018</w:t>
            </w:r>
            <w:r>
              <w:rPr>
                <w:rFonts w:ascii="Times New Roman" w:hAnsi="Times New Roman" w:cs="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10</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六价铬</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 xml:space="preserve">水质 </w:t>
            </w:r>
            <w:r>
              <w:rPr>
                <w:rFonts w:ascii="Times New Roman" w:hAnsi="Times New Roman" w:cs="Times New Roman"/>
                <w:color w:val="000000" w:themeColor="text1"/>
                <w:sz w:val="21"/>
                <w:szCs w:val="21"/>
                <w14:textFill>
                  <w14:solidFill>
                    <w14:schemeClr w14:val="tx1"/>
                  </w14:solidFill>
                </w14:textFill>
              </w:rPr>
              <w:t>六价铬</w:t>
            </w:r>
            <w:r>
              <w:rPr>
                <w:rFonts w:hint="eastAsia" w:ascii="Times New Roman" w:hAnsi="Times New Roman" w:cs="Times New Roman"/>
                <w:color w:val="000000" w:themeColor="text1"/>
                <w:sz w:val="21"/>
                <w:szCs w:val="21"/>
                <w14:textFill>
                  <w14:solidFill>
                    <w14:schemeClr w14:val="tx1"/>
                  </w14:solidFill>
                </w14:textFill>
              </w:rPr>
              <w:t>的测定 二苯碳酰二肼分光光度法GB7467-1987</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0.004mg/L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11</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挥发酚</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挥发酚的测定 4-氨基安替比林分光光度法HJ503-2009</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12</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氰化物</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氰化物的测定 容量法和分光光度法HJ484-2009</w:t>
            </w:r>
            <w:r>
              <w:rPr>
                <w:rFonts w:hint="eastAsia" w:ascii="Times New Roman" w:hAnsi="Times New Roman" w:cs="Times New Roman"/>
                <w:color w:val="000000" w:themeColor="text1"/>
                <w:sz w:val="21"/>
                <w:szCs w:val="21"/>
                <w14:textFill>
                  <w14:solidFill>
                    <w14:schemeClr w14:val="tx1"/>
                  </w14:solidFill>
                </w14:textFill>
              </w:rPr>
              <w:t>（方法2）</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0.004</w:t>
            </w:r>
            <w:r>
              <w:rPr>
                <w:rFonts w:ascii="Times New Roman" w:hAnsi="Times New Roman" w:cs="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13</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锰</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铁、锰的测定 火焰原子吸收分光光度法GB11911-1989</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w:t>
            </w:r>
            <w:r>
              <w:rPr>
                <w:rFonts w:hint="eastAsia"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14</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铁</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铁、锰的测定 火焰原子吸收分光光度法GB11911-1989</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0.03mg/L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15</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镉</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水质 铜、锌、铅、镉的测定 原子吸收分光光度法GB7475-1987（螯合萃取法）</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μg/</w:t>
            </w:r>
            <w:r>
              <w:rPr>
                <w:rFonts w:hint="eastAsia" w:ascii="Times New Roman" w:hAnsi="Times New Roman" w:cs="Times New Roman"/>
                <w:color w:val="000000" w:themeColor="text1"/>
                <w:sz w:val="21"/>
                <w:szCs w:val="21"/>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16</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砷</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汞、砷、硒、铋和锑的测定 原子荧光法HJ694-2014</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0.3μg/</w:t>
            </w:r>
            <w:r>
              <w:rPr>
                <w:rFonts w:hint="eastAsia" w:ascii="Times New Roman" w:hAnsi="Times New Roman" w:cs="Times New Roman"/>
                <w:color w:val="000000" w:themeColor="text1"/>
                <w:sz w:val="21"/>
                <w:szCs w:val="21"/>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17</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汞</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水质 汞、砷、硒、铋和锑的测定 原子荧光法HJ694-2014</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0.04μg/</w:t>
            </w:r>
            <w:r>
              <w:rPr>
                <w:rFonts w:hint="eastAsia" w:ascii="Times New Roman" w:hAnsi="Times New Roman" w:cs="Times New Roman"/>
                <w:color w:val="000000" w:themeColor="text1"/>
                <w:sz w:val="21"/>
                <w:szCs w:val="21"/>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18</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铅</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水质 铜、锌、铅、镉的测定 原子吸收分光光度法GB7475-1987（螯合萃取法）</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10</w:t>
            </w:r>
            <w:r>
              <w:rPr>
                <w:rFonts w:ascii="Times New Roman" w:hAnsi="Times New Roman" w:cs="Times New Roman"/>
                <w:color w:val="000000" w:themeColor="text1"/>
                <w:sz w:val="21"/>
                <w:szCs w:val="21"/>
                <w14:textFill>
                  <w14:solidFill>
                    <w14:schemeClr w14:val="tx1"/>
                  </w14:solidFill>
                </w14:textFill>
              </w:rPr>
              <w:t>μg/L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19</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总大肠菌群</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生活饮用水标准检验方法 微生物指标 GB/T 5750.12-2006</w:t>
            </w:r>
            <w:r>
              <w:rPr>
                <w:rFonts w:hint="eastAsia" w:ascii="Times New Roman" w:hAnsi="Times New Roman" w:cs="Times New Roman"/>
                <w:color w:val="000000" w:themeColor="text1"/>
                <w:sz w:val="21"/>
                <w:szCs w:val="21"/>
                <w14:textFill>
                  <w14:solidFill>
                    <w14:schemeClr w14:val="tx1"/>
                  </w14:solidFill>
                </w14:textFill>
              </w:rPr>
              <w:t>（只用2.1法）</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20</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菌落总数</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生活饮用水标准检验方法 微生物指标 GB/T 5750.12-2006 </w:t>
            </w:r>
            <w:r>
              <w:rPr>
                <w:rFonts w:hint="eastAsia" w:ascii="Times New Roman" w:hAnsi="Times New Roman" w:cs="Times New Roman"/>
                <w:color w:val="000000" w:themeColor="text1"/>
                <w:sz w:val="21"/>
                <w:szCs w:val="21"/>
                <w14:textFill>
                  <w14:solidFill>
                    <w14:schemeClr w14:val="tx1"/>
                  </w14:solidFill>
                </w14:textFill>
              </w:rPr>
              <w:t>（只用1.1法）</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764"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21</w:t>
            </w:r>
          </w:p>
        </w:tc>
        <w:tc>
          <w:tcPr>
            <w:tcW w:w="1418"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钠</w:t>
            </w:r>
          </w:p>
        </w:tc>
        <w:tc>
          <w:tcPr>
            <w:tcW w:w="4731"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水质 </w:t>
            </w:r>
            <w:r>
              <w:rPr>
                <w:rFonts w:hint="eastAsia" w:ascii="Times New Roman" w:hAnsi="Times New Roman" w:cs="Times New Roman"/>
                <w:color w:val="000000" w:themeColor="text1"/>
                <w:sz w:val="21"/>
                <w:szCs w:val="21"/>
                <w14:textFill>
                  <w14:solidFill>
                    <w14:schemeClr w14:val="tx1"/>
                  </w14:solidFill>
                </w14:textFill>
              </w:rPr>
              <w:t>32种元素的测定 电感耦合等离子体发射光谱法HJ776-2015</w:t>
            </w:r>
          </w:p>
        </w:tc>
        <w:tc>
          <w:tcPr>
            <w:tcW w:w="1249" w:type="dxa"/>
            <w:vAlign w:val="center"/>
          </w:tcPr>
          <w:p>
            <w:pPr>
              <w:overflowPunct w:val="0"/>
              <w:adjustRightInd w:val="0"/>
              <w:spacing w:line="240" w:lineRule="auto"/>
              <w:ind w:firstLine="0" w:firstLineChars="0"/>
              <w:jc w:val="center"/>
              <w:textAlignment w:val="baseline"/>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0.03</w:t>
            </w:r>
            <w:r>
              <w:rPr>
                <w:rFonts w:ascii="Times New Roman" w:hAnsi="Times New Roman" w:cs="Times New Roman"/>
                <w:color w:val="000000" w:themeColor="text1"/>
                <w:sz w:val="21"/>
                <w:szCs w:val="21"/>
                <w14:textFill>
                  <w14:solidFill>
                    <w14:schemeClr w14:val="tx1"/>
                  </w14:solidFill>
                </w14:textFill>
              </w:rPr>
              <w:t>mg/L</w:t>
            </w:r>
          </w:p>
        </w:tc>
      </w:tr>
    </w:tbl>
    <w:p>
      <w:pPr>
        <w:pStyle w:val="7"/>
        <w:rPr>
          <w:rFonts w:cs="Times New Roman"/>
          <w:color w:val="000000" w:themeColor="text1"/>
          <w14:textFill>
            <w14:solidFill>
              <w14:schemeClr w14:val="tx1"/>
            </w14:solidFill>
          </w14:textFill>
        </w:rPr>
      </w:pPr>
      <w:bookmarkStart w:id="556" w:name="_Toc1690"/>
      <w:bookmarkStart w:id="557" w:name="_Toc6690"/>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.2.3 评价标准</w:t>
      </w:r>
      <w:bookmarkEnd w:id="556"/>
      <w:bookmarkEnd w:id="557"/>
    </w:p>
    <w:p>
      <w:pPr>
        <w:spacing w:line="520" w:lineRule="exac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根据水环境质量功能区划分规定，该水质评价标准为《地下水环境质量标准》（GB/T14848-2017）中</w:t>
      </w:r>
      <w:r>
        <w:rPr>
          <w:rFonts w:ascii="Times New Roman" w:hAnsi="Times New Roman" w:eastAsia="仿宋" w:cs="Times New Roman"/>
          <w:bCs/>
          <w:color w:val="000000" w:themeColor="text1"/>
          <w:szCs w:val="20"/>
          <w14:textFill>
            <w14:solidFill>
              <w14:schemeClr w14:val="tx1"/>
            </w14:solidFill>
          </w14:textFill>
        </w:rPr>
        <w:t>Ⅲ</w:t>
      </w:r>
      <w:r>
        <w:rPr>
          <w:rFonts w:ascii="Times New Roman" w:hAnsi="Times New Roman" w:cs="Times New Roman"/>
          <w:bCs/>
          <w:color w:val="000000" w:themeColor="text1"/>
          <w:szCs w:val="20"/>
          <w14:textFill>
            <w14:solidFill>
              <w14:schemeClr w14:val="tx1"/>
            </w14:solidFill>
          </w14:textFill>
        </w:rPr>
        <w:t>类标准。</w:t>
      </w:r>
    </w:p>
    <w:p>
      <w:pPr>
        <w:pStyle w:val="7"/>
        <w:rPr>
          <w:rFonts w:cs="Times New Roman"/>
          <w:color w:val="000000" w:themeColor="text1"/>
          <w14:textFill>
            <w14:solidFill>
              <w14:schemeClr w14:val="tx1"/>
            </w14:solidFill>
          </w14:textFill>
        </w:rPr>
      </w:pPr>
      <w:bookmarkStart w:id="558" w:name="_Toc6049"/>
      <w:bookmarkStart w:id="559" w:name="_Toc20147"/>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.2.4 评价方法</w:t>
      </w:r>
      <w:bookmarkEnd w:id="558"/>
      <w:bookmarkEnd w:id="559"/>
    </w:p>
    <w:p>
      <w:pPr>
        <w:spacing w:line="520" w:lineRule="exact"/>
        <w:rPr>
          <w:rFonts w:ascii="Times New Roman" w:hAnsi="Times New Roman" w:cs="Times New Roman"/>
          <w:bCs/>
          <w:color w:val="000000" w:themeColor="text1"/>
          <w:sz w:val="28"/>
          <w:szCs w:val="21"/>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采用单因子指数对井水的监测结果进行评价。其单项水质指数i在第j点的标准指数Si,j为：</w:t>
      </w:r>
    </w:p>
    <w:p>
      <w:pPr>
        <w:ind w:firstLine="0" w:firstLineChars="0"/>
        <w:jc w:val="center"/>
        <w:rPr>
          <w:rFonts w:ascii="Times New Roman" w:hAnsi="Times New Roman" w:cs="Times New Roman"/>
          <w:bCs/>
          <w:color w:val="000000" w:themeColor="text1"/>
          <w:sz w:val="28"/>
          <w:szCs w:val="21"/>
          <w14:textFill>
            <w14:solidFill>
              <w14:schemeClr w14:val="tx1"/>
            </w14:solidFill>
          </w14:textFill>
        </w:rPr>
      </w:pPr>
      <w:r>
        <w:rPr>
          <w:rFonts w:ascii="Times New Roman" w:hAnsi="Times New Roman" w:cs="Times New Roman"/>
          <w:bCs/>
          <w:color w:val="000000" w:themeColor="text1"/>
          <w:sz w:val="28"/>
          <w:szCs w:val="21"/>
          <w14:textFill>
            <w14:solidFill>
              <w14:schemeClr w14:val="tx1"/>
            </w14:solidFill>
          </w14:textFill>
        </w:rPr>
        <w:t>P</w:t>
      </w:r>
      <w:r>
        <w:rPr>
          <w:rFonts w:ascii="Times New Roman" w:hAnsi="Times New Roman" w:cs="Times New Roman"/>
          <w:bCs/>
          <w:color w:val="000000" w:themeColor="text1"/>
          <w:sz w:val="28"/>
          <w:szCs w:val="21"/>
          <w:vertAlign w:val="subscript"/>
          <w14:textFill>
            <w14:solidFill>
              <w14:schemeClr w14:val="tx1"/>
            </w14:solidFill>
          </w14:textFill>
        </w:rPr>
        <w:t>i</w:t>
      </w:r>
      <w:r>
        <w:rPr>
          <w:rFonts w:ascii="Times New Roman" w:hAnsi="Times New Roman" w:cs="Times New Roman"/>
          <w:bCs/>
          <w:color w:val="000000" w:themeColor="text1"/>
          <w:sz w:val="28"/>
          <w:szCs w:val="21"/>
          <w14:textFill>
            <w14:solidFill>
              <w14:schemeClr w14:val="tx1"/>
            </w14:solidFill>
          </w14:textFill>
        </w:rPr>
        <w:t>=C</w:t>
      </w:r>
      <w:r>
        <w:rPr>
          <w:rFonts w:ascii="Times New Roman" w:hAnsi="Times New Roman" w:cs="Times New Roman"/>
          <w:bCs/>
          <w:color w:val="000000" w:themeColor="text1"/>
          <w:sz w:val="28"/>
          <w:szCs w:val="21"/>
          <w:vertAlign w:val="subscript"/>
          <w14:textFill>
            <w14:solidFill>
              <w14:schemeClr w14:val="tx1"/>
            </w14:solidFill>
          </w14:textFill>
        </w:rPr>
        <w:t>i</w:t>
      </w:r>
      <w:r>
        <w:rPr>
          <w:rFonts w:ascii="Times New Roman" w:hAnsi="Times New Roman" w:cs="Times New Roman"/>
          <w:bCs/>
          <w:color w:val="000000" w:themeColor="text1"/>
          <w:sz w:val="28"/>
          <w:szCs w:val="21"/>
          <w14:textFill>
            <w14:solidFill>
              <w14:schemeClr w14:val="tx1"/>
            </w14:solidFill>
          </w14:textFill>
        </w:rPr>
        <w:t>/C</w:t>
      </w:r>
      <w:r>
        <w:rPr>
          <w:rFonts w:ascii="Times New Roman" w:hAnsi="Times New Roman" w:cs="Times New Roman"/>
          <w:bCs/>
          <w:color w:val="000000" w:themeColor="text1"/>
          <w:sz w:val="28"/>
          <w:szCs w:val="21"/>
          <w:vertAlign w:val="subscript"/>
          <w14:textFill>
            <w14:solidFill>
              <w14:schemeClr w14:val="tx1"/>
            </w14:solidFill>
          </w14:textFill>
        </w:rPr>
        <w:t>si</w:t>
      </w:r>
    </w:p>
    <w:p>
      <w:pPr>
        <w:spacing w:line="520" w:lineRule="exact"/>
        <w:rPr>
          <w:rFonts w:ascii="Times New Roman" w:hAnsi="Times New Roman" w:cs="Times New Roman"/>
          <w:bCs/>
          <w:color w:val="000000" w:themeColor="text1"/>
          <w:sz w:val="28"/>
          <w:szCs w:val="21"/>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对于以评价标准为区间值的水质参数（如pH为6-9）时，其单项指数式为：</w:t>
      </w:r>
    </w:p>
    <w:p>
      <w:pPr>
        <w:spacing w:line="240" w:lineRule="auto"/>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pH≤7.0时；</w:t>
      </w: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P</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pH</m:t>
            </m:r>
            <m:ctrlPr>
              <w:rPr>
                <w:rFonts w:ascii="Cambria Math" w:hAnsi="Cambria Math" w:cs="Times New Roman"/>
                <w:i/>
                <w:color w:val="000000" w:themeColor="text1"/>
                <w14:textFill>
                  <w14:solidFill>
                    <w14:schemeClr w14:val="tx1"/>
                  </w14:solidFill>
                </w14:textFill>
              </w:rPr>
            </m:ctrlPr>
          </m:sub>
        </m:sSub>
        <m:r>
          <m:rPr/>
          <w:rPr>
            <w:rFonts w:ascii="Cambria Math" w:hAnsi="Cambria Math" w:cs="Times New Roman"/>
            <w:color w:val="000000" w:themeColor="text1"/>
            <w14:textFill>
              <w14:solidFill>
                <w14:schemeClr w14:val="tx1"/>
              </w14:solidFill>
            </w14:textFill>
          </w:rPr>
          <m:t>=</m:t>
        </m:r>
        <m:f>
          <m:fPr>
            <m:ctrlPr>
              <w:rPr>
                <w:rFonts w:ascii="Cambria Math" w:hAnsi="Cambria Math" w:cs="Times New Roman"/>
                <w:i/>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7.0−pH</m:t>
            </m:r>
            <m:ctrlPr>
              <w:rPr>
                <w:rFonts w:ascii="Cambria Math" w:hAnsi="Cambria Math" w:cs="Times New Roman"/>
                <w:i/>
                <w:color w:val="000000" w:themeColor="text1"/>
                <w14:textFill>
                  <w14:solidFill>
                    <w14:schemeClr w14:val="tx1"/>
                  </w14:solidFill>
                </w14:textFill>
              </w:rPr>
            </m:ctrlPr>
          </m:num>
          <m:den>
            <m:r>
              <m:rPr/>
              <w:rPr>
                <w:rFonts w:ascii="Cambria Math" w:hAnsi="Cambria Math" w:cs="Times New Roman"/>
                <w:color w:val="000000" w:themeColor="text1"/>
                <w14:textFill>
                  <w14:solidFill>
                    <w14:schemeClr w14:val="tx1"/>
                  </w14:solidFill>
                </w14:textFill>
              </w:rPr>
              <m:t>7.0−p</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H</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sd</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den>
        </m:f>
      </m:oMath>
    </w:p>
    <w:p>
      <w:pPr>
        <w:spacing w:line="240" w:lineRule="auto"/>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pHj&gt;7.0时；</w:t>
      </w: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P</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pH</m:t>
            </m:r>
            <m:ctrlPr>
              <w:rPr>
                <w:rFonts w:ascii="Cambria Math" w:hAnsi="Cambria Math" w:cs="Times New Roman"/>
                <w:i/>
                <w:color w:val="000000" w:themeColor="text1"/>
                <w14:textFill>
                  <w14:solidFill>
                    <w14:schemeClr w14:val="tx1"/>
                  </w14:solidFill>
                </w14:textFill>
              </w:rPr>
            </m:ctrlPr>
          </m:sub>
        </m:sSub>
        <m:r>
          <m:rPr/>
          <w:rPr>
            <w:rFonts w:ascii="Cambria Math" w:hAnsi="Cambria Math" w:cs="Times New Roman"/>
            <w:color w:val="000000" w:themeColor="text1"/>
            <w14:textFill>
              <w14:solidFill>
                <w14:schemeClr w14:val="tx1"/>
              </w14:solidFill>
            </w14:textFill>
          </w:rPr>
          <m:t>=</m:t>
        </m:r>
        <m:f>
          <m:fPr>
            <m:ctrlPr>
              <w:rPr>
                <w:rFonts w:ascii="Cambria Math" w:hAnsi="Cambria Math" w:cs="Times New Roman"/>
                <w:i/>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pH−7.0</m:t>
            </m:r>
            <m:ctrlPr>
              <w:rPr>
                <w:rFonts w:ascii="Cambria Math" w:hAnsi="Cambria Math" w:cs="Times New Roman"/>
                <w:i/>
                <w:color w:val="000000" w:themeColor="text1"/>
                <w14:textFill>
                  <w14:solidFill>
                    <w14:schemeClr w14:val="tx1"/>
                  </w14:solidFill>
                </w14:textFill>
              </w:rPr>
            </m:ctrlPr>
          </m:num>
          <m:den>
            <m:r>
              <m:rPr/>
              <w:rPr>
                <w:rFonts w:ascii="Cambria Math" w:hAnsi="Cambria Math" w:cs="Times New Roman"/>
                <w:color w:val="000000" w:themeColor="text1"/>
                <w14:textFill>
                  <w14:solidFill>
                    <w14:schemeClr w14:val="tx1"/>
                  </w14:solidFill>
                </w14:textFill>
              </w:rPr>
              <m:t>p</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H</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su</m:t>
                </m:r>
                <m:ctrlPr>
                  <w:rPr>
                    <w:rFonts w:ascii="Cambria Math" w:hAnsi="Cambria Math" w:cs="Times New Roman"/>
                    <w:i/>
                    <w:color w:val="000000" w:themeColor="text1"/>
                    <w14:textFill>
                      <w14:solidFill>
                        <w14:schemeClr w14:val="tx1"/>
                      </w14:solidFill>
                    </w14:textFill>
                  </w:rPr>
                </m:ctrlPr>
              </m:sub>
            </m:sSub>
            <m:r>
              <m:rPr/>
              <w:rPr>
                <w:rFonts w:ascii="Cambria Math" w:hAnsi="Cambria Math" w:cs="Times New Roman"/>
                <w:color w:val="000000" w:themeColor="text1"/>
                <w14:textFill>
                  <w14:solidFill>
                    <w14:schemeClr w14:val="tx1"/>
                  </w14:solidFill>
                </w14:textFill>
              </w:rPr>
              <m:t>−7.0</m:t>
            </m:r>
            <m:ctrlPr>
              <w:rPr>
                <w:rFonts w:ascii="Cambria Math" w:hAnsi="Cambria Math" w:cs="Times New Roman"/>
                <w:i/>
                <w:color w:val="000000" w:themeColor="text1"/>
                <w14:textFill>
                  <w14:solidFill>
                    <w14:schemeClr w14:val="tx1"/>
                  </w14:solidFill>
                </w14:textFill>
              </w:rPr>
            </m:ctrlPr>
          </m:den>
        </m:f>
      </m:oMath>
    </w:p>
    <w:p>
      <w:pPr>
        <w:spacing w:line="520" w:lineRule="exact"/>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式中：S</w:t>
      </w:r>
      <w:r>
        <w:rPr>
          <w:rFonts w:ascii="Times New Roman" w:hAnsi="Times New Roman" w:cs="Times New Roman"/>
          <w:bCs/>
          <w:color w:val="000000" w:themeColor="text1"/>
          <w:szCs w:val="20"/>
          <w:vertAlign w:val="subscript"/>
          <w14:textFill>
            <w14:solidFill>
              <w14:schemeClr w14:val="tx1"/>
            </w14:solidFill>
          </w14:textFill>
        </w:rPr>
        <w:t>i,j</w:t>
      </w:r>
      <w:r>
        <w:rPr>
          <w:rFonts w:ascii="Times New Roman" w:hAnsi="Times New Roman" w:cs="Times New Roman"/>
          <w:bCs/>
          <w:color w:val="000000" w:themeColor="text1"/>
          <w:szCs w:val="20"/>
          <w14:textFill>
            <w14:solidFill>
              <w14:schemeClr w14:val="tx1"/>
            </w14:solidFill>
          </w14:textFill>
        </w:rPr>
        <w:t>—某污染物的污染指数；</w:t>
      </w:r>
    </w:p>
    <w:p>
      <w:pPr>
        <w:spacing w:line="520" w:lineRule="exact"/>
        <w:ind w:firstLine="1200" w:firstLineChars="500"/>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C</w:t>
      </w:r>
      <w:r>
        <w:rPr>
          <w:rFonts w:ascii="Times New Roman" w:hAnsi="Times New Roman" w:cs="Times New Roman"/>
          <w:bCs/>
          <w:color w:val="000000" w:themeColor="text1"/>
          <w:szCs w:val="20"/>
          <w:vertAlign w:val="subscript"/>
          <w14:textFill>
            <w14:solidFill>
              <w14:schemeClr w14:val="tx1"/>
            </w14:solidFill>
          </w14:textFill>
        </w:rPr>
        <w:t>i,j</w:t>
      </w:r>
      <w:r>
        <w:rPr>
          <w:rFonts w:ascii="Times New Roman" w:hAnsi="Times New Roman" w:cs="Times New Roman"/>
          <w:bCs/>
          <w:color w:val="000000" w:themeColor="text1"/>
          <w:szCs w:val="20"/>
          <w14:textFill>
            <w14:solidFill>
              <w14:schemeClr w14:val="tx1"/>
            </w14:solidFill>
          </w14:textFill>
        </w:rPr>
        <w:t>—某污染物的实际浓度（mg/L）；</w:t>
      </w:r>
    </w:p>
    <w:p>
      <w:pPr>
        <w:spacing w:line="520" w:lineRule="exact"/>
        <w:ind w:firstLine="1200" w:firstLineChars="500"/>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C</w:t>
      </w:r>
      <w:r>
        <w:rPr>
          <w:rFonts w:ascii="Times New Roman" w:hAnsi="Times New Roman" w:cs="Times New Roman"/>
          <w:bCs/>
          <w:color w:val="000000" w:themeColor="text1"/>
          <w:szCs w:val="20"/>
          <w:vertAlign w:val="subscript"/>
          <w14:textFill>
            <w14:solidFill>
              <w14:schemeClr w14:val="tx1"/>
            </w14:solidFill>
          </w14:textFill>
        </w:rPr>
        <w:t>si</w:t>
      </w:r>
      <w:r>
        <w:rPr>
          <w:rFonts w:ascii="Times New Roman" w:hAnsi="Times New Roman" w:cs="Times New Roman"/>
          <w:bCs/>
          <w:color w:val="000000" w:themeColor="text1"/>
          <w:szCs w:val="20"/>
          <w14:textFill>
            <w14:solidFill>
              <w14:schemeClr w14:val="tx1"/>
            </w14:solidFill>
          </w14:textFill>
        </w:rPr>
        <w:t>—某污染物的评价标准（mg/L）；</w:t>
      </w:r>
    </w:p>
    <w:p>
      <w:pPr>
        <w:spacing w:line="520" w:lineRule="exact"/>
        <w:ind w:firstLine="1200" w:firstLineChars="500"/>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S</w:t>
      </w:r>
      <w:r>
        <w:rPr>
          <w:rFonts w:ascii="Times New Roman" w:hAnsi="Times New Roman" w:cs="Times New Roman"/>
          <w:bCs/>
          <w:color w:val="000000" w:themeColor="text1"/>
          <w:szCs w:val="20"/>
          <w:vertAlign w:val="subscript"/>
          <w14:textFill>
            <w14:solidFill>
              <w14:schemeClr w14:val="tx1"/>
            </w14:solidFill>
          </w14:textFill>
        </w:rPr>
        <w:t>pH,j</w:t>
      </w:r>
      <w:r>
        <w:rPr>
          <w:rFonts w:ascii="Times New Roman" w:hAnsi="Times New Roman" w:cs="Times New Roman"/>
          <w:bCs/>
          <w:color w:val="000000" w:themeColor="text1"/>
          <w:szCs w:val="20"/>
          <w14:textFill>
            <w14:solidFill>
              <w14:schemeClr w14:val="tx1"/>
            </w14:solidFill>
          </w14:textFill>
        </w:rPr>
        <w:t>—pH标准指数；</w:t>
      </w:r>
    </w:p>
    <w:p>
      <w:pPr>
        <w:spacing w:line="520" w:lineRule="exact"/>
        <w:ind w:firstLine="1200" w:firstLineChars="500"/>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pH</w:t>
      </w:r>
      <w:r>
        <w:rPr>
          <w:rFonts w:ascii="Times New Roman" w:hAnsi="Times New Roman" w:cs="Times New Roman"/>
          <w:bCs/>
          <w:color w:val="000000" w:themeColor="text1"/>
          <w:szCs w:val="20"/>
          <w:vertAlign w:val="subscript"/>
          <w14:textFill>
            <w14:solidFill>
              <w14:schemeClr w14:val="tx1"/>
            </w14:solidFill>
          </w14:textFill>
        </w:rPr>
        <w:t>j</w:t>
      </w:r>
      <w:r>
        <w:rPr>
          <w:rFonts w:ascii="Times New Roman" w:hAnsi="Times New Roman" w:cs="Times New Roman"/>
          <w:bCs/>
          <w:color w:val="000000" w:themeColor="text1"/>
          <w:szCs w:val="20"/>
          <w14:textFill>
            <w14:solidFill>
              <w14:schemeClr w14:val="tx1"/>
            </w14:solidFill>
          </w14:textFill>
        </w:rPr>
        <w:t>—j点实测pH值；</w:t>
      </w:r>
    </w:p>
    <w:p>
      <w:pPr>
        <w:spacing w:line="520" w:lineRule="exact"/>
        <w:ind w:firstLine="1200" w:firstLineChars="500"/>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pH</w:t>
      </w:r>
      <w:r>
        <w:rPr>
          <w:rFonts w:ascii="Times New Roman" w:hAnsi="Times New Roman" w:cs="Times New Roman"/>
          <w:bCs/>
          <w:color w:val="000000" w:themeColor="text1"/>
          <w:szCs w:val="20"/>
          <w:vertAlign w:val="subscript"/>
          <w14:textFill>
            <w14:solidFill>
              <w14:schemeClr w14:val="tx1"/>
            </w14:solidFill>
          </w14:textFill>
        </w:rPr>
        <w:t>sd</w:t>
      </w:r>
      <w:r>
        <w:rPr>
          <w:rFonts w:ascii="Times New Roman" w:hAnsi="Times New Roman" w:cs="Times New Roman"/>
          <w:bCs/>
          <w:color w:val="000000" w:themeColor="text1"/>
          <w:szCs w:val="20"/>
          <w14:textFill>
            <w14:solidFill>
              <w14:schemeClr w14:val="tx1"/>
            </w14:solidFill>
          </w14:textFill>
        </w:rPr>
        <w:t>—标准中pH值的下限值；</w:t>
      </w:r>
    </w:p>
    <w:p>
      <w:pPr>
        <w:spacing w:line="520" w:lineRule="exact"/>
        <w:ind w:firstLine="1200" w:firstLineChars="500"/>
        <w:jc w:val="left"/>
        <w:rPr>
          <w:rFonts w:ascii="Times New Roman" w:hAnsi="Times New Roman" w:cs="Times New Roman"/>
          <w:bCs/>
          <w:color w:val="000000" w:themeColor="text1"/>
          <w:szCs w:val="20"/>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pH</w:t>
      </w:r>
      <w:r>
        <w:rPr>
          <w:rFonts w:ascii="Times New Roman" w:hAnsi="Times New Roman" w:cs="Times New Roman"/>
          <w:bCs/>
          <w:color w:val="000000" w:themeColor="text1"/>
          <w:szCs w:val="20"/>
          <w:vertAlign w:val="subscript"/>
          <w14:textFill>
            <w14:solidFill>
              <w14:schemeClr w14:val="tx1"/>
            </w14:solidFill>
          </w14:textFill>
        </w:rPr>
        <w:t>su</w:t>
      </w:r>
      <w:r>
        <w:rPr>
          <w:rFonts w:ascii="Times New Roman" w:hAnsi="Times New Roman" w:cs="Times New Roman"/>
          <w:bCs/>
          <w:color w:val="000000" w:themeColor="text1"/>
          <w:szCs w:val="20"/>
          <w14:textFill>
            <w14:solidFill>
              <w14:schemeClr w14:val="tx1"/>
            </w14:solidFill>
          </w14:textFill>
        </w:rPr>
        <w:t>—标准中pH值的上限值。</w:t>
      </w:r>
    </w:p>
    <w:p>
      <w:pPr>
        <w:pStyle w:val="7"/>
        <w:rPr>
          <w:rFonts w:cs="Times New Roman"/>
          <w:color w:val="000000" w:themeColor="text1"/>
          <w14:textFill>
            <w14:solidFill>
              <w14:schemeClr w14:val="tx1"/>
            </w14:solidFill>
          </w14:textFill>
        </w:rPr>
      </w:pPr>
      <w:bookmarkStart w:id="560" w:name="_Toc15874"/>
      <w:bookmarkStart w:id="561" w:name="_Toc13482"/>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 xml:space="preserve"> 监测结果</w:t>
      </w:r>
      <w:bookmarkEnd w:id="560"/>
      <w:bookmarkEnd w:id="561"/>
    </w:p>
    <w:p>
      <w:pPr>
        <w:spacing w:line="520" w:lineRule="exact"/>
        <w:rPr>
          <w:rFonts w:ascii="Times New Roman" w:hAnsi="Times New Roman" w:cs="Times New Roman"/>
          <w:bCs/>
          <w:color w:val="000000" w:themeColor="text1"/>
          <w:sz w:val="28"/>
          <w:szCs w:val="21"/>
          <w14:textFill>
            <w14:solidFill>
              <w14:schemeClr w14:val="tx1"/>
            </w14:solidFill>
          </w14:textFill>
        </w:rPr>
      </w:pPr>
      <w:r>
        <w:rPr>
          <w:rFonts w:ascii="Times New Roman" w:hAnsi="Times New Roman" w:cs="Times New Roman"/>
          <w:bCs/>
          <w:color w:val="000000" w:themeColor="text1"/>
          <w:szCs w:val="20"/>
          <w14:textFill>
            <w14:solidFill>
              <w14:schemeClr w14:val="tx1"/>
            </w14:solidFill>
          </w14:textFill>
        </w:rPr>
        <w:t>地下水环境质量现状监测结果见表4.</w:t>
      </w:r>
      <w:r>
        <w:rPr>
          <w:rFonts w:hint="eastAsia" w:ascii="Times New Roman" w:hAnsi="Times New Roman" w:cs="Times New Roman"/>
          <w:bCs/>
          <w:color w:val="000000" w:themeColor="text1"/>
          <w:szCs w:val="20"/>
          <w14:textFill>
            <w14:solidFill>
              <w14:schemeClr w14:val="tx1"/>
            </w14:solidFill>
          </w14:textFill>
        </w:rPr>
        <w:t>3</w:t>
      </w:r>
      <w:r>
        <w:rPr>
          <w:rFonts w:ascii="Times New Roman" w:hAnsi="Times New Roman" w:cs="Times New Roman"/>
          <w:bCs/>
          <w:color w:val="000000" w:themeColor="text1"/>
          <w:szCs w:val="20"/>
          <w14:textFill>
            <w14:solidFill>
              <w14:schemeClr w14:val="tx1"/>
            </w14:solidFill>
          </w14:textFill>
        </w:rPr>
        <w:t>-</w:t>
      </w:r>
      <w:r>
        <w:rPr>
          <w:rFonts w:hint="eastAsia" w:ascii="Times New Roman" w:hAnsi="Times New Roman" w:cs="Times New Roman"/>
          <w:bCs/>
          <w:color w:val="000000" w:themeColor="text1"/>
          <w:szCs w:val="20"/>
          <w14:textFill>
            <w14:solidFill>
              <w14:schemeClr w14:val="tx1"/>
            </w14:solidFill>
          </w14:textFill>
        </w:rPr>
        <w:t>7</w:t>
      </w:r>
      <w:r>
        <w:rPr>
          <w:rFonts w:ascii="Times New Roman" w:hAnsi="Times New Roman" w:cs="Times New Roman"/>
          <w:bCs/>
          <w:color w:val="000000" w:themeColor="text1"/>
          <w:szCs w:val="20"/>
          <w14:textFill>
            <w14:solidFill>
              <w14:schemeClr w14:val="tx1"/>
            </w14:solidFill>
          </w14:textFill>
        </w:rPr>
        <w:t>。</w:t>
      </w:r>
    </w:p>
    <w:p>
      <w:pPr>
        <w:tabs>
          <w:tab w:val="left" w:pos="3165"/>
        </w:tabs>
        <w:spacing w:line="520" w:lineRule="exact"/>
        <w:ind w:firstLine="422"/>
        <w:jc w:val="center"/>
        <w:rPr>
          <w:rFonts w:ascii="Times New Roman" w:hAnsi="Times New Roman" w:cs="Times New Roman"/>
          <w:b/>
          <w:color w:val="000000" w:themeColor="text1"/>
          <w:sz w:val="22"/>
          <w:szCs w:val="22"/>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14:textFill>
            <w14:solidFill>
              <w14:schemeClr w14:val="tx1"/>
            </w14:solidFill>
          </w14:textFill>
        </w:rPr>
        <w:t>3-7</w:t>
      </w:r>
      <w:r>
        <w:rPr>
          <w:rFonts w:ascii="Times New Roman" w:hAnsi="Times New Roman" w:cs="Times New Roman"/>
          <w:b/>
          <w:bCs/>
          <w:color w:val="000000" w:themeColor="text1"/>
          <w:sz w:val="21"/>
          <w:szCs w:val="21"/>
          <w14:textFill>
            <w14:solidFill>
              <w14:schemeClr w14:val="tx1"/>
            </w14:solidFill>
          </w14:textFill>
        </w:rPr>
        <w:t xml:space="preserve">   水质监测结果  单位：mg/L（pH除外，特殊单位另行备注）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447"/>
        <w:gridCol w:w="893"/>
        <w:gridCol w:w="1320"/>
        <w:gridCol w:w="1398"/>
        <w:gridCol w:w="1095"/>
        <w:gridCol w:w="1393"/>
        <w:gridCol w:w="7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blHeader/>
        </w:trPr>
        <w:tc>
          <w:tcPr>
            <w:tcW w:w="867" w:type="pct"/>
            <w:vMerge w:val="restart"/>
            <w:tcMar>
              <w:top w:w="15" w:type="dxa"/>
              <w:left w:w="15" w:type="dxa"/>
              <w:bottom w:w="0" w:type="dxa"/>
              <w:right w:w="15" w:type="dxa"/>
            </w:tcMar>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监测因子</w:t>
            </w:r>
          </w:p>
        </w:tc>
        <w:tc>
          <w:tcPr>
            <w:tcW w:w="536" w:type="pct"/>
            <w:vMerge w:val="restart"/>
            <w:tcMar>
              <w:top w:w="15" w:type="dxa"/>
              <w:left w:w="15" w:type="dxa"/>
              <w:bottom w:w="0" w:type="dxa"/>
              <w:right w:w="15" w:type="dxa"/>
            </w:tcMar>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单位</w:t>
            </w:r>
          </w:p>
        </w:tc>
        <w:tc>
          <w:tcPr>
            <w:tcW w:w="1630" w:type="pct"/>
            <w:gridSpan w:val="2"/>
            <w:tcMar>
              <w:top w:w="15" w:type="dxa"/>
              <w:left w:w="15" w:type="dxa"/>
              <w:bottom w:w="0" w:type="dxa"/>
              <w:right w:w="15" w:type="dxa"/>
            </w:tcMar>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场区西北侧地下水水井</w:t>
            </w:r>
          </w:p>
        </w:tc>
        <w:tc>
          <w:tcPr>
            <w:tcW w:w="1492" w:type="pct"/>
            <w:gridSpan w:val="2"/>
            <w:tcMar>
              <w:top w:w="15" w:type="dxa"/>
              <w:left w:w="15" w:type="dxa"/>
              <w:bottom w:w="0" w:type="dxa"/>
              <w:right w:w="15" w:type="dxa"/>
            </w:tcMar>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场区南侧地下水水井</w:t>
            </w:r>
          </w:p>
        </w:tc>
        <w:tc>
          <w:tcPr>
            <w:tcW w:w="472" w:type="pct"/>
            <w:tcMar>
              <w:top w:w="15" w:type="dxa"/>
              <w:left w:w="15" w:type="dxa"/>
              <w:bottom w:w="0" w:type="dxa"/>
              <w:right w:w="15" w:type="dxa"/>
            </w:tcMar>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blHeader/>
        </w:trPr>
        <w:tc>
          <w:tcPr>
            <w:tcW w:w="867" w:type="pct"/>
            <w:vMerge w:val="continue"/>
            <w:tcMar>
              <w:top w:w="15" w:type="dxa"/>
              <w:left w:w="15" w:type="dxa"/>
              <w:bottom w:w="0" w:type="dxa"/>
              <w:right w:w="15" w:type="dxa"/>
            </w:tcMar>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p>
        </w:tc>
        <w:tc>
          <w:tcPr>
            <w:tcW w:w="536" w:type="pct"/>
            <w:vMerge w:val="continue"/>
            <w:tcMar>
              <w:top w:w="15" w:type="dxa"/>
              <w:left w:w="15" w:type="dxa"/>
              <w:bottom w:w="0" w:type="dxa"/>
              <w:right w:w="15" w:type="dxa"/>
            </w:tcMar>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p>
        </w:tc>
        <w:tc>
          <w:tcPr>
            <w:tcW w:w="792" w:type="pct"/>
            <w:tcMar>
              <w:top w:w="15" w:type="dxa"/>
              <w:left w:w="15" w:type="dxa"/>
              <w:bottom w:w="0" w:type="dxa"/>
              <w:right w:w="15" w:type="dxa"/>
            </w:tcMar>
            <w:vAlign w:val="center"/>
          </w:tcPr>
          <w:p>
            <w:pPr>
              <w:overflowPunct w:val="0"/>
              <w:autoSpaceDE w:val="0"/>
              <w:autoSpaceDN w:val="0"/>
              <w:adjustRightInd w:val="0"/>
              <w:spacing w:line="240" w:lineRule="auto"/>
              <w:ind w:firstLine="0" w:firstLineChars="0"/>
              <w:jc w:val="center"/>
              <w:textAlignment w:val="baseline"/>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监测结果</w:t>
            </w:r>
          </w:p>
        </w:tc>
        <w:tc>
          <w:tcPr>
            <w:tcW w:w="838" w:type="pct"/>
            <w:tcMar>
              <w:top w:w="15" w:type="dxa"/>
              <w:left w:w="15" w:type="dxa"/>
              <w:bottom w:w="0" w:type="dxa"/>
              <w:right w:w="15" w:type="dxa"/>
            </w:tcMar>
            <w:vAlign w:val="center"/>
          </w:tcPr>
          <w:p>
            <w:pPr>
              <w:overflowPunct w:val="0"/>
              <w:autoSpaceDE w:val="0"/>
              <w:autoSpaceDN w:val="0"/>
              <w:adjustRightInd w:val="0"/>
              <w:spacing w:line="240" w:lineRule="auto"/>
              <w:ind w:firstLine="0" w:firstLineChars="0"/>
              <w:jc w:val="center"/>
              <w:textAlignment w:val="baseline"/>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单项标准指数</w:t>
            </w:r>
          </w:p>
        </w:tc>
        <w:tc>
          <w:tcPr>
            <w:tcW w:w="657" w:type="pct"/>
            <w:tcMar>
              <w:top w:w="15" w:type="dxa"/>
              <w:left w:w="15" w:type="dxa"/>
              <w:bottom w:w="0" w:type="dxa"/>
              <w:right w:w="15" w:type="dxa"/>
            </w:tcMar>
            <w:vAlign w:val="center"/>
          </w:tcPr>
          <w:p>
            <w:pPr>
              <w:overflowPunct w:val="0"/>
              <w:autoSpaceDE w:val="0"/>
              <w:autoSpaceDN w:val="0"/>
              <w:adjustRightInd w:val="0"/>
              <w:spacing w:line="240" w:lineRule="auto"/>
              <w:ind w:firstLine="0" w:firstLineChars="0"/>
              <w:jc w:val="center"/>
              <w:textAlignment w:val="baseline"/>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监测结果</w:t>
            </w:r>
          </w:p>
        </w:tc>
        <w:tc>
          <w:tcPr>
            <w:tcW w:w="835" w:type="pct"/>
            <w:tcMar>
              <w:top w:w="15" w:type="dxa"/>
              <w:left w:w="15" w:type="dxa"/>
              <w:bottom w:w="0" w:type="dxa"/>
              <w:right w:w="15" w:type="dxa"/>
            </w:tcMar>
            <w:vAlign w:val="center"/>
          </w:tcPr>
          <w:p>
            <w:pPr>
              <w:overflowPunct w:val="0"/>
              <w:autoSpaceDE w:val="0"/>
              <w:autoSpaceDN w:val="0"/>
              <w:adjustRightInd w:val="0"/>
              <w:spacing w:line="240" w:lineRule="auto"/>
              <w:ind w:firstLine="0" w:firstLineChars="0"/>
              <w:jc w:val="center"/>
              <w:textAlignment w:val="baseline"/>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单项标准指数</w:t>
            </w:r>
          </w:p>
        </w:tc>
        <w:tc>
          <w:tcPr>
            <w:tcW w:w="472" w:type="pct"/>
            <w:tcMar>
              <w:top w:w="15" w:type="dxa"/>
              <w:left w:w="15" w:type="dxa"/>
              <w:bottom w:w="0" w:type="dxa"/>
              <w:right w:w="15" w:type="dxa"/>
            </w:tcMar>
            <w:vAlign w:val="center"/>
          </w:tcPr>
          <w:p>
            <w:pPr>
              <w:autoSpaceDE w:val="0"/>
              <w:autoSpaceDN w:val="0"/>
              <w:adjustRightInd w:val="0"/>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pH</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无量纲</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7.13</w:t>
            </w:r>
          </w:p>
        </w:tc>
        <w:tc>
          <w:tcPr>
            <w:tcW w:w="838"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0.09</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7.15</w:t>
            </w:r>
          </w:p>
        </w:tc>
        <w:tc>
          <w:tcPr>
            <w:tcW w:w="835"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0.1</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6.5-8.5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总硬度</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160</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0.35</w:t>
            </w:r>
            <w:r>
              <w:rPr>
                <w:rFonts w:hint="eastAsia" w:ascii="Times New Roman" w:hAnsi="Times New Roman" w:cs="Times New Roman"/>
                <w:color w:val="000000" w:themeColor="text1"/>
                <w:sz w:val="21"/>
                <w:szCs w:val="21"/>
                <w14:textFill>
                  <w14:solidFill>
                    <w14:schemeClr w14:val="tx1"/>
                  </w14:solidFill>
                </w14:textFill>
              </w:rPr>
              <w:t>6</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158</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0.35</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氯化物</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78.3</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0.31</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80.3</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0.32</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溶解性总固体</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572</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0.57</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557</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w:t>
            </w:r>
            <w:r>
              <w:rPr>
                <w:rFonts w:hint="eastAsia" w:ascii="Times New Roman" w:hAnsi="Times New Roman" w:cs="Times New Roman"/>
                <w:color w:val="000000" w:themeColor="text1"/>
                <w:sz w:val="21"/>
                <w:szCs w:val="21"/>
                <w14:textFill>
                  <w14:solidFill>
                    <w14:schemeClr w14:val="tx1"/>
                  </w14:solidFill>
                </w14:textFill>
              </w:rPr>
              <w:t>6</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氟化物</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0.318</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w:t>
            </w:r>
            <w:r>
              <w:rPr>
                <w:rFonts w:hint="eastAsia" w:ascii="Times New Roman" w:hAnsi="Times New Roman" w:cs="Times New Roman"/>
                <w:color w:val="000000" w:themeColor="text1"/>
                <w:sz w:val="21"/>
                <w:szCs w:val="21"/>
                <w14:textFill>
                  <w14:solidFill>
                    <w14:schemeClr w14:val="tx1"/>
                  </w14:solidFill>
                </w14:textFill>
              </w:rPr>
              <w:t>2</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0.323</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0.32</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氨氮</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0.260</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0.52</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0.242</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0.48</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硝酸盐</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0.031</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w:t>
            </w:r>
            <w:r>
              <w:rPr>
                <w:rFonts w:hint="eastAsia" w:ascii="Times New Roman" w:hAnsi="Times New Roman" w:cs="Times New Roman"/>
                <w:color w:val="000000" w:themeColor="text1"/>
                <w:sz w:val="21"/>
                <w:szCs w:val="21"/>
                <w14:textFill>
                  <w14:solidFill>
                    <w14:schemeClr w14:val="tx1"/>
                  </w14:solidFill>
                </w14:textFill>
              </w:rPr>
              <w:t>2</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0.025</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亚硝酸盐</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0.091</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0.09</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0.092</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0.09</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硫酸盐</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73.4</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0.29</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76.4</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w:t>
            </w:r>
            <w:r>
              <w:rPr>
                <w:rFonts w:hint="eastAsia" w:ascii="Times New Roman" w:hAnsi="Times New Roman" w:cs="Times New Roman"/>
                <w:color w:val="000000" w:themeColor="text1"/>
                <w:sz w:val="21"/>
                <w:szCs w:val="21"/>
                <w14:textFill>
                  <w14:solidFill>
                    <w14:schemeClr w14:val="tx1"/>
                  </w14:solidFill>
                </w14:textFill>
              </w:rPr>
              <w:t>1</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六价铬</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&lt;0.004</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0.08</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&lt;0.004</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0.08</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挥发酚</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&lt;0.0003</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0.15</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&lt;0.0003</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0.15</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氰化物</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&lt;0.004</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0.08</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&lt;0.004</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0.08</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锰</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&lt;0.01</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&lt;0.01</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铁</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&lt;0.3</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&lt;1</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&lt;0.3</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镉</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μg/L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&lt;1</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2</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&lt;1</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2</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砷</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μg/L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&lt;0.3</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w:t>
            </w:r>
            <w:r>
              <w:rPr>
                <w:rFonts w:ascii="Times New Roman" w:hAnsi="Times New Roman" w:cs="Times New Roman"/>
                <w:color w:val="000000" w:themeColor="text1"/>
                <w:sz w:val="21"/>
                <w:szCs w:val="21"/>
                <w14:textFill>
                  <w14:solidFill>
                    <w14:schemeClr w14:val="tx1"/>
                  </w14:solidFill>
                </w14:textFill>
              </w:rPr>
              <w:t>3</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&lt;0.3</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w:t>
            </w:r>
            <w:r>
              <w:rPr>
                <w:rFonts w:ascii="Times New Roman" w:hAnsi="Times New Roman" w:cs="Times New Roman"/>
                <w:color w:val="000000" w:themeColor="text1"/>
                <w:sz w:val="21"/>
                <w:szCs w:val="21"/>
                <w14:textFill>
                  <w14:solidFill>
                    <w14:schemeClr w14:val="tx1"/>
                  </w14:solidFill>
                </w14:textFill>
              </w:rPr>
              <w:t>3</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汞</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μg/L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&lt;0.04</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w:t>
            </w:r>
            <w:r>
              <w:rPr>
                <w:rFonts w:ascii="Times New Roman" w:hAnsi="Times New Roman" w:cs="Times New Roman"/>
                <w:color w:val="000000" w:themeColor="text1"/>
                <w:sz w:val="21"/>
                <w:szCs w:val="21"/>
                <w14:textFill>
                  <w14:solidFill>
                    <w14:schemeClr w14:val="tx1"/>
                  </w14:solidFill>
                </w14:textFill>
              </w:rPr>
              <w:t>4</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&lt;0.04</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w:t>
            </w:r>
            <w:r>
              <w:rPr>
                <w:rFonts w:ascii="Times New Roman" w:hAnsi="Times New Roman" w:cs="Times New Roman"/>
                <w:color w:val="000000" w:themeColor="text1"/>
                <w:sz w:val="21"/>
                <w:szCs w:val="21"/>
                <w14:textFill>
                  <w14:solidFill>
                    <w14:schemeClr w14:val="tx1"/>
                  </w14:solidFill>
                </w14:textFill>
              </w:rPr>
              <w:t>4</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铅</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μg/L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&lt;10</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1</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&lt;10</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1</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总大肠菌群</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MPN/100m</w:t>
            </w:r>
            <w:r>
              <w:rPr>
                <w:rFonts w:ascii="Times New Roman" w:hAnsi="Times New Roman" w:cs="Times New Roman"/>
                <w:color w:val="000000" w:themeColor="text1"/>
                <w:sz w:val="21"/>
                <w:szCs w:val="21"/>
                <w14:textFill>
                  <w14:solidFill>
                    <w14:schemeClr w14:val="tx1"/>
                  </w14:solidFill>
                </w14:textFill>
              </w:rPr>
              <w:t>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未检出</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未检出</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未检出</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未检出</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菌落总数</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CFU/m</w:t>
            </w:r>
            <w:r>
              <w:rPr>
                <w:rFonts w:ascii="Times New Roman" w:hAnsi="Times New Roman" w:cs="Times New Roman"/>
                <w:color w:val="000000" w:themeColor="text1"/>
                <w:sz w:val="21"/>
                <w:szCs w:val="21"/>
                <w14:textFill>
                  <w14:solidFill>
                    <w14:schemeClr w14:val="tx1"/>
                  </w14:solidFill>
                </w14:textFill>
              </w:rPr>
              <w:t>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52</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0.52</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68</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0.68</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86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钠离子</w:t>
            </w:r>
          </w:p>
        </w:tc>
        <w:tc>
          <w:tcPr>
            <w:tcW w:w="536"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9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12.35</w:t>
            </w:r>
          </w:p>
        </w:tc>
        <w:tc>
          <w:tcPr>
            <w:tcW w:w="1398"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0.06</w:t>
            </w:r>
          </w:p>
        </w:tc>
        <w:tc>
          <w:tcPr>
            <w:tcW w:w="657"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12.81</w:t>
            </w:r>
          </w:p>
        </w:tc>
        <w:tc>
          <w:tcPr>
            <w:tcW w:w="1392" w:type="dxa"/>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0.06</w:t>
            </w:r>
          </w:p>
        </w:tc>
        <w:tc>
          <w:tcPr>
            <w:tcW w:w="472" w:type="pct"/>
            <w:tcMar>
              <w:top w:w="15" w:type="dxa"/>
              <w:left w:w="15" w:type="dxa"/>
              <w:bottom w:w="0" w:type="dxa"/>
              <w:right w:w="15" w:type="dxa"/>
            </w:tcMar>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200</w:t>
            </w:r>
          </w:p>
        </w:tc>
      </w:tr>
    </w:tbl>
    <w:p>
      <w:pPr>
        <w:spacing w:line="520" w:lineRule="exact"/>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水质调查共</w:t>
      </w:r>
      <w:r>
        <w:rPr>
          <w:rFonts w:hint="eastAsia" w:ascii="Times New Roman" w:hAnsi="Times New Roman" w:cs="Times New Roman"/>
          <w:color w:val="000000" w:themeColor="text1"/>
          <w:szCs w:val="22"/>
          <w14:textFill>
            <w14:solidFill>
              <w14:schemeClr w14:val="tx1"/>
            </w14:solidFill>
          </w14:textFill>
        </w:rPr>
        <w:t>21</w:t>
      </w:r>
      <w:r>
        <w:rPr>
          <w:rFonts w:ascii="Times New Roman" w:hAnsi="Times New Roman" w:cs="Times New Roman"/>
          <w:color w:val="000000" w:themeColor="text1"/>
          <w:szCs w:val="22"/>
          <w14:textFill>
            <w14:solidFill>
              <w14:schemeClr w14:val="tx1"/>
            </w14:solidFill>
          </w14:textFill>
        </w:rPr>
        <w:t>项指标，由表4.</w:t>
      </w:r>
      <w:r>
        <w:rPr>
          <w:rFonts w:hint="eastAsia" w:ascii="Times New Roman" w:hAnsi="Times New Roman" w:cs="Times New Roman"/>
          <w:color w:val="000000" w:themeColor="text1"/>
          <w:szCs w:val="22"/>
          <w14:textFill>
            <w14:solidFill>
              <w14:schemeClr w14:val="tx1"/>
            </w14:solidFill>
          </w14:textFill>
        </w:rPr>
        <w:t>3-7</w:t>
      </w:r>
      <w:r>
        <w:rPr>
          <w:rFonts w:ascii="Times New Roman" w:hAnsi="Times New Roman" w:cs="Times New Roman"/>
          <w:color w:val="000000" w:themeColor="text1"/>
          <w:szCs w:val="22"/>
          <w14:textFill>
            <w14:solidFill>
              <w14:schemeClr w14:val="tx1"/>
            </w14:solidFill>
          </w14:textFill>
        </w:rPr>
        <w:t>中的评价结果可以看出各项监测指标单因子指数均小于1，符合《地下水质量标准》（GB/T14848-2017）中</w:t>
      </w:r>
      <w:r>
        <w:rPr>
          <w:rFonts w:ascii="Times New Roman" w:hAnsi="Times New Roman" w:eastAsia="仿宋" w:cs="Times New Roman"/>
          <w:color w:val="000000" w:themeColor="text1"/>
          <w:szCs w:val="22"/>
          <w14:textFill>
            <w14:solidFill>
              <w14:schemeClr w14:val="tx1"/>
            </w14:solidFill>
          </w14:textFill>
        </w:rPr>
        <w:t>Ⅲ</w:t>
      </w:r>
      <w:r>
        <w:rPr>
          <w:rFonts w:ascii="Times New Roman" w:hAnsi="Times New Roman" w:cs="Times New Roman"/>
          <w:color w:val="000000" w:themeColor="text1"/>
          <w:szCs w:val="22"/>
          <w14:textFill>
            <w14:solidFill>
              <w14:schemeClr w14:val="tx1"/>
            </w14:solidFill>
          </w14:textFill>
        </w:rPr>
        <w:t>类标准，说明该区地下水水质情况较好。</w:t>
      </w:r>
    </w:p>
    <w:p>
      <w:pPr>
        <w:pStyle w:val="6"/>
        <w:rPr>
          <w:rFonts w:ascii="Times New Roman" w:hAnsi="Times New Roman" w:cs="Times New Roman"/>
          <w:color w:val="000000" w:themeColor="text1"/>
          <w14:textFill>
            <w14:solidFill>
              <w14:schemeClr w14:val="tx1"/>
            </w14:solidFill>
          </w14:textFill>
        </w:rPr>
      </w:pPr>
      <w:bookmarkStart w:id="562" w:name="_Toc10692"/>
      <w:bookmarkStart w:id="563" w:name="_Toc7201"/>
      <w:bookmarkStart w:id="564" w:name="_Toc3710"/>
      <w:r>
        <w:rPr>
          <w:rFonts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.3 声环境质量现状调查与评价</w:t>
      </w:r>
      <w:bookmarkEnd w:id="562"/>
      <w:bookmarkEnd w:id="563"/>
      <w:bookmarkEnd w:id="564"/>
    </w:p>
    <w:p>
      <w:pPr>
        <w:pStyle w:val="7"/>
        <w:rPr>
          <w:rFonts w:cs="Times New Roman"/>
          <w:color w:val="000000" w:themeColor="text1"/>
          <w14:textFill>
            <w14:solidFill>
              <w14:schemeClr w14:val="tx1"/>
            </w14:solidFill>
          </w14:textFill>
        </w:rPr>
      </w:pPr>
      <w:bookmarkStart w:id="565" w:name="_Toc22369"/>
      <w:bookmarkStart w:id="566" w:name="_Toc23861"/>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.3.1 声环境质量现状调查</w:t>
      </w:r>
      <w:bookmarkEnd w:id="565"/>
      <w:bookmarkEnd w:id="566"/>
    </w:p>
    <w:p>
      <w:pPr>
        <w:spacing w:line="520" w:lineRule="exact"/>
        <w:ind w:firstLine="504"/>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为了调查了解本项目所在区域的声环境现状，</w:t>
      </w:r>
      <w:r>
        <w:rPr>
          <w:rFonts w:hint="eastAsia" w:ascii="Times New Roman" w:hAnsi="Times New Roman" w:cs="Times New Roman"/>
          <w:color w:val="000000" w:themeColor="text1"/>
          <w:spacing w:val="6"/>
          <w14:textFill>
            <w14:solidFill>
              <w14:schemeClr w14:val="tx1"/>
            </w14:solidFill>
          </w14:textFill>
        </w:rPr>
        <w:t>委托</w:t>
      </w:r>
      <w:r>
        <w:rPr>
          <w:rFonts w:ascii="Times New Roman" w:hAnsi="Times New Roman" w:cs="Times New Roman"/>
          <w:color w:val="000000" w:themeColor="text1"/>
          <w14:textFill>
            <w14:solidFill>
              <w14:schemeClr w14:val="tx1"/>
            </w14:solidFill>
          </w14:textFill>
        </w:rPr>
        <w:t>新疆锡水金山环境科技有限公司</w:t>
      </w:r>
      <w:r>
        <w:rPr>
          <w:rFonts w:ascii="Times New Roman" w:hAnsi="Times New Roman" w:cs="Times New Roman"/>
          <w:color w:val="000000" w:themeColor="text1"/>
          <w:spacing w:val="6"/>
          <w14:textFill>
            <w14:solidFill>
              <w14:schemeClr w14:val="tx1"/>
            </w14:solidFill>
          </w14:textFill>
        </w:rPr>
        <w:t>于2021年</w:t>
      </w:r>
      <w:r>
        <w:rPr>
          <w:rFonts w:hint="eastAsia" w:ascii="Times New Roman" w:hAnsi="Times New Roman" w:cs="Times New Roman"/>
          <w:color w:val="000000" w:themeColor="text1"/>
          <w:spacing w:val="6"/>
          <w14:textFill>
            <w14:solidFill>
              <w14:schemeClr w14:val="tx1"/>
            </w14:solidFill>
          </w14:textFill>
        </w:rPr>
        <w:t>5</w:t>
      </w:r>
      <w:r>
        <w:rPr>
          <w:rFonts w:ascii="Times New Roman" w:hAnsi="Times New Roman" w:cs="Times New Roman"/>
          <w:color w:val="000000" w:themeColor="text1"/>
          <w:spacing w:val="6"/>
          <w14:textFill>
            <w14:solidFill>
              <w14:schemeClr w14:val="tx1"/>
            </w14:solidFill>
          </w14:textFill>
        </w:rPr>
        <w:t>月</w:t>
      </w:r>
      <w:r>
        <w:rPr>
          <w:rFonts w:hint="eastAsia" w:ascii="Times New Roman" w:hAnsi="Times New Roman" w:cs="Times New Roman"/>
          <w:color w:val="000000" w:themeColor="text1"/>
          <w:spacing w:val="6"/>
          <w14:textFill>
            <w14:solidFill>
              <w14:schemeClr w14:val="tx1"/>
            </w14:solidFill>
          </w14:textFill>
        </w:rPr>
        <w:t>20日</w:t>
      </w:r>
      <w:r>
        <w:rPr>
          <w:rFonts w:ascii="Times New Roman" w:hAnsi="Times New Roman" w:cs="Times New Roman"/>
          <w:color w:val="000000" w:themeColor="text1"/>
          <w:spacing w:val="6"/>
          <w14:textFill>
            <w14:solidFill>
              <w14:schemeClr w14:val="tx1"/>
            </w14:solidFill>
          </w14:textFill>
        </w:rPr>
        <w:t>分别在项目区进行了现状监测。</w:t>
      </w:r>
    </w:p>
    <w:p>
      <w:pPr>
        <w:spacing w:line="520" w:lineRule="exact"/>
        <w:ind w:firstLine="504"/>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监测布点图详见图4.</w:t>
      </w:r>
      <w:r>
        <w:rPr>
          <w:rFonts w:hint="eastAsia" w:ascii="Times New Roman" w:hAnsi="Times New Roman" w:cs="Times New Roman"/>
          <w:color w:val="000000" w:themeColor="text1"/>
          <w:spacing w:val="6"/>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-1。</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（1）监测点布置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噪声监测点分别位于厂界外东、西、南、北各1m处。</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（2）监测时间、频率及方法</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监测时间及频率：监测时间为2021年</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月2</w:t>
      </w:r>
      <w:r>
        <w:rPr>
          <w:rFonts w:hint="eastAsia" w:ascii="Times New Roman" w:hAnsi="Times New Roman" w:cs="Times New Roman"/>
          <w:color w:val="000000" w:themeColor="text1"/>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日，昼夜连续监测；声环境质量监测依据《声环境质量标准》（GB3096-2008）进行，使用AWA6228型噪声统计分析仪进行监测。</w:t>
      </w:r>
    </w:p>
    <w:p>
      <w:pPr>
        <w:pStyle w:val="7"/>
        <w:rPr>
          <w:rFonts w:cs="Times New Roman"/>
          <w:color w:val="000000" w:themeColor="text1"/>
          <w14:textFill>
            <w14:solidFill>
              <w14:schemeClr w14:val="tx1"/>
            </w14:solidFill>
          </w14:textFill>
        </w:rPr>
      </w:pPr>
      <w:bookmarkStart w:id="567" w:name="_Toc23045"/>
      <w:bookmarkStart w:id="568" w:name="_Toc5349"/>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.3.2 监测与评价结果</w:t>
      </w:r>
      <w:bookmarkEnd w:id="567"/>
      <w:bookmarkEnd w:id="568"/>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（1）评价标准</w:t>
      </w:r>
    </w:p>
    <w:p>
      <w:pPr>
        <w:adjustRightInd w:val="0"/>
        <w:snapToGrid w:val="0"/>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噪声现状评价执行《声环境质量标准》（GB3096-2008）中的</w:t>
      </w:r>
      <w:r>
        <w:rPr>
          <w:rFonts w:hint="eastAsia" w:ascii="Times New Roman" w:hAnsi="Times New Roman" w:cs="Times New Roman"/>
          <w:color w:val="000000" w:themeColor="text1"/>
          <w:kern w:val="0"/>
          <w14:textFill>
            <w14:solidFill>
              <w14:schemeClr w14:val="tx1"/>
            </w14:solidFill>
          </w14:textFill>
        </w:rPr>
        <w:t>2</w:t>
      </w:r>
      <w:r>
        <w:rPr>
          <w:rFonts w:ascii="Times New Roman" w:hAnsi="Times New Roman" w:cs="Times New Roman"/>
          <w:color w:val="000000" w:themeColor="text1"/>
          <w:kern w:val="0"/>
          <w14:textFill>
            <w14:solidFill>
              <w14:schemeClr w14:val="tx1"/>
            </w14:solidFill>
          </w14:textFill>
        </w:rPr>
        <w:t>类标准，具体见表4.</w:t>
      </w:r>
      <w:r>
        <w:rPr>
          <w:rFonts w:hint="eastAsia" w:ascii="Times New Roman" w:hAnsi="Times New Roman" w:cs="Times New Roman"/>
          <w:color w:val="000000" w:themeColor="text1"/>
          <w:kern w:val="0"/>
          <w14:textFill>
            <w14:solidFill>
              <w14:schemeClr w14:val="tx1"/>
            </w14:solidFill>
          </w14:textFill>
        </w:rPr>
        <w:t>3-8</w:t>
      </w:r>
      <w:r>
        <w:rPr>
          <w:rFonts w:ascii="Times New Roman" w:hAnsi="Times New Roman" w:cs="Times New Roman"/>
          <w:color w:val="000000" w:themeColor="text1"/>
          <w:kern w:val="0"/>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3-8</w:t>
      </w:r>
      <w:r>
        <w:rPr>
          <w:rFonts w:cs="Times New Roman"/>
          <w:color w:val="000000" w:themeColor="text1"/>
          <w14:textFill>
            <w14:solidFill>
              <w14:schemeClr w14:val="tx1"/>
            </w14:solidFill>
          </w14:textFill>
        </w:rPr>
        <w:t xml:space="preserve">   环境噪声标准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66"/>
        <w:gridCol w:w="2253"/>
        <w:gridCol w:w="2110"/>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类别</w:t>
            </w:r>
          </w:p>
        </w:tc>
        <w:tc>
          <w:tcPr>
            <w:tcW w:w="1265" w:type="pct"/>
            <w:tcMar>
              <w:top w:w="15" w:type="dxa"/>
              <w:left w:w="15" w:type="dxa"/>
              <w:bottom w:w="0" w:type="dxa"/>
              <w:right w:w="15" w:type="dxa"/>
            </w:tcMar>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昼间</w:t>
            </w:r>
          </w:p>
        </w:tc>
        <w:tc>
          <w:tcPr>
            <w:tcW w:w="1263" w:type="pct"/>
            <w:tcMar>
              <w:top w:w="15" w:type="dxa"/>
              <w:left w:w="15" w:type="dxa"/>
              <w:bottom w:w="0" w:type="dxa"/>
              <w:right w:w="15" w:type="dxa"/>
            </w:tcMar>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0类</w:t>
            </w:r>
          </w:p>
        </w:tc>
        <w:tc>
          <w:tcPr>
            <w:tcW w:w="1265"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w:t>
            </w:r>
          </w:p>
        </w:tc>
        <w:tc>
          <w:tcPr>
            <w:tcW w:w="1263"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1类</w:t>
            </w:r>
          </w:p>
        </w:tc>
        <w:tc>
          <w:tcPr>
            <w:tcW w:w="1265"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55</w:t>
            </w:r>
          </w:p>
        </w:tc>
        <w:tc>
          <w:tcPr>
            <w:tcW w:w="1263"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2类</w:t>
            </w:r>
          </w:p>
        </w:tc>
        <w:tc>
          <w:tcPr>
            <w:tcW w:w="1265"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w:t>
            </w:r>
          </w:p>
        </w:tc>
        <w:tc>
          <w:tcPr>
            <w:tcW w:w="1263"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3类</w:t>
            </w:r>
          </w:p>
        </w:tc>
        <w:tc>
          <w:tcPr>
            <w:tcW w:w="1265"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65</w:t>
            </w:r>
          </w:p>
        </w:tc>
        <w:tc>
          <w:tcPr>
            <w:tcW w:w="1263"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19"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4类</w:t>
            </w:r>
          </w:p>
        </w:tc>
        <w:tc>
          <w:tcPr>
            <w:tcW w:w="1351"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4a类</w:t>
            </w:r>
          </w:p>
        </w:tc>
        <w:tc>
          <w:tcPr>
            <w:tcW w:w="1265"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w:t>
            </w:r>
          </w:p>
        </w:tc>
        <w:tc>
          <w:tcPr>
            <w:tcW w:w="1263" w:type="pct"/>
            <w:tcMar>
              <w:top w:w="15" w:type="dxa"/>
              <w:left w:w="15" w:type="dxa"/>
              <w:bottom w:w="0" w:type="dxa"/>
              <w:right w:w="15" w:type="dxa"/>
            </w:tcMar>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55</w:t>
            </w:r>
          </w:p>
        </w:tc>
      </w:tr>
    </w:tbl>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（2）评价结果</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评价结果见表4.</w:t>
      </w:r>
      <w:r>
        <w:rPr>
          <w:rFonts w:hint="eastAsia" w:ascii="Times New Roman" w:hAnsi="Times New Roman" w:cs="Times New Roman"/>
          <w:snapToGrid w:val="0"/>
          <w:color w:val="000000" w:themeColor="text1"/>
          <w14:textFill>
            <w14:solidFill>
              <w14:schemeClr w14:val="tx1"/>
            </w14:solidFill>
          </w14:textFill>
        </w:rPr>
        <w:t>3-9</w:t>
      </w:r>
      <w:r>
        <w:rPr>
          <w:rFonts w:ascii="Times New Roman" w:hAnsi="Times New Roman" w:cs="Times New Roman"/>
          <w:snapToGrid w:val="0"/>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3-9</w:t>
      </w:r>
      <w:r>
        <w:rPr>
          <w:rFonts w:cs="Times New Roman"/>
          <w:color w:val="000000" w:themeColor="text1"/>
          <w14:textFill>
            <w14:solidFill>
              <w14:schemeClr w14:val="tx1"/>
            </w14:solidFill>
          </w14:textFill>
        </w:rPr>
        <w:t xml:space="preserve">   噪声现状监测结果及评价标准  单位：dB（A）</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1212"/>
        <w:gridCol w:w="1214"/>
        <w:gridCol w:w="1534"/>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778" w:type="pct"/>
            <w:vMerge w:val="restart"/>
            <w:tcBorders>
              <w:tl2br w:val="single" w:color="auto" w:sz="4" w:space="0"/>
            </w:tcBorders>
            <w:vAlign w:val="center"/>
          </w:tcPr>
          <w:p>
            <w:pPr>
              <w:pStyle w:val="40"/>
              <w:jc w:val="righ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监测结果</w:t>
            </w:r>
          </w:p>
          <w:p>
            <w:pPr>
              <w:pStyle w:val="4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监测点位</w:t>
            </w:r>
          </w:p>
        </w:tc>
        <w:tc>
          <w:tcPr>
            <w:tcW w:w="1423" w:type="pct"/>
            <w:gridSpan w:val="2"/>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昼间</w:t>
            </w:r>
          </w:p>
        </w:tc>
        <w:tc>
          <w:tcPr>
            <w:tcW w:w="1797" w:type="pct"/>
            <w:gridSpan w:val="2"/>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778" w:type="pct"/>
            <w:vMerge w:val="continue"/>
            <w:tcBorders>
              <w:tl2br w:val="single" w:color="auto" w:sz="4" w:space="0"/>
            </w:tcBorders>
            <w:vAlign w:val="center"/>
          </w:tcPr>
          <w:p>
            <w:pPr>
              <w:pStyle w:val="40"/>
              <w:rPr>
                <w:rFonts w:ascii="Times New Roman" w:hAnsi="Times New Roman" w:cs="Times New Roman"/>
                <w:b/>
                <w:bCs/>
                <w:color w:val="000000" w:themeColor="text1"/>
                <w14:textFill>
                  <w14:solidFill>
                    <w14:schemeClr w14:val="tx1"/>
                  </w14:solidFill>
                </w14:textFill>
              </w:rPr>
            </w:pPr>
          </w:p>
        </w:tc>
        <w:tc>
          <w:tcPr>
            <w:tcW w:w="711"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监测值</w:t>
            </w:r>
          </w:p>
        </w:tc>
        <w:tc>
          <w:tcPr>
            <w:tcW w:w="712"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标准限值</w:t>
            </w:r>
          </w:p>
        </w:tc>
        <w:tc>
          <w:tcPr>
            <w:tcW w:w="900"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监测值</w:t>
            </w:r>
          </w:p>
        </w:tc>
        <w:tc>
          <w:tcPr>
            <w:tcW w:w="89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7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厂区</w:t>
            </w:r>
            <w:r>
              <w:rPr>
                <w:rFonts w:hint="eastAsia" w:ascii="Times New Roman" w:hAnsi="Times New Roman" w:cs="Times New Roman"/>
                <w:color w:val="000000" w:themeColor="text1"/>
                <w14:textFill>
                  <w14:solidFill>
                    <w14:schemeClr w14:val="tx1"/>
                  </w14:solidFill>
                </w14:textFill>
              </w:rPr>
              <w:t>东</w:t>
            </w:r>
            <w:r>
              <w:rPr>
                <w:rFonts w:ascii="Times New Roman" w:hAnsi="Times New Roman" w:cs="Times New Roman"/>
                <w:color w:val="000000" w:themeColor="text1"/>
                <w14:textFill>
                  <w14:solidFill>
                    <w14:schemeClr w14:val="tx1"/>
                  </w14:solidFill>
                </w14:textFill>
              </w:rPr>
              <w:t>侧</w:t>
            </w:r>
          </w:p>
        </w:tc>
        <w:tc>
          <w:tcPr>
            <w:tcW w:w="1212" w:type="dxa"/>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40</w:t>
            </w:r>
          </w:p>
        </w:tc>
        <w:tc>
          <w:tcPr>
            <w:tcW w:w="712"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60</w:t>
            </w:r>
          </w:p>
        </w:tc>
        <w:tc>
          <w:tcPr>
            <w:tcW w:w="1534" w:type="dxa"/>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37</w:t>
            </w:r>
          </w:p>
        </w:tc>
        <w:tc>
          <w:tcPr>
            <w:tcW w:w="897" w:type="pct"/>
            <w:vMerge w:val="restart"/>
            <w:vAlign w:val="center"/>
          </w:tcPr>
          <w:p>
            <w:pPr>
              <w:pStyle w:val="4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7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厂区</w:t>
            </w:r>
            <w:r>
              <w:rPr>
                <w:rFonts w:hint="eastAsia" w:ascii="Times New Roman" w:hAnsi="Times New Roman" w:cs="Times New Roman"/>
                <w:color w:val="000000" w:themeColor="text1"/>
                <w14:textFill>
                  <w14:solidFill>
                    <w14:schemeClr w14:val="tx1"/>
                  </w14:solidFill>
                </w14:textFill>
              </w:rPr>
              <w:t>南</w:t>
            </w:r>
            <w:r>
              <w:rPr>
                <w:rFonts w:ascii="Times New Roman" w:hAnsi="Times New Roman" w:cs="Times New Roman"/>
                <w:color w:val="000000" w:themeColor="text1"/>
                <w14:textFill>
                  <w14:solidFill>
                    <w14:schemeClr w14:val="tx1"/>
                  </w14:solidFill>
                </w14:textFill>
              </w:rPr>
              <w:t>侧</w:t>
            </w:r>
          </w:p>
        </w:tc>
        <w:tc>
          <w:tcPr>
            <w:tcW w:w="1212" w:type="dxa"/>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41</w:t>
            </w:r>
          </w:p>
        </w:tc>
        <w:tc>
          <w:tcPr>
            <w:tcW w:w="71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534" w:type="dxa"/>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37</w:t>
            </w:r>
          </w:p>
        </w:tc>
        <w:tc>
          <w:tcPr>
            <w:tcW w:w="897"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7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厂区</w:t>
            </w:r>
            <w:r>
              <w:rPr>
                <w:rFonts w:hint="eastAsia" w:ascii="Times New Roman" w:hAnsi="Times New Roman" w:cs="Times New Roman"/>
                <w:color w:val="000000" w:themeColor="text1"/>
                <w14:textFill>
                  <w14:solidFill>
                    <w14:schemeClr w14:val="tx1"/>
                  </w14:solidFill>
                </w14:textFill>
              </w:rPr>
              <w:t>西</w:t>
            </w:r>
            <w:r>
              <w:rPr>
                <w:rFonts w:ascii="Times New Roman" w:hAnsi="Times New Roman" w:cs="Times New Roman"/>
                <w:color w:val="000000" w:themeColor="text1"/>
                <w14:textFill>
                  <w14:solidFill>
                    <w14:schemeClr w14:val="tx1"/>
                  </w14:solidFill>
                </w14:textFill>
              </w:rPr>
              <w:t>侧</w:t>
            </w:r>
          </w:p>
        </w:tc>
        <w:tc>
          <w:tcPr>
            <w:tcW w:w="1212" w:type="dxa"/>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42</w:t>
            </w:r>
          </w:p>
        </w:tc>
        <w:tc>
          <w:tcPr>
            <w:tcW w:w="71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534" w:type="dxa"/>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38</w:t>
            </w:r>
          </w:p>
        </w:tc>
        <w:tc>
          <w:tcPr>
            <w:tcW w:w="897"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7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厂区</w:t>
            </w:r>
            <w:r>
              <w:rPr>
                <w:rFonts w:hint="eastAsia" w:ascii="Times New Roman" w:hAnsi="Times New Roman" w:cs="Times New Roman"/>
                <w:color w:val="000000" w:themeColor="text1"/>
                <w14:textFill>
                  <w14:solidFill>
                    <w14:schemeClr w14:val="tx1"/>
                  </w14:solidFill>
                </w14:textFill>
              </w:rPr>
              <w:t>北</w:t>
            </w:r>
            <w:r>
              <w:rPr>
                <w:rFonts w:ascii="Times New Roman" w:hAnsi="Times New Roman" w:cs="Times New Roman"/>
                <w:color w:val="000000" w:themeColor="text1"/>
                <w14:textFill>
                  <w14:solidFill>
                    <w14:schemeClr w14:val="tx1"/>
                  </w14:solidFill>
                </w14:textFill>
              </w:rPr>
              <w:t>侧</w:t>
            </w:r>
          </w:p>
        </w:tc>
        <w:tc>
          <w:tcPr>
            <w:tcW w:w="1212" w:type="dxa"/>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41</w:t>
            </w:r>
          </w:p>
        </w:tc>
        <w:tc>
          <w:tcPr>
            <w:tcW w:w="71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534" w:type="dxa"/>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38</w:t>
            </w:r>
          </w:p>
        </w:tc>
        <w:tc>
          <w:tcPr>
            <w:tcW w:w="897"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从上表的噪声监测结果看出，厂界昼、夜间噪声值符合《声环境质量标准》（GB3096-2008）的</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类标准值。</w:t>
      </w:r>
    </w:p>
    <w:p>
      <w:pPr>
        <w:pStyle w:val="6"/>
        <w:rPr>
          <w:rFonts w:ascii="Times New Roman" w:hAnsi="Times New Roman" w:cs="Times New Roman"/>
          <w:color w:val="000000" w:themeColor="text1"/>
          <w14:textFill>
            <w14:solidFill>
              <w14:schemeClr w14:val="tx1"/>
            </w14:solidFill>
          </w14:textFill>
        </w:rPr>
      </w:pPr>
      <w:bookmarkStart w:id="569" w:name="_Toc353293784"/>
      <w:bookmarkStart w:id="570" w:name="_Toc370052905"/>
      <w:bookmarkStart w:id="571" w:name="_Toc391741199"/>
      <w:bookmarkStart w:id="572" w:name="_Toc484105108"/>
      <w:bookmarkStart w:id="573" w:name="_Toc1160"/>
      <w:bookmarkStart w:id="574" w:name="_Toc512007474"/>
      <w:bookmarkStart w:id="575" w:name="_Toc7023"/>
      <w:bookmarkStart w:id="576" w:name="_Toc28706"/>
      <w:r>
        <w:rPr>
          <w:rFonts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 xml:space="preserve">.4 </w:t>
      </w:r>
      <w:bookmarkEnd w:id="569"/>
      <w:bookmarkEnd w:id="570"/>
      <w:bookmarkEnd w:id="571"/>
      <w:bookmarkEnd w:id="572"/>
      <w:bookmarkEnd w:id="573"/>
      <w:bookmarkEnd w:id="574"/>
      <w:r>
        <w:rPr>
          <w:rFonts w:ascii="Times New Roman" w:hAnsi="Times New Roman" w:cs="Times New Roman"/>
          <w:color w:val="000000" w:themeColor="text1"/>
          <w14:textFill>
            <w14:solidFill>
              <w14:schemeClr w14:val="tx1"/>
            </w14:solidFill>
          </w14:textFill>
        </w:rPr>
        <w:t>土壤环境质量调查与评价</w:t>
      </w:r>
      <w:bookmarkEnd w:id="575"/>
      <w:bookmarkEnd w:id="576"/>
    </w:p>
    <w:p>
      <w:pPr>
        <w:pStyle w:val="7"/>
        <w:rPr>
          <w:rFonts w:cs="Times New Roman"/>
          <w:color w:val="000000" w:themeColor="text1"/>
          <w14:textFill>
            <w14:solidFill>
              <w14:schemeClr w14:val="tx1"/>
            </w14:solidFill>
          </w14:textFill>
        </w:rPr>
      </w:pPr>
      <w:bookmarkStart w:id="577" w:name="_Toc9122"/>
      <w:bookmarkStart w:id="578" w:name="_Toc25104"/>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4.1</w:t>
      </w:r>
      <w:r>
        <w:rPr>
          <w:rFonts w:cs="Times New Roman"/>
          <w:color w:val="000000" w:themeColor="text1"/>
          <w14:textFill>
            <w14:solidFill>
              <w14:schemeClr w14:val="tx1"/>
            </w14:solidFill>
          </w14:textFill>
        </w:rPr>
        <w:t xml:space="preserve"> 监测点位、监测时间、监测项目、执行标准</w:t>
      </w:r>
      <w:bookmarkEnd w:id="577"/>
      <w:bookmarkEnd w:id="578"/>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为了解项目区土壤环境质量，根据《环境影响评价技术导则 土壤环境（试行）》（HJ964-2018）</w:t>
      </w:r>
      <w:r>
        <w:rPr>
          <w:rFonts w:hint="eastAsia" w:ascii="Times New Roman" w:hAnsi="Times New Roman" w:cs="Times New Roman"/>
          <w:snapToGrid w:val="0"/>
          <w:color w:val="000000" w:themeColor="text1"/>
          <w14:textFill>
            <w14:solidFill>
              <w14:schemeClr w14:val="tx1"/>
            </w14:solidFill>
          </w14:textFill>
        </w:rPr>
        <w:t>，并结合</w:t>
      </w:r>
      <w:r>
        <w:rPr>
          <w:rFonts w:ascii="Times New Roman" w:hAnsi="Times New Roman" w:cs="Times New Roman"/>
          <w:snapToGrid w:val="0"/>
          <w:color w:val="000000" w:themeColor="text1"/>
          <w14:textFill>
            <w14:solidFill>
              <w14:schemeClr w14:val="tx1"/>
            </w14:solidFill>
          </w14:textFill>
        </w:rPr>
        <w:t>本项目建设特点，土壤环境监测</w:t>
      </w:r>
      <w:r>
        <w:rPr>
          <w:rFonts w:hint="eastAsia" w:ascii="Times New Roman" w:hAnsi="Times New Roman" w:cs="Times New Roman"/>
          <w:snapToGrid w:val="0"/>
          <w:color w:val="000000" w:themeColor="text1"/>
          <w14:textFill>
            <w14:solidFill>
              <w14:schemeClr w14:val="tx1"/>
            </w14:solidFill>
          </w14:textFill>
        </w:rPr>
        <w:t>在厂界内</w:t>
      </w:r>
      <w:r>
        <w:rPr>
          <w:rFonts w:ascii="Times New Roman" w:hAnsi="Times New Roman" w:cs="Times New Roman"/>
          <w:snapToGrid w:val="0"/>
          <w:color w:val="000000" w:themeColor="text1"/>
          <w14:textFill>
            <w14:solidFill>
              <w14:schemeClr w14:val="tx1"/>
            </w14:solidFill>
          </w14:textFill>
        </w:rPr>
        <w:t>共布设</w:t>
      </w:r>
      <w:r>
        <w:rPr>
          <w:rFonts w:hint="eastAsia" w:ascii="Times New Roman" w:hAnsi="Times New Roman" w:cs="Times New Roman"/>
          <w:snapToGrid w:val="0"/>
          <w:color w:val="000000" w:themeColor="text1"/>
          <w14:textFill>
            <w14:solidFill>
              <w14:schemeClr w14:val="tx1"/>
            </w14:solidFill>
          </w14:textFill>
        </w:rPr>
        <w:t>3</w:t>
      </w:r>
      <w:r>
        <w:rPr>
          <w:rFonts w:ascii="Times New Roman" w:hAnsi="Times New Roman" w:cs="Times New Roman"/>
          <w:snapToGrid w:val="0"/>
          <w:color w:val="000000" w:themeColor="text1"/>
          <w14:textFill>
            <w14:solidFill>
              <w14:schemeClr w14:val="tx1"/>
            </w14:solidFill>
          </w14:textFill>
        </w:rPr>
        <w:t>个</w:t>
      </w:r>
      <w:r>
        <w:rPr>
          <w:rFonts w:hint="eastAsia" w:ascii="Times New Roman" w:hAnsi="Times New Roman" w:cs="Times New Roman"/>
          <w:snapToGrid w:val="0"/>
          <w:color w:val="000000" w:themeColor="text1"/>
          <w14:textFill>
            <w14:solidFill>
              <w14:schemeClr w14:val="tx1"/>
            </w14:solidFill>
          </w14:textFill>
        </w:rPr>
        <w:t>柱状样点及1个表层样点</w:t>
      </w:r>
      <w:r>
        <w:rPr>
          <w:rFonts w:ascii="Times New Roman" w:hAnsi="Times New Roman" w:cs="Times New Roman"/>
          <w:snapToGrid w:val="0"/>
          <w:color w:val="000000" w:themeColor="text1"/>
          <w14:textFill>
            <w14:solidFill>
              <w14:schemeClr w14:val="tx1"/>
            </w14:solidFill>
          </w14:textFill>
        </w:rPr>
        <w:t>监测点位</w:t>
      </w:r>
      <w:r>
        <w:rPr>
          <w:rFonts w:hint="eastAsia" w:ascii="Times New Roman" w:hAnsi="Times New Roman" w:cs="Times New Roman"/>
          <w:snapToGrid w:val="0"/>
          <w:color w:val="000000" w:themeColor="text1"/>
          <w14:textFill>
            <w14:solidFill>
              <w14:schemeClr w14:val="tx1"/>
            </w14:solidFill>
          </w14:textFill>
        </w:rPr>
        <w:t>；厂界外0.2km范围内共布设2个表层样</w:t>
      </w:r>
      <w:r>
        <w:rPr>
          <w:rFonts w:ascii="Times New Roman" w:hAnsi="Times New Roman" w:cs="Times New Roman"/>
          <w:snapToGrid w:val="0"/>
          <w:color w:val="000000" w:themeColor="text1"/>
          <w14:textFill>
            <w14:solidFill>
              <w14:schemeClr w14:val="tx1"/>
            </w14:solidFill>
          </w14:textFill>
        </w:rPr>
        <w:t>监测点位。</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本次土壤环境质量现状监测基本情况见表4.3-11及图4.3-1。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3-11</w:t>
      </w:r>
      <w:r>
        <w:rPr>
          <w:rFonts w:cs="Times New Roman"/>
          <w:color w:val="000000" w:themeColor="text1"/>
          <w14:textFill>
            <w14:solidFill>
              <w14:schemeClr w14:val="tx1"/>
            </w14:solidFill>
          </w14:textFill>
        </w:rPr>
        <w:t xml:space="preserve">   土壤监测情况一览表</w:t>
      </w:r>
    </w:p>
    <w:tbl>
      <w:tblPr>
        <w:tblStyle w:val="27"/>
        <w:tblW w:w="50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2"/>
        <w:gridCol w:w="1967"/>
        <w:gridCol w:w="1583"/>
        <w:gridCol w:w="1701"/>
        <w:gridCol w:w="2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351"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编号</w:t>
            </w:r>
          </w:p>
        </w:tc>
        <w:tc>
          <w:tcPr>
            <w:tcW w:w="1166" w:type="pc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监测点坐标</w:t>
            </w:r>
          </w:p>
        </w:tc>
        <w:tc>
          <w:tcPr>
            <w:tcW w:w="938"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采样时间</w:t>
            </w:r>
          </w:p>
        </w:tc>
        <w:tc>
          <w:tcPr>
            <w:tcW w:w="1008"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监测项目</w:t>
            </w:r>
          </w:p>
        </w:tc>
        <w:tc>
          <w:tcPr>
            <w:tcW w:w="1534"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351"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p>
        </w:tc>
        <w:tc>
          <w:tcPr>
            <w:tcW w:w="116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E87°8′</w:t>
            </w:r>
            <w:r>
              <w:rPr>
                <w:rFonts w:hint="eastAsia" w:ascii="Times New Roman" w:hAnsi="Times New Roman" w:cs="Times New Roman"/>
                <w:color w:val="000000" w:themeColor="text1"/>
                <w14:textFill>
                  <w14:solidFill>
                    <w14:schemeClr w14:val="tx1"/>
                  </w14:solidFill>
                </w14:textFill>
              </w:rPr>
              <w:t>22.68</w:t>
            </w:r>
            <w:r>
              <w:rPr>
                <w:rFonts w:ascii="Times New Roman" w:hAnsi="Times New Roman" w:cs="Times New Roman"/>
                <w:color w:val="000000" w:themeColor="text1"/>
                <w14:textFill>
                  <w14:solidFill>
                    <w14:schemeClr w14:val="tx1"/>
                  </w14:solidFill>
                </w14:textFill>
              </w:rPr>
              <w:t>″</w:t>
            </w:r>
          </w:p>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N44°19′</w:t>
            </w:r>
            <w:r>
              <w:rPr>
                <w:rFonts w:hint="eastAsia" w:ascii="Times New Roman" w:hAnsi="Times New Roman" w:cs="Times New Roman"/>
                <w:color w:val="000000" w:themeColor="text1"/>
                <w14:textFill>
                  <w14:solidFill>
                    <w14:schemeClr w14:val="tx1"/>
                  </w14:solidFill>
                </w14:textFill>
              </w:rPr>
              <w:t>5.04</w:t>
            </w:r>
            <w:r>
              <w:rPr>
                <w:rFonts w:ascii="Times New Roman" w:hAnsi="Times New Roman" w:cs="Times New Roman"/>
                <w:color w:val="000000" w:themeColor="text1"/>
                <w14:textFill>
                  <w14:solidFill>
                    <w14:schemeClr w14:val="tx1"/>
                  </w14:solidFill>
                </w14:textFill>
              </w:rPr>
              <w:t>″</w:t>
            </w:r>
          </w:p>
        </w:tc>
        <w:tc>
          <w:tcPr>
            <w:tcW w:w="938"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2020年5月20日</w:t>
            </w:r>
          </w:p>
        </w:tc>
        <w:tc>
          <w:tcPr>
            <w:tcW w:w="1008"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镉、汞、砷、铅、铬、铜、镍</w:t>
            </w:r>
          </w:p>
        </w:tc>
        <w:tc>
          <w:tcPr>
            <w:tcW w:w="1534"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《畜禽养殖产地评价规范》</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HJ568-2010</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、《土壤环境质量 农用地土壤污染风险管控标准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试行</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GB15618-2018</w:t>
            </w:r>
            <w:r>
              <w:rPr>
                <w:rFonts w:hint="eastAsia"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351"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p>
        </w:tc>
        <w:tc>
          <w:tcPr>
            <w:tcW w:w="116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E87°8′</w:t>
            </w:r>
            <w:r>
              <w:rPr>
                <w:rFonts w:hint="eastAsia" w:ascii="Times New Roman" w:hAnsi="Times New Roman" w:cs="Times New Roman"/>
                <w:color w:val="000000" w:themeColor="text1"/>
                <w14:textFill>
                  <w14:solidFill>
                    <w14:schemeClr w14:val="tx1"/>
                  </w14:solidFill>
                </w14:textFill>
              </w:rPr>
              <w:t>23.61</w:t>
            </w:r>
            <w:r>
              <w:rPr>
                <w:rFonts w:ascii="Times New Roman" w:hAnsi="Times New Roman" w:cs="Times New Roman"/>
                <w:color w:val="000000" w:themeColor="text1"/>
                <w14:textFill>
                  <w14:solidFill>
                    <w14:schemeClr w14:val="tx1"/>
                  </w14:solidFill>
                </w14:textFill>
              </w:rPr>
              <w:t>″</w:t>
            </w:r>
          </w:p>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N44°1</w:t>
            </w:r>
            <w:r>
              <w:rPr>
                <w:rFonts w:hint="eastAsia" w:ascii="Times New Roman" w:hAnsi="Times New Roman" w:cs="Times New Roman"/>
                <w:color w:val="000000" w:themeColor="text1"/>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9.44</w:t>
            </w:r>
            <w:r>
              <w:rPr>
                <w:rFonts w:ascii="Times New Roman" w:hAnsi="Times New Roman" w:cs="Times New Roman"/>
                <w:color w:val="000000" w:themeColor="text1"/>
                <w14:textFill>
                  <w14:solidFill>
                    <w14:schemeClr w14:val="tx1"/>
                  </w14:solidFill>
                </w14:textFill>
              </w:rPr>
              <w:t>″</w:t>
            </w:r>
          </w:p>
        </w:tc>
        <w:tc>
          <w:tcPr>
            <w:tcW w:w="93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00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534"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351"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p>
        </w:tc>
        <w:tc>
          <w:tcPr>
            <w:tcW w:w="116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E87°8′28.24″</w:t>
            </w:r>
          </w:p>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N44°19′4.11″</w:t>
            </w:r>
          </w:p>
        </w:tc>
        <w:tc>
          <w:tcPr>
            <w:tcW w:w="93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00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534"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351"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w:t>
            </w:r>
          </w:p>
        </w:tc>
        <w:tc>
          <w:tcPr>
            <w:tcW w:w="116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E87°8′23.22″</w:t>
            </w:r>
          </w:p>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N44°19′1.10″</w:t>
            </w:r>
          </w:p>
        </w:tc>
        <w:tc>
          <w:tcPr>
            <w:tcW w:w="93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00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534"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351"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p>
        </w:tc>
        <w:tc>
          <w:tcPr>
            <w:tcW w:w="116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E87°8′14.18″</w:t>
            </w:r>
          </w:p>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N44°18′56.62″</w:t>
            </w:r>
          </w:p>
        </w:tc>
        <w:tc>
          <w:tcPr>
            <w:tcW w:w="93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00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534"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351"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w:t>
            </w:r>
          </w:p>
        </w:tc>
        <w:tc>
          <w:tcPr>
            <w:tcW w:w="116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E87°8′28.86″</w:t>
            </w:r>
          </w:p>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N44°19′14.15″</w:t>
            </w:r>
          </w:p>
        </w:tc>
        <w:tc>
          <w:tcPr>
            <w:tcW w:w="93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008"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534"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bl>
    <w:p>
      <w:pPr>
        <w:pStyle w:val="7"/>
        <w:rPr>
          <w:rFonts w:cs="Times New Roman"/>
          <w:color w:val="000000" w:themeColor="text1"/>
          <w14:textFill>
            <w14:solidFill>
              <w14:schemeClr w14:val="tx1"/>
            </w14:solidFill>
          </w14:textFill>
        </w:rPr>
      </w:pPr>
      <w:bookmarkStart w:id="579" w:name="_Toc8612"/>
      <w:bookmarkStart w:id="580" w:name="_Toc3263"/>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 xml:space="preserve">3.4.2 </w:t>
      </w:r>
      <w:r>
        <w:rPr>
          <w:rFonts w:cs="Times New Roman"/>
          <w:color w:val="000000" w:themeColor="text1"/>
          <w14:textFill>
            <w14:solidFill>
              <w14:schemeClr w14:val="tx1"/>
            </w14:solidFill>
          </w14:textFill>
        </w:rPr>
        <w:t>监测结果</w:t>
      </w:r>
      <w:bookmarkEnd w:id="579"/>
      <w:bookmarkEnd w:id="580"/>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根据《土壤环境质量 农用地土壤污染风险管控标准</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试行</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GB 15618</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2018</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，农用地只有耕地、牧草地、和园地三种，无设施农用地。根据建设用地分类标准，设施农用地不属于建设用地，不适用于</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土壤环境质量 建设用地土壤污染风险管控标准（试行）</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GB36600</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2018</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根据2019年4月22日的部长信箱回复，养殖项目的土壤质量执行《畜禽养殖产地评价规范》</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HJ568-2010</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中的表4养殖场土壤环境质量评价指标和限值，见表2</w:t>
      </w:r>
      <w:r>
        <w:rPr>
          <w:rFonts w:hint="eastAsia" w:ascii="Times New Roman" w:hAnsi="Times New Roman" w:cs="Times New Roman"/>
          <w:snapToGrid w:val="0"/>
          <w:color w:val="000000" w:themeColor="text1"/>
          <w14:textFill>
            <w14:solidFill>
              <w14:schemeClr w14:val="tx1"/>
            </w14:solidFill>
          </w14:textFill>
        </w:rPr>
        <w:t>.4-5</w:t>
      </w:r>
      <w:r>
        <w:rPr>
          <w:rFonts w:ascii="Times New Roman" w:hAnsi="Times New Roman" w:cs="Times New Roman"/>
          <w:snapToGrid w:val="0"/>
          <w:color w:val="000000" w:themeColor="text1"/>
          <w14:textFill>
            <w14:solidFill>
              <w14:schemeClr w14:val="tx1"/>
            </w14:solidFill>
          </w14:textFill>
        </w:rPr>
        <w:t>。</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本养殖场场区土壤环境质量标准值执行《畜禽养殖产地评价规范》</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HJ568-2010</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中的养殖场土壤环境质量标准，并参考执行《土壤环境质量 农用地土壤污染风险管控标准</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试行</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GB15618-2018</w:t>
      </w:r>
      <w:r>
        <w:rPr>
          <w:rFonts w:hint="eastAsia" w:ascii="Times New Roman" w:hAnsi="Times New Roman" w:cs="Times New Roman"/>
          <w:snapToGrid w:val="0"/>
          <w:color w:val="000000" w:themeColor="text1"/>
          <w14:textFill>
            <w14:solidFill>
              <w14:schemeClr w14:val="tx1"/>
            </w14:solidFill>
          </w14:textFill>
        </w:rPr>
        <w:t>）。</w:t>
      </w:r>
    </w:p>
    <w:p>
      <w:pPr>
        <w:spacing w:line="520" w:lineRule="exact"/>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本</w:t>
      </w:r>
      <w:r>
        <w:rPr>
          <w:rFonts w:ascii="Times New Roman" w:hAnsi="Times New Roman" w:cs="Times New Roman"/>
          <w:snapToGrid w:val="0"/>
          <w:color w:val="000000" w:themeColor="text1"/>
          <w14:textFill>
            <w14:solidFill>
              <w14:schemeClr w14:val="tx1"/>
            </w14:solidFill>
          </w14:textFill>
        </w:rPr>
        <w:t>项目区土壤监测统计结果详见表</w:t>
      </w:r>
      <w:r>
        <w:rPr>
          <w:rFonts w:hint="eastAsia" w:ascii="Times New Roman" w:hAnsi="Times New Roman" w:cs="Times New Roman"/>
          <w:snapToGrid w:val="0"/>
          <w:color w:val="000000" w:themeColor="text1"/>
          <w14:textFill>
            <w14:solidFill>
              <w14:schemeClr w14:val="tx1"/>
            </w14:solidFill>
          </w14:textFill>
        </w:rPr>
        <w:t>4.3-12</w:t>
      </w:r>
      <w:r>
        <w:rPr>
          <w:rFonts w:ascii="Times New Roman" w:hAnsi="Times New Roman" w:cs="Times New Roman"/>
          <w:snapToGrid w:val="0"/>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p>
    <w:p>
      <w:pPr>
        <w:pStyle w:val="39"/>
        <w:spacing w:before="0" w:after="0" w:line="520" w:lineRule="exact"/>
        <w:rPr>
          <w:rFonts w:cs="Times New Roman"/>
          <w:color w:val="000000" w:themeColor="text1"/>
          <w14:textFill>
            <w14:solidFill>
              <w14:schemeClr w14:val="tx1"/>
            </w14:solidFill>
          </w14:textFill>
        </w:rPr>
      </w:pP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3-12</w:t>
      </w:r>
      <w:r>
        <w:rPr>
          <w:rFonts w:cs="Times New Roman"/>
          <w:color w:val="000000" w:themeColor="text1"/>
          <w14:textFill>
            <w14:solidFill>
              <w14:schemeClr w14:val="tx1"/>
            </w14:solidFill>
          </w14:textFill>
        </w:rPr>
        <w:t xml:space="preserve">   土壤现状监测统计结果</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10"/>
        <w:gridCol w:w="986"/>
        <w:gridCol w:w="1274"/>
        <w:gridCol w:w="1274"/>
        <w:gridCol w:w="1274"/>
        <w:gridCol w:w="1097"/>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02" w:type="pct"/>
            <w:vMerge w:val="restar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监测项目</w:t>
            </w:r>
          </w:p>
        </w:tc>
        <w:tc>
          <w:tcPr>
            <w:tcW w:w="475" w:type="pct"/>
            <w:vMerge w:val="restar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单位</w:t>
            </w:r>
          </w:p>
        </w:tc>
        <w:tc>
          <w:tcPr>
            <w:tcW w:w="4122" w:type="pct"/>
            <w:gridSpan w:val="6"/>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02" w:type="pct"/>
            <w:vMerge w:val="continue"/>
            <w:vAlign w:val="center"/>
          </w:tcPr>
          <w:p>
            <w:pPr>
              <w:pStyle w:val="40"/>
              <w:rPr>
                <w:rFonts w:ascii="Times New Roman" w:hAnsi="Times New Roman" w:cs="Times New Roman"/>
                <w:b/>
                <w:bCs/>
                <w:color w:val="000000" w:themeColor="text1"/>
                <w14:textFill>
                  <w14:solidFill>
                    <w14:schemeClr w14:val="tx1"/>
                  </w14:solidFill>
                </w14:textFill>
              </w:rPr>
            </w:pPr>
          </w:p>
        </w:tc>
        <w:tc>
          <w:tcPr>
            <w:tcW w:w="475" w:type="pct"/>
            <w:vMerge w:val="continue"/>
            <w:vAlign w:val="center"/>
          </w:tcPr>
          <w:p>
            <w:pPr>
              <w:pStyle w:val="40"/>
              <w:rPr>
                <w:rFonts w:ascii="Times New Roman" w:hAnsi="Times New Roman" w:cs="Times New Roman"/>
                <w:b/>
                <w:bCs/>
                <w:color w:val="000000" w:themeColor="text1"/>
                <w14:textFill>
                  <w14:solidFill>
                    <w14:schemeClr w14:val="tx1"/>
                  </w14:solidFill>
                </w14:textFill>
              </w:rPr>
            </w:pPr>
          </w:p>
        </w:tc>
        <w:tc>
          <w:tcPr>
            <w:tcW w:w="578" w:type="pc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spacing w:val="-11"/>
                <w14:textFill>
                  <w14:solidFill>
                    <w14:schemeClr w14:val="tx1"/>
                  </w14:solidFill>
                </w14:textFill>
              </w:rPr>
              <w:t>1#监测点</w:t>
            </w:r>
          </w:p>
        </w:tc>
        <w:tc>
          <w:tcPr>
            <w:tcW w:w="748" w:type="pc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2#监测点</w:t>
            </w:r>
          </w:p>
        </w:tc>
        <w:tc>
          <w:tcPr>
            <w:tcW w:w="748" w:type="pc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3#监测点</w:t>
            </w:r>
          </w:p>
        </w:tc>
        <w:tc>
          <w:tcPr>
            <w:tcW w:w="748" w:type="pc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4#监测点</w:t>
            </w:r>
          </w:p>
        </w:tc>
        <w:tc>
          <w:tcPr>
            <w:tcW w:w="644" w:type="pc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5#监测点</w:t>
            </w:r>
          </w:p>
        </w:tc>
        <w:tc>
          <w:tcPr>
            <w:tcW w:w="655" w:type="pc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6#监测点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镉</w:t>
            </w:r>
          </w:p>
        </w:tc>
        <w:tc>
          <w:tcPr>
            <w:tcW w:w="47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mg/kg</w:t>
            </w:r>
          </w:p>
        </w:tc>
        <w:tc>
          <w:tcPr>
            <w:tcW w:w="57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0.56</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0.24~0.52</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0.25~0.50</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0.29~0.53</w:t>
            </w:r>
          </w:p>
        </w:tc>
        <w:tc>
          <w:tcPr>
            <w:tcW w:w="64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0.58</w:t>
            </w:r>
          </w:p>
        </w:tc>
        <w:tc>
          <w:tcPr>
            <w:tcW w:w="655"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汞</w:t>
            </w:r>
          </w:p>
        </w:tc>
        <w:tc>
          <w:tcPr>
            <w:tcW w:w="47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mg/kg</w:t>
            </w:r>
          </w:p>
        </w:tc>
        <w:tc>
          <w:tcPr>
            <w:tcW w:w="57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0.357</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0.132~0.323</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0.132~0.302</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0.139~0.287</w:t>
            </w:r>
          </w:p>
        </w:tc>
        <w:tc>
          <w:tcPr>
            <w:tcW w:w="64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0.368</w:t>
            </w:r>
          </w:p>
        </w:tc>
        <w:tc>
          <w:tcPr>
            <w:tcW w:w="655"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砷</w:t>
            </w:r>
          </w:p>
        </w:tc>
        <w:tc>
          <w:tcPr>
            <w:tcW w:w="47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mg/kg</w:t>
            </w:r>
          </w:p>
        </w:tc>
        <w:tc>
          <w:tcPr>
            <w:tcW w:w="57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17.1</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6.11~12.4</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7.08~13.1</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5.53~12.3</w:t>
            </w:r>
          </w:p>
        </w:tc>
        <w:tc>
          <w:tcPr>
            <w:tcW w:w="64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17.0</w:t>
            </w:r>
          </w:p>
        </w:tc>
        <w:tc>
          <w:tcPr>
            <w:tcW w:w="655"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铅</w:t>
            </w:r>
          </w:p>
        </w:tc>
        <w:tc>
          <w:tcPr>
            <w:tcW w:w="47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mg/kg</w:t>
            </w:r>
          </w:p>
        </w:tc>
        <w:tc>
          <w:tcPr>
            <w:tcW w:w="57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45</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20~41</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17~44</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17~40</w:t>
            </w:r>
          </w:p>
        </w:tc>
        <w:tc>
          <w:tcPr>
            <w:tcW w:w="64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48</w:t>
            </w:r>
          </w:p>
        </w:tc>
        <w:tc>
          <w:tcPr>
            <w:tcW w:w="655"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铬</w:t>
            </w:r>
          </w:p>
        </w:tc>
        <w:tc>
          <w:tcPr>
            <w:tcW w:w="47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mg/kg</w:t>
            </w:r>
          </w:p>
        </w:tc>
        <w:tc>
          <w:tcPr>
            <w:tcW w:w="57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2.3</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0.6~1.7</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0.7~1.6</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0.5~1.8</w:t>
            </w:r>
          </w:p>
        </w:tc>
        <w:tc>
          <w:tcPr>
            <w:tcW w:w="64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w:t>
            </w:r>
          </w:p>
        </w:tc>
        <w:tc>
          <w:tcPr>
            <w:tcW w:w="655"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铜</w:t>
            </w:r>
          </w:p>
        </w:tc>
        <w:tc>
          <w:tcPr>
            <w:tcW w:w="47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mg/kg</w:t>
            </w:r>
          </w:p>
        </w:tc>
        <w:tc>
          <w:tcPr>
            <w:tcW w:w="57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26</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10~16</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12~17</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10~17</w:t>
            </w:r>
          </w:p>
        </w:tc>
        <w:tc>
          <w:tcPr>
            <w:tcW w:w="64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27</w:t>
            </w:r>
          </w:p>
        </w:tc>
        <w:tc>
          <w:tcPr>
            <w:tcW w:w="655"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镍</w:t>
            </w:r>
          </w:p>
        </w:tc>
        <w:tc>
          <w:tcPr>
            <w:tcW w:w="47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mg/kg</w:t>
            </w:r>
          </w:p>
        </w:tc>
        <w:tc>
          <w:tcPr>
            <w:tcW w:w="57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26</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7~17</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5~18</w:t>
            </w:r>
          </w:p>
        </w:tc>
        <w:tc>
          <w:tcPr>
            <w:tcW w:w="74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6~19</w:t>
            </w:r>
          </w:p>
        </w:tc>
        <w:tc>
          <w:tcPr>
            <w:tcW w:w="64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28</w:t>
            </w:r>
          </w:p>
        </w:tc>
        <w:tc>
          <w:tcPr>
            <w:tcW w:w="655"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30</w:t>
            </w:r>
          </w:p>
        </w:tc>
      </w:tr>
    </w:tbl>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由上表可知，项目土壤各监测因子浓度均满足《畜禽养殖产地评价规范》</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HJ568-2010</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中的表4养殖场土壤环境质量评价指标限值，同时也满足《土壤环境质量 农用地土壤污染风险管控标准</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试行</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GB15618-2018</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中“其他”农用地土壤污染风险筛选值，该区域土壤环境质量较好。</w:t>
      </w:r>
    </w:p>
    <w:p>
      <w:pPr>
        <w:pStyle w:val="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 xml:space="preserve"> 生态环境质量现状</w:t>
      </w:r>
      <w:r>
        <w:rPr>
          <w:rFonts w:hint="eastAsia" w:ascii="Times New Roman" w:hAnsi="Times New Roman" w:cs="Times New Roman"/>
          <w:color w:val="000000" w:themeColor="text1"/>
          <w14:textFill>
            <w14:solidFill>
              <w14:schemeClr w14:val="tx1"/>
            </w14:solidFill>
          </w14:textFill>
        </w:rPr>
        <w:t>与评价</w:t>
      </w:r>
    </w:p>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3.5.1 生态功能区划</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根据《新疆生态功能区划》，项目位于Ⅱ准噶尔盆地温性荒漠与绿洲农业生态区，Ⅱ5准噶尔盆地南部荒漠绿洲农业生态亚区，26.乌苏—石河子—昌吉城镇与绿洲农业生态功能区。项目区生态功能区划见表4.</w:t>
      </w:r>
      <w:r>
        <w:rPr>
          <w:rFonts w:hint="eastAsia" w:ascii="Times New Roman" w:hAnsi="Times New Roman" w:cs="Times New Roman"/>
          <w:snapToGrid w:val="0"/>
          <w:color w:val="000000" w:themeColor="text1"/>
          <w14:textFill>
            <w14:solidFill>
              <w14:schemeClr w14:val="tx1"/>
            </w14:solidFill>
          </w14:textFill>
        </w:rPr>
        <w:t>3</w:t>
      </w:r>
      <w:r>
        <w:rPr>
          <w:rFonts w:ascii="Times New Roman" w:hAnsi="Times New Roman" w:cs="Times New Roman"/>
          <w:snapToGrid w:val="0"/>
          <w:color w:val="000000" w:themeColor="text1"/>
          <w14:textFill>
            <w14:solidFill>
              <w14:schemeClr w14:val="tx1"/>
            </w14:solidFill>
          </w14:textFill>
        </w:rPr>
        <w:t>-13。</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3-13</w:t>
      </w:r>
      <w:r>
        <w:rPr>
          <w:rFonts w:cs="Times New Roman"/>
          <w:color w:val="000000" w:themeColor="text1"/>
          <w14:textFill>
            <w14:solidFill>
              <w14:schemeClr w14:val="tx1"/>
            </w14:solidFill>
          </w14:textFill>
        </w:rPr>
        <w:t xml:space="preserve">   项目区生态功能区划</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10"/>
        <w:gridCol w:w="945"/>
        <w:gridCol w:w="1095"/>
        <w:gridCol w:w="1043"/>
        <w:gridCol w:w="1462"/>
        <w:gridCol w:w="1005"/>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5" w:type="dxa"/>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生态区</w:t>
            </w:r>
          </w:p>
        </w:tc>
        <w:tc>
          <w:tcPr>
            <w:tcW w:w="810" w:type="dxa"/>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生态亚区</w:t>
            </w:r>
          </w:p>
        </w:tc>
        <w:tc>
          <w:tcPr>
            <w:tcW w:w="945" w:type="dxa"/>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生态功能区</w:t>
            </w:r>
          </w:p>
        </w:tc>
        <w:tc>
          <w:tcPr>
            <w:tcW w:w="1095" w:type="dxa"/>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主要生态</w:t>
            </w:r>
          </w:p>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服务功能</w:t>
            </w:r>
          </w:p>
        </w:tc>
        <w:tc>
          <w:tcPr>
            <w:tcW w:w="1043" w:type="dxa"/>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主要生态环境问题</w:t>
            </w:r>
          </w:p>
        </w:tc>
        <w:tc>
          <w:tcPr>
            <w:tcW w:w="1462" w:type="dxa"/>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主要生态环境敏感因子、敏感程度</w:t>
            </w:r>
          </w:p>
        </w:tc>
        <w:tc>
          <w:tcPr>
            <w:tcW w:w="1005" w:type="dxa"/>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主要保护目标</w:t>
            </w:r>
          </w:p>
        </w:tc>
        <w:tc>
          <w:tcPr>
            <w:tcW w:w="1327" w:type="dxa"/>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主要保护措施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5" w:type="dxa"/>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准噶尔盆地温性荒漠与绿洲农业生态区</w:t>
            </w:r>
          </w:p>
        </w:tc>
        <w:tc>
          <w:tcPr>
            <w:tcW w:w="810" w:type="dxa"/>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准噶尔盆地南部荒漠绿洲农业生态亚区</w:t>
            </w:r>
          </w:p>
        </w:tc>
        <w:tc>
          <w:tcPr>
            <w:tcW w:w="945" w:type="dxa"/>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26．乌苏—石河子—昌吉城镇与绿洲农业生态功能区</w:t>
            </w:r>
          </w:p>
        </w:tc>
        <w:tc>
          <w:tcPr>
            <w:tcW w:w="1095" w:type="dxa"/>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工农畜产品生产、人居环境、荒漠化控制</w:t>
            </w:r>
          </w:p>
        </w:tc>
        <w:tc>
          <w:tcPr>
            <w:tcW w:w="1043" w:type="dxa"/>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地下水超采、荒漠植被退化、土地荒漠化与盐渍化、大气和水质及土壤污染、良田减少、绿洲外围受到沙漠化威胁</w:t>
            </w:r>
          </w:p>
        </w:tc>
        <w:tc>
          <w:tcPr>
            <w:tcW w:w="1462" w:type="dxa"/>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生物多样性及其生境中度敏感，土壤盐渍化</w:t>
            </w:r>
          </w:p>
        </w:tc>
        <w:tc>
          <w:tcPr>
            <w:tcW w:w="1005" w:type="dxa"/>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保护绿洲农田、保护城市大气和水环境质量、保护荒漠植被、保护农田土壤环境质量</w:t>
            </w:r>
          </w:p>
        </w:tc>
        <w:tc>
          <w:tcPr>
            <w:tcW w:w="1327" w:type="dxa"/>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节水灌溉污染物达标排放、提高城镇建设规划水平、控制城镇建设用地、荒漠草场禁牧休牧、完善防护林体系、加强农田投入品的使用管理</w:t>
            </w:r>
          </w:p>
        </w:tc>
      </w:tr>
    </w:tbl>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3.5.2 植被环境现状调查及评价</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项目规划园区位于三屯河下游冲积平原，此区域以大面积开垦为农田，产业园评价范围内的主要自然植物种类组成有藜科、菊科、十字花科、禾本科，区域主要植物 种类及生物学特征见表4.</w:t>
      </w:r>
      <w:r>
        <w:rPr>
          <w:rFonts w:hint="eastAsia" w:ascii="Times New Roman" w:hAnsi="Times New Roman" w:cs="Times New Roman"/>
          <w:snapToGrid w:val="0"/>
          <w:color w:val="000000" w:themeColor="text1"/>
          <w14:textFill>
            <w14:solidFill>
              <w14:schemeClr w14:val="tx1"/>
            </w14:solidFill>
          </w14:textFill>
        </w:rPr>
        <w:t>3</w:t>
      </w:r>
      <w:r>
        <w:rPr>
          <w:rFonts w:ascii="Times New Roman" w:hAnsi="Times New Roman" w:cs="Times New Roman"/>
          <w:snapToGrid w:val="0"/>
          <w:color w:val="000000" w:themeColor="text1"/>
          <w14:textFill>
            <w14:solidFill>
              <w14:schemeClr w14:val="tx1"/>
            </w14:solidFill>
          </w14:textFill>
        </w:rPr>
        <w:t>-14。</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3-14</w:t>
      </w:r>
      <w:r>
        <w:rPr>
          <w:rFonts w:cs="Times New Roman"/>
          <w:color w:val="000000" w:themeColor="text1"/>
          <w14:textFill>
            <w14:solidFill>
              <w14:schemeClr w14:val="tx1"/>
            </w14:solidFill>
          </w14:textFill>
        </w:rPr>
        <w:t xml:space="preserve">   区域主要植物种类地位及生物学特征</w:t>
      </w:r>
    </w:p>
    <w:tbl>
      <w:tblPr>
        <w:tblStyle w:val="27"/>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76"/>
        <w:gridCol w:w="594"/>
        <w:gridCol w:w="594"/>
        <w:gridCol w:w="594"/>
        <w:gridCol w:w="594"/>
        <w:gridCol w:w="609"/>
        <w:gridCol w:w="594"/>
        <w:gridCol w:w="594"/>
        <w:gridCol w:w="595"/>
        <w:gridCol w:w="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1785"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植物名称</w:t>
            </w:r>
          </w:p>
        </w:tc>
        <w:tc>
          <w:tcPr>
            <w:tcW w:w="1789" w:type="pct"/>
            <w:gridSpan w:val="5"/>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植物生活型</w:t>
            </w:r>
          </w:p>
        </w:tc>
        <w:tc>
          <w:tcPr>
            <w:tcW w:w="356"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出现度较大的</w:t>
            </w:r>
          </w:p>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种</w:t>
            </w:r>
          </w:p>
        </w:tc>
        <w:tc>
          <w:tcPr>
            <w:tcW w:w="356"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优势种</w:t>
            </w:r>
          </w:p>
        </w:tc>
        <w:tc>
          <w:tcPr>
            <w:tcW w:w="357"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保护植物</w:t>
            </w:r>
          </w:p>
        </w:tc>
        <w:tc>
          <w:tcPr>
            <w:tcW w:w="353"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资源植物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Merge w:val="continue"/>
            <w:tcBorders>
              <w:top w:val="nil"/>
            </w:tcBorders>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高位芽植物</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地上芽植物</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地面芽植物</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地下芽植物</w:t>
            </w: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一年生植物</w:t>
            </w:r>
          </w:p>
        </w:tc>
        <w:tc>
          <w:tcPr>
            <w:tcW w:w="356" w:type="pct"/>
            <w:vMerge w:val="continue"/>
            <w:tcBorders>
              <w:top w:val="nil"/>
            </w:tcBorders>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Merge w:val="continue"/>
            <w:tcBorders>
              <w:top w:val="nil"/>
            </w:tcBorders>
            <w:vAlign w:val="center"/>
          </w:tcPr>
          <w:p>
            <w:pPr>
              <w:pStyle w:val="40"/>
              <w:rPr>
                <w:rFonts w:ascii="Times New Roman" w:hAnsi="Times New Roman" w:cs="Times New Roman"/>
                <w:color w:val="000000" w:themeColor="text1"/>
                <w14:textFill>
                  <w14:solidFill>
                    <w14:schemeClr w14:val="tx1"/>
                  </w14:solidFill>
                </w14:textFill>
              </w:rPr>
            </w:pPr>
          </w:p>
        </w:tc>
        <w:tc>
          <w:tcPr>
            <w:tcW w:w="357" w:type="pct"/>
            <w:vMerge w:val="continue"/>
            <w:tcBorders>
              <w:top w:val="nil"/>
            </w:tcBorders>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Merge w:val="continue"/>
            <w:tcBorders>
              <w:top w:val="nil"/>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猪毛菜 Salsola arbuscula</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多枝柽柳 Tamarix prjewalsKii</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芦苇 Phragmites communis</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盐爪爪 Kalidium foliatum</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梭梭 Haloxylon ammodiendron</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博洛塔绢蒿 Seriphidium borotalens</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琵琶柴 Reaumuria soongorica</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小蓬 Nanophyton erinaceum</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无叶假木贼 Anabasis aphylla</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盐节木 Halocnermum str</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花花柴</w:t>
            </w:r>
            <w:r>
              <w:rPr>
                <w:rFonts w:hint="eastAsia" w:ascii="Times New Roman" w:hAnsi="Times New Roman" w:cs="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Kareliniacaspia(Pall.)Less</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p>
        </w:tc>
        <w:tc>
          <w:tcPr>
            <w:tcW w:w="36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6"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7" w:type="pct"/>
            <w:vAlign w:val="center"/>
          </w:tcPr>
          <w:p>
            <w:pPr>
              <w:pStyle w:val="40"/>
              <w:rPr>
                <w:rFonts w:ascii="Times New Roman" w:hAnsi="Times New Roman" w:cs="Times New Roman"/>
                <w:color w:val="000000" w:themeColor="text1"/>
                <w14:textFill>
                  <w14:solidFill>
                    <w14:schemeClr w14:val="tx1"/>
                  </w14:solidFill>
                </w14:textFill>
              </w:rPr>
            </w:pPr>
          </w:p>
        </w:tc>
        <w:tc>
          <w:tcPr>
            <w:tcW w:w="353" w:type="pct"/>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85" w:type="pct"/>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甘草 Glycyrrhiza uralensis Fisch</w:t>
            </w:r>
          </w:p>
        </w:tc>
        <w:tc>
          <w:tcPr>
            <w:tcW w:w="356" w:type="pct"/>
          </w:tcPr>
          <w:p>
            <w:pPr>
              <w:pStyle w:val="40"/>
              <w:rPr>
                <w:rFonts w:ascii="Times New Roman" w:hAnsi="Times New Roman" w:cs="Times New Roman"/>
                <w:color w:val="000000" w:themeColor="text1"/>
                <w14:textFill>
                  <w14:solidFill>
                    <w14:schemeClr w14:val="tx1"/>
                  </w14:solidFill>
                </w14:textFill>
              </w:rPr>
            </w:pPr>
          </w:p>
        </w:tc>
        <w:tc>
          <w:tcPr>
            <w:tcW w:w="356" w:type="pct"/>
          </w:tcPr>
          <w:p>
            <w:pPr>
              <w:pStyle w:val="40"/>
              <w:rPr>
                <w:rFonts w:ascii="Times New Roman" w:hAnsi="Times New Roman" w:cs="Times New Roman"/>
                <w:color w:val="000000" w:themeColor="text1"/>
                <w14:textFill>
                  <w14:solidFill>
                    <w14:schemeClr w14:val="tx1"/>
                  </w14:solidFill>
                </w14:textFill>
              </w:rPr>
            </w:pPr>
          </w:p>
        </w:tc>
        <w:tc>
          <w:tcPr>
            <w:tcW w:w="356" w:type="pct"/>
          </w:tcPr>
          <w:p>
            <w:pPr>
              <w:pStyle w:val="40"/>
              <w:rPr>
                <w:rFonts w:ascii="Times New Roman" w:hAnsi="Times New Roman" w:cs="Times New Roman"/>
                <w:color w:val="000000" w:themeColor="text1"/>
                <w14:textFill>
                  <w14:solidFill>
                    <w14:schemeClr w14:val="tx1"/>
                  </w14:solidFill>
                </w14:textFill>
              </w:rPr>
            </w:pPr>
          </w:p>
        </w:tc>
        <w:tc>
          <w:tcPr>
            <w:tcW w:w="356" w:type="pct"/>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64" w:type="pct"/>
          </w:tcPr>
          <w:p>
            <w:pPr>
              <w:pStyle w:val="40"/>
              <w:rPr>
                <w:rFonts w:ascii="Times New Roman" w:hAnsi="Times New Roman" w:cs="Times New Roman"/>
                <w:color w:val="000000" w:themeColor="text1"/>
                <w14:textFill>
                  <w14:solidFill>
                    <w14:schemeClr w14:val="tx1"/>
                  </w14:solidFill>
                </w14:textFill>
              </w:rPr>
            </w:pPr>
          </w:p>
        </w:tc>
        <w:tc>
          <w:tcPr>
            <w:tcW w:w="356" w:type="pct"/>
          </w:tcPr>
          <w:p>
            <w:pPr>
              <w:pStyle w:val="40"/>
              <w:rPr>
                <w:rFonts w:ascii="Times New Roman" w:hAnsi="Times New Roman" w:cs="Times New Roman"/>
                <w:color w:val="000000" w:themeColor="text1"/>
                <w14:textFill>
                  <w14:solidFill>
                    <w14:schemeClr w14:val="tx1"/>
                  </w14:solidFill>
                </w14:textFill>
              </w:rPr>
            </w:pPr>
          </w:p>
        </w:tc>
        <w:tc>
          <w:tcPr>
            <w:tcW w:w="356" w:type="pct"/>
          </w:tcPr>
          <w:p>
            <w:pPr>
              <w:pStyle w:val="40"/>
              <w:rPr>
                <w:rFonts w:ascii="Times New Roman" w:hAnsi="Times New Roman" w:cs="Times New Roman"/>
                <w:color w:val="000000" w:themeColor="text1"/>
                <w14:textFill>
                  <w14:solidFill>
                    <w14:schemeClr w14:val="tx1"/>
                  </w14:solidFill>
                </w14:textFill>
              </w:rPr>
            </w:pPr>
          </w:p>
        </w:tc>
        <w:tc>
          <w:tcPr>
            <w:tcW w:w="357" w:type="pct"/>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353" w:type="pct"/>
          </w:tcPr>
          <w:p>
            <w:pPr>
              <w:pStyle w:val="40"/>
              <w:rPr>
                <w:rFonts w:ascii="Times New Roman" w:hAnsi="Times New Roman" w:cs="Times New Roman"/>
                <w:color w:val="000000" w:themeColor="text1"/>
                <w14:textFill>
                  <w14:solidFill>
                    <w14:schemeClr w14:val="tx1"/>
                  </w14:solidFill>
                </w14:textFill>
              </w:rPr>
            </w:pPr>
          </w:p>
        </w:tc>
      </w:tr>
    </w:tbl>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3.5.3 野生动物类型及分布状况</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该区域在动物区系上属蒙新区的西部荒漠亚区中的准噶尔盆地小区，动物区系组成简单，野生动物种类和数量均较少。项目评价范围内保护动物主要为猛禽类，区域没有大型兽类动物分布。项目区域活动的野生动物以小型啮齿类、爬行类和鸟类为主，常见种类见表4.</w:t>
      </w:r>
      <w:r>
        <w:rPr>
          <w:rFonts w:hint="eastAsia" w:ascii="Times New Roman" w:hAnsi="Times New Roman" w:cs="Times New Roman"/>
          <w:snapToGrid w:val="0"/>
          <w:color w:val="000000" w:themeColor="text1"/>
          <w14:textFill>
            <w14:solidFill>
              <w14:schemeClr w14:val="tx1"/>
            </w14:solidFill>
          </w14:textFill>
        </w:rPr>
        <w:t>3</w:t>
      </w:r>
      <w:r>
        <w:rPr>
          <w:rFonts w:ascii="Times New Roman" w:hAnsi="Times New Roman" w:cs="Times New Roman"/>
          <w:snapToGrid w:val="0"/>
          <w:color w:val="000000" w:themeColor="text1"/>
          <w14:textFill>
            <w14:solidFill>
              <w14:schemeClr w14:val="tx1"/>
            </w14:solidFill>
          </w14:textFill>
        </w:rPr>
        <w:t>-15。</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3-15</w:t>
      </w:r>
      <w:r>
        <w:rPr>
          <w:rFonts w:cs="Times New Roman"/>
          <w:color w:val="000000" w:themeColor="text1"/>
          <w14:textFill>
            <w14:solidFill>
              <w14:schemeClr w14:val="tx1"/>
            </w14:solidFill>
          </w14:textFill>
        </w:rPr>
        <w:t xml:space="preserve">   项目区域常见动物组成</w:t>
      </w:r>
    </w:p>
    <w:tbl>
      <w:tblPr>
        <w:tblStyle w:val="27"/>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60"/>
        <w:gridCol w:w="4061"/>
        <w:gridCol w:w="1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种类</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学名</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密点麻蜥</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Eremias multionllata</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快步麻蜥</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Eremias velox</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荒漠麻蜥</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Phrynocephalus grumgrizimaloi</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长耳跳鼠</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Euchoueutes naso</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毛脚跳鼠</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Dipus sagitta</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小家鼠（奥德萨亚种）</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Mus musculus hortulanus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黄兔尾鼠</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Lagarus Luteus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大沙鼠</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Phyombomys opimus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小五趾跳鼠</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Allactage sibirca</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子午沙鼠</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Meriones meridianus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红尾沙鼠</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Meriones erythrourus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长耳鸮</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Asio otus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戴胜（普通亚种）</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Upup epops saturala</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鸢</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Milvus korschun</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国家二级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白尾鹞</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Circus cyaneus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国家二级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红隼</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Falco tinnunculus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国家二级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凤头百灵（新疆亚种）</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Galeruia criatata</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小沙百灵</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Calandrella rufescens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家燕（指名亚种）</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Hirunda rustica rustica</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红尾伯劳（北疆亚种）</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Laniun cristatus phoenicuroides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大杜鹃</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Cuculus canorus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家麻雀（新疆亚种）</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Passder domesticus bactrianus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树麻雀</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Passer montanus</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灰鹡鸰</w:t>
            </w:r>
          </w:p>
        </w:tc>
        <w:tc>
          <w:tcPr>
            <w:tcW w:w="2436"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Motacilla cinera</w:t>
            </w:r>
          </w:p>
        </w:tc>
        <w:tc>
          <w:tcPr>
            <w:tcW w:w="787"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r>
    </w:tbl>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3.5.4 水土流失及水土保持</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根据《新疆维吾尔自治区水土保持建设规划》和《关于全疆水土流失重点预防保护区、重点监督区、重点治理区划分的公告》，园区所在的昌吉市属于自治区“三区公告”中的重点监督区。必须做好保护和治理措施，加强监督管理工作，防止因生产建设活动造成新的水土流失。</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（1）水土流失现状</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根据《昌吉市水土保持规划报告》，全市水土流失面积达5312km</w:t>
      </w:r>
      <w:r>
        <w:rPr>
          <w:rFonts w:ascii="Times New Roman" w:hAnsi="Times New Roman" w:cs="Times New Roman"/>
          <w:snapToGrid w:val="0"/>
          <w:color w:val="000000" w:themeColor="text1"/>
          <w:vertAlign w:val="superscript"/>
          <w14:textFill>
            <w14:solidFill>
              <w14:schemeClr w14:val="tx1"/>
            </w14:solidFill>
          </w14:textFill>
        </w:rPr>
        <w:t>2</w:t>
      </w:r>
      <w:r>
        <w:rPr>
          <w:rFonts w:ascii="Times New Roman" w:hAnsi="Times New Roman" w:cs="Times New Roman"/>
          <w:snapToGrid w:val="0"/>
          <w:color w:val="000000" w:themeColor="text1"/>
          <w14:textFill>
            <w14:solidFill>
              <w14:schemeClr w14:val="tx1"/>
            </w14:solidFill>
          </w14:textFill>
        </w:rPr>
        <w:t>（可治理面积为1825km</w:t>
      </w:r>
      <w:r>
        <w:rPr>
          <w:rFonts w:ascii="Times New Roman" w:hAnsi="Times New Roman" w:cs="Times New Roman"/>
          <w:snapToGrid w:val="0"/>
          <w:color w:val="000000" w:themeColor="text1"/>
          <w:vertAlign w:val="superscript"/>
          <w14:textFill>
            <w14:solidFill>
              <w14:schemeClr w14:val="tx1"/>
            </w14:solidFill>
          </w14:textFill>
        </w:rPr>
        <w:t>2</w:t>
      </w:r>
      <w:r>
        <w:rPr>
          <w:rFonts w:ascii="Times New Roman" w:hAnsi="Times New Roman" w:cs="Times New Roman"/>
          <w:snapToGrid w:val="0"/>
          <w:color w:val="000000" w:themeColor="text1"/>
          <w14:textFill>
            <w14:solidFill>
              <w14:schemeClr w14:val="tx1"/>
            </w14:solidFill>
          </w14:textFill>
        </w:rPr>
        <w:t>），占幅员面积的65%。按平均侵蚀模数计算则土壤侵蚀总量为1859.2万吨/年。全市水土流失划分为四个类型区：①南部中、高山冻融侵蚀区，②南部前山丘陵强度水蚀中度重力侵蚀区，③南部平原中度水蚀区，④中部平原水蚀和轻度风蚀区，⑤北部荒漠中度风蚀区。</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园区地形南高北低，整体坡降较为平缓。通过查阅《昌吉市水土保持规划报告》和昌吉水土保持监测观测点实地监测资料，结合区域地形、气候、地表组成、植被等各方面因素的基础上，最终确定规划区原生地貌土壤侵蚀模数在1500~1800t/</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km</w:t>
      </w:r>
      <w:r>
        <w:rPr>
          <w:rFonts w:ascii="Times New Roman" w:hAnsi="Times New Roman" w:cs="Times New Roman"/>
          <w:snapToGrid w:val="0"/>
          <w:color w:val="000000" w:themeColor="text1"/>
          <w:vertAlign w:val="superscript"/>
          <w14:textFill>
            <w14:solidFill>
              <w14:schemeClr w14:val="tx1"/>
            </w14:solidFill>
          </w14:textFill>
        </w:rPr>
        <w:t>2</w:t>
      </w:r>
      <w:r>
        <w:rPr>
          <w:rFonts w:ascii="Times New Roman" w:hAnsi="Times New Roman" w:cs="Times New Roman"/>
          <w:snapToGrid w:val="0"/>
          <w:color w:val="000000" w:themeColor="text1"/>
          <w14:textFill>
            <w14:solidFill>
              <w14:schemeClr w14:val="tx1"/>
            </w14:solidFill>
          </w14:textFill>
        </w:rPr>
        <w:t>·a</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之间。</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（2）水土流失的类型</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根据《土壤侵蚀强度分类分级标准》（SL190-2007），结合外业实地调查等资料，园区主要受天山北部山前洪积扇的影响，区域整体地形南高北低，由南向北倾斜，平坦开阔，地貌单一。规划园区位于昌吉市中部平原水蚀和轻度风蚀区，土壤侵蚀类型属微度水蚀轻度风蚀。</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①风力侵蚀</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根据水利部《开发建设项目水土保持方案技术规范》中风力侵蚀分级参考指标（见表4.</w:t>
      </w:r>
      <w:r>
        <w:rPr>
          <w:rFonts w:hint="eastAsia" w:ascii="Times New Roman" w:hAnsi="Times New Roman" w:cs="Times New Roman"/>
          <w:snapToGrid w:val="0"/>
          <w:color w:val="000000" w:themeColor="text1"/>
          <w14:textFill>
            <w14:solidFill>
              <w14:schemeClr w14:val="tx1"/>
            </w14:solidFill>
          </w14:textFill>
        </w:rPr>
        <w:t>3</w:t>
      </w:r>
      <w:r>
        <w:rPr>
          <w:rFonts w:ascii="Times New Roman" w:hAnsi="Times New Roman" w:cs="Times New Roman"/>
          <w:snapToGrid w:val="0"/>
          <w:color w:val="000000" w:themeColor="text1"/>
          <w14:textFill>
            <w14:solidFill>
              <w14:schemeClr w14:val="tx1"/>
            </w14:solidFill>
          </w14:textFill>
        </w:rPr>
        <w:t>-16），产业园风力侵蚀强度进行评价。</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w:t>
      </w:r>
      <w:r>
        <w:rPr>
          <w:rFonts w:hint="eastAsia" w:cs="Times New Roman"/>
          <w:color w:val="000000" w:themeColor="text1"/>
          <w14:textFill>
            <w14:solidFill>
              <w14:schemeClr w14:val="tx1"/>
            </w14:solidFill>
          </w14:textFill>
        </w:rPr>
        <w:t>3-16</w:t>
      </w:r>
      <w:r>
        <w:rPr>
          <w:rFonts w:cs="Times New Roman"/>
          <w:color w:val="000000" w:themeColor="text1"/>
          <w14:textFill>
            <w14:solidFill>
              <w14:schemeClr w14:val="tx1"/>
            </w14:solidFill>
          </w14:textFill>
        </w:rPr>
        <w:t xml:space="preserve">   风力侵蚀强度分级参考指标</w:t>
      </w:r>
    </w:p>
    <w:tbl>
      <w:tblPr>
        <w:tblStyle w:val="2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12"/>
        <w:gridCol w:w="6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10"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级别</w:t>
            </w:r>
          </w:p>
        </w:tc>
        <w:tc>
          <w:tcPr>
            <w:tcW w:w="3789"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侵蚀状况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121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Ⅰ微度侵蚀</w:t>
            </w:r>
          </w:p>
        </w:tc>
        <w:tc>
          <w:tcPr>
            <w:tcW w:w="37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干旱和半干旱地区的草甸沼泽，草甸草原和湖盆滩地等低湿地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1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Ⅱ轻度侵蚀</w:t>
            </w:r>
          </w:p>
        </w:tc>
        <w:tc>
          <w:tcPr>
            <w:tcW w:w="37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旱季以吹扬为主，河谷河滩或其它沙质上，有沙坡出现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1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Ⅲ中度侵蚀</w:t>
            </w:r>
          </w:p>
        </w:tc>
        <w:tc>
          <w:tcPr>
            <w:tcW w:w="37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地面有沙暴或具有沙滩、沙垄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1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Ⅳ强度侵蚀</w:t>
            </w:r>
          </w:p>
        </w:tc>
        <w:tc>
          <w:tcPr>
            <w:tcW w:w="37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有活动沙丘或风蚀残丘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1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Ⅴ极强度侵蚀</w:t>
            </w:r>
          </w:p>
        </w:tc>
        <w:tc>
          <w:tcPr>
            <w:tcW w:w="37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广布沙丘、沙垄、活动性大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1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Ⅵ剧烈侵蚀</w:t>
            </w:r>
          </w:p>
        </w:tc>
        <w:tc>
          <w:tcPr>
            <w:tcW w:w="37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光板地，戈壁滩</w:t>
            </w:r>
          </w:p>
        </w:tc>
      </w:tr>
    </w:tbl>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昌吉地区多年平均风速2.1m/s，多年平均大风日数约20天，沙尘暴天气3.7天，据风力侵蚀强度分级参考指标分析，园区应属轻度侵蚀</w:t>
      </w:r>
      <w:r>
        <w:rPr>
          <w:rFonts w:hint="eastAsia" w:ascii="Times New Roman" w:hAnsi="Times New Roman" w:cs="Times New Roman"/>
          <w:snapToGrid w:val="0"/>
          <w:color w:val="000000" w:themeColor="text1"/>
          <w14:textFill>
            <w14:solidFill>
              <w14:schemeClr w14:val="tx1"/>
            </w14:solidFill>
          </w14:textFill>
        </w:rPr>
        <w:t>。</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②水蚀</w:t>
      </w:r>
    </w:p>
    <w:p>
      <w:pPr>
        <w:spacing w:line="520" w:lineRule="exac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产业园主要是平原农耕区域，不论是从坡度（&lt;3°）、沟壑密度（&lt;1km/km</w:t>
      </w:r>
      <w:r>
        <w:rPr>
          <w:rFonts w:hint="eastAsia" w:ascii="Times New Roman" w:hAnsi="Times New Roman" w:cs="Times New Roman"/>
          <w:snapToGrid w:val="0"/>
          <w:color w:val="000000" w:themeColor="text1"/>
          <w:vertAlign w:val="superscript"/>
          <w14:textFill>
            <w14:solidFill>
              <w14:schemeClr w14:val="tx1"/>
            </w14:solidFill>
          </w14:textFill>
        </w:rPr>
        <w:t>2</w:t>
      </w:r>
      <w:r>
        <w:rPr>
          <w:rFonts w:ascii="Times New Roman" w:hAnsi="Times New Roman" w:cs="Times New Roman"/>
          <w:snapToGrid w:val="0"/>
          <w:color w:val="000000" w:themeColor="text1"/>
          <w14:textFill>
            <w14:solidFill>
              <w14:schemeClr w14:val="tx1"/>
            </w14:solidFill>
          </w14:textFill>
        </w:rPr>
        <w:t>）、沟蚀面积（占总面积的百分数&lt;1％）都可以确定为轻度侵蚀，而且由于该段位于农耕区内，植被盖度较高，地势较平坦，水蚀较弱，其水蚀强度一般在微－轻度。</w:t>
      </w:r>
    </w:p>
    <w:p>
      <w:pPr>
        <w:spacing w:line="520" w:lineRule="exact"/>
        <w:rPr>
          <w:rFonts w:ascii="Times New Roman" w:hAnsi="Times New Roman" w:cs="Times New Roman"/>
          <w:snapToGrid w:val="0"/>
          <w:color w:val="000000" w:themeColor="text1"/>
          <w14:textFill>
            <w14:solidFill>
              <w14:schemeClr w14:val="tx1"/>
            </w14:solidFill>
          </w14:textFill>
        </w:rPr>
      </w:pPr>
    </w:p>
    <w:p>
      <w:pPr>
        <w:spacing w:line="520" w:lineRule="exact"/>
        <w:rPr>
          <w:rFonts w:ascii="Times New Roman" w:hAnsi="Times New Roman" w:cs="Times New Roman"/>
          <w:snapToGrid w:val="0"/>
          <w:color w:val="000000" w:themeColor="text1"/>
          <w14:textFill>
            <w14:solidFill>
              <w14:schemeClr w14:val="tx1"/>
            </w14:solidFill>
          </w14:textFill>
        </w:rPr>
      </w:pPr>
    </w:p>
    <w:p>
      <w:pPr>
        <w:spacing w:line="520" w:lineRule="exact"/>
        <w:rPr>
          <w:rFonts w:ascii="Times New Roman" w:hAnsi="Times New Roman" w:cs="Times New Roman"/>
          <w:snapToGrid w:val="0"/>
          <w:color w:val="000000" w:themeColor="text1"/>
          <w14:textFill>
            <w14:solidFill>
              <w14:schemeClr w14:val="tx1"/>
            </w14:solidFill>
          </w14:textFill>
        </w:rPr>
      </w:pPr>
    </w:p>
    <w:p>
      <w:pPr>
        <w:spacing w:line="520" w:lineRule="exact"/>
        <w:rPr>
          <w:rFonts w:ascii="Times New Roman" w:hAnsi="Times New Roman" w:cs="Times New Roman"/>
          <w:snapToGrid w:val="0"/>
          <w:color w:val="000000" w:themeColor="text1"/>
          <w14:textFill>
            <w14:solidFill>
              <w14:schemeClr w14:val="tx1"/>
            </w14:solidFill>
          </w14:textFill>
        </w:rPr>
      </w:pPr>
    </w:p>
    <w:p>
      <w:pPr>
        <w:pStyle w:val="10"/>
        <w:spacing w:line="520" w:lineRule="exact"/>
        <w:ind w:firstLine="480"/>
        <w:rPr>
          <w:rFonts w:ascii="Times New Roman" w:hAnsi="Times New Roman" w:cs="Times New Roman"/>
          <w:color w:val="000000" w:themeColor="text1"/>
          <w:sz w:val="24"/>
          <w:szCs w:val="24"/>
          <w14:textFill>
            <w14:solidFill>
              <w14:schemeClr w14:val="tx1"/>
            </w14:solidFill>
          </w14:textFill>
        </w:rPr>
      </w:pPr>
    </w:p>
    <w:p>
      <w:pPr>
        <w:pStyle w:val="10"/>
        <w:spacing w:line="520" w:lineRule="exact"/>
        <w:ind w:firstLine="480"/>
        <w:rPr>
          <w:rFonts w:ascii="Times New Roman" w:hAnsi="Times New Roman"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
        <w:jc w:val="center"/>
        <w:rPr>
          <w:rFonts w:ascii="Times New Roman" w:hAnsi="Times New Roman" w:cs="Times New Roman"/>
          <w:color w:val="000000" w:themeColor="text1"/>
          <w14:textFill>
            <w14:solidFill>
              <w14:schemeClr w14:val="tx1"/>
            </w14:solidFill>
          </w14:textFill>
        </w:rPr>
      </w:pPr>
      <w:bookmarkStart w:id="581" w:name="_Toc22592"/>
      <w:bookmarkStart w:id="582" w:name="_Toc19524"/>
      <w:bookmarkStart w:id="583" w:name="_Toc15362"/>
      <w:bookmarkStart w:id="584" w:name="_Toc8330"/>
      <w:bookmarkStart w:id="585" w:name="_Toc3256"/>
      <w:r>
        <w:rPr>
          <w:rFonts w:ascii="Times New Roman" w:hAnsi="Times New Roman" w:cs="Times New Roman"/>
          <w:color w:val="000000" w:themeColor="text1"/>
          <w14:textFill>
            <w14:solidFill>
              <w14:schemeClr w14:val="tx1"/>
            </w14:solidFill>
          </w14:textFill>
        </w:rPr>
        <w:t>5 环境影响预测与评价</w:t>
      </w:r>
      <w:bookmarkEnd w:id="581"/>
      <w:bookmarkEnd w:id="582"/>
      <w:bookmarkEnd w:id="583"/>
      <w:bookmarkEnd w:id="584"/>
      <w:bookmarkEnd w:id="585"/>
    </w:p>
    <w:p>
      <w:pPr>
        <w:pStyle w:val="5"/>
        <w:rPr>
          <w:rFonts w:ascii="Times New Roman" w:hAnsi="Times New Roman" w:cs="Times New Roman"/>
          <w:color w:val="000000" w:themeColor="text1"/>
          <w14:textFill>
            <w14:solidFill>
              <w14:schemeClr w14:val="tx1"/>
            </w14:solidFill>
          </w14:textFill>
        </w:rPr>
      </w:pPr>
      <w:bookmarkStart w:id="586" w:name="_Toc30243_WPSOffice_Level2"/>
      <w:bookmarkStart w:id="587" w:name="_Toc22925"/>
      <w:bookmarkStart w:id="588" w:name="_Toc21501"/>
      <w:bookmarkStart w:id="589" w:name="_Toc985"/>
      <w:bookmarkStart w:id="590" w:name="_Toc30158"/>
      <w:bookmarkStart w:id="591" w:name="_Toc16340"/>
      <w:r>
        <w:rPr>
          <w:rFonts w:ascii="Times New Roman" w:hAnsi="Times New Roman" w:cs="Times New Roman"/>
          <w:color w:val="000000" w:themeColor="text1"/>
          <w14:textFill>
            <w14:solidFill>
              <w14:schemeClr w14:val="tx1"/>
            </w14:solidFill>
          </w14:textFill>
        </w:rPr>
        <w:t>5.1 施工期环境影响分析</w:t>
      </w:r>
      <w:bookmarkEnd w:id="586"/>
      <w:bookmarkEnd w:id="587"/>
      <w:bookmarkEnd w:id="588"/>
      <w:bookmarkEnd w:id="589"/>
      <w:bookmarkEnd w:id="590"/>
      <w:bookmarkEnd w:id="591"/>
    </w:p>
    <w:p>
      <w:pPr>
        <w:spacing w:line="520" w:lineRule="exact"/>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项目建设期为1</w:t>
      </w:r>
      <w:r>
        <w:rPr>
          <w:rFonts w:hint="eastAsia" w:ascii="Times New Roman" w:hAnsi="Times New Roman" w:cs="Times New Roman"/>
          <w:color w:val="000000" w:themeColor="text1"/>
          <w:lang w:val="en-US" w:eastAsia="zh-CN"/>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个月，在项目建设的过程中，土地平整、土地开挖、铺设管道、基础处理、建设施工等施工过程会产生扬尘、噪声、污水及水土流失等污染因素，如不妥善处理，对周围环境会产生一定影响。故建设单位在本项目的施工建设中，应严格按照《建筑施工现场环境与卫生标准》执行，注意避免或减轻其对周围环境的各种影响。</w:t>
      </w:r>
    </w:p>
    <w:p>
      <w:pPr>
        <w:pStyle w:val="6"/>
        <w:rPr>
          <w:rFonts w:ascii="Times New Roman" w:hAnsi="Times New Roman" w:cs="Times New Roman"/>
          <w:color w:val="000000" w:themeColor="text1"/>
          <w14:textFill>
            <w14:solidFill>
              <w14:schemeClr w14:val="tx1"/>
            </w14:solidFill>
          </w14:textFill>
        </w:rPr>
      </w:pPr>
      <w:bookmarkStart w:id="592" w:name="_Toc32499"/>
      <w:bookmarkStart w:id="593" w:name="_Toc20671"/>
      <w:bookmarkStart w:id="594" w:name="_Toc6903"/>
      <w:r>
        <w:rPr>
          <w:rFonts w:ascii="Times New Roman" w:hAnsi="Times New Roman" w:cs="Times New Roman"/>
          <w:color w:val="000000" w:themeColor="text1"/>
          <w14:textFill>
            <w14:solidFill>
              <w14:schemeClr w14:val="tx1"/>
            </w14:solidFill>
          </w14:textFill>
        </w:rPr>
        <w:t>5.1.1</w:t>
      </w:r>
      <w:bookmarkStart w:id="595" w:name="_Toc237534979"/>
      <w:bookmarkStart w:id="596" w:name="_Toc240476139"/>
      <w:bookmarkStart w:id="597" w:name="_Toc238089945"/>
      <w:bookmarkStart w:id="598" w:name="_Toc237534796"/>
      <w:bookmarkStart w:id="599" w:name="_Toc239439575"/>
      <w:bookmarkStart w:id="600" w:name="_Toc376168579"/>
      <w:bookmarkStart w:id="601" w:name="_Toc20463"/>
      <w:bookmarkStart w:id="602" w:name="_Toc258592077"/>
      <w:bookmarkStart w:id="603" w:name="_Toc248875566"/>
      <w:bookmarkStart w:id="604" w:name="_Toc256524529"/>
      <w:bookmarkStart w:id="605" w:name="_Toc264817795"/>
      <w:bookmarkStart w:id="606" w:name="_Toc22747"/>
      <w:bookmarkStart w:id="607" w:name="_Toc266117343"/>
      <w:bookmarkStart w:id="608" w:name="_Toc256667503"/>
      <w:bookmarkStart w:id="609" w:name="_Toc256494906"/>
      <w:r>
        <w:rPr>
          <w:rFonts w:ascii="Times New Roman" w:hAnsi="Times New Roman" w:cs="Times New Roman"/>
          <w:color w:val="000000" w:themeColor="text1"/>
          <w14:textFill>
            <w14:solidFill>
              <w14:schemeClr w14:val="tx1"/>
            </w14:solidFill>
          </w14:textFill>
        </w:rPr>
        <w:t xml:space="preserve"> 施工期大气环境影响</w:t>
      </w:r>
      <w:bookmarkEnd w:id="595"/>
      <w:bookmarkEnd w:id="596"/>
      <w:bookmarkEnd w:id="597"/>
      <w:bookmarkEnd w:id="598"/>
      <w:bookmarkEnd w:id="599"/>
      <w:r>
        <w:rPr>
          <w:rFonts w:ascii="Times New Roman" w:hAnsi="Times New Roman" w:cs="Times New Roman"/>
          <w:color w:val="000000" w:themeColor="text1"/>
          <w14:textFill>
            <w14:solidFill>
              <w14:schemeClr w14:val="tx1"/>
            </w14:solidFill>
          </w14:textFill>
        </w:rPr>
        <w:t>分析</w:t>
      </w:r>
      <w:bookmarkEnd w:id="592"/>
      <w:bookmarkEnd w:id="593"/>
      <w:bookmarkEnd w:id="594"/>
      <w:bookmarkEnd w:id="600"/>
      <w:bookmarkEnd w:id="601"/>
      <w:bookmarkEnd w:id="602"/>
      <w:bookmarkEnd w:id="603"/>
      <w:bookmarkEnd w:id="604"/>
      <w:bookmarkEnd w:id="605"/>
      <w:bookmarkEnd w:id="606"/>
      <w:bookmarkEnd w:id="607"/>
      <w:bookmarkEnd w:id="608"/>
      <w:bookmarkEnd w:id="609"/>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施工期的废气主要为扬尘，还有部分施工机械以及运输车辆排放的尾气。</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（1）扬尘环境影响分析</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扬尘的来源包括有：土方挖掘及现场堆放扬尘；建筑材料的堆放、现场搬运、装卸、等产生扬尘；车来往造成的现场道路扬尘。</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国内外的有关研究资料，扬尘起尘量与许多因素有关，如挖土机等施工机械在工作时的起尘量决定于挖坑深度、挖土机抓斗与地面的相对高度、风速、土壤的颗粒度、土壤含水量、渣土分散度等条件；而对于渣土堆扬尘而言，起尘量还与堆放方式、起动风速及堆场有无防护措施、尘粒和沉降速度等密切相关。不同的粒径的尘粒的沉降速度见表5.1-1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表5.1-1   不同粒径尘粒的沉降速度</w:t>
      </w:r>
    </w:p>
    <w:tbl>
      <w:tblPr>
        <w:tblStyle w:val="27"/>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670"/>
        <w:gridCol w:w="991"/>
        <w:gridCol w:w="989"/>
        <w:gridCol w:w="994"/>
        <w:gridCol w:w="994"/>
        <w:gridCol w:w="989"/>
        <w:gridCol w:w="994"/>
        <w:gridCol w:w="90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粒径（μm）</w:t>
            </w:r>
          </w:p>
        </w:tc>
        <w:tc>
          <w:tcPr>
            <w:tcW w:w="581"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w:t>
            </w:r>
          </w:p>
        </w:tc>
        <w:tc>
          <w:tcPr>
            <w:tcW w:w="52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沉降速度（m/s）</w:t>
            </w:r>
          </w:p>
        </w:tc>
        <w:tc>
          <w:tcPr>
            <w:tcW w:w="581"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0.003</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0.012</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0.027</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0.048</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0.075</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0.108</w:t>
            </w:r>
          </w:p>
        </w:tc>
        <w:tc>
          <w:tcPr>
            <w:tcW w:w="52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0.147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粒径（μm）</w:t>
            </w:r>
          </w:p>
        </w:tc>
        <w:tc>
          <w:tcPr>
            <w:tcW w:w="581"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80</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150</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250</w:t>
            </w:r>
          </w:p>
        </w:tc>
        <w:tc>
          <w:tcPr>
            <w:tcW w:w="52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沉降速度（m/s）</w:t>
            </w:r>
          </w:p>
        </w:tc>
        <w:tc>
          <w:tcPr>
            <w:tcW w:w="581"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0.158</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0.170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0.182</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0.239</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0.804</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1.005</w:t>
            </w:r>
          </w:p>
        </w:tc>
        <w:tc>
          <w:tcPr>
            <w:tcW w:w="52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1.829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粒径（μm）</w:t>
            </w:r>
          </w:p>
        </w:tc>
        <w:tc>
          <w:tcPr>
            <w:tcW w:w="581"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450</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550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650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750</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850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950</w:t>
            </w:r>
          </w:p>
        </w:tc>
        <w:tc>
          <w:tcPr>
            <w:tcW w:w="52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沉降速度（m/s）</w:t>
            </w:r>
          </w:p>
        </w:tc>
        <w:tc>
          <w:tcPr>
            <w:tcW w:w="581"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2.211</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2.614</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3.016</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3.418</w:t>
            </w:r>
          </w:p>
        </w:tc>
        <w:tc>
          <w:tcPr>
            <w:tcW w:w="5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3.820</w:t>
            </w:r>
          </w:p>
        </w:tc>
        <w:tc>
          <w:tcPr>
            <w:tcW w:w="58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4.222</w:t>
            </w:r>
          </w:p>
        </w:tc>
        <w:tc>
          <w:tcPr>
            <w:tcW w:w="52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4.624</w:t>
            </w:r>
          </w:p>
        </w:tc>
      </w:tr>
    </w:tbl>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此外，根据有关市政施工现场实测资料的记录，在一般气象条件下，当风速在2.5m/s的情况下，建筑工地内TSP浓度是上风向对照点的2.0~2.5倍，建筑施工扬尘的影响范围为其下风向150m左右。通过类比调查研究，未采取防护措施和土壤较干燥时，开挖的最大扬尘约为开挖土量的1%。在采取一定防护措施或土壤较湿润时，开挖的扬尘量约为0.1%。在采取适当防护措施后，施工扬尘范围一般在</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外50~200m左右。</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扬尘的大小跟风力及气候有一定的关系，本项目厂址降雨稀少，沙尘天气较多，相应的扬尘影响范围较大，细颗粒的输送距离可以达到几十公里以上。而在洒水和避免大风日的情况下施工，下风向50mTSP浓度会小于0.3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以上分析可知，在不采用措施的情况下，施工场地的扬尘会对当地环境产生一定的影响，而在通过采取合理布置施工场地，同时在洒水和避免大风日情况下施工等措施下，扬尘的影响将得到一定程度降低，且扬尘的不良影响将伴随着施工期的结束而结束。</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运输车辆通过便道行驶产生的扬尘源强大小与污染源的距离、道路路面、行驶速度有关。一般情况，在自然风作用下车辆产生的扬尘所影响的范围在100m以内。如果在施工期间对车辆行驶的路面洒水抑尘，每天洒水4~5次，扬尘减少70%左右，施工场地洒水试验结果见表5.1</w:t>
      </w:r>
      <w:r>
        <w:rPr>
          <w:rStyle w:val="43"/>
          <w:rFonts w:cs="Times New Roman"/>
          <w:b w:val="0"/>
          <w:bCs/>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p>
    <w:p>
      <w:pPr>
        <w:spacing w:line="520" w:lineRule="exact"/>
        <w:ind w:firstLine="422"/>
        <w:jc w:val="center"/>
        <w:rPr>
          <w:rFonts w:ascii="Times New Roman" w:hAnsi="Times New Roman" w:cs="Times New Roman"/>
          <w:color w:val="000000" w:themeColor="text1"/>
          <w:vertAlign w:val="superscript"/>
          <w14:textFill>
            <w14:solidFill>
              <w14:schemeClr w14:val="tx1"/>
            </w14:solidFill>
          </w14:textFill>
        </w:rPr>
      </w:pPr>
      <w:r>
        <w:rPr>
          <w:rStyle w:val="43"/>
          <w:rFonts w:cs="Times New Roman"/>
          <w:color w:val="000000" w:themeColor="text1"/>
          <w14:textFill>
            <w14:solidFill>
              <w14:schemeClr w14:val="tx1"/>
            </w14:solidFill>
          </w14:textFill>
        </w:rPr>
        <w:t>表5.1-2   施工工地大气TSP浓度变化表  单位：mg/m</w:t>
      </w:r>
      <w:r>
        <w:rPr>
          <w:rStyle w:val="43"/>
          <w:rFonts w:cs="Times New Roman"/>
          <w:color w:val="000000" w:themeColor="text1"/>
          <w:vertAlign w:val="superscript"/>
          <w14:textFill>
            <w14:solidFill>
              <w14:schemeClr w14:val="tx1"/>
            </w14:solidFill>
          </w14:textFill>
        </w:rPr>
        <w:t>3</w:t>
      </w:r>
    </w:p>
    <w:tbl>
      <w:tblPr>
        <w:tblStyle w:val="27"/>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371"/>
        <w:gridCol w:w="968"/>
        <w:gridCol w:w="968"/>
        <w:gridCol w:w="968"/>
        <w:gridCol w:w="968"/>
        <w:gridCol w:w="968"/>
        <w:gridCol w:w="968"/>
        <w:gridCol w:w="134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4"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据工地距离</w:t>
            </w:r>
          </w:p>
        </w:tc>
        <w:tc>
          <w:tcPr>
            <w:tcW w:w="56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对照点</w:t>
            </w:r>
          </w:p>
        </w:tc>
        <w:tc>
          <w:tcPr>
            <w:tcW w:w="56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10m</w:t>
            </w:r>
          </w:p>
        </w:tc>
        <w:tc>
          <w:tcPr>
            <w:tcW w:w="56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30m</w:t>
            </w:r>
          </w:p>
        </w:tc>
        <w:tc>
          <w:tcPr>
            <w:tcW w:w="56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50m</w:t>
            </w:r>
          </w:p>
        </w:tc>
        <w:tc>
          <w:tcPr>
            <w:tcW w:w="56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100m</w:t>
            </w:r>
          </w:p>
        </w:tc>
        <w:tc>
          <w:tcPr>
            <w:tcW w:w="56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200m</w:t>
            </w:r>
          </w:p>
        </w:tc>
        <w:tc>
          <w:tcPr>
            <w:tcW w:w="78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场地未洒水TSP浓度</w:t>
            </w:r>
          </w:p>
        </w:tc>
        <w:tc>
          <w:tcPr>
            <w:tcW w:w="56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0.541</w:t>
            </w:r>
          </w:p>
        </w:tc>
        <w:tc>
          <w:tcPr>
            <w:tcW w:w="56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1.843</w:t>
            </w:r>
          </w:p>
        </w:tc>
        <w:tc>
          <w:tcPr>
            <w:tcW w:w="56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0.987</w:t>
            </w:r>
          </w:p>
        </w:tc>
        <w:tc>
          <w:tcPr>
            <w:tcW w:w="56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0.542</w:t>
            </w:r>
          </w:p>
        </w:tc>
        <w:tc>
          <w:tcPr>
            <w:tcW w:w="56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0.398</w:t>
            </w:r>
          </w:p>
        </w:tc>
        <w:tc>
          <w:tcPr>
            <w:tcW w:w="56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0.372</w:t>
            </w:r>
          </w:p>
        </w:tc>
        <w:tc>
          <w:tcPr>
            <w:tcW w:w="78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春季监测</w:t>
            </w:r>
          </w:p>
        </w:tc>
      </w:tr>
    </w:tbl>
    <w:p>
      <w:pPr>
        <w:spacing w:line="520" w:lineRule="exact"/>
        <w:jc w:val="left"/>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表5.1-2可见，实施每天洒水4~5次，可有效控制车辆扬尘，将TSP污染缩小到20~50m。混凝土浇筑期间，大量混凝土运输车频繁驶入现场，在物料转接口处，每辆车都有不同程度生产物料散落在地面现象。经车辆碾压，在工地周边形成大面积水泥路面或扬尘，破坏了地面道路，施工现场周边形成大量的固废层，景观影响较大。同时，车辆洒落尘土的一次扬尘污染和车辆运行时产生的二次扬尘污染均会对环境产生明显不利影响。运输车辆扬尘的产生量及扬尘污染程度与车辆的运输方式、路面状况、天气条件等因素关系密切，采取合适的防护措</w:t>
      </w:r>
      <w:r>
        <w:rPr>
          <w:rFonts w:ascii="Times New Roman" w:hAnsi="Times New Roman" w:cs="Times New Roman"/>
          <w:color w:val="000000" w:themeColor="text1"/>
          <w:spacing w:val="6"/>
          <w14:textFill>
            <w14:solidFill>
              <w14:schemeClr w14:val="tx1"/>
            </w14:solidFill>
          </w14:textFill>
        </w:rPr>
        <w:t>施可以有效的避免或大幅降低其污染，在建设项目的施工过程中必须对其加以重视。</w:t>
      </w:r>
    </w:p>
    <w:p>
      <w:pPr>
        <w:spacing w:line="520" w:lineRule="exact"/>
        <w:rPr>
          <w:rFonts w:ascii="Times New Roman" w:hAnsi="Times New Roman" w:cs="Times New Roman"/>
          <w:color w:val="000000" w:themeColor="text1"/>
          <w14:textFill>
            <w14:solidFill>
              <w14:schemeClr w14:val="tx1"/>
            </w14:solidFill>
          </w14:textFill>
        </w:rPr>
      </w:pPr>
      <w:bookmarkStart w:id="610" w:name="_Toc248875568"/>
      <w:bookmarkStart w:id="611" w:name="_Toc243431346"/>
      <w:r>
        <w:rPr>
          <w:rFonts w:ascii="Times New Roman" w:hAnsi="Times New Roman" w:cs="Times New Roman"/>
          <w:color w:val="000000" w:themeColor="text1"/>
          <w14:textFill>
            <w14:solidFill>
              <w14:schemeClr w14:val="tx1"/>
            </w14:solidFill>
          </w14:textFill>
        </w:rPr>
        <w:t>施工机械和运输车辆所排放的尾气环境影响分析：</w:t>
      </w:r>
    </w:p>
    <w:bookmarkEnd w:id="610"/>
    <w:bookmarkEnd w:id="611"/>
    <w:p>
      <w:pPr>
        <w:spacing w:line="520" w:lineRule="exact"/>
        <w:jc w:val="left"/>
        <w:rPr>
          <w:rFonts w:ascii="Times New Roman" w:hAnsi="Times New Roman" w:cs="Times New Roman"/>
          <w:color w:val="000000" w:themeColor="text1"/>
          <w14:textFill>
            <w14:solidFill>
              <w14:schemeClr w14:val="tx1"/>
            </w14:solidFill>
          </w14:textFill>
        </w:rPr>
      </w:pPr>
      <w:bookmarkStart w:id="612" w:name="_Toc83948111"/>
      <w:bookmarkStart w:id="613" w:name="_Toc83355714"/>
      <w:bookmarkStart w:id="614" w:name="_Toc91906895"/>
      <w:bookmarkStart w:id="615" w:name="_Toc83279379"/>
      <w:bookmarkStart w:id="616" w:name="_Toc84894974"/>
      <w:bookmarkStart w:id="617" w:name="_Toc256524531"/>
      <w:bookmarkStart w:id="618" w:name="_Toc258592078"/>
      <w:bookmarkStart w:id="619" w:name="_Toc84126585"/>
      <w:bookmarkStart w:id="620" w:name="_Toc92014261"/>
      <w:bookmarkStart w:id="621" w:name="_Toc376168580"/>
      <w:bookmarkStart w:id="622" w:name="_Toc85937653"/>
      <w:bookmarkStart w:id="623" w:name="_Toc264817796"/>
      <w:bookmarkStart w:id="624" w:name="_Toc158533278"/>
      <w:bookmarkStart w:id="625" w:name="_Toc85586499"/>
      <w:bookmarkStart w:id="626" w:name="_Toc83353775"/>
      <w:bookmarkStart w:id="627" w:name="_Toc146436610"/>
      <w:bookmarkStart w:id="628" w:name="_Toc266117344"/>
      <w:bookmarkStart w:id="629" w:name="_Toc74394895"/>
      <w:bookmarkStart w:id="630" w:name="_Toc256667505"/>
      <w:bookmarkStart w:id="631" w:name="_Toc85527623"/>
      <w:bookmarkStart w:id="632" w:name="_Toc248875574"/>
      <w:bookmarkStart w:id="633" w:name="_Toc81067291"/>
      <w:bookmarkStart w:id="634" w:name="_Toc74563283"/>
      <w:bookmarkStart w:id="635" w:name="_Toc179598111"/>
      <w:r>
        <w:rPr>
          <w:rFonts w:ascii="Times New Roman" w:hAnsi="Times New Roman" w:cs="Times New Roman"/>
          <w:color w:val="000000" w:themeColor="text1"/>
          <w14:textFill>
            <w14:solidFill>
              <w14:schemeClr w14:val="tx1"/>
            </w14:solidFill>
          </w14:textFill>
        </w:rPr>
        <w:t>施工机械和运输车辆排放尾气主要的污染物有CO、THC、NO</w:t>
      </w:r>
      <w:r>
        <w:rPr>
          <w:rFonts w:ascii="Times New Roman" w:hAnsi="Times New Roman" w:cs="Times New Roman"/>
          <w:color w:val="000000" w:themeColor="text1"/>
          <w:vertAlign w:val="subscript"/>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t>。主要对作业点周围和运输线路两侧局部范围产生一定影响，由于排放量不大，其影响的程度与范围也相对较小，通过采取限制超载、限制车速等措施可以大大降低运输车辆及施工机械废气对周围环境的影响。施工场地应设置洗车平台，完善排水设施，防止泥土粘带。不得在未实施洒水等抑尘措施情况下进行直接清扫。</w:t>
      </w:r>
    </w:p>
    <w:p>
      <w:pPr>
        <w:pStyle w:val="6"/>
        <w:rPr>
          <w:rFonts w:ascii="Times New Roman" w:hAnsi="Times New Roman" w:cs="Times New Roman"/>
          <w:color w:val="000000" w:themeColor="text1"/>
          <w14:textFill>
            <w14:solidFill>
              <w14:schemeClr w14:val="tx1"/>
            </w14:solidFill>
          </w14:textFill>
        </w:rPr>
      </w:pPr>
      <w:bookmarkStart w:id="636" w:name="_Toc17993"/>
      <w:bookmarkStart w:id="637" w:name="_Toc17872"/>
      <w:bookmarkStart w:id="638" w:name="_Toc3269"/>
      <w:bookmarkStart w:id="639" w:name="_Toc15551"/>
      <w:bookmarkStart w:id="640" w:name="_Toc3387"/>
      <w:r>
        <w:rPr>
          <w:rFonts w:ascii="Times New Roman" w:hAnsi="Times New Roman" w:cs="Times New Roman"/>
          <w:color w:val="000000" w:themeColor="text1"/>
          <w14:textFill>
            <w14:solidFill>
              <w14:schemeClr w14:val="tx1"/>
            </w14:solidFill>
          </w14:textFill>
        </w:rPr>
        <w:t>5.1.2 施工期水环境影响分析</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line="520" w:lineRule="exact"/>
        <w:ind w:firstLine="456"/>
        <w:rPr>
          <w:rFonts w:ascii="Times New Roman" w:hAnsi="Times New Roman" w:cs="Times New Roman"/>
          <w:color w:val="000000" w:themeColor="text1"/>
          <w14:textFill>
            <w14:solidFill>
              <w14:schemeClr w14:val="tx1"/>
            </w14:solidFill>
          </w14:textFill>
        </w:rPr>
      </w:pPr>
      <w:bookmarkStart w:id="641" w:name="_Toc240476140"/>
      <w:bookmarkStart w:id="642" w:name="_Toc239439578"/>
      <w:bookmarkStart w:id="643" w:name="_Toc237534797"/>
      <w:bookmarkStart w:id="644" w:name="_Toc238089948"/>
      <w:bookmarkStart w:id="645" w:name="_Toc237534982"/>
      <w:bookmarkStart w:id="646" w:name="_Toc256667504"/>
      <w:bookmarkStart w:id="647" w:name="_Toc256494907"/>
      <w:bookmarkStart w:id="648" w:name="_Toc266117342"/>
      <w:bookmarkStart w:id="649" w:name="_Toc376168578"/>
      <w:bookmarkStart w:id="650" w:name="_Toc258592076"/>
      <w:bookmarkStart w:id="651" w:name="_Toc248875569"/>
      <w:bookmarkStart w:id="652" w:name="_Toc264817794"/>
      <w:bookmarkStart w:id="653" w:name="_Toc256524530"/>
      <w:r>
        <w:rPr>
          <w:rFonts w:ascii="Times New Roman" w:hAnsi="Times New Roman" w:cs="Times New Roman"/>
          <w:color w:val="000000" w:themeColor="text1"/>
          <w:spacing w:val="-6"/>
          <w14:textFill>
            <w14:solidFill>
              <w14:schemeClr w14:val="tx1"/>
            </w14:solidFill>
          </w14:textFill>
        </w:rPr>
        <w:t>施工场地不设置生活营地，无集中餐饮废水排放。生活污水主要来自于施工人员的日常生活，以施工平均40人/d，每天耗水量按50L/人·d计，</w:t>
      </w:r>
      <w:r>
        <w:rPr>
          <w:rFonts w:ascii="Times New Roman" w:hAnsi="Times New Roman" w:cs="Times New Roman"/>
          <w:color w:val="000000" w:themeColor="text1"/>
          <w14:textFill>
            <w14:solidFill>
              <w14:schemeClr w14:val="tx1"/>
            </w14:solidFill>
          </w14:textFill>
        </w:rPr>
        <w:t>生活用水量为660m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，生活污水排放量按用水量的80%计，则生活污水排放量共528m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。类比同类型污水水质，工程排放生活污水中主要污染物为CODcr、BOD</w:t>
      </w:r>
      <w:r>
        <w:rPr>
          <w:rFonts w:ascii="Times New Roman" w:hAnsi="Times New Roman" w:cs="Times New Roman"/>
          <w:color w:val="000000" w:themeColor="text1"/>
          <w:spacing w:val="-6"/>
          <w:vertAlign w:val="subscript"/>
          <w14:textFill>
            <w14:solidFill>
              <w14:schemeClr w14:val="tx1"/>
            </w14:solidFill>
          </w14:textFill>
        </w:rPr>
        <w:t>5</w:t>
      </w:r>
      <w:r>
        <w:rPr>
          <w:rFonts w:ascii="Times New Roman" w:hAnsi="Times New Roman" w:cs="Times New Roman"/>
          <w:color w:val="000000" w:themeColor="text1"/>
          <w:spacing w:val="-6"/>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w:t>
      </w:r>
      <w:r>
        <w:rPr>
          <w:rFonts w:hint="eastAsia" w:ascii="Times New Roman" w:hAnsi="Times New Roman" w:cs="Times New Roman"/>
          <w:color w:val="000000" w:themeColor="text1"/>
          <w14:textFill>
            <w14:solidFill>
              <w14:schemeClr w14:val="tx1"/>
            </w14:solidFill>
          </w14:textFill>
        </w:rPr>
        <w:t>和</w:t>
      </w:r>
      <w:r>
        <w:rPr>
          <w:rFonts w:ascii="Times New Roman" w:hAnsi="Times New Roman" w:cs="Times New Roman"/>
          <w:color w:val="000000" w:themeColor="text1"/>
          <w:spacing w:val="-6"/>
          <w14:textFill>
            <w14:solidFill>
              <w14:schemeClr w14:val="tx1"/>
            </w14:solidFill>
          </w14:textFill>
        </w:rPr>
        <w:t>SS，</w:t>
      </w:r>
      <w:r>
        <w:rPr>
          <w:rFonts w:ascii="Times New Roman" w:hAnsi="Times New Roman" w:cs="Times New Roman"/>
          <w:color w:val="000000" w:themeColor="text1"/>
          <w14:textFill>
            <w14:solidFill>
              <w14:schemeClr w14:val="tx1"/>
            </w14:solidFill>
          </w14:textFill>
        </w:rPr>
        <w:t>各污染物浓度分别为：COD</w:t>
      </w:r>
      <w:r>
        <w:rPr>
          <w:rFonts w:ascii="Times New Roman" w:hAnsi="Times New Roman" w:cs="Times New Roman"/>
          <w:color w:val="000000" w:themeColor="text1"/>
          <w:vertAlign w:val="subscript"/>
          <w14:textFill>
            <w14:solidFill>
              <w14:schemeClr w14:val="tx1"/>
            </w14:solidFill>
          </w14:textFill>
        </w:rPr>
        <w:t>cr</w:t>
      </w:r>
      <w:r>
        <w:rPr>
          <w:rFonts w:ascii="Times New Roman" w:hAnsi="Times New Roman" w:cs="Times New Roman"/>
          <w:color w:val="000000" w:themeColor="text1"/>
          <w14:textFill>
            <w14:solidFill>
              <w14:schemeClr w14:val="tx1"/>
            </w14:solidFill>
          </w14:textFill>
        </w:rPr>
        <w:t>：280mg/L、BOD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：160mg/L、NH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-N：30mg/L、SS：200mg/L。施工期建设临时防渗化粪池，生活污水由化粪池暂存，定期委托环卫部门采用吸污车清运至昌吉国家农业科技园区精深加工示范区污水处理厂处理。</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废水来自于材料、设备冲洗和水泥养护等过程，废水中主要以悬浮物为主，未经处理的施工废水水质pH：9～12，SS：3000～5000mg/l，考虑项目废水流动性强，废水处理单元简单，处理效果明显的要求，项目施工废水选用沉淀池并进行防渗，沉淀两小时以上后，</w:t>
      </w:r>
      <w:r>
        <w:rPr>
          <w:rFonts w:ascii="Times New Roman" w:hAnsi="Times New Roman" w:cs="Times New Roman"/>
          <w:color w:val="000000" w:themeColor="text1"/>
          <w:kern w:val="0"/>
          <w:szCs w:val="28"/>
          <w14:textFill>
            <w14:solidFill>
              <w14:schemeClr w14:val="tx1"/>
            </w14:solidFill>
          </w14:textFill>
        </w:rPr>
        <w:t>经沉淀分离后的上清液回用，沉淀泥浆固化后应定期及时清运至建筑垃圾堆放场地。</w:t>
      </w:r>
    </w:p>
    <w:p>
      <w:pPr>
        <w:pStyle w:val="6"/>
        <w:rPr>
          <w:rFonts w:ascii="Times New Roman" w:hAnsi="Times New Roman" w:cs="Times New Roman"/>
          <w:color w:val="000000" w:themeColor="text1"/>
          <w14:textFill>
            <w14:solidFill>
              <w14:schemeClr w14:val="tx1"/>
            </w14:solidFill>
          </w14:textFill>
        </w:rPr>
      </w:pPr>
      <w:bookmarkStart w:id="654" w:name="_Toc21127"/>
      <w:bookmarkStart w:id="655" w:name="_Toc28235"/>
      <w:bookmarkStart w:id="656" w:name="_Toc14262"/>
      <w:bookmarkStart w:id="657" w:name="_Toc4862"/>
      <w:bookmarkStart w:id="658" w:name="_Toc32664"/>
      <w:r>
        <w:rPr>
          <w:rFonts w:ascii="Times New Roman" w:hAnsi="Times New Roman" w:cs="Times New Roman"/>
          <w:color w:val="000000" w:themeColor="text1"/>
          <w14:textFill>
            <w14:solidFill>
              <w14:schemeClr w14:val="tx1"/>
            </w14:solidFill>
          </w14:textFill>
        </w:rPr>
        <w:t>5.1.3 施工期声环境影响</w:t>
      </w:r>
      <w:bookmarkEnd w:id="641"/>
      <w:bookmarkEnd w:id="642"/>
      <w:bookmarkEnd w:id="643"/>
      <w:bookmarkEnd w:id="644"/>
      <w:bookmarkEnd w:id="645"/>
      <w:r>
        <w:rPr>
          <w:rFonts w:ascii="Times New Roman" w:hAnsi="Times New Roman" w:cs="Times New Roman"/>
          <w:color w:val="000000" w:themeColor="text1"/>
          <w14:textFill>
            <w14:solidFill>
              <w14:schemeClr w14:val="tx1"/>
            </w14:solidFill>
          </w14:textFill>
        </w:rPr>
        <w:t>分析</w:t>
      </w:r>
      <w:bookmarkEnd w:id="646"/>
      <w:bookmarkEnd w:id="647"/>
      <w:bookmarkEnd w:id="648"/>
      <w:bookmarkEnd w:id="649"/>
      <w:bookmarkEnd w:id="650"/>
      <w:bookmarkEnd w:id="651"/>
      <w:bookmarkEnd w:id="652"/>
      <w:bookmarkEnd w:id="653"/>
      <w:bookmarkEnd w:id="654"/>
      <w:bookmarkEnd w:id="655"/>
      <w:bookmarkEnd w:id="656"/>
      <w:bookmarkEnd w:id="657"/>
      <w:bookmarkEnd w:id="658"/>
    </w:p>
    <w:p>
      <w:pPr>
        <w:spacing w:line="520" w:lineRule="exact"/>
        <w:rPr>
          <w:rFonts w:ascii="Times New Roman" w:hAnsi="Times New Roman" w:cs="Times New Roman"/>
          <w:color w:val="000000" w:themeColor="text1"/>
          <w14:textFill>
            <w14:solidFill>
              <w14:schemeClr w14:val="tx1"/>
            </w14:solidFill>
          </w14:textFill>
        </w:rPr>
      </w:pPr>
      <w:bookmarkStart w:id="659" w:name="_Toc362254049"/>
      <w:bookmarkStart w:id="660" w:name="_Toc306813502"/>
      <w:bookmarkStart w:id="661" w:name="_Toc278226083"/>
      <w:bookmarkStart w:id="662" w:name="_Toc305360998"/>
      <w:bookmarkStart w:id="663" w:name="_Toc441980229"/>
      <w:bookmarkStart w:id="664" w:name="_Toc365899539"/>
      <w:bookmarkStart w:id="665" w:name="_Toc365896876"/>
      <w:bookmarkStart w:id="666" w:name="_Toc442215507"/>
      <w:bookmarkStart w:id="667" w:name="_Toc302460109"/>
      <w:bookmarkStart w:id="668" w:name="_Toc300562570"/>
      <w:bookmarkStart w:id="669" w:name="_Toc308179303"/>
      <w:bookmarkStart w:id="670" w:name="_Toc248875577"/>
      <w:bookmarkStart w:id="671" w:name="_Toc256524532"/>
      <w:bookmarkStart w:id="672" w:name="_Toc256667506"/>
      <w:bookmarkStart w:id="673" w:name="_Toc264817797"/>
      <w:bookmarkStart w:id="674" w:name="_Toc258592079"/>
      <w:bookmarkStart w:id="675" w:name="_Toc266117345"/>
      <w:bookmarkStart w:id="676" w:name="_Toc376168581"/>
      <w:bookmarkStart w:id="677" w:name="_Toc243431355"/>
      <w:r>
        <w:rPr>
          <w:rFonts w:ascii="Times New Roman" w:hAnsi="Times New Roman" w:cs="Times New Roman"/>
          <w:color w:val="000000" w:themeColor="text1"/>
          <w14:textFill>
            <w14:solidFill>
              <w14:schemeClr w14:val="tx1"/>
            </w14:solidFill>
          </w14:textFill>
        </w:rPr>
        <w:t>（1）施工期的噪声源和振动源</w:t>
      </w:r>
      <w:bookmarkEnd w:id="659"/>
      <w:bookmarkEnd w:id="660"/>
      <w:bookmarkEnd w:id="661"/>
      <w:bookmarkEnd w:id="662"/>
      <w:bookmarkEnd w:id="663"/>
      <w:bookmarkEnd w:id="664"/>
      <w:bookmarkEnd w:id="665"/>
      <w:bookmarkEnd w:id="666"/>
      <w:bookmarkEnd w:id="667"/>
      <w:bookmarkEnd w:id="668"/>
      <w:bookmarkEnd w:id="669"/>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建筑施工通常可以分为四个阶段，即土方阶段、打桩阶段、结构阶段和装修阶段。每一阶段所采用的施工机械不同，对环境所造成的噪声水平也不同。</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建筑施工期的噪声源虽然较多，但对环境影响起主要作用的是土石方阶段的推土机和挖掘机，基础阶段的打桩机、结构阶段的混凝土搅拌机和振捣棒，以及装修阶段短时间使用的高噪声设备。</w:t>
      </w:r>
      <w:bookmarkStart w:id="678" w:name="_Toc306813503"/>
      <w:bookmarkStart w:id="679" w:name="_Toc365899540"/>
      <w:bookmarkStart w:id="680" w:name="_Toc278226084"/>
      <w:bookmarkStart w:id="681" w:name="_Toc305360999"/>
      <w:bookmarkStart w:id="682" w:name="_Toc302460110"/>
      <w:bookmarkStart w:id="683" w:name="_Toc362254050"/>
      <w:bookmarkStart w:id="684" w:name="_Toc300562571"/>
      <w:bookmarkStart w:id="685" w:name="_Toc308179304"/>
      <w:bookmarkStart w:id="686" w:name="_Toc365896877"/>
    </w:p>
    <w:p>
      <w:pPr>
        <w:spacing w:line="520" w:lineRule="exact"/>
        <w:rPr>
          <w:rFonts w:ascii="Times New Roman" w:hAnsi="Times New Roman" w:cs="Times New Roman"/>
          <w:color w:val="000000" w:themeColor="text1"/>
          <w14:textFill>
            <w14:solidFill>
              <w14:schemeClr w14:val="tx1"/>
            </w14:solidFill>
          </w14:textFill>
        </w:rPr>
      </w:pPr>
      <w:bookmarkStart w:id="687" w:name="_Toc441980230"/>
      <w:r>
        <w:rPr>
          <w:rFonts w:ascii="Times New Roman" w:hAnsi="Times New Roman" w:cs="Times New Roman"/>
          <w:color w:val="000000" w:themeColor="text1"/>
          <w14:textFill>
            <w14:solidFill>
              <w14:schemeClr w14:val="tx1"/>
            </w14:solidFill>
          </w14:textFill>
        </w:rPr>
        <w:t>（2）施工设备噪声源强及预测强度分析</w:t>
      </w:r>
      <w:bookmarkEnd w:id="678"/>
      <w:bookmarkEnd w:id="679"/>
      <w:bookmarkEnd w:id="680"/>
      <w:bookmarkEnd w:id="681"/>
      <w:bookmarkEnd w:id="682"/>
      <w:bookmarkEnd w:id="683"/>
      <w:bookmarkEnd w:id="684"/>
      <w:bookmarkEnd w:id="685"/>
      <w:bookmarkEnd w:id="686"/>
      <w:bookmarkEnd w:id="687"/>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施工期的主要噪声源是各类高噪声的施工机械设备，评价采用点声源几何衰减计算公式对主要噪声源进行环境影响预测分析，距声源不同距离处噪声预测值见</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REF _Ref448 \h  \* MERGEFORMAT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表5.1</w:t>
      </w:r>
      <w:r>
        <w:rPr>
          <w:rFonts w:ascii="Times New Roman" w:hAnsi="Times New Roman" w:cs="Times New Roman"/>
          <w:color w:val="000000" w:themeColor="text1"/>
          <w14:textFill>
            <w14:solidFill>
              <w14:schemeClr w14:val="tx1"/>
            </w14:solidFill>
          </w14:textFill>
        </w:rPr>
        <w:noBreakHyphen/>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bookmarkStart w:id="688" w:name="_Ref448"/>
      <w:r>
        <w:rPr>
          <w:rFonts w:cs="Times New Roman"/>
          <w:color w:val="000000" w:themeColor="text1"/>
          <w14:textFill>
            <w14:solidFill>
              <w14:schemeClr w14:val="tx1"/>
            </w14:solidFill>
          </w14:textFill>
        </w:rPr>
        <w:t>表5.1</w:t>
      </w:r>
      <w:r>
        <w:rPr>
          <w:rFonts w:cs="Times New Roman"/>
          <w:color w:val="000000" w:themeColor="text1"/>
          <w14:textFill>
            <w14:solidFill>
              <w14:schemeClr w14:val="tx1"/>
            </w14:solidFill>
          </w14:textFill>
        </w:rPr>
        <w:noBreakHyphen/>
      </w:r>
      <w:bookmarkEnd w:id="688"/>
      <w:r>
        <w:rPr>
          <w:rFonts w:cs="Times New Roman"/>
          <w:color w:val="000000" w:themeColor="text1"/>
          <w14:textFill>
            <w14:solidFill>
              <w14:schemeClr w14:val="tx1"/>
            </w14:solidFill>
          </w14:textFill>
        </w:rPr>
        <w:t>3   距声源不同距离处的噪声预测值   单位：dB（A）</w:t>
      </w:r>
    </w:p>
    <w:tbl>
      <w:tblPr>
        <w:tblStyle w:val="27"/>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74"/>
        <w:gridCol w:w="881"/>
        <w:gridCol w:w="818"/>
        <w:gridCol w:w="818"/>
        <w:gridCol w:w="818"/>
        <w:gridCol w:w="963"/>
        <w:gridCol w:w="963"/>
        <w:gridCol w:w="964"/>
        <w:gridCol w:w="11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Merge w:val="restar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声源</w:t>
            </w:r>
          </w:p>
        </w:tc>
        <w:tc>
          <w:tcPr>
            <w:tcW w:w="517" w:type="pct"/>
            <w:vMerge w:val="restar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源强</w:t>
            </w:r>
          </w:p>
        </w:tc>
        <w:tc>
          <w:tcPr>
            <w:tcW w:w="3792" w:type="pct"/>
            <w:gridSpan w:val="7"/>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位于声源不同距离处的噪声值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517"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10m</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30m</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50m</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100m</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150m</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200m</w:t>
            </w:r>
          </w:p>
        </w:tc>
        <w:tc>
          <w:tcPr>
            <w:tcW w:w="65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挖土机</w:t>
            </w:r>
          </w:p>
        </w:tc>
        <w:tc>
          <w:tcPr>
            <w:tcW w:w="51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95</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75.0</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65.5</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61.0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55.0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51.5</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49.0</w:t>
            </w:r>
          </w:p>
        </w:tc>
        <w:tc>
          <w:tcPr>
            <w:tcW w:w="65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推土机</w:t>
            </w:r>
          </w:p>
        </w:tc>
        <w:tc>
          <w:tcPr>
            <w:tcW w:w="51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95</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75.0</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65.5</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61.0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55.0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51.5</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49.0</w:t>
            </w:r>
          </w:p>
        </w:tc>
        <w:tc>
          <w:tcPr>
            <w:tcW w:w="65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搅拌机</w:t>
            </w:r>
          </w:p>
        </w:tc>
        <w:tc>
          <w:tcPr>
            <w:tcW w:w="51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70.0</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60.5</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56.0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46.5</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44.0</w:t>
            </w:r>
          </w:p>
        </w:tc>
        <w:tc>
          <w:tcPr>
            <w:tcW w:w="65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压路机</w:t>
            </w:r>
          </w:p>
        </w:tc>
        <w:tc>
          <w:tcPr>
            <w:tcW w:w="51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70.0</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60.5</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56.0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46.5</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46.0</w:t>
            </w:r>
          </w:p>
        </w:tc>
        <w:tc>
          <w:tcPr>
            <w:tcW w:w="65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震捣棒</w:t>
            </w:r>
          </w:p>
        </w:tc>
        <w:tc>
          <w:tcPr>
            <w:tcW w:w="51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80</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60.0</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50.5</w:t>
            </w:r>
          </w:p>
        </w:tc>
        <w:tc>
          <w:tcPr>
            <w:tcW w:w="48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46.0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40.0</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36.5</w:t>
            </w:r>
          </w:p>
        </w:tc>
        <w:tc>
          <w:tcPr>
            <w:tcW w:w="565"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34.0</w:t>
            </w:r>
          </w:p>
        </w:tc>
        <w:tc>
          <w:tcPr>
            <w:tcW w:w="65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11.0</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REF _Ref448 \h  \* MERGEFORMAT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表5.1</w:t>
      </w:r>
      <w:r>
        <w:rPr>
          <w:rFonts w:ascii="Times New Roman" w:hAnsi="Times New Roman" w:cs="Times New Roman"/>
          <w:color w:val="000000" w:themeColor="text1"/>
          <w14:textFill>
            <w14:solidFill>
              <w14:schemeClr w14:val="tx1"/>
            </w14:solidFill>
          </w14:textFill>
        </w:rPr>
        <w:noBreakHyphen/>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可见，在施工过程中，厂区内施工机械距厂界30m以上就可使厂界噪声符合《建筑施工场界环境噪声排放标准》（12523-2011）标准（70dB（A））的要求；本工程主要建构筑物距离厂界都在50m以上，因此，本工程施工期厂界噪声能够满足《建筑施工场界环境噪声排放标准》（GB12523-2011）标准（70dB（A））的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REF _Ref448 \h  \* MERGEFORMAT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表5.1</w:t>
      </w:r>
      <w:r>
        <w:rPr>
          <w:rFonts w:ascii="Times New Roman" w:hAnsi="Times New Roman" w:cs="Times New Roman"/>
          <w:color w:val="000000" w:themeColor="text1"/>
          <w14:textFill>
            <w14:solidFill>
              <w14:schemeClr w14:val="tx1"/>
            </w14:solidFill>
          </w14:textFill>
        </w:rPr>
        <w:noBreakHyphen/>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可见，在施工过程中，厂区外200m完全可以满足《声环境质量标准》（GB3096-2008）中2类声功能区的要求。并且项目区周边1km内并无声环境敏感目标，根因此据预测：本工程施工机械噪声不会降低声环境级别，本项目在设计和建设中，通过对装置噪声源强的控制，并加强绿化措施，不会对声环境造成不良影响。</w:t>
      </w:r>
    </w:p>
    <w:p>
      <w:pPr>
        <w:pStyle w:val="6"/>
        <w:rPr>
          <w:rFonts w:ascii="Times New Roman" w:hAnsi="Times New Roman" w:cs="Times New Roman"/>
          <w:color w:val="000000" w:themeColor="text1"/>
          <w14:textFill>
            <w14:solidFill>
              <w14:schemeClr w14:val="tx1"/>
            </w14:solidFill>
          </w14:textFill>
        </w:rPr>
      </w:pPr>
      <w:bookmarkStart w:id="689" w:name="_Toc31443"/>
      <w:bookmarkStart w:id="690" w:name="_Toc30788"/>
      <w:bookmarkStart w:id="691" w:name="_Toc29231"/>
      <w:bookmarkStart w:id="692" w:name="_Toc14621"/>
      <w:bookmarkStart w:id="693" w:name="_Toc771"/>
      <w:r>
        <w:rPr>
          <w:rFonts w:ascii="Times New Roman" w:hAnsi="Times New Roman" w:cs="Times New Roman"/>
          <w:color w:val="000000" w:themeColor="text1"/>
          <w14:textFill>
            <w14:solidFill>
              <w14:schemeClr w14:val="tx1"/>
            </w14:solidFill>
          </w14:textFill>
        </w:rPr>
        <w:t>5.1.4 施工期固体废物环境影响分析</w:t>
      </w:r>
      <w:bookmarkEnd w:id="670"/>
      <w:bookmarkEnd w:id="671"/>
      <w:bookmarkEnd w:id="672"/>
      <w:bookmarkEnd w:id="673"/>
      <w:bookmarkEnd w:id="674"/>
      <w:bookmarkEnd w:id="675"/>
      <w:bookmarkEnd w:id="676"/>
      <w:bookmarkEnd w:id="677"/>
      <w:bookmarkEnd w:id="689"/>
      <w:bookmarkEnd w:id="690"/>
      <w:bookmarkEnd w:id="691"/>
      <w:bookmarkEnd w:id="692"/>
      <w:bookmarkEnd w:id="69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间将涉及到土地开挖、填埋、道路修筑、管道敷设、材料运输、基础工程、厂房建筑等工程，建设期间将有一定数量的废弃建筑材料，如砂石、石灰、混凝土、废砖、土石方等，多余土石方送建筑垃圾堆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施工期一定量的施工人员工作和生活在施工现场，其日常生活将产生一定数量的生活垃圾，施工高峰期施工人员及工地管理人员约40人，工地生活垃圾按每人每天产生0.5kg计，工程施工区生活垃圾产生量约20kg/d，工程施工期共产生生活废弃物约6.6t。施工人员</w:t>
      </w:r>
      <w:bookmarkStart w:id="694" w:name="_Toc80979216"/>
      <w:bookmarkStart w:id="695" w:name="_Toc85937700"/>
      <w:bookmarkStart w:id="696" w:name="_Toc84126632"/>
      <w:bookmarkStart w:id="697" w:name="_Toc74394956"/>
      <w:bookmarkStart w:id="698" w:name="_Toc85586546"/>
      <w:bookmarkStart w:id="699" w:name="_Toc83279426"/>
      <w:bookmarkStart w:id="700" w:name="_Toc83353822"/>
      <w:bookmarkStart w:id="701" w:name="_Toc83948158"/>
      <w:bookmarkStart w:id="702" w:name="_Toc81067352"/>
      <w:bookmarkStart w:id="703" w:name="_Toc85527670"/>
      <w:bookmarkStart w:id="704" w:name="_Toc74541819"/>
      <w:bookmarkStart w:id="705" w:name="_Toc74102369"/>
      <w:bookmarkStart w:id="706" w:name="_Toc74563344"/>
      <w:bookmarkStart w:id="707" w:name="_Toc83355761"/>
      <w:r>
        <w:rPr>
          <w:rFonts w:ascii="Times New Roman" w:hAnsi="Times New Roman" w:cs="Times New Roman"/>
          <w:color w:val="000000" w:themeColor="text1"/>
          <w14:textFill>
            <w14:solidFill>
              <w14:schemeClr w14:val="tx1"/>
            </w14:solidFill>
          </w14:textFill>
        </w:rPr>
        <w:t>产生的</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Pr>
          <w:rFonts w:ascii="Times New Roman" w:hAnsi="Times New Roman" w:cs="Times New Roman"/>
          <w:color w:val="000000" w:themeColor="text1"/>
          <w14:textFill>
            <w14:solidFill>
              <w14:schemeClr w14:val="tx1"/>
            </w14:solidFill>
          </w14:textFill>
        </w:rPr>
        <w:t>生活垃圾经集中收集后，定期拉运至生活垃圾填埋场集中处理。昌吉市城市生活垃圾综合处理场日处理规模520t，总库容459.1万m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，有效库容223万m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，服务年限为20年，基本能够满足县城日常垃圾处理工作需要。</w:t>
      </w:r>
    </w:p>
    <w:p>
      <w:pPr>
        <w:pStyle w:val="6"/>
        <w:rPr>
          <w:rFonts w:ascii="Times New Roman" w:hAnsi="Times New Roman" w:cs="Times New Roman"/>
          <w:color w:val="000000" w:themeColor="text1"/>
          <w14:textFill>
            <w14:solidFill>
              <w14:schemeClr w14:val="tx1"/>
            </w14:solidFill>
          </w14:textFill>
        </w:rPr>
      </w:pPr>
      <w:bookmarkStart w:id="708" w:name="_Toc23413"/>
      <w:bookmarkStart w:id="709" w:name="_Toc30503"/>
      <w:bookmarkStart w:id="710" w:name="_Toc3969"/>
      <w:bookmarkStart w:id="711" w:name="_Toc16721"/>
      <w:bookmarkStart w:id="712" w:name="_Toc22146"/>
      <w:r>
        <w:rPr>
          <w:rFonts w:ascii="Times New Roman" w:hAnsi="Times New Roman" w:cs="Times New Roman"/>
          <w:color w:val="000000" w:themeColor="text1"/>
          <w14:textFill>
            <w14:solidFill>
              <w14:schemeClr w14:val="tx1"/>
            </w14:solidFill>
          </w14:textFill>
        </w:rPr>
        <w:t>5.1.5 施工期生态环境影响分析</w:t>
      </w:r>
      <w:bookmarkEnd w:id="708"/>
      <w:bookmarkEnd w:id="709"/>
      <w:bookmarkEnd w:id="710"/>
      <w:bookmarkEnd w:id="711"/>
      <w:bookmarkEnd w:id="712"/>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建设项目永久占地面积为</w:t>
      </w:r>
      <w:r>
        <w:rPr>
          <w:rFonts w:hint="eastAsia" w:ascii="Times New Roman" w:hAnsi="Times New Roman" w:cs="Times New Roman"/>
          <w:color w:val="000000" w:themeColor="text1"/>
          <w:lang w:val="en-US" w:eastAsia="zh-CN"/>
          <w14:textFill>
            <w14:solidFill>
              <w14:schemeClr w14:val="tx1"/>
            </w14:solidFill>
          </w14:textFill>
        </w:rPr>
        <w:t>340.54</w:t>
      </w:r>
      <w:r>
        <w:rPr>
          <w:rFonts w:ascii="Times New Roman" w:hAnsi="Times New Roman" w:cs="Times New Roman"/>
          <w:color w:val="000000" w:themeColor="text1"/>
          <w14:textFill>
            <w14:solidFill>
              <w14:schemeClr w14:val="tx1"/>
            </w14:solidFill>
          </w14:textFill>
        </w:rPr>
        <w:t>亩（约</w:t>
      </w:r>
      <w:r>
        <w:rPr>
          <w:rFonts w:hint="eastAsia" w:ascii="Times New Roman" w:hAnsi="Times New Roman" w:cs="Times New Roman"/>
          <w:color w:val="000000" w:themeColor="text1"/>
          <w:lang w:val="en-US" w:eastAsia="zh-CN"/>
          <w14:textFill>
            <w14:solidFill>
              <w14:schemeClr w14:val="tx1"/>
            </w14:solidFill>
          </w14:textFill>
        </w:rPr>
        <w:t>22.7</w:t>
      </w:r>
      <w:r>
        <w:rPr>
          <w:rFonts w:ascii="Times New Roman" w:hAnsi="Times New Roman" w:cs="Times New Roman"/>
          <w:color w:val="000000" w:themeColor="text1"/>
          <w14:textFill>
            <w14:solidFill>
              <w14:schemeClr w14:val="tx1"/>
            </w14:solidFill>
          </w14:textFill>
        </w:rPr>
        <w:t>万m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），占地类型为</w:t>
      </w:r>
      <w:r>
        <w:rPr>
          <w:rFonts w:hint="eastAsia" w:ascii="Times New Roman" w:hAnsi="Times New Roman" w:cs="Times New Roman"/>
          <w:color w:val="000000" w:themeColor="text1"/>
          <w14:textFill>
            <w14:solidFill>
              <w14:schemeClr w14:val="tx1"/>
            </w14:solidFill>
          </w14:textFill>
        </w:rPr>
        <w:t>农用设施</w:t>
      </w:r>
      <w:r>
        <w:rPr>
          <w:rFonts w:ascii="Times New Roman" w:hAnsi="Times New Roman" w:cs="Times New Roman"/>
          <w:color w:val="000000" w:themeColor="text1"/>
          <w14:textFill>
            <w14:solidFill>
              <w14:schemeClr w14:val="tx1"/>
            </w14:solidFill>
          </w14:textFill>
        </w:rPr>
        <w:t>用地。</w:t>
      </w:r>
      <w:r>
        <w:rPr>
          <w:rFonts w:ascii="Times New Roman" w:hAnsi="Times New Roman" w:cs="Times New Roman"/>
          <w:color w:val="000000" w:themeColor="text1"/>
          <w:spacing w:val="-6"/>
          <w14:textFill>
            <w14:solidFill>
              <w14:schemeClr w14:val="tx1"/>
            </w14:solidFill>
          </w14:textFill>
        </w:rPr>
        <w:t>由于项目建设对原来的生态系统产生一定的影响，但对区域生态环境影响范围很小。</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期间地表开挖、土石方工程、车辆碾压等将破坏原有地表植被和土壤结构，导致项目永久占地区植被全部被破坏。施工便道、物料堆放、修筑围墙等将临时占用场外少量用地，临时占地虽然时间短，影响不大，但原有地表植被在被破坏3～5年后才能逐渐恢复。因此，施工期应对原料堆放、机械设备及运输车辆的行走路线做好规划工作，充分利用规划场地，尽量减少临时占地数量。</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建设完成后，项目主要区域将进行硬化处理，可有效减少项目区的水土流失；同时在非硬化区域将进行大面积绿化，绿化面积达到75亩，可有效改善项目区的生态环境。项目的建设将对区域生态环境起到部分改善作用。</w:t>
      </w:r>
    </w:p>
    <w:p>
      <w:pPr>
        <w:pStyle w:val="6"/>
        <w:rPr>
          <w:rFonts w:ascii="Times New Roman" w:hAnsi="Times New Roman" w:cs="Times New Roman"/>
          <w:color w:val="000000" w:themeColor="text1"/>
          <w14:textFill>
            <w14:solidFill>
              <w14:schemeClr w14:val="tx1"/>
            </w14:solidFill>
          </w14:textFill>
        </w:rPr>
      </w:pPr>
      <w:bookmarkStart w:id="713" w:name="_Toc24747"/>
      <w:bookmarkStart w:id="714" w:name="_Toc16616"/>
      <w:bookmarkStart w:id="715" w:name="_Toc26866"/>
      <w:r>
        <w:rPr>
          <w:rFonts w:ascii="Times New Roman" w:hAnsi="Times New Roman" w:cs="Times New Roman"/>
          <w:color w:val="000000" w:themeColor="text1"/>
          <w14:textFill>
            <w14:solidFill>
              <w14:schemeClr w14:val="tx1"/>
            </w14:solidFill>
          </w14:textFill>
        </w:rPr>
        <w:t>5.1.6 施工期水土流失影响分析</w:t>
      </w:r>
      <w:bookmarkEnd w:id="713"/>
      <w:bookmarkEnd w:id="714"/>
      <w:bookmarkEnd w:id="715"/>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工程建设新增水土流失产生于两个方面：</w:t>
      </w:r>
    </w:p>
    <w:p>
      <w:pPr>
        <w:numPr>
          <w:ilvl w:val="0"/>
          <w:numId w:val="4"/>
        </w:num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门诊楼、医技楼、病房楼等建设、管网和道路建设期间，由于地基土层的填挖、施工道路的布置等，可能造成原生地表植被的破坏，引发水土流失。</w:t>
      </w:r>
    </w:p>
    <w:p>
      <w:pPr>
        <w:numPr>
          <w:ilvl w:val="0"/>
          <w:numId w:val="4"/>
        </w:num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弃渣堆放被冲刷和风蚀的可能性较大，若堆放或保护措施不当，将会在融雪、降雨、大风等作用下产生水土流失。</w:t>
      </w:r>
    </w:p>
    <w:p>
      <w:pPr>
        <w:pStyle w:val="6"/>
        <w:rPr>
          <w:rFonts w:ascii="Times New Roman" w:hAnsi="Times New Roman" w:cs="Times New Roman"/>
          <w:color w:val="000000" w:themeColor="text1"/>
          <w14:textFill>
            <w14:solidFill>
              <w14:schemeClr w14:val="tx1"/>
            </w14:solidFill>
          </w14:textFill>
        </w:rPr>
      </w:pPr>
      <w:bookmarkStart w:id="716" w:name="_Toc22746"/>
      <w:bookmarkStart w:id="717" w:name="_Toc6803"/>
      <w:bookmarkStart w:id="718" w:name="_Toc16607"/>
      <w:r>
        <w:rPr>
          <w:rFonts w:ascii="Times New Roman" w:hAnsi="Times New Roman" w:cs="Times New Roman"/>
          <w:color w:val="000000" w:themeColor="text1"/>
          <w14:textFill>
            <w14:solidFill>
              <w14:schemeClr w14:val="tx1"/>
            </w14:solidFill>
          </w14:textFill>
        </w:rPr>
        <w:t>5.1.7 施工期环境影响分析总结</w:t>
      </w:r>
      <w:bookmarkEnd w:id="716"/>
      <w:bookmarkEnd w:id="717"/>
      <w:bookmarkEnd w:id="718"/>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施工期的环境影响主要是施工扬尘、施工噪声、施工废水和固体废物等对周围环境的影响，以及施工对周围生态环境的影响，基本上都是短期的、局部的，但须制定切实可行的污染防治措施，加强管理，使施工期的环境影响降低到最小程度，并在施工结束后，及时清理场地并开展绿化工作。</w:t>
      </w:r>
    </w:p>
    <w:p>
      <w:pPr>
        <w:pStyle w:val="5"/>
        <w:keepNext w:val="0"/>
        <w:keepLines w:val="0"/>
        <w:snapToGrid w:val="0"/>
        <w:rPr>
          <w:rFonts w:ascii="Times New Roman" w:hAnsi="Times New Roman" w:cs="Times New Roman"/>
          <w:color w:val="000000" w:themeColor="text1"/>
          <w14:textFill>
            <w14:solidFill>
              <w14:schemeClr w14:val="tx1"/>
            </w14:solidFill>
          </w14:textFill>
        </w:rPr>
      </w:pPr>
      <w:bookmarkStart w:id="719" w:name="_Toc32114"/>
      <w:bookmarkStart w:id="720" w:name="_Toc10585"/>
      <w:bookmarkStart w:id="721" w:name="_Toc9566"/>
      <w:bookmarkStart w:id="722" w:name="_Toc27169"/>
      <w:bookmarkStart w:id="723" w:name="_Toc23822"/>
      <w:bookmarkStart w:id="724" w:name="_Toc31111_WPSOffice_Level2"/>
      <w:r>
        <w:rPr>
          <w:rFonts w:ascii="Times New Roman" w:hAnsi="Times New Roman" w:cs="Times New Roman"/>
          <w:color w:val="000000" w:themeColor="text1"/>
          <w14:textFill>
            <w14:solidFill>
              <w14:schemeClr w14:val="tx1"/>
            </w14:solidFill>
          </w14:textFill>
        </w:rPr>
        <w:t>5.2</w:t>
      </w:r>
      <w:bookmarkStart w:id="725" w:name="_Toc504733756"/>
      <w:bookmarkStart w:id="726" w:name="_Toc501940747"/>
      <w:r>
        <w:rPr>
          <w:rFonts w:ascii="Times New Roman" w:hAnsi="Times New Roman" w:cs="Times New Roman"/>
          <w:color w:val="000000" w:themeColor="text1"/>
          <w14:textFill>
            <w14:solidFill>
              <w14:schemeClr w14:val="tx1"/>
            </w14:solidFill>
          </w14:textFill>
        </w:rPr>
        <w:t xml:space="preserve"> 运营期环境影响分析与评价</w:t>
      </w:r>
      <w:bookmarkEnd w:id="719"/>
      <w:bookmarkEnd w:id="720"/>
      <w:bookmarkEnd w:id="721"/>
      <w:bookmarkEnd w:id="722"/>
      <w:bookmarkEnd w:id="723"/>
      <w:bookmarkEnd w:id="724"/>
      <w:bookmarkEnd w:id="725"/>
      <w:bookmarkEnd w:id="726"/>
    </w:p>
    <w:p>
      <w:pPr>
        <w:pStyle w:val="6"/>
        <w:keepNext w:val="0"/>
        <w:keepLines w:val="0"/>
        <w:snapToGrid w:val="0"/>
        <w:rPr>
          <w:rFonts w:ascii="Times New Roman" w:hAnsi="Times New Roman" w:cs="Times New Roman"/>
          <w:color w:val="000000" w:themeColor="text1"/>
          <w14:textFill>
            <w14:solidFill>
              <w14:schemeClr w14:val="tx1"/>
            </w14:solidFill>
          </w14:textFill>
        </w:rPr>
      </w:pPr>
      <w:bookmarkStart w:id="727" w:name="_Toc18710"/>
      <w:bookmarkStart w:id="728" w:name="_Toc504733757"/>
      <w:bookmarkStart w:id="729" w:name="_Toc22121"/>
      <w:bookmarkStart w:id="730" w:name="_Toc501940748"/>
      <w:bookmarkStart w:id="731" w:name="_Toc10563"/>
      <w:r>
        <w:rPr>
          <w:rFonts w:ascii="Times New Roman" w:hAnsi="Times New Roman" w:cs="Times New Roman"/>
          <w:color w:val="000000" w:themeColor="text1"/>
          <w14:textFill>
            <w14:solidFill>
              <w14:schemeClr w14:val="tx1"/>
            </w14:solidFill>
          </w14:textFill>
        </w:rPr>
        <w:t>5.2.1 大气环境影响分析与评价</w:t>
      </w:r>
      <w:bookmarkEnd w:id="727"/>
      <w:bookmarkEnd w:id="728"/>
      <w:bookmarkEnd w:id="729"/>
      <w:bookmarkEnd w:id="730"/>
      <w:bookmarkEnd w:id="731"/>
    </w:p>
    <w:p>
      <w:pPr>
        <w:pStyle w:val="7"/>
        <w:rPr>
          <w:rFonts w:cs="Times New Roman"/>
          <w:color w:val="000000" w:themeColor="text1"/>
          <w14:textFill>
            <w14:solidFill>
              <w14:schemeClr w14:val="tx1"/>
            </w14:solidFill>
          </w14:textFill>
        </w:rPr>
      </w:pPr>
      <w:bookmarkStart w:id="732" w:name="_Toc8334"/>
      <w:bookmarkStart w:id="733" w:name="_Toc7737"/>
      <w:r>
        <w:rPr>
          <w:rFonts w:cs="Times New Roman"/>
          <w:color w:val="000000" w:themeColor="text1"/>
          <w14:textFill>
            <w14:solidFill>
              <w14:schemeClr w14:val="tx1"/>
            </w14:solidFill>
          </w14:textFill>
        </w:rPr>
        <w:t xml:space="preserve">5.2.1.1 </w:t>
      </w:r>
      <w:r>
        <w:rPr>
          <w:rFonts w:hint="eastAsia" w:cs="Times New Roman"/>
          <w:color w:val="000000" w:themeColor="text1"/>
          <w14:textFill>
            <w14:solidFill>
              <w14:schemeClr w14:val="tx1"/>
            </w14:solidFill>
          </w14:textFill>
        </w:rPr>
        <w:t>大气环境影响分析</w:t>
      </w:r>
      <w:bookmarkEnd w:id="732"/>
      <w:bookmarkEnd w:id="73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养殖</w:t>
      </w:r>
      <w:r>
        <w:rPr>
          <w:rFonts w:ascii="Times New Roman" w:hAnsi="Times New Roman" w:cs="Times New Roman"/>
          <w:color w:val="000000" w:themeColor="text1"/>
          <w14:textFill>
            <w14:solidFill>
              <w14:schemeClr w14:val="tx1"/>
            </w14:solidFill>
          </w14:textFill>
        </w:rPr>
        <w:t>恶臭</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根据项目工程分析，本项目</w:t>
      </w:r>
      <w:r>
        <w:rPr>
          <w:rFonts w:hint="eastAsia" w:ascii="Times New Roman" w:hAnsi="Times New Roman" w:cs="Times New Roman"/>
          <w:color w:val="000000" w:themeColor="text1"/>
          <w14:textFill>
            <w14:solidFill>
              <w14:schemeClr w14:val="tx1"/>
            </w14:solidFill>
          </w14:textFill>
        </w:rPr>
        <w:t>养殖恶臭</w:t>
      </w:r>
      <w:r>
        <w:rPr>
          <w:rFonts w:ascii="Times New Roman" w:hAnsi="Times New Roman" w:cs="Times New Roman"/>
          <w:color w:val="000000" w:themeColor="text1"/>
          <w14:textFill>
            <w14:solidFill>
              <w14:schemeClr w14:val="tx1"/>
            </w14:solidFill>
          </w14:textFill>
        </w:rPr>
        <w:t>主要来自猪粪、尿发出的臭气，主要恶臭污染物为H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S和NH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。本项目虽然其绝对排放量并不大，但嗅觉阈值非常低，影响范围较大。根据嗅觉对臭味的反应，将恶臭强度分为6级，见表5.</w:t>
      </w:r>
      <w:r>
        <w:rPr>
          <w:rFonts w:hint="eastAsia" w:ascii="Times New Roman" w:hAnsi="Times New Roman" w:cs="Times New Roman"/>
          <w:color w:val="000000" w:themeColor="text1"/>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w:t>
      </w:r>
      <w:r>
        <w:rPr>
          <w:rFonts w:hint="eastAsia" w:cs="Times New Roman"/>
          <w:color w:val="000000" w:themeColor="text1"/>
          <w14:textFill>
            <w14:solidFill>
              <w14:schemeClr w14:val="tx1"/>
            </w14:solidFill>
          </w14:textFill>
        </w:rPr>
        <w:t>2-1</w:t>
      </w:r>
      <w:r>
        <w:rPr>
          <w:rFonts w:cs="Times New Roman"/>
          <w:color w:val="000000" w:themeColor="text1"/>
          <w14:textFill>
            <w14:solidFill>
              <w14:schemeClr w14:val="tx1"/>
            </w14:solidFill>
          </w14:textFill>
        </w:rPr>
        <w:t xml:space="preserve">   臭气强度分级</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883"/>
        <w:gridCol w:w="1239"/>
        <w:gridCol w:w="61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3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级别</w:t>
            </w:r>
          </w:p>
        </w:tc>
        <w:tc>
          <w:tcPr>
            <w:tcW w:w="745" w:type="pct"/>
            <w:tcBorders>
              <w:top w:val="single" w:color="auto" w:sz="4" w:space="0"/>
              <w:left w:val="single" w:color="auto" w:sz="4" w:space="0"/>
              <w:bottom w:val="single" w:color="auto" w:sz="4" w:space="0"/>
              <w:right w:val="single" w:color="auto" w:sz="4" w:space="0"/>
            </w:tcBorders>
            <w:vAlign w:val="center"/>
          </w:tcPr>
          <w:p>
            <w:pPr>
              <w:pStyle w:val="46"/>
              <w:tabs>
                <w:tab w:val="left" w:pos="450"/>
              </w:tabs>
              <w:spacing w:before="0" w:line="240" w:lineRule="auto"/>
              <w:ind w:firstLine="0" w:firstLineChars="0"/>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强度</w:t>
            </w:r>
          </w:p>
        </w:tc>
        <w:tc>
          <w:tcPr>
            <w:tcW w:w="3722" w:type="pct"/>
            <w:tcBorders>
              <w:top w:val="single" w:color="auto" w:sz="4" w:space="0"/>
              <w:left w:val="single" w:color="auto" w:sz="4" w:space="0"/>
              <w:bottom w:val="single" w:color="auto" w:sz="4" w:space="0"/>
              <w:right w:val="single" w:color="auto" w:sz="4" w:space="0"/>
            </w:tcBorders>
            <w:vAlign w:val="center"/>
          </w:tcPr>
          <w:p>
            <w:pPr>
              <w:pStyle w:val="46"/>
              <w:tabs>
                <w:tab w:val="left" w:pos="880"/>
              </w:tabs>
              <w:spacing w:before="0" w:line="240" w:lineRule="auto"/>
              <w:ind w:firstLine="0" w:firstLineChars="0"/>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说明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3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w:t>
            </w:r>
          </w:p>
        </w:tc>
        <w:tc>
          <w:tcPr>
            <w:tcW w:w="7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无臭气味</w:t>
            </w:r>
          </w:p>
        </w:tc>
        <w:tc>
          <w:tcPr>
            <w:tcW w:w="37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完全嗅不出或感觉不出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3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w:t>
            </w:r>
          </w:p>
        </w:tc>
        <w:tc>
          <w:tcPr>
            <w:tcW w:w="7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极弱</w:t>
            </w:r>
          </w:p>
        </w:tc>
        <w:tc>
          <w:tcPr>
            <w:tcW w:w="37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一般人感受不到，熟练化验员或经特殊受就者可察出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3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w:t>
            </w:r>
          </w:p>
        </w:tc>
        <w:tc>
          <w:tcPr>
            <w:tcW w:w="7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弱</w:t>
            </w:r>
          </w:p>
        </w:tc>
        <w:tc>
          <w:tcPr>
            <w:tcW w:w="37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多数人注意后可感觉到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3" w:hRule="atLeast"/>
        </w:trPr>
        <w:tc>
          <w:tcPr>
            <w:tcW w:w="53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w:t>
            </w:r>
          </w:p>
        </w:tc>
        <w:tc>
          <w:tcPr>
            <w:tcW w:w="7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显著</w:t>
            </w:r>
          </w:p>
        </w:tc>
        <w:tc>
          <w:tcPr>
            <w:tcW w:w="37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易于感觉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3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w:t>
            </w:r>
          </w:p>
        </w:tc>
        <w:tc>
          <w:tcPr>
            <w:tcW w:w="7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强</w:t>
            </w:r>
          </w:p>
        </w:tc>
        <w:tc>
          <w:tcPr>
            <w:tcW w:w="37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迅速产生不愉快的感觉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3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w:t>
            </w:r>
          </w:p>
        </w:tc>
        <w:tc>
          <w:tcPr>
            <w:tcW w:w="7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极强</w:t>
            </w:r>
          </w:p>
        </w:tc>
        <w:tc>
          <w:tcPr>
            <w:tcW w:w="37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强烈异臭和异味</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臭气强度与臭味物质浓度的关系见表5.</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 xml:space="preserve">   臭气强度与臭味物质浓度的关系</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437"/>
        <w:gridCol w:w="828"/>
        <w:gridCol w:w="1016"/>
        <w:gridCol w:w="1016"/>
        <w:gridCol w:w="1010"/>
        <w:gridCol w:w="1000"/>
        <w:gridCol w:w="1003"/>
        <w:gridCol w:w="100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864"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臭气强度</w:t>
            </w:r>
          </w:p>
        </w:tc>
        <w:tc>
          <w:tcPr>
            <w:tcW w:w="49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1</w:t>
            </w:r>
          </w:p>
        </w:tc>
        <w:tc>
          <w:tcPr>
            <w:tcW w:w="61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w:t>
            </w:r>
          </w:p>
        </w:tc>
        <w:tc>
          <w:tcPr>
            <w:tcW w:w="61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2.5</w:t>
            </w:r>
          </w:p>
        </w:tc>
        <w:tc>
          <w:tcPr>
            <w:tcW w:w="60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3</w:t>
            </w:r>
          </w:p>
        </w:tc>
        <w:tc>
          <w:tcPr>
            <w:tcW w:w="60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3.5</w:t>
            </w:r>
          </w:p>
        </w:tc>
        <w:tc>
          <w:tcPr>
            <w:tcW w:w="60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4</w:t>
            </w:r>
          </w:p>
        </w:tc>
        <w:tc>
          <w:tcPr>
            <w:tcW w:w="60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864"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H</w:t>
            </w:r>
            <w:r>
              <w:rPr>
                <w:rFonts w:ascii="Times New Roman"/>
                <w:color w:val="000000" w:themeColor="text1"/>
                <w:sz w:val="21"/>
                <w:vertAlign w:val="subscript"/>
                <w14:textFill>
                  <w14:solidFill>
                    <w14:schemeClr w14:val="tx1"/>
                  </w14:solidFill>
                </w14:textFill>
              </w:rPr>
              <w:t>2</w:t>
            </w:r>
            <w:r>
              <w:rPr>
                <w:rFonts w:ascii="Times New Roman"/>
                <w:color w:val="000000" w:themeColor="text1"/>
                <w:sz w:val="21"/>
                <w14:textFill>
                  <w14:solidFill>
                    <w14:schemeClr w14:val="tx1"/>
                  </w14:solidFill>
                </w14:textFill>
              </w:rPr>
              <w:t>S</w:t>
            </w:r>
          </w:p>
        </w:tc>
        <w:tc>
          <w:tcPr>
            <w:tcW w:w="49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0.1</w:t>
            </w:r>
          </w:p>
        </w:tc>
        <w:tc>
          <w:tcPr>
            <w:tcW w:w="61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0.6</w:t>
            </w:r>
          </w:p>
        </w:tc>
        <w:tc>
          <w:tcPr>
            <w:tcW w:w="61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60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2.0</w:t>
            </w:r>
          </w:p>
        </w:tc>
        <w:tc>
          <w:tcPr>
            <w:tcW w:w="60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5.0</w:t>
            </w:r>
          </w:p>
        </w:tc>
        <w:tc>
          <w:tcPr>
            <w:tcW w:w="60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10.0</w:t>
            </w:r>
          </w:p>
        </w:tc>
        <w:tc>
          <w:tcPr>
            <w:tcW w:w="60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864"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NH</w:t>
            </w:r>
            <w:r>
              <w:rPr>
                <w:rFonts w:ascii="Times New Roman"/>
                <w:color w:val="000000" w:themeColor="text1"/>
                <w:sz w:val="21"/>
                <w:vertAlign w:val="subscript"/>
                <w14:textFill>
                  <w14:solidFill>
                    <w14:schemeClr w14:val="tx1"/>
                  </w14:solidFill>
                </w14:textFill>
              </w:rPr>
              <w:t>3</w:t>
            </w:r>
          </w:p>
        </w:tc>
        <w:tc>
          <w:tcPr>
            <w:tcW w:w="49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0.0005</w:t>
            </w:r>
          </w:p>
        </w:tc>
        <w:tc>
          <w:tcPr>
            <w:tcW w:w="61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0.006</w:t>
            </w:r>
          </w:p>
        </w:tc>
        <w:tc>
          <w:tcPr>
            <w:tcW w:w="61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0.02</w:t>
            </w:r>
          </w:p>
        </w:tc>
        <w:tc>
          <w:tcPr>
            <w:tcW w:w="60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0.06</w:t>
            </w:r>
          </w:p>
        </w:tc>
        <w:tc>
          <w:tcPr>
            <w:tcW w:w="60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0.2</w:t>
            </w:r>
          </w:p>
        </w:tc>
        <w:tc>
          <w:tcPr>
            <w:tcW w:w="60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0.7</w:t>
            </w:r>
          </w:p>
        </w:tc>
        <w:tc>
          <w:tcPr>
            <w:tcW w:w="60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3.0</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由表5.</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-1、表5.</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-2可知，当NH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和H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满足《恶臭污染物排放标准》时分别对应的臭气强度为2~2.5和1，对比之下，NH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的影响比H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S的影响大。同时臭气强度在2~2.5时，说明多数人注意后可感觉到。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表5.</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-3列出了感觉到主要恶臭物质的浓度阀值。</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 xml:space="preserve">   主要恶臭物质的阀值浓度</w:t>
      </w:r>
    </w:p>
    <w:tbl>
      <w:tblPr>
        <w:tblStyle w:val="27"/>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194"/>
        <w:gridCol w:w="41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25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物质</w:t>
            </w:r>
          </w:p>
        </w:tc>
        <w:tc>
          <w:tcPr>
            <w:tcW w:w="247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阀值浓度（ppm）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氨</w:t>
            </w:r>
          </w:p>
        </w:tc>
        <w:tc>
          <w:tcPr>
            <w:tcW w:w="247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硫化氢</w:t>
            </w:r>
          </w:p>
        </w:tc>
        <w:tc>
          <w:tcPr>
            <w:tcW w:w="247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0.005～1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甲硫醇</w:t>
            </w:r>
          </w:p>
        </w:tc>
        <w:tc>
          <w:tcPr>
            <w:tcW w:w="247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0.0001～0.0011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硫化甲基</w:t>
            </w:r>
          </w:p>
        </w:tc>
        <w:tc>
          <w:tcPr>
            <w:tcW w:w="247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三甲胺</w:t>
            </w:r>
          </w:p>
        </w:tc>
        <w:tc>
          <w:tcPr>
            <w:tcW w:w="247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0.00021</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上述恶臭污染物质的臭味特征见表5.</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-4。</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 xml:space="preserve">   主要恶臭物质的臭味特征</w:t>
      </w:r>
    </w:p>
    <w:tbl>
      <w:tblPr>
        <w:tblStyle w:val="27"/>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193"/>
        <w:gridCol w:w="41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物质</w:t>
            </w:r>
          </w:p>
        </w:tc>
        <w:tc>
          <w:tcPr>
            <w:tcW w:w="247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臭味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氨</w:t>
            </w:r>
          </w:p>
        </w:tc>
        <w:tc>
          <w:tcPr>
            <w:tcW w:w="247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强刺激臭味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硫化氢</w:t>
            </w:r>
          </w:p>
        </w:tc>
        <w:tc>
          <w:tcPr>
            <w:tcW w:w="247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臭鸡蛋味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甲硫醇</w:t>
            </w:r>
          </w:p>
        </w:tc>
        <w:tc>
          <w:tcPr>
            <w:tcW w:w="247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大蒜、韭菜一类臭味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硫化甲基</w:t>
            </w:r>
          </w:p>
        </w:tc>
        <w:tc>
          <w:tcPr>
            <w:tcW w:w="247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大蒜、韭菜一类臭味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252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三甲胺</w:t>
            </w:r>
          </w:p>
        </w:tc>
        <w:tc>
          <w:tcPr>
            <w:tcW w:w="247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腐鱼似的臭味</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恶臭物质气味夏季比冬季强，昼间比夜间强，受气态污染物面源的性质决定，距离源点越近，污染物浓度就越高，造成的影响也就越大，但在距离</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500m处已基本不能闻到臭味，按照恶臭强度分级，属于1级极弱；臭气强度在2~2.5时，说明多数人注意后可感觉到，本项目臭气强度远臭气强度2；本项目臭气中NH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的阈值比H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S大，说明NH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的影响比H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S的影响大；从臭气物质的臭味特征分析，H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S有臭鸡蛋味，NH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不仅有臭味而且还有刺激性味道。通过查阅相关资料，类比同类型规模已投产猪场，通过选择优质的环保饲料配方、加化学药品抑制猪粪的氨气挥发、保持猪舍空气流通、种植对空气净化有利的植物等方法，可使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S去除率在50%以上，可使无组织面源气体排放量大大减小</w:t>
      </w:r>
      <w:r>
        <w:rPr>
          <w:rFonts w:hint="eastAsia" w:ascii="Times New Roman" w:hAnsi="Times New Roman" w:cs="Times New Roman"/>
          <w:color w:val="000000" w:themeColor="text1"/>
          <w14:textFill>
            <w14:solidFill>
              <w14:schemeClr w14:val="tx1"/>
            </w14:solidFill>
          </w14:textFill>
        </w:rPr>
        <w:t>。对周边大气环境影响较小。</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（2）食堂油烟</w:t>
      </w:r>
    </w:p>
    <w:p>
      <w:pPr>
        <w:spacing w:line="520" w:lineRule="exact"/>
        <w:rPr>
          <w:rFonts w:hint="eastAsia"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本项目劳动定员</w:t>
      </w:r>
      <w:r>
        <w:rPr>
          <w:rFonts w:hint="eastAsia" w:ascii="Times New Roman" w:hAnsi="Times New Roman" w:cs="Times New Roman"/>
          <w:color w:val="000000" w:themeColor="text1"/>
          <w14:textFill>
            <w14:solidFill>
              <w14:schemeClr w14:val="tx1"/>
            </w14:solidFill>
          </w14:textFill>
        </w:rPr>
        <w:t>35</w:t>
      </w:r>
      <w:r>
        <w:rPr>
          <w:rFonts w:ascii="Times New Roman" w:hAnsi="Times New Roman" w:cs="Times New Roman"/>
          <w:color w:val="000000" w:themeColor="text1"/>
          <w14:textFill>
            <w14:solidFill>
              <w14:schemeClr w14:val="tx1"/>
            </w14:solidFill>
          </w14:textFill>
        </w:rPr>
        <w:t>人，职工食堂设置油烟净化装置处理油烟废气，根据类比计算，食堂油烟产生量为9.45kg/a，在采用效率大于60%的油烟净化装置净化后，排放浓度为1.</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，排放量约为</w:t>
      </w:r>
      <w:r>
        <w:rPr>
          <w:rFonts w:hint="eastAsia" w:ascii="Times New Roman" w:hAnsi="Times New Roman" w:cs="Times New Roman"/>
          <w:color w:val="000000" w:themeColor="text1"/>
          <w14:textFill>
            <w14:solidFill>
              <w14:schemeClr w14:val="tx1"/>
            </w14:solidFill>
          </w14:textFill>
        </w:rPr>
        <w:t>5.67kg</w:t>
      </w:r>
      <w:r>
        <w:rPr>
          <w:rFonts w:ascii="Times New Roman" w:hAnsi="Times New Roman" w:cs="Times New Roman"/>
          <w:color w:val="000000" w:themeColor="text1"/>
          <w14:textFill>
            <w14:solidFill>
              <w14:schemeClr w14:val="tx1"/>
            </w14:solidFill>
          </w14:textFill>
        </w:rPr>
        <w:t>/a</w:t>
      </w:r>
      <w:r>
        <w:rPr>
          <w:rFonts w:hint="eastAsia" w:ascii="Times New Roman" w:hAnsi="Times New Roman" w:cs="Times New Roman"/>
          <w:color w:val="000000" w:themeColor="text1"/>
          <w14:textFill>
            <w14:solidFill>
              <w14:schemeClr w14:val="tx1"/>
            </w14:solidFill>
          </w14:textFill>
        </w:rPr>
        <w:t>。经油烟净化器</w:t>
      </w:r>
      <w:r>
        <w:rPr>
          <w:rFonts w:ascii="Times New Roman" w:hAnsi="Times New Roman" w:cs="Times New Roman"/>
          <w:color w:val="000000" w:themeColor="text1"/>
          <w14:textFill>
            <w14:solidFill>
              <w14:schemeClr w14:val="tx1"/>
            </w14:solidFill>
          </w14:textFill>
        </w:rPr>
        <w:t>处理后的油烟</w:t>
      </w:r>
      <w:r>
        <w:rPr>
          <w:rFonts w:hint="eastAsia" w:ascii="Times New Roman" w:hAnsi="Times New Roman" w:cs="Times New Roman"/>
          <w:color w:val="000000" w:themeColor="text1"/>
          <w14:textFill>
            <w14:solidFill>
              <w14:schemeClr w14:val="tx1"/>
            </w14:solidFill>
          </w14:textFill>
        </w:rPr>
        <w:t>达到</w:t>
      </w:r>
      <w:r>
        <w:rPr>
          <w:rFonts w:ascii="Times New Roman" w:hAnsi="Times New Roman" w:cs="Times New Roman"/>
          <w:color w:val="000000" w:themeColor="text1"/>
          <w14:textFill>
            <w14:solidFill>
              <w14:schemeClr w14:val="tx1"/>
            </w14:solidFill>
          </w14:textFill>
        </w:rPr>
        <w:t>《饮食业油烟排放标准（试行）》（GB18483-2001）中的规定（2.0mg/m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后，由</w:t>
      </w:r>
      <w:r>
        <w:rPr>
          <w:rFonts w:ascii="Times New Roman" w:hAnsi="Times New Roman" w:cs="Times New Roman"/>
          <w:color w:val="000000" w:themeColor="text1"/>
          <w14:textFill>
            <w14:solidFill>
              <w14:schemeClr w14:val="tx1"/>
            </w14:solidFill>
          </w14:textFill>
        </w:rPr>
        <w:t>专用排烟管道引至楼顶排放，对周围环境影响较小。</w:t>
      </w:r>
      <w:bookmarkStart w:id="734" w:name="_Toc2145"/>
      <w:bookmarkStart w:id="735" w:name="_Toc28552"/>
      <w:r>
        <w:rPr>
          <w:rFonts w:hint="eastAsia" w:cs="Times New Roman"/>
          <w:color w:val="000000" w:themeColor="text1"/>
          <w:sz w:val="2"/>
          <w:szCs w:val="2"/>
          <w:lang w:val="en-US" w:eastAsia="zh-CN"/>
          <w14:textFill>
            <w14:solidFill>
              <w14:schemeClr w14:val="tx1"/>
            </w14:solidFill>
          </w14:textFill>
        </w:rPr>
        <w:t>z</w:t>
      </w:r>
    </w:p>
    <w:p>
      <w:pPr>
        <w:pStyle w:val="7"/>
        <w:rPr>
          <w:rFonts w:cs="Times New Roman"/>
          <w:color w:val="000000" w:themeColor="text1"/>
          <w14:textFill>
            <w14:solidFill>
              <w14:schemeClr w14:val="tx1"/>
            </w14:solidFill>
          </w14:textFill>
        </w:rPr>
      </w:pPr>
    </w:p>
    <w:p>
      <w:pPr>
        <w:pStyle w:val="7"/>
        <w:rPr>
          <w:rFonts w:cs="Times New Roman"/>
          <w:color w:val="000000" w:themeColor="text1"/>
          <w14:textFill>
            <w14:solidFill>
              <w14:schemeClr w14:val="tx1"/>
            </w14:solidFill>
          </w14:textFill>
        </w:rPr>
      </w:pPr>
    </w:p>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5.2.1.2 大气环境影响预测与评价</w:t>
      </w:r>
      <w:bookmarkEnd w:id="734"/>
      <w:bookmarkEnd w:id="735"/>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根据工程分析，本项目废气污染源主要表现为臭气污染，主要来自猪舍</w:t>
      </w:r>
      <w:r>
        <w:rPr>
          <w:rFonts w:hint="eastAsia" w:ascii="Times New Roman" w:hAnsi="Times New Roman" w:cs="Times New Roman"/>
          <w:color w:val="000000" w:themeColor="text1"/>
          <w14:textFill>
            <w14:solidFill>
              <w14:schemeClr w14:val="tx1"/>
            </w14:solidFill>
          </w14:textFill>
        </w:rPr>
        <w:t>、堆肥场和厌氧储存塘产生</w:t>
      </w:r>
      <w:r>
        <w:rPr>
          <w:rFonts w:ascii="Times New Roman" w:hAnsi="Times New Roman" w:cs="Times New Roman"/>
          <w:color w:val="000000" w:themeColor="text1"/>
          <w14:textFill>
            <w14:solidFill>
              <w14:schemeClr w14:val="tx1"/>
            </w14:solidFill>
          </w14:textFill>
        </w:rPr>
        <w:t>的</w:t>
      </w:r>
      <w:r>
        <w:rPr>
          <w:rFonts w:hint="eastAsia" w:ascii="Times New Roman" w:hAnsi="Times New Roman" w:cs="Times New Roman"/>
          <w:color w:val="000000" w:themeColor="text1"/>
          <w14:textFill>
            <w14:solidFill>
              <w14:schemeClr w14:val="tx1"/>
            </w14:solidFill>
          </w14:textFill>
        </w:rPr>
        <w:t>恶臭</w:t>
      </w:r>
      <w:r>
        <w:rPr>
          <w:rFonts w:ascii="Times New Roman" w:hAnsi="Times New Roman" w:cs="Times New Roman"/>
          <w:color w:val="000000" w:themeColor="text1"/>
          <w14:textFill>
            <w14:solidFill>
              <w14:schemeClr w14:val="tx1"/>
            </w14:solidFill>
          </w14:textFill>
        </w:rPr>
        <w:t>，主要恶臭污染物为H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S和NH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。采用《环境影响评价技术导则 大气环境》（HJ2.2-2018）大气估算模式（Arescreen）计算圈舍、厌氧储存塘及堆肥场恶臭在落实环保措施的情况下，H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的最大占标率，并根据《环境影响评价技术导则 大气环境》（HJ2.2-2018）进行评价等级判断。</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1）判定依据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项目根据工程特点和污染特征以及周围环境状况，采用《环境影响评价技术导则·大气环境》（HJ2.2-2018）中规定的方法核算，计算公式及评价工作级别判断表（表5.2-</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）如下：</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object>
          <v:shape id="_x0000_i1030" o:spt="75" type="#_x0000_t75" style="height:34.2pt;width:78pt;" o:ole="t" filled="f" o:preferrelative="t" stroked="f" coordsize="21600,21600">
            <v:path/>
            <v:fill on="f" focussize="0,0"/>
            <v:stroke on="f" joinstyle="miter"/>
            <v:imagedata r:id="rId13" o:title=""/>
            <o:lock v:ext="edit" aspectratio="t"/>
            <w10:wrap type="none"/>
            <w10:anchorlock/>
          </v:shape>
          <o:OLEObject Type="Embed" ProgID="Equation.3" ShapeID="_x0000_i1030" DrawAspect="Content" ObjectID="_1468075730" r:id="rId25">
            <o:LockedField>false</o:LockedField>
          </o:OLEObject>
        </w:objec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式中：P</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---第i个污染物的最大地面浓度占标率，%；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---采用估算模式计算出的第i个污染物的最大地面浓度，mg/m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cs="Times New Roman"/>
          <w:color w:val="000000" w:themeColor="text1"/>
          <w:vertAlign w:val="subscript"/>
          <w14:textFill>
            <w14:solidFill>
              <w14:schemeClr w14:val="tx1"/>
            </w14:solidFill>
          </w14:textFill>
        </w:rPr>
        <w:t>oi</w:t>
      </w:r>
      <w:r>
        <w:rPr>
          <w:rFonts w:ascii="Times New Roman" w:hAnsi="Times New Roman" w:cs="Times New Roman"/>
          <w:color w:val="000000" w:themeColor="text1"/>
          <w14:textFill>
            <w14:solidFill>
              <w14:schemeClr w14:val="tx1"/>
            </w14:solidFill>
          </w14:textFill>
        </w:rPr>
        <w:t>---第i个污染物的环境空气质量标准，mg/m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。一般选用GB3095中1h平均质量浓度的二级浓度限值，µg/m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；对仅有8h平均质量浓度限值、日平均质量浓度限值或年平均质量浓度限值的，可分别按2倍、3倍、6倍折算为1h平均质量浓度限值。</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评价工作等级按表5.2-</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的分级判据进行划分。最大地面浓度占标率Pi按公式计算，如污染物i大于1，取P值的最大者（Pmax），和其对应的D10%。</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 xml:space="preserve">   评价工作等级分级判据</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blHeader/>
        </w:trPr>
        <w:tc>
          <w:tcPr>
            <w:tcW w:w="1022"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评价工作等级</w:t>
            </w:r>
          </w:p>
        </w:tc>
        <w:tc>
          <w:tcPr>
            <w:tcW w:w="3977"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一级</w:t>
            </w:r>
          </w:p>
        </w:tc>
        <w:tc>
          <w:tcPr>
            <w:tcW w:w="397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二级</w:t>
            </w:r>
          </w:p>
        </w:tc>
        <w:tc>
          <w:tcPr>
            <w:tcW w:w="397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三级</w:t>
            </w:r>
          </w:p>
        </w:tc>
        <w:tc>
          <w:tcPr>
            <w:tcW w:w="3977"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Pmax＜1%</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本项目大气污染物主要为圈舍、厌氧储存塘及堆肥场产生的恶臭，污染因子主要为H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、臭气浓度等。本评价主要以圈舍、厌氧储存塘及堆肥场恶臭中H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的排放量来确定评价工作等级。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根据《环境影响评价技术导则—大气环境》（HJ2.2-2018），按照估算模式AERSCREEN模式，依据上述公式进行评价等级确定，其中污染物计算参数如下。本项目评价因子和评价标准件下表5.2-</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w:t>
      </w:r>
      <w:r>
        <w:rPr>
          <w:rFonts w:hint="eastAsia" w:cs="Times New Roman"/>
          <w:color w:val="000000" w:themeColor="text1"/>
          <w14:textFill>
            <w14:solidFill>
              <w14:schemeClr w14:val="tx1"/>
            </w14:solidFill>
          </w14:textFill>
        </w:rPr>
        <w:t xml:space="preserve">6 </w:t>
      </w:r>
      <w:r>
        <w:rPr>
          <w:rFonts w:cs="Times New Roman"/>
          <w:color w:val="000000" w:themeColor="text1"/>
          <w14:textFill>
            <w14:solidFill>
              <w14:schemeClr w14:val="tx1"/>
            </w14:solidFill>
          </w14:textFill>
        </w:rPr>
        <w:t xml:space="preserve">  本项目评价因子和评价标准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7"/>
        <w:gridCol w:w="1372"/>
        <w:gridCol w:w="1600"/>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序号</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评价因子</w:t>
            </w:r>
          </w:p>
        </w:tc>
        <w:tc>
          <w:tcPr>
            <w:tcW w:w="13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平均时段</w:t>
            </w:r>
          </w:p>
        </w:tc>
        <w:tc>
          <w:tcPr>
            <w:tcW w:w="16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标准值ug/m</w:t>
            </w:r>
            <w:r>
              <w:rPr>
                <w:rFonts w:ascii="Times New Roman" w:hAnsi="Times New Roman" w:cs="Times New Roman"/>
                <w:b/>
                <w:color w:val="000000" w:themeColor="text1"/>
                <w:sz w:val="21"/>
                <w:szCs w:val="21"/>
                <w:vertAlign w:val="superscript"/>
                <w14:textFill>
                  <w14:solidFill>
                    <w14:schemeClr w14:val="tx1"/>
                  </w14:solidFill>
                </w14:textFill>
              </w:rPr>
              <w:t>3</w:t>
            </w:r>
          </w:p>
        </w:tc>
        <w:tc>
          <w:tcPr>
            <w:tcW w:w="34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硫化氢</w:t>
            </w:r>
          </w:p>
        </w:tc>
        <w:tc>
          <w:tcPr>
            <w:tcW w:w="13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1h均值</w:t>
            </w:r>
          </w:p>
        </w:tc>
        <w:tc>
          <w:tcPr>
            <w:tcW w:w="16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3457"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氨</w:t>
            </w:r>
          </w:p>
        </w:tc>
        <w:tc>
          <w:tcPr>
            <w:tcW w:w="13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1h均值</w:t>
            </w:r>
          </w:p>
        </w:tc>
        <w:tc>
          <w:tcPr>
            <w:tcW w:w="16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c>
          <w:tcPr>
            <w:tcW w:w="3457" w:type="dxa"/>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r>
    </w:tbl>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hint="eastAsia" w:ascii="Times New Roman" w:hAnsi="Times New Roman" w:cs="Times New Roman"/>
          <w:color w:val="000000" w:themeColor="text1"/>
          <w:spacing w:val="-6"/>
          <w14:textFill>
            <w14:solidFill>
              <w14:schemeClr w14:val="tx1"/>
            </w14:solidFill>
          </w14:textFill>
        </w:rPr>
        <w:t>（</w:t>
      </w:r>
      <w:r>
        <w:rPr>
          <w:rFonts w:ascii="Times New Roman" w:hAnsi="Times New Roman" w:cs="Times New Roman"/>
          <w:color w:val="000000" w:themeColor="text1"/>
          <w:spacing w:val="-6"/>
          <w14:textFill>
            <w14:solidFill>
              <w14:schemeClr w14:val="tx1"/>
            </w14:solidFill>
          </w14:textFill>
        </w:rPr>
        <w:t>2）估算模式参数选取</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本次评价选择《环境评价技术导则 大气环境》（HJ2.2-2018）推荐的AERSCREEN估算模型，选取本项目估算模型参数见表5.2-</w:t>
      </w: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估算模型参数表</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333" w:type="pct"/>
            <w:gridSpan w:val="2"/>
            <w:tcBorders>
              <w:bottom w:val="single" w:color="auto" w:sz="6" w:space="0"/>
              <w:right w:val="single" w:color="auto" w:sz="6" w:space="0"/>
            </w:tcBorders>
            <w:vAlign w:val="center"/>
          </w:tcPr>
          <w:p>
            <w:pPr>
              <w:adjustRightInd w:val="0"/>
              <w:snapToGrid w:val="0"/>
              <w:spacing w:line="240" w:lineRule="auto"/>
              <w:ind w:firstLine="422"/>
              <w:jc w:val="center"/>
              <w:rPr>
                <w:rFonts w:ascii="Times New Roman" w:hAnsi="Times New Roman" w:cs="Times New Roman"/>
                <w:b/>
                <w:bCs/>
                <w:color w:val="000000" w:themeColor="text1"/>
                <w:sz w:val="21"/>
                <w:szCs w:val="21"/>
                <w:lang w:val="zh-CN"/>
                <w14:textFill>
                  <w14:solidFill>
                    <w14:schemeClr w14:val="tx1"/>
                  </w14:solidFill>
                </w14:textFill>
              </w:rPr>
            </w:pPr>
            <w:r>
              <w:rPr>
                <w:rFonts w:ascii="Times New Roman" w:hAnsi="Times New Roman" w:cs="Times New Roman"/>
                <w:b/>
                <w:bCs/>
                <w:color w:val="000000" w:themeColor="text1"/>
                <w:sz w:val="21"/>
                <w:szCs w:val="21"/>
                <w:lang w:val="zh-CN"/>
                <w14:textFill>
                  <w14:solidFill>
                    <w14:schemeClr w14:val="tx1"/>
                  </w14:solidFill>
                </w14:textFill>
              </w:rPr>
              <w:t>参数</w:t>
            </w:r>
          </w:p>
        </w:tc>
        <w:tc>
          <w:tcPr>
            <w:tcW w:w="1666" w:type="pct"/>
            <w:tcBorders>
              <w:left w:val="single" w:color="auto" w:sz="6" w:space="0"/>
              <w:bottom w:val="single" w:color="auto" w:sz="6" w:space="0"/>
            </w:tcBorders>
            <w:vAlign w:val="center"/>
          </w:tcPr>
          <w:p>
            <w:pPr>
              <w:adjustRightInd w:val="0"/>
              <w:snapToGrid w:val="0"/>
              <w:spacing w:line="240" w:lineRule="auto"/>
              <w:ind w:firstLine="422"/>
              <w:jc w:val="center"/>
              <w:rPr>
                <w:rFonts w:ascii="Times New Roman" w:hAnsi="Times New Roman" w:cs="Times New Roman"/>
                <w:b/>
                <w:bCs/>
                <w:color w:val="000000" w:themeColor="text1"/>
                <w:sz w:val="21"/>
                <w:szCs w:val="21"/>
                <w:lang w:val="zh-CN"/>
                <w14:textFill>
                  <w14:solidFill>
                    <w14:schemeClr w14:val="tx1"/>
                  </w14:solidFill>
                </w14:textFill>
              </w:rPr>
            </w:pPr>
            <w:r>
              <w:rPr>
                <w:rFonts w:ascii="Times New Roman" w:hAnsi="Times New Roman" w:cs="Times New Roman"/>
                <w:b/>
                <w:bCs/>
                <w:color w:val="000000" w:themeColor="text1"/>
                <w:sz w:val="21"/>
                <w:szCs w:val="21"/>
                <w:lang w:val="zh-CN"/>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tcBorders>
              <w:top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城市</w:t>
            </w:r>
            <w:r>
              <w:rPr>
                <w:rFonts w:ascii="Times New Roman" w:hAnsi="Times New Roman" w:cs="Times New Roman"/>
                <w:color w:val="000000" w:themeColor="text1"/>
                <w:sz w:val="21"/>
                <w:szCs w:val="21"/>
                <w14:textFill>
                  <w14:solidFill>
                    <w14:schemeClr w14:val="tx1"/>
                  </w14:solidFill>
                </w14:textFill>
              </w:rPr>
              <w:t>/农村选型</w:t>
            </w: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城市</w:t>
            </w:r>
            <w:r>
              <w:rPr>
                <w:rFonts w:ascii="Times New Roman" w:hAnsi="Times New Roman" w:cs="Times New Roman"/>
                <w:color w:val="000000" w:themeColor="text1"/>
                <w:sz w:val="21"/>
                <w:szCs w:val="21"/>
                <w14:textFill>
                  <w14:solidFill>
                    <w14:schemeClr w14:val="tx1"/>
                  </w14:solidFill>
                </w14:textFill>
              </w:rPr>
              <w:t>/农村</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tcBorders>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人口数（城市选项时）</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tcBorders>
              <w:top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最高环境温度</w:t>
            </w:r>
            <w:r>
              <w:rPr>
                <w:rFonts w:ascii="Times New Roman" w:hAnsi="Times New Roman" w:cs="Times New Roman"/>
                <w:color w:val="000000" w:themeColor="text1"/>
                <w:sz w:val="21"/>
                <w:szCs w:val="21"/>
                <w14:textFill>
                  <w14:solidFill>
                    <w14:schemeClr w14:val="tx1"/>
                  </w14:solidFill>
                </w14:textFill>
              </w:rPr>
              <w:t>/℃</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tcBorders>
              <w:top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最低环境温度</w:t>
            </w:r>
            <w:r>
              <w:rPr>
                <w:rFonts w:ascii="Times New Roman" w:hAnsi="Times New Roman" w:cs="Times New Roman"/>
                <w:color w:val="000000" w:themeColor="text1"/>
                <w:sz w:val="21"/>
                <w:szCs w:val="21"/>
                <w14:textFill>
                  <w14:solidFill>
                    <w14:schemeClr w14:val="tx1"/>
                  </w14:solidFill>
                </w14:textFill>
              </w:rPr>
              <w:t>/℃</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tcBorders>
              <w:top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土地利用类型</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设施农用地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tcBorders>
              <w:top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区域湿度条件</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干燥区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tcBorders>
              <w:top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是否考虑地形</w:t>
            </w: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考虑地形</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tcBorders>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地形数据分辨率</w:t>
            </w:r>
            <w:r>
              <w:rPr>
                <w:rFonts w:ascii="Times New Roman" w:hAnsi="Times New Roman" w:cs="Times New Roman"/>
                <w:color w:val="000000" w:themeColor="text1"/>
                <w:sz w:val="21"/>
                <w:szCs w:val="21"/>
                <w14:textFill>
                  <w14:solidFill>
                    <w14:schemeClr w14:val="tx1"/>
                  </w14:solidFill>
                </w14:textFill>
              </w:rPr>
              <w:t>/m</w:t>
            </w:r>
          </w:p>
        </w:tc>
        <w:tc>
          <w:tcPr>
            <w:tcW w:w="1666" w:type="pct"/>
            <w:tcBorders>
              <w:top w:val="single" w:color="auto" w:sz="6" w:space="0"/>
              <w:left w:val="single" w:color="auto" w:sz="6" w:space="0"/>
              <w:bottom w:val="single" w:color="auto" w:sz="6" w:space="0"/>
            </w:tcBorders>
            <w:vAlign w:val="center"/>
          </w:tcPr>
          <w:p>
            <w:pPr>
              <w:pStyle w:val="48"/>
              <w:spacing w:line="240" w:lineRule="auto"/>
              <w:ind w:firstLine="420"/>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tcBorders>
              <w:top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是否考虑岸线熏烟</w:t>
            </w: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考虑岸线熏烟</w:t>
            </w:r>
          </w:p>
        </w:tc>
        <w:tc>
          <w:tcPr>
            <w:tcW w:w="1666" w:type="pct"/>
            <w:tcBorders>
              <w:top w:val="single" w:color="auto" w:sz="6" w:space="0"/>
              <w:left w:val="single" w:color="auto" w:sz="6" w:space="0"/>
              <w:bottom w:val="single" w:color="auto" w:sz="6" w:space="0"/>
            </w:tcBorders>
            <w:vAlign w:val="center"/>
          </w:tcPr>
          <w:p>
            <w:pPr>
              <w:pStyle w:val="48"/>
              <w:spacing w:line="240" w:lineRule="auto"/>
              <w:ind w:firstLine="420"/>
              <w:rPr>
                <w:rFonts w:ascii="Times New Roman" w:hAnsi="Times New Roman" w:cs="Times New Roman"/>
                <w:b w:val="0"/>
                <w:color w:val="000000" w:themeColor="text1"/>
                <w:sz w:val="21"/>
                <w:szCs w:val="21"/>
                <w:lang w:val="zh-CN"/>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tcBorders>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岸线距离</w:t>
            </w:r>
            <w:r>
              <w:rPr>
                <w:rFonts w:ascii="Times New Roman" w:hAnsi="Times New Roman" w:cs="Times New Roman"/>
                <w:color w:val="000000" w:themeColor="text1"/>
                <w:sz w:val="21"/>
                <w:szCs w:val="21"/>
                <w14:textFill>
                  <w14:solidFill>
                    <w14:schemeClr w14:val="tx1"/>
                  </w14:solidFill>
                </w14:textFill>
              </w:rPr>
              <w:t>/km</w:t>
            </w:r>
          </w:p>
        </w:tc>
        <w:tc>
          <w:tcPr>
            <w:tcW w:w="1666" w:type="pct"/>
            <w:tcBorders>
              <w:top w:val="single" w:color="auto" w:sz="6" w:space="0"/>
              <w:left w:val="single" w:color="auto" w:sz="6" w:space="0"/>
              <w:bottom w:val="single" w:color="auto" w:sz="6" w:space="0"/>
            </w:tcBorders>
            <w:vAlign w:val="center"/>
          </w:tcPr>
          <w:p>
            <w:pPr>
              <w:pStyle w:val="48"/>
              <w:spacing w:line="240" w:lineRule="auto"/>
              <w:ind w:firstLine="420"/>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tcBorders>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lang w:val="zh-CN"/>
                <w14:textFill>
                  <w14:solidFill>
                    <w14:schemeClr w14:val="tx1"/>
                  </w14:solidFill>
                </w14:textFill>
              </w:rPr>
            </w:pPr>
          </w:p>
        </w:tc>
        <w:tc>
          <w:tcPr>
            <w:tcW w:w="1667" w:type="pct"/>
            <w:tcBorders>
              <w:top w:val="single" w:color="auto" w:sz="6" w:space="0"/>
              <w:left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zh-CN"/>
                <w14:textFill>
                  <w14:solidFill>
                    <w14:schemeClr w14:val="tx1"/>
                  </w14:solidFill>
                </w14:textFill>
              </w:rPr>
              <w:t>岸线方向</w:t>
            </w:r>
            <w:r>
              <w:rPr>
                <w:rFonts w:ascii="Times New Roman" w:hAnsi="Times New Roman" w:cs="Times New Roman"/>
                <w:color w:val="000000" w:themeColor="text1"/>
                <w:sz w:val="21"/>
                <w:szCs w:val="21"/>
                <w14:textFill>
                  <w14:solidFill>
                    <w14:schemeClr w14:val="tx1"/>
                  </w14:solidFill>
                </w14:textFill>
              </w:rPr>
              <w:t>/</w:t>
            </w:r>
          </w:p>
        </w:tc>
        <w:tc>
          <w:tcPr>
            <w:tcW w:w="1666" w:type="pct"/>
            <w:tcBorders>
              <w:top w:val="single" w:color="auto" w:sz="6" w:space="0"/>
              <w:left w:val="single" w:color="auto" w:sz="6" w:space="0"/>
            </w:tcBorders>
            <w:vAlign w:val="center"/>
          </w:tcPr>
          <w:p>
            <w:pPr>
              <w:pStyle w:val="48"/>
              <w:spacing w:line="240" w:lineRule="auto"/>
              <w:ind w:firstLine="420"/>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w:t>
            </w:r>
          </w:p>
        </w:tc>
      </w:tr>
    </w:tbl>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hint="eastAsia" w:ascii="Times New Roman" w:hAnsi="Times New Roman" w:cs="Times New Roman"/>
          <w:color w:val="000000" w:themeColor="text1"/>
          <w:spacing w:val="-6"/>
          <w14:textFill>
            <w14:solidFill>
              <w14:schemeClr w14:val="tx1"/>
            </w14:solidFill>
          </w14:textFill>
        </w:rPr>
        <w:t>（</w:t>
      </w:r>
      <w:r>
        <w:rPr>
          <w:rFonts w:ascii="Times New Roman" w:hAnsi="Times New Roman" w:cs="Times New Roman"/>
          <w:color w:val="000000" w:themeColor="text1"/>
          <w:spacing w:val="-6"/>
          <w14:textFill>
            <w14:solidFill>
              <w14:schemeClr w14:val="tx1"/>
            </w14:solidFill>
          </w14:textFill>
        </w:rPr>
        <w:t>3）主要污染源参数</w:t>
      </w:r>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主要废气污染源排放参数见下表：</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w:t>
      </w: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 xml:space="preserve">   本项目氨气和硫化氢无组织排放参数表</w:t>
      </w:r>
    </w:p>
    <w:tbl>
      <w:tblPr>
        <w:tblStyle w:val="27"/>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757"/>
        <w:gridCol w:w="958"/>
        <w:gridCol w:w="679"/>
        <w:gridCol w:w="842"/>
        <w:gridCol w:w="925"/>
        <w:gridCol w:w="1160"/>
        <w:gridCol w:w="932"/>
        <w:gridCol w:w="584"/>
        <w:gridCol w:w="732"/>
        <w:gridCol w:w="74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455"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lang w:val="en-US"/>
                <w14:textFill>
                  <w14:solidFill>
                    <w14:schemeClr w14:val="tx1"/>
                  </w14:solidFill>
                </w14:textFill>
              </w:rPr>
            </w:pPr>
            <w:r>
              <w:rPr>
                <w:rFonts w:ascii="Times New Roman" w:hAnsi="Times New Roman" w:cs="Times New Roman"/>
                <w:b/>
                <w:bCs/>
                <w:color w:val="000000" w:themeColor="text1"/>
                <w:sz w:val="21"/>
                <w:lang w:val="en-US"/>
                <w14:textFill>
                  <w14:solidFill>
                    <w14:schemeClr w14:val="tx1"/>
                  </w14:solidFill>
                </w14:textFill>
              </w:rPr>
              <w:t>面源</w:t>
            </w:r>
          </w:p>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名称</w:t>
            </w:r>
          </w:p>
        </w:tc>
        <w:tc>
          <w:tcPr>
            <w:tcW w:w="576"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面源海拔高度（m）</w:t>
            </w:r>
          </w:p>
        </w:tc>
        <w:tc>
          <w:tcPr>
            <w:tcW w:w="408"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面源长度（m）</w:t>
            </w:r>
          </w:p>
        </w:tc>
        <w:tc>
          <w:tcPr>
            <w:tcW w:w="506"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面源宽度（m）</w:t>
            </w:r>
          </w:p>
        </w:tc>
        <w:tc>
          <w:tcPr>
            <w:tcW w:w="556"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与正北向夹角（°）</w:t>
            </w:r>
          </w:p>
        </w:tc>
        <w:tc>
          <w:tcPr>
            <w:tcW w:w="697"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面源有效排放高度（m）</w:t>
            </w:r>
          </w:p>
        </w:tc>
        <w:tc>
          <w:tcPr>
            <w:tcW w:w="560"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年排放小时数（h）</w:t>
            </w:r>
          </w:p>
        </w:tc>
        <w:tc>
          <w:tcPr>
            <w:tcW w:w="351" w:type="pct"/>
            <w:vMerge w:val="restart"/>
            <w:tcBorders>
              <w:top w:val="single" w:color="auto" w:sz="4" w:space="0"/>
              <w:left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排放工况</w:t>
            </w:r>
          </w:p>
        </w:tc>
        <w:tc>
          <w:tcPr>
            <w:tcW w:w="886" w:type="pct"/>
            <w:gridSpan w:val="2"/>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lang w:val="en-US"/>
                <w14:textFill>
                  <w14:solidFill>
                    <w14:schemeClr w14:val="tx1"/>
                  </w14:solidFill>
                </w14:textFill>
              </w:rPr>
            </w:pPr>
            <w:r>
              <w:rPr>
                <w:rFonts w:ascii="Times New Roman" w:hAnsi="Times New Roman" w:cs="Times New Roman"/>
                <w:b/>
                <w:bCs/>
                <w:color w:val="000000" w:themeColor="text1"/>
                <w:sz w:val="21"/>
                <w:lang w:val="en-US"/>
                <w14:textFill>
                  <w14:solidFill>
                    <w14:schemeClr w14:val="tx1"/>
                  </w14:solidFill>
                </w14:textFill>
              </w:rPr>
              <w:t>评价因子源强（kg/h）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blHeader/>
        </w:trPr>
        <w:tc>
          <w:tcPr>
            <w:tcW w:w="455"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576"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408"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506"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556"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697"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560"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351" w:type="pct"/>
            <w:vMerge w:val="continue"/>
            <w:tcBorders>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p>
        </w:tc>
        <w:tc>
          <w:tcPr>
            <w:tcW w:w="44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H</w:t>
            </w:r>
            <w:r>
              <w:rPr>
                <w:rFonts w:ascii="Times New Roman" w:hAnsi="Times New Roman" w:cs="Times New Roman"/>
                <w:b/>
                <w:bCs/>
                <w:color w:val="000000" w:themeColor="text1"/>
                <w:sz w:val="21"/>
                <w:vertAlign w:val="subscript"/>
                <w14:textFill>
                  <w14:solidFill>
                    <w14:schemeClr w14:val="tx1"/>
                  </w14:solidFill>
                </w14:textFill>
              </w:rPr>
              <w:t>2</w:t>
            </w:r>
            <w:r>
              <w:rPr>
                <w:rFonts w:ascii="Times New Roman" w:hAnsi="Times New Roman" w:cs="Times New Roman"/>
                <w:b/>
                <w:bCs/>
                <w:color w:val="000000" w:themeColor="text1"/>
                <w:sz w:val="21"/>
                <w14:textFill>
                  <w14:solidFill>
                    <w14:schemeClr w14:val="tx1"/>
                  </w14:solidFill>
                </w14:textFill>
              </w:rPr>
              <w:t>S</w:t>
            </w:r>
          </w:p>
        </w:tc>
        <w:tc>
          <w:tcPr>
            <w:tcW w:w="4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NH</w:t>
            </w:r>
            <w:r>
              <w:rPr>
                <w:rFonts w:ascii="Times New Roman" w:hAnsi="Times New Roman" w:cs="Times New Roman"/>
                <w:b/>
                <w:bCs/>
                <w:color w:val="000000" w:themeColor="text1"/>
                <w:sz w:val="21"/>
                <w:vertAlign w:val="sub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圈舍</w:t>
            </w:r>
          </w:p>
        </w:tc>
        <w:tc>
          <w:tcPr>
            <w:tcW w:w="57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455</w:t>
            </w:r>
          </w:p>
        </w:tc>
        <w:tc>
          <w:tcPr>
            <w:tcW w:w="40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319</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184</w:t>
            </w:r>
          </w:p>
        </w:tc>
        <w:tc>
          <w:tcPr>
            <w:tcW w:w="55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90</w:t>
            </w:r>
          </w:p>
        </w:tc>
        <w:tc>
          <w:tcPr>
            <w:tcW w:w="69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5</w:t>
            </w:r>
          </w:p>
        </w:tc>
        <w:tc>
          <w:tcPr>
            <w:tcW w:w="5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7200</w:t>
            </w:r>
          </w:p>
        </w:tc>
        <w:tc>
          <w:tcPr>
            <w:tcW w:w="35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正常</w:t>
            </w:r>
          </w:p>
        </w:tc>
        <w:tc>
          <w:tcPr>
            <w:tcW w:w="44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0.001</w:t>
            </w:r>
          </w:p>
        </w:tc>
        <w:tc>
          <w:tcPr>
            <w:tcW w:w="4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0.013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堆肥场</w:t>
            </w:r>
          </w:p>
        </w:tc>
        <w:tc>
          <w:tcPr>
            <w:tcW w:w="57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455</w:t>
            </w:r>
          </w:p>
        </w:tc>
        <w:tc>
          <w:tcPr>
            <w:tcW w:w="40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2</w:t>
            </w:r>
            <w:r>
              <w:rPr>
                <w:rFonts w:hint="eastAsia" w:ascii="Times New Roman" w:hAnsi="Times New Roman" w:cs="Times New Roman"/>
                <w:color w:val="000000" w:themeColor="text1"/>
                <w:sz w:val="21"/>
                <w:lang w:val="en-US"/>
                <w14:textFill>
                  <w14:solidFill>
                    <w14:schemeClr w14:val="tx1"/>
                  </w14:solidFill>
                </w14:textFill>
              </w:rPr>
              <w:t>0</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w:t>
            </w:r>
            <w:r>
              <w:rPr>
                <w:rFonts w:hint="eastAsia" w:ascii="Times New Roman" w:hAnsi="Times New Roman" w:cs="Times New Roman"/>
                <w:color w:val="000000" w:themeColor="text1"/>
                <w:sz w:val="21"/>
                <w:lang w:val="en-US"/>
                <w14:textFill>
                  <w14:solidFill>
                    <w14:schemeClr w14:val="tx1"/>
                  </w14:solidFill>
                </w14:textFill>
              </w:rPr>
              <w:t>0</w:t>
            </w:r>
          </w:p>
        </w:tc>
        <w:tc>
          <w:tcPr>
            <w:tcW w:w="55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90</w:t>
            </w:r>
          </w:p>
        </w:tc>
        <w:tc>
          <w:tcPr>
            <w:tcW w:w="69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2</w:t>
            </w:r>
          </w:p>
        </w:tc>
        <w:tc>
          <w:tcPr>
            <w:tcW w:w="5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7200</w:t>
            </w:r>
          </w:p>
        </w:tc>
        <w:tc>
          <w:tcPr>
            <w:tcW w:w="35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正常</w:t>
            </w:r>
          </w:p>
        </w:tc>
        <w:tc>
          <w:tcPr>
            <w:tcW w:w="44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0.00001</w:t>
            </w:r>
          </w:p>
        </w:tc>
        <w:tc>
          <w:tcPr>
            <w:tcW w:w="4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0.00008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厌氧储存塘</w:t>
            </w:r>
          </w:p>
        </w:tc>
        <w:tc>
          <w:tcPr>
            <w:tcW w:w="57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455</w:t>
            </w:r>
          </w:p>
        </w:tc>
        <w:tc>
          <w:tcPr>
            <w:tcW w:w="408"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16</w:t>
            </w:r>
            <w:r>
              <w:rPr>
                <w:rFonts w:hint="eastAsia" w:ascii="Times New Roman" w:hAnsi="Times New Roman" w:cs="Times New Roman"/>
                <w:color w:val="000000" w:themeColor="text1"/>
                <w:sz w:val="21"/>
                <w:lang w:val="en-US"/>
                <w14:textFill>
                  <w14:solidFill>
                    <w14:schemeClr w14:val="tx1"/>
                  </w14:solidFill>
                </w14:textFill>
              </w:rPr>
              <w:t>0</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w:t>
            </w:r>
            <w:r>
              <w:rPr>
                <w:rFonts w:ascii="Times New Roman" w:hAnsi="Times New Roman" w:cs="Times New Roman"/>
                <w:color w:val="000000" w:themeColor="text1"/>
                <w:sz w:val="21"/>
                <w:lang w:val="en-US"/>
                <w14:textFill>
                  <w14:solidFill>
                    <w14:schemeClr w14:val="tx1"/>
                  </w14:solidFill>
                </w14:textFill>
              </w:rPr>
              <w:t>0</w:t>
            </w:r>
          </w:p>
        </w:tc>
        <w:tc>
          <w:tcPr>
            <w:tcW w:w="556"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90</w:t>
            </w:r>
          </w:p>
        </w:tc>
        <w:tc>
          <w:tcPr>
            <w:tcW w:w="697"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1</w:t>
            </w:r>
          </w:p>
        </w:tc>
        <w:tc>
          <w:tcPr>
            <w:tcW w:w="5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7200</w:t>
            </w:r>
          </w:p>
        </w:tc>
        <w:tc>
          <w:tcPr>
            <w:tcW w:w="35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ascii="Times New Roman" w:hAnsi="Times New Roman" w:cs="Times New Roman"/>
                <w:color w:val="000000" w:themeColor="text1"/>
                <w:sz w:val="21"/>
                <w:lang w:val="en-US"/>
                <w14:textFill>
                  <w14:solidFill>
                    <w14:schemeClr w14:val="tx1"/>
                  </w14:solidFill>
                </w14:textFill>
              </w:rPr>
              <w:t>正常</w:t>
            </w:r>
          </w:p>
        </w:tc>
        <w:tc>
          <w:tcPr>
            <w:tcW w:w="44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0.00</w:t>
            </w:r>
            <w:r>
              <w:rPr>
                <w:rFonts w:hint="eastAsia" w:ascii="Times New Roman" w:hAnsi="Times New Roman" w:cs="Times New Roman"/>
                <w:color w:val="000000" w:themeColor="text1"/>
                <w:sz w:val="21"/>
                <w:lang w:val="en-US" w:eastAsia="zh-CN"/>
                <w14:textFill>
                  <w14:solidFill>
                    <w14:schemeClr w14:val="tx1"/>
                  </w14:solidFill>
                </w14:textFill>
              </w:rPr>
              <w:t>33</w:t>
            </w:r>
          </w:p>
        </w:tc>
        <w:tc>
          <w:tcPr>
            <w:tcW w:w="445"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0.0</w:t>
            </w:r>
            <w:r>
              <w:rPr>
                <w:rFonts w:hint="eastAsia" w:ascii="Times New Roman" w:hAnsi="Times New Roman" w:cs="Times New Roman"/>
                <w:color w:val="000000" w:themeColor="text1"/>
                <w:sz w:val="21"/>
                <w:lang w:val="en-US" w:eastAsia="zh-CN"/>
                <w14:textFill>
                  <w14:solidFill>
                    <w14:schemeClr w14:val="tx1"/>
                  </w14:solidFill>
                </w14:textFill>
              </w:rPr>
              <w:t>21</w:t>
            </w:r>
          </w:p>
        </w:tc>
      </w:tr>
    </w:tbl>
    <w:p>
      <w:pPr>
        <w:spacing w:line="520" w:lineRule="exact"/>
        <w:ind w:firstLine="456"/>
        <w:rPr>
          <w:rFonts w:ascii="Times New Roman" w:hAnsi="Times New Roman" w:cs="Times New Roman"/>
          <w:color w:val="000000" w:themeColor="text1"/>
          <w:spacing w:val="-6"/>
          <w14:textFill>
            <w14:solidFill>
              <w14:schemeClr w14:val="tx1"/>
            </w14:solidFill>
          </w14:textFill>
        </w:rPr>
      </w:pPr>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hint="eastAsia" w:ascii="Times New Roman" w:hAnsi="Times New Roman" w:cs="Times New Roman"/>
          <w:color w:val="000000" w:themeColor="text1"/>
          <w:spacing w:val="-6"/>
          <w14:textFill>
            <w14:solidFill>
              <w14:schemeClr w14:val="tx1"/>
            </w14:solidFill>
          </w14:textFill>
        </w:rPr>
        <w:t>（4</w:t>
      </w:r>
      <w:r>
        <w:rPr>
          <w:rFonts w:ascii="Times New Roman" w:hAnsi="Times New Roman" w:cs="Times New Roman"/>
          <w:color w:val="000000" w:themeColor="text1"/>
          <w:spacing w:val="-6"/>
          <w14:textFill>
            <w14:solidFill>
              <w14:schemeClr w14:val="tx1"/>
            </w14:solidFill>
          </w14:textFill>
        </w:rPr>
        <w:t>）估算模式计算结果</w:t>
      </w:r>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hint="eastAsia" w:ascii="Times New Roman" w:hAnsi="Times New Roman" w:cs="Times New Roman"/>
          <w:color w:val="000000" w:themeColor="text1"/>
          <w:spacing w:val="-6"/>
          <w14:textFill>
            <w14:solidFill>
              <w14:schemeClr w14:val="tx1"/>
            </w14:solidFill>
          </w14:textFill>
        </w:rPr>
        <w:t>①圈舍恶臭</w:t>
      </w:r>
    </w:p>
    <w:p>
      <w:pPr>
        <w:spacing w:line="520" w:lineRule="exact"/>
        <w:ind w:firstLine="4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本项目</w:t>
      </w:r>
      <w:r>
        <w:rPr>
          <w:rFonts w:hint="eastAsia" w:ascii="Times New Roman" w:hAnsi="Times New Roman" w:cs="Times New Roman"/>
          <w:color w:val="000000" w:themeColor="text1"/>
          <w:spacing w:val="-6"/>
          <w14:textFill>
            <w14:solidFill>
              <w14:schemeClr w14:val="tx1"/>
            </w14:solidFill>
          </w14:textFill>
        </w:rPr>
        <w:t>圈舍恶臭</w:t>
      </w:r>
      <w:r>
        <w:rPr>
          <w:rFonts w:ascii="Times New Roman" w:hAnsi="Times New Roman" w:cs="Times New Roman"/>
          <w:color w:val="000000" w:themeColor="text1"/>
          <w:spacing w:val="-6"/>
          <w14:textFill>
            <w14:solidFill>
              <w14:schemeClr w14:val="tx1"/>
            </w14:solidFill>
          </w14:textFill>
        </w:rPr>
        <w:t>计算结果详见表5.2-</w:t>
      </w:r>
      <w:r>
        <w:rPr>
          <w:rFonts w:hint="eastAsia" w:ascii="Times New Roman" w:hAnsi="Times New Roman" w:cs="Times New Roman"/>
          <w:color w:val="000000" w:themeColor="text1"/>
          <w:spacing w:val="-6"/>
          <w14:textFill>
            <w14:solidFill>
              <w14:schemeClr w14:val="tx1"/>
            </w14:solidFill>
          </w14:textFill>
        </w:rPr>
        <w:t>9</w:t>
      </w:r>
      <w:r>
        <w:rPr>
          <w:rFonts w:ascii="Times New Roman" w:hAnsi="Times New Roman" w:cs="Times New Roman"/>
          <w:color w:val="000000" w:themeColor="text1"/>
          <w:spacing w:val="-6"/>
          <w14:textFill>
            <w14:solidFill>
              <w14:schemeClr w14:val="tx1"/>
            </w14:solidFill>
          </w14:textFill>
        </w:rPr>
        <w:t>。</w:t>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9</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w:t>
      </w:r>
      <w:r>
        <w:rPr>
          <w:rFonts w:hint="eastAsia" w:cs="Times New Roman"/>
          <w:color w:val="000000" w:themeColor="text1"/>
          <w14:textFill>
            <w14:solidFill>
              <w14:schemeClr w14:val="tx1"/>
            </w14:solidFill>
          </w14:textFill>
        </w:rPr>
        <w:t>圈舍场恶臭</w:t>
      </w:r>
      <w:r>
        <w:rPr>
          <w:rFonts w:cs="Times New Roman"/>
          <w:color w:val="000000" w:themeColor="text1"/>
          <w:lang w:val="zh-CN"/>
          <w14:textFill>
            <w14:solidFill>
              <w14:schemeClr w14:val="tx1"/>
            </w14:solidFill>
          </w14:textFill>
        </w:rPr>
        <w:t>计算结果一览表</w:t>
      </w:r>
    </w:p>
    <w:tbl>
      <w:tblPr>
        <w:tblStyle w:val="27"/>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6"/>
        <w:gridCol w:w="1964"/>
        <w:gridCol w:w="1529"/>
        <w:gridCol w:w="1782"/>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048"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离源距离</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r>
              <w:rPr>
                <w:rFonts w:hint="eastAsia" w:ascii="Times New Roman" w:hAnsi="Times New Roman" w:cs="Times New Roman"/>
                <w:b/>
                <w:bCs/>
                <w:color w:val="000000" w:themeColor="text1"/>
                <w:sz w:val="21"/>
                <w:szCs w:val="21"/>
                <w14:textFill>
                  <w14:solidFill>
                    <w14:schemeClr w14:val="tx1"/>
                  </w14:solidFill>
                </w14:textFill>
              </w:rPr>
              <w:t>）</w:t>
            </w:r>
          </w:p>
        </w:tc>
        <w:tc>
          <w:tcPr>
            <w:tcW w:w="2095" w:type="pct"/>
            <w:gridSpan w:val="2"/>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position w:val="1"/>
                <w:sz w:val="21"/>
                <w:szCs w:val="21"/>
                <w14:textFill>
                  <w14:solidFill>
                    <w14:schemeClr w14:val="tx1"/>
                  </w14:solidFill>
                </w14:textFill>
              </w:rPr>
              <w:t>NH</w:t>
            </w:r>
            <w:r>
              <w:rPr>
                <w:rFonts w:ascii="Times New Roman" w:hAnsi="Times New Roman" w:cs="Times New Roman"/>
                <w:b/>
                <w:bCs/>
                <w:color w:val="000000" w:themeColor="text1"/>
                <w:sz w:val="21"/>
                <w:szCs w:val="21"/>
                <w:vertAlign w:val="subscript"/>
                <w14:textFill>
                  <w14:solidFill>
                    <w14:schemeClr w14:val="tx1"/>
                  </w14:solidFill>
                </w14:textFill>
              </w:rPr>
              <w:t>3</w:t>
            </w:r>
          </w:p>
        </w:tc>
        <w:tc>
          <w:tcPr>
            <w:tcW w:w="1856" w:type="pct"/>
            <w:gridSpan w:val="2"/>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position w:val="1"/>
                <w:sz w:val="21"/>
                <w:szCs w:val="21"/>
                <w14:textFill>
                  <w14:solidFill>
                    <w14:schemeClr w14:val="tx1"/>
                  </w14:solidFill>
                </w14:textFill>
              </w:rPr>
              <w:t>H</w:t>
            </w:r>
            <w:r>
              <w:rPr>
                <w:rFonts w:ascii="Times New Roman" w:hAnsi="Times New Roman" w:cs="Times New Roman"/>
                <w:b/>
                <w:bCs/>
                <w:color w:val="000000" w:themeColor="text1"/>
                <w:sz w:val="21"/>
                <w:szCs w:val="21"/>
                <w:vertAlign w:val="subscript"/>
                <w14:textFill>
                  <w14:solidFill>
                    <w14:schemeClr w14:val="tx1"/>
                  </w14:solidFill>
                </w14:textFill>
              </w:rPr>
              <w:t>2</w:t>
            </w:r>
            <w:r>
              <w:rPr>
                <w:rFonts w:ascii="Times New Roman" w:hAnsi="Times New Roman" w:cs="Times New Roman"/>
                <w:b/>
                <w:bCs/>
                <w:color w:val="000000" w:themeColor="text1"/>
                <w:position w:val="1"/>
                <w:sz w:val="2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blHeader/>
        </w:trPr>
        <w:tc>
          <w:tcPr>
            <w:tcW w:w="1048" w:type="pct"/>
            <w:vMerge w:val="continue"/>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1178"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下风向预测浓度</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w:t>
            </w:r>
          </w:p>
        </w:tc>
        <w:tc>
          <w:tcPr>
            <w:tcW w:w="917"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占标率</w:t>
            </w:r>
          </w:p>
        </w:tc>
        <w:tc>
          <w:tcPr>
            <w:tcW w:w="1069"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下风向预测浓度</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w:t>
            </w:r>
          </w:p>
        </w:tc>
        <w:tc>
          <w:tcPr>
            <w:tcW w:w="786"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0.0018</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0.91</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0.0024</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1.21</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0.0031</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1.54</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150</w:t>
            </w:r>
          </w:p>
        </w:tc>
        <w:tc>
          <w:tcPr>
            <w:tcW w:w="1178" w:type="pct"/>
            <w:vAlign w:val="center"/>
          </w:tcPr>
          <w:p>
            <w:pPr>
              <w:pStyle w:val="46"/>
              <w:spacing w:before="0" w:line="240" w:lineRule="auto"/>
              <w:ind w:firstLine="0" w:firstLineChars="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w w:val="95"/>
                <w:sz w:val="21"/>
                <w:szCs w:val="21"/>
                <w14:textFill>
                  <w14:solidFill>
                    <w14:schemeClr w14:val="tx1"/>
                  </w14:solidFill>
                </w14:textFill>
              </w:rPr>
              <w:t>0.0034</w:t>
            </w:r>
          </w:p>
        </w:tc>
        <w:tc>
          <w:tcPr>
            <w:tcW w:w="917" w:type="pct"/>
            <w:vAlign w:val="center"/>
          </w:tcPr>
          <w:p>
            <w:pPr>
              <w:pStyle w:val="46"/>
              <w:spacing w:before="0" w:line="240" w:lineRule="auto"/>
              <w:ind w:firstLine="0" w:firstLineChars="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1.71</w:t>
            </w:r>
          </w:p>
        </w:tc>
        <w:tc>
          <w:tcPr>
            <w:tcW w:w="1069" w:type="pct"/>
            <w:vAlign w:val="center"/>
          </w:tcPr>
          <w:p>
            <w:pPr>
              <w:pStyle w:val="46"/>
              <w:spacing w:before="0" w:line="240" w:lineRule="auto"/>
              <w:ind w:firstLine="0" w:firstLineChars="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0.0003</w:t>
            </w:r>
          </w:p>
        </w:tc>
        <w:tc>
          <w:tcPr>
            <w:tcW w:w="786" w:type="pct"/>
            <w:vAlign w:val="center"/>
          </w:tcPr>
          <w:p>
            <w:pPr>
              <w:pStyle w:val="46"/>
              <w:spacing w:before="0" w:line="240" w:lineRule="auto"/>
              <w:ind w:firstLine="0" w:firstLineChars="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0.0034</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1.69</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0.0032</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1.58</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0.0029</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1.45</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0.0027</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1.33</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0.0024</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1.22</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0.0022</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1.11</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1.02</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550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0.0019</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0.94</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600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0.0018</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0.89</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650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0.0017</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0.85</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700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0.0016</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0.0015</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0.76</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04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800</w:t>
            </w:r>
          </w:p>
        </w:tc>
        <w:tc>
          <w:tcPr>
            <w:tcW w:w="117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0.0015</w:t>
            </w:r>
          </w:p>
        </w:tc>
        <w:tc>
          <w:tcPr>
            <w:tcW w:w="91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0.73</w:t>
            </w:r>
          </w:p>
        </w:tc>
        <w:tc>
          <w:tcPr>
            <w:tcW w:w="106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78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850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0.69</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0.66</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950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0.0009</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0.0009</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0.0008</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0.0008</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0.0008</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0.38</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0.36</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最大落地浓度最大占标率</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0.0034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最大落地点距离</w:t>
            </w:r>
          </w:p>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（m）</w:t>
            </w:r>
          </w:p>
        </w:tc>
        <w:tc>
          <w:tcPr>
            <w:tcW w:w="3951"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150</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根据上表估算结果可知，</w:t>
      </w:r>
      <w:r>
        <w:rPr>
          <w:rFonts w:hint="eastAsia" w:ascii="Times New Roman" w:hAnsi="Times New Roman" w:cs="Times New Roman"/>
          <w:color w:val="000000" w:themeColor="text1"/>
          <w14:textFill>
            <w14:solidFill>
              <w14:schemeClr w14:val="tx1"/>
            </w14:solidFill>
          </w14:textFill>
        </w:rPr>
        <w:t>圈舍</w:t>
      </w:r>
      <w:r>
        <w:rPr>
          <w:rFonts w:ascii="Times New Roman" w:hAnsi="Times New Roman" w:cs="Times New Roman"/>
          <w:color w:val="000000" w:themeColor="text1"/>
          <w14:textFill>
            <w14:solidFill>
              <w14:schemeClr w14:val="tx1"/>
            </w14:solidFill>
          </w14:textFill>
        </w:rPr>
        <w:t>无组织H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最大落地浓度分别为</w:t>
      </w:r>
      <w:r>
        <w:rPr>
          <w:rFonts w:hint="eastAsia" w:ascii="Times New Roman" w:hAnsi="Times New Roman" w:cs="Times New Roman"/>
          <w:color w:val="000000" w:themeColor="text1"/>
          <w14:textFill>
            <w14:solidFill>
              <w14:schemeClr w14:val="tx1"/>
            </w14:solidFill>
          </w14:textFill>
        </w:rPr>
        <w:t>0.0003</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0.0034</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，位于</w:t>
      </w:r>
      <w:r>
        <w:rPr>
          <w:rFonts w:hint="eastAsia" w:ascii="Times New Roman" w:hAnsi="Times New Roman" w:cs="Times New Roman"/>
          <w:color w:val="000000" w:themeColor="text1"/>
          <w14:textFill>
            <w14:solidFill>
              <w14:schemeClr w14:val="tx1"/>
            </w14:solidFill>
          </w14:textFill>
        </w:rPr>
        <w:t>下风向150</w:t>
      </w:r>
      <w:r>
        <w:rPr>
          <w:rFonts w:ascii="Times New Roman" w:hAnsi="Times New Roman" w:cs="Times New Roman"/>
          <w:color w:val="000000" w:themeColor="text1"/>
          <w14:textFill>
            <w14:solidFill>
              <w14:schemeClr w14:val="tx1"/>
            </w14:solidFill>
          </w14:textFill>
        </w:rPr>
        <w:t>m处，</w:t>
      </w:r>
      <w:r>
        <w:rPr>
          <w:rFonts w:hint="eastAsia" w:ascii="Times New Roman" w:hAnsi="Times New Roman" w:cs="Times New Roman"/>
          <w:color w:val="000000" w:themeColor="text1"/>
          <w:lang w:val="en-US" w:eastAsia="zh-CN"/>
          <w14:textFill>
            <w14:solidFill>
              <w14:schemeClr w14:val="tx1"/>
            </w14:solidFill>
          </w14:textFill>
        </w:rPr>
        <w:t>满足</w:t>
      </w:r>
      <w:r>
        <w:rPr>
          <w:rFonts w:ascii="Times New Roman" w:hAnsi="Times New Roman" w:cs="Times New Roman"/>
          <w:color w:val="000000" w:themeColor="text1"/>
          <w14:textFill>
            <w14:solidFill>
              <w14:schemeClr w14:val="tx1"/>
            </w14:solidFill>
          </w14:textFill>
        </w:rPr>
        <w:t>《环境影响评价技术导则大气环境》（HJ2.2-2018）附录D表D.1中H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的1h平均值分别为</w:t>
      </w:r>
      <w:r>
        <w:rPr>
          <w:rFonts w:hint="eastAsia" w:ascii="Times New Roman" w:hAnsi="Times New Roman" w:cs="Times New Roman"/>
          <w:color w:val="000000" w:themeColor="text1"/>
          <w:lang w:val="en-US" w:eastAsia="zh-CN"/>
          <w14:textFill>
            <w14:solidFill>
              <w14:schemeClr w14:val="tx1"/>
            </w14:solidFill>
          </w14:textFill>
        </w:rPr>
        <w:t>0.01m</w:t>
      </w:r>
      <w:r>
        <w:rPr>
          <w:rFonts w:ascii="Times New Roman" w:hAnsi="Times New Roman" w:cs="Times New Roman"/>
          <w:color w:val="000000" w:themeColor="text1"/>
          <w14:textFill>
            <w14:solidFill>
              <w14:schemeClr w14:val="tx1"/>
            </w14:solidFill>
          </w14:textFill>
        </w:rPr>
        <w:t>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和</w:t>
      </w:r>
      <w:r>
        <w:rPr>
          <w:rFonts w:hint="eastAsia" w:ascii="Times New Roman" w:hAnsi="Times New Roman" w:cs="Times New Roman"/>
          <w:color w:val="000000" w:themeColor="text1"/>
          <w:lang w:val="en-US" w:eastAsia="zh-CN"/>
          <w14:textFill>
            <w14:solidFill>
              <w14:schemeClr w14:val="tx1"/>
            </w14:solidFill>
          </w14:textFill>
        </w:rPr>
        <w:t>0.2m</w:t>
      </w:r>
      <w:r>
        <w:rPr>
          <w:rFonts w:ascii="Times New Roman" w:hAnsi="Times New Roman" w:cs="Times New Roman"/>
          <w:color w:val="000000" w:themeColor="text1"/>
          <w14:textFill>
            <w14:solidFill>
              <w14:schemeClr w14:val="tx1"/>
            </w14:solidFill>
          </w14:textFill>
        </w:rPr>
        <w:t>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hint="eastAsia" w:ascii="Times New Roman" w:hAnsi="Times New Roman" w:cs="Times New Roman"/>
          <w:color w:val="000000" w:themeColor="text1"/>
          <w:spacing w:val="-6"/>
          <w14:textFill>
            <w14:solidFill>
              <w14:schemeClr w14:val="tx1"/>
            </w14:solidFill>
          </w14:textFill>
        </w:rPr>
        <w:t>②堆肥场恶臭</w:t>
      </w:r>
    </w:p>
    <w:p>
      <w:pPr>
        <w:spacing w:line="520" w:lineRule="exact"/>
        <w:ind w:firstLine="4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本项目</w:t>
      </w:r>
      <w:r>
        <w:rPr>
          <w:rFonts w:hint="eastAsia" w:ascii="Times New Roman" w:hAnsi="Times New Roman" w:cs="Times New Roman"/>
          <w:color w:val="000000" w:themeColor="text1"/>
          <w:spacing w:val="-6"/>
          <w14:textFill>
            <w14:solidFill>
              <w14:schemeClr w14:val="tx1"/>
            </w14:solidFill>
          </w14:textFill>
        </w:rPr>
        <w:t>堆肥场恶臭</w:t>
      </w:r>
      <w:r>
        <w:rPr>
          <w:rFonts w:ascii="Times New Roman" w:hAnsi="Times New Roman" w:cs="Times New Roman"/>
          <w:color w:val="000000" w:themeColor="text1"/>
          <w:spacing w:val="-6"/>
          <w14:textFill>
            <w14:solidFill>
              <w14:schemeClr w14:val="tx1"/>
            </w14:solidFill>
          </w14:textFill>
        </w:rPr>
        <w:t>计算结果详见表5.2-</w:t>
      </w:r>
      <w:r>
        <w:rPr>
          <w:rFonts w:hint="eastAsia" w:ascii="Times New Roman" w:hAnsi="Times New Roman" w:cs="Times New Roman"/>
          <w:color w:val="000000" w:themeColor="text1"/>
          <w:spacing w:val="-6"/>
          <w14:textFill>
            <w14:solidFill>
              <w14:schemeClr w14:val="tx1"/>
            </w14:solidFill>
          </w14:textFill>
        </w:rPr>
        <w:t>10</w:t>
      </w:r>
      <w:r>
        <w:rPr>
          <w:rFonts w:ascii="Times New Roman" w:hAnsi="Times New Roman" w:cs="Times New Roman"/>
          <w:color w:val="000000" w:themeColor="text1"/>
          <w:spacing w:val="-6"/>
          <w14:textFill>
            <w14:solidFill>
              <w14:schemeClr w14:val="tx1"/>
            </w14:solidFill>
          </w14:textFill>
        </w:rPr>
        <w:t>。</w:t>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10</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w:t>
      </w:r>
      <w:r>
        <w:rPr>
          <w:rFonts w:hint="eastAsia" w:cs="Times New Roman"/>
          <w:color w:val="000000" w:themeColor="text1"/>
          <w14:textFill>
            <w14:solidFill>
              <w14:schemeClr w14:val="tx1"/>
            </w14:solidFill>
          </w14:textFill>
        </w:rPr>
        <w:t>堆肥场恶臭</w:t>
      </w:r>
      <w:r>
        <w:rPr>
          <w:rFonts w:cs="Times New Roman"/>
          <w:color w:val="000000" w:themeColor="text1"/>
          <w:lang w:val="zh-CN"/>
          <w14:textFill>
            <w14:solidFill>
              <w14:schemeClr w14:val="tx1"/>
            </w14:solidFill>
          </w14:textFill>
        </w:rPr>
        <w:t>计算结果一览表</w:t>
      </w:r>
    </w:p>
    <w:tbl>
      <w:tblPr>
        <w:tblStyle w:val="27"/>
        <w:tblW w:w="5022"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926"/>
        <w:gridCol w:w="1607"/>
        <w:gridCol w:w="1608"/>
        <w:gridCol w:w="1606"/>
        <w:gridCol w:w="16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1153" w:type="pct"/>
            <w:vMerge w:val="restar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离源距离</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r>
              <w:rPr>
                <w:rFonts w:hint="eastAsia" w:ascii="Times New Roman" w:hAnsi="Times New Roman" w:cs="Times New Roman"/>
                <w:b/>
                <w:bCs/>
                <w:color w:val="000000" w:themeColor="text1"/>
                <w:sz w:val="21"/>
                <w:szCs w:val="21"/>
                <w14:textFill>
                  <w14:solidFill>
                    <w14:schemeClr w14:val="tx1"/>
                  </w14:solidFill>
                </w14:textFill>
              </w:rPr>
              <w:t>）</w:t>
            </w:r>
          </w:p>
        </w:tc>
        <w:tc>
          <w:tcPr>
            <w:tcW w:w="1924" w:type="pct"/>
            <w:gridSpan w:val="2"/>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NH</w:t>
            </w:r>
            <w:r>
              <w:rPr>
                <w:rFonts w:ascii="Times New Roman" w:hAnsi="Times New Roman" w:cs="Times New Roman"/>
                <w:b/>
                <w:bCs/>
                <w:color w:val="000000" w:themeColor="text1"/>
                <w:sz w:val="21"/>
                <w:szCs w:val="21"/>
                <w:vertAlign w:val="subscript"/>
                <w14:textFill>
                  <w14:solidFill>
                    <w14:schemeClr w14:val="tx1"/>
                  </w14:solidFill>
                </w14:textFill>
              </w:rPr>
              <w:t>3</w:t>
            </w:r>
          </w:p>
        </w:tc>
        <w:tc>
          <w:tcPr>
            <w:tcW w:w="1921" w:type="pct"/>
            <w:gridSpan w:val="2"/>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H</w:t>
            </w:r>
            <w:r>
              <w:rPr>
                <w:rFonts w:ascii="Times New Roman" w:hAnsi="Times New Roman" w:cs="Times New Roman"/>
                <w:b/>
                <w:bCs/>
                <w:color w:val="000000" w:themeColor="text1"/>
                <w:sz w:val="21"/>
                <w:szCs w:val="21"/>
                <w:vertAlign w:val="subscript"/>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1153" w:type="pct"/>
            <w:vMerge w:val="continue"/>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下风向预测浓度</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占标率</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w:t>
            </w:r>
            <w:r>
              <w:rPr>
                <w:rFonts w:hint="eastAsia" w:ascii="Times New Roman" w:hAnsi="Times New Roman" w:cs="Times New Roman"/>
                <w:b/>
                <w:bCs/>
                <w:color w:val="000000" w:themeColor="text1"/>
                <w:sz w:val="21"/>
                <w:szCs w:val="21"/>
                <w14:textFill>
                  <w14:solidFill>
                    <w14:schemeClr w14:val="tx1"/>
                  </w14:solidFill>
                </w14:textFill>
              </w:rPr>
              <w:t>）</w:t>
            </w:r>
          </w:p>
        </w:tc>
        <w:tc>
          <w:tcPr>
            <w:tcW w:w="96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下风向预测浓度</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w:t>
            </w:r>
          </w:p>
        </w:tc>
        <w:tc>
          <w:tcPr>
            <w:tcW w:w="9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占标率</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w:t>
            </w:r>
            <w:r>
              <w:rPr>
                <w:rFonts w:hint="eastAsia" w:ascii="Times New Roman" w:hAnsi="Times New Roman" w:cs="Times New Roman"/>
                <w:b/>
                <w:bCs/>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5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0.0039</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1.96</w:t>
            </w:r>
          </w:p>
        </w:tc>
        <w:tc>
          <w:tcPr>
            <w:tcW w:w="96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9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5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50</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0.006</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3</w:t>
            </w:r>
          </w:p>
        </w:tc>
        <w:tc>
          <w:tcPr>
            <w:tcW w:w="96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0.0005</w:t>
            </w:r>
          </w:p>
        </w:tc>
        <w:tc>
          <w:tcPr>
            <w:tcW w:w="9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5.05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5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0.0042</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2.08</w:t>
            </w:r>
          </w:p>
        </w:tc>
        <w:tc>
          <w:tcPr>
            <w:tcW w:w="96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0.0004</w:t>
            </w:r>
          </w:p>
        </w:tc>
        <w:tc>
          <w:tcPr>
            <w:tcW w:w="9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5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150</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0.0032</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w:t>
            </w:r>
          </w:p>
        </w:tc>
        <w:tc>
          <w:tcPr>
            <w:tcW w:w="96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9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153"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0.0026</w:t>
            </w:r>
          </w:p>
        </w:tc>
        <w:tc>
          <w:tcPr>
            <w:tcW w:w="962"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w:t>
            </w:r>
          </w:p>
        </w:tc>
        <w:tc>
          <w:tcPr>
            <w:tcW w:w="961"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960" w:type="pct"/>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250</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0.0021</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1.07</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300</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0.0018</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0.9</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350</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0.0015</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0.77</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0.0013</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0.66</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450</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0.0012</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0.58</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0.51</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最大落地浓度最大占标率</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0.006</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0.0005</w:t>
            </w:r>
          </w:p>
        </w:tc>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最大落地点距离（m）</w:t>
            </w:r>
          </w:p>
        </w:tc>
        <w:tc>
          <w:tcPr>
            <w:tcW w:w="3846" w:type="pct"/>
            <w:gridSpan w:val="4"/>
            <w:tcBorders>
              <w:top w:val="single" w:color="auto" w:sz="4" w:space="0"/>
              <w:left w:val="single" w:color="auto" w:sz="4" w:space="0"/>
              <w:bottom w:val="single" w:color="auto" w:sz="4" w:space="0"/>
              <w:right w:val="single" w:color="auto" w:sz="4" w:space="0"/>
            </w:tcBorders>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50</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根据上表估算结果可知，</w:t>
      </w:r>
      <w:r>
        <w:rPr>
          <w:rFonts w:hint="eastAsia" w:ascii="Times New Roman" w:hAnsi="Times New Roman" w:cs="Times New Roman"/>
          <w:color w:val="000000" w:themeColor="text1"/>
          <w14:textFill>
            <w14:solidFill>
              <w14:schemeClr w14:val="tx1"/>
            </w14:solidFill>
          </w14:textFill>
        </w:rPr>
        <w:t>堆肥场</w:t>
      </w:r>
      <w:r>
        <w:rPr>
          <w:rFonts w:ascii="Times New Roman" w:hAnsi="Times New Roman" w:cs="Times New Roman"/>
          <w:color w:val="000000" w:themeColor="text1"/>
          <w14:textFill>
            <w14:solidFill>
              <w14:schemeClr w14:val="tx1"/>
            </w14:solidFill>
          </w14:textFill>
        </w:rPr>
        <w:t>无组织H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最大落地浓度分别为</w:t>
      </w:r>
      <w:r>
        <w:rPr>
          <w:rFonts w:hint="eastAsia" w:ascii="Times New Roman" w:hAnsi="Times New Roman" w:cs="Times New Roman"/>
          <w:color w:val="000000" w:themeColor="text1"/>
          <w14:textFill>
            <w14:solidFill>
              <w14:schemeClr w14:val="tx1"/>
            </w14:solidFill>
          </w14:textFill>
        </w:rPr>
        <w:t>0.0005</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0.006</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，位于</w:t>
      </w:r>
      <w:r>
        <w:rPr>
          <w:rFonts w:hint="eastAsia" w:ascii="Times New Roman" w:hAnsi="Times New Roman" w:cs="Times New Roman"/>
          <w:color w:val="000000" w:themeColor="text1"/>
          <w14:textFill>
            <w14:solidFill>
              <w14:schemeClr w14:val="tx1"/>
            </w14:solidFill>
          </w14:textFill>
        </w:rPr>
        <w:t>下风向50</w:t>
      </w:r>
      <w:r>
        <w:rPr>
          <w:rFonts w:ascii="Times New Roman" w:hAnsi="Times New Roman" w:cs="Times New Roman"/>
          <w:color w:val="000000" w:themeColor="text1"/>
          <w14:textFill>
            <w14:solidFill>
              <w14:schemeClr w14:val="tx1"/>
            </w14:solidFill>
          </w14:textFill>
        </w:rPr>
        <w:t>m处，</w:t>
      </w:r>
      <w:r>
        <w:rPr>
          <w:rFonts w:hint="eastAsia" w:ascii="Times New Roman" w:hAnsi="Times New Roman" w:cs="Times New Roman"/>
          <w:color w:val="000000" w:themeColor="text1"/>
          <w:lang w:val="en-US" w:eastAsia="zh-CN"/>
          <w14:textFill>
            <w14:solidFill>
              <w14:schemeClr w14:val="tx1"/>
            </w14:solidFill>
          </w14:textFill>
        </w:rPr>
        <w:t>满足</w:t>
      </w:r>
      <w:r>
        <w:rPr>
          <w:rFonts w:ascii="Times New Roman" w:hAnsi="Times New Roman" w:cs="Times New Roman"/>
          <w:color w:val="000000" w:themeColor="text1"/>
          <w14:textFill>
            <w14:solidFill>
              <w14:schemeClr w14:val="tx1"/>
            </w14:solidFill>
          </w14:textFill>
        </w:rPr>
        <w:t>《环境影响评价技术导则大气环境》（HJ2.2-2018）附录D表D.1中H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的1h平均值分别为</w:t>
      </w:r>
      <w:r>
        <w:rPr>
          <w:rFonts w:hint="eastAsia" w:ascii="Times New Roman" w:hAnsi="Times New Roman" w:cs="Times New Roman"/>
          <w:color w:val="000000" w:themeColor="text1"/>
          <w:lang w:val="en-US" w:eastAsia="zh-CN"/>
          <w14:textFill>
            <w14:solidFill>
              <w14:schemeClr w14:val="tx1"/>
            </w14:solidFill>
          </w14:textFill>
        </w:rPr>
        <w:t>0.01m</w:t>
      </w:r>
      <w:r>
        <w:rPr>
          <w:rFonts w:ascii="Times New Roman" w:hAnsi="Times New Roman" w:cs="Times New Roman"/>
          <w:color w:val="000000" w:themeColor="text1"/>
          <w14:textFill>
            <w14:solidFill>
              <w14:schemeClr w14:val="tx1"/>
            </w14:solidFill>
          </w14:textFill>
        </w:rPr>
        <w:t>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和</w:t>
      </w:r>
      <w:r>
        <w:rPr>
          <w:rFonts w:hint="eastAsia" w:ascii="Times New Roman" w:hAnsi="Times New Roman" w:cs="Times New Roman"/>
          <w:color w:val="000000" w:themeColor="text1"/>
          <w:lang w:val="en-US" w:eastAsia="zh-CN"/>
          <w14:textFill>
            <w14:solidFill>
              <w14:schemeClr w14:val="tx1"/>
            </w14:solidFill>
          </w14:textFill>
        </w:rPr>
        <w:t>0.2m</w:t>
      </w:r>
      <w:r>
        <w:rPr>
          <w:rFonts w:ascii="Times New Roman" w:hAnsi="Times New Roman" w:cs="Times New Roman"/>
          <w:color w:val="000000" w:themeColor="text1"/>
          <w14:textFill>
            <w14:solidFill>
              <w14:schemeClr w14:val="tx1"/>
            </w14:solidFill>
          </w14:textFill>
        </w:rPr>
        <w:t>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hint="eastAsia" w:ascii="Times New Roman" w:hAnsi="Times New Roman" w:cs="Times New Roman"/>
          <w:color w:val="000000" w:themeColor="text1"/>
          <w:spacing w:val="-6"/>
          <w14:textFill>
            <w14:solidFill>
              <w14:schemeClr w14:val="tx1"/>
            </w14:solidFill>
          </w14:textFill>
        </w:rPr>
        <w:t>③厌氧储存塘恶臭</w:t>
      </w:r>
    </w:p>
    <w:p>
      <w:pPr>
        <w:spacing w:line="520" w:lineRule="exact"/>
        <w:ind w:firstLine="4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本项目</w:t>
      </w:r>
      <w:r>
        <w:rPr>
          <w:rFonts w:hint="eastAsia" w:ascii="Times New Roman" w:hAnsi="Times New Roman" w:cs="Times New Roman"/>
          <w:color w:val="000000" w:themeColor="text1"/>
          <w:spacing w:val="-6"/>
          <w14:textFill>
            <w14:solidFill>
              <w14:schemeClr w14:val="tx1"/>
            </w14:solidFill>
          </w14:textFill>
        </w:rPr>
        <w:t>厌氧储存塘恶臭</w:t>
      </w:r>
      <w:r>
        <w:rPr>
          <w:rFonts w:ascii="Times New Roman" w:hAnsi="Times New Roman" w:cs="Times New Roman"/>
          <w:color w:val="000000" w:themeColor="text1"/>
          <w:spacing w:val="-6"/>
          <w14:textFill>
            <w14:solidFill>
              <w14:schemeClr w14:val="tx1"/>
            </w14:solidFill>
          </w14:textFill>
        </w:rPr>
        <w:t>计算结果详见表5.2-</w:t>
      </w:r>
      <w:r>
        <w:rPr>
          <w:rFonts w:hint="eastAsia" w:ascii="Times New Roman" w:hAnsi="Times New Roman" w:cs="Times New Roman"/>
          <w:color w:val="000000" w:themeColor="text1"/>
          <w:spacing w:val="-6"/>
          <w14:textFill>
            <w14:solidFill>
              <w14:schemeClr w14:val="tx1"/>
            </w14:solidFill>
          </w14:textFill>
        </w:rPr>
        <w:t>11</w:t>
      </w:r>
      <w:r>
        <w:rPr>
          <w:rFonts w:ascii="Times New Roman" w:hAnsi="Times New Roman" w:cs="Times New Roman"/>
          <w:color w:val="000000" w:themeColor="text1"/>
          <w:spacing w:val="-6"/>
          <w14:textFill>
            <w14:solidFill>
              <w14:schemeClr w14:val="tx1"/>
            </w14:solidFill>
          </w14:textFill>
        </w:rPr>
        <w:t>。</w:t>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11</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w:t>
      </w:r>
      <w:r>
        <w:rPr>
          <w:rFonts w:hint="eastAsia" w:cs="Times New Roman"/>
          <w:color w:val="000000" w:themeColor="text1"/>
          <w14:textFill>
            <w14:solidFill>
              <w14:schemeClr w14:val="tx1"/>
            </w14:solidFill>
          </w14:textFill>
        </w:rPr>
        <w:t>厌氧储存塘恶臭</w:t>
      </w:r>
      <w:r>
        <w:rPr>
          <w:rFonts w:cs="Times New Roman"/>
          <w:color w:val="000000" w:themeColor="text1"/>
          <w:lang w:val="zh-CN"/>
          <w14:textFill>
            <w14:solidFill>
              <w14:schemeClr w14:val="tx1"/>
            </w14:solidFill>
          </w14:textFill>
        </w:rPr>
        <w:t>计算结果一览表</w:t>
      </w:r>
    </w:p>
    <w:tbl>
      <w:tblPr>
        <w:tblStyle w:val="27"/>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8"/>
        <w:gridCol w:w="1975"/>
        <w:gridCol w:w="1582"/>
        <w:gridCol w:w="2104"/>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827"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离源距离</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r>
              <w:rPr>
                <w:rFonts w:hint="eastAsia" w:ascii="Times New Roman" w:hAnsi="Times New Roman" w:cs="Times New Roman"/>
                <w:b/>
                <w:bCs/>
                <w:color w:val="000000" w:themeColor="text1"/>
                <w:sz w:val="21"/>
                <w:szCs w:val="21"/>
                <w14:textFill>
                  <w14:solidFill>
                    <w14:schemeClr w14:val="tx1"/>
                  </w14:solidFill>
                </w14:textFill>
              </w:rPr>
              <w:t>）</w:t>
            </w:r>
          </w:p>
        </w:tc>
        <w:tc>
          <w:tcPr>
            <w:tcW w:w="2134" w:type="pct"/>
            <w:gridSpan w:val="2"/>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NH</w:t>
            </w:r>
            <w:r>
              <w:rPr>
                <w:rFonts w:ascii="Times New Roman" w:hAnsi="Times New Roman" w:cs="Times New Roman"/>
                <w:b/>
                <w:bCs/>
                <w:color w:val="000000" w:themeColor="text1"/>
                <w:sz w:val="21"/>
                <w:szCs w:val="21"/>
                <w:vertAlign w:val="subscript"/>
                <w14:textFill>
                  <w14:solidFill>
                    <w14:schemeClr w14:val="tx1"/>
                  </w14:solidFill>
                </w14:textFill>
              </w:rPr>
              <w:t>3</w:t>
            </w:r>
          </w:p>
        </w:tc>
        <w:tc>
          <w:tcPr>
            <w:tcW w:w="2038" w:type="pct"/>
            <w:gridSpan w:val="2"/>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H</w:t>
            </w:r>
            <w:r>
              <w:rPr>
                <w:rFonts w:ascii="Times New Roman" w:hAnsi="Times New Roman" w:cs="Times New Roman"/>
                <w:b/>
                <w:bCs/>
                <w:color w:val="000000" w:themeColor="text1"/>
                <w:sz w:val="21"/>
                <w:szCs w:val="21"/>
                <w:vertAlign w:val="subscript"/>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827"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1185"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下风向预测浓度</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w:t>
            </w:r>
          </w:p>
        </w:tc>
        <w:tc>
          <w:tcPr>
            <w:tcW w:w="949"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占标率</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w:t>
            </w:r>
            <w:r>
              <w:rPr>
                <w:rFonts w:hint="eastAsia" w:ascii="Times New Roman" w:hAnsi="Times New Roman" w:cs="Times New Roman"/>
                <w:b/>
                <w:bCs/>
                <w:color w:val="000000" w:themeColor="text1"/>
                <w:sz w:val="21"/>
                <w:szCs w:val="21"/>
                <w14:textFill>
                  <w14:solidFill>
                    <w14:schemeClr w14:val="tx1"/>
                  </w14:solidFill>
                </w14:textFill>
              </w:rPr>
              <w:t>）</w:t>
            </w:r>
          </w:p>
        </w:tc>
        <w:tc>
          <w:tcPr>
            <w:tcW w:w="1262"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下风向预测浓度</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w:t>
            </w:r>
          </w:p>
        </w:tc>
        <w:tc>
          <w:tcPr>
            <w:tcW w:w="776"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占标率</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w:t>
            </w:r>
            <w:r>
              <w:rPr>
                <w:rFonts w:hint="eastAsia" w:ascii="Times New Roman" w:hAnsi="Times New Roman" w:cs="Times New Roman"/>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0.0071</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1.42</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0.0011</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0.009</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1.81</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0.0014</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150</w:t>
            </w:r>
          </w:p>
        </w:tc>
        <w:tc>
          <w:tcPr>
            <w:tcW w:w="1185"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0.0097</w:t>
            </w:r>
          </w:p>
        </w:tc>
        <w:tc>
          <w:tcPr>
            <w:tcW w:w="949"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1.94</w:t>
            </w:r>
          </w:p>
        </w:tc>
        <w:tc>
          <w:tcPr>
            <w:tcW w:w="1262"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0.0015</w:t>
            </w:r>
          </w:p>
        </w:tc>
        <w:tc>
          <w:tcPr>
            <w:tcW w:w="776"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0.0085</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1.69</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0.0013</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0.0069</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1.38</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0.0057</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1.13</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0.0009</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0.0048</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0.95</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0.0007</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0.0041</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0.81</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0.0006</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0.0035</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0.71</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0.0005</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2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w:t>
            </w:r>
          </w:p>
        </w:tc>
        <w:tc>
          <w:tcPr>
            <w:tcW w:w="118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0.0031</w:t>
            </w:r>
          </w:p>
        </w:tc>
        <w:tc>
          <w:tcPr>
            <w:tcW w:w="949"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0.62</w:t>
            </w:r>
          </w:p>
        </w:tc>
        <w:tc>
          <w:tcPr>
            <w:tcW w:w="126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0.0005</w:t>
            </w:r>
          </w:p>
        </w:tc>
        <w:tc>
          <w:tcPr>
            <w:tcW w:w="776"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550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0.55</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0.0025</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0.49</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0.0019</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850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0.0016</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0.32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0.0015</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0.29</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950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0.26</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0.0009</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0.18</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0.0008</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0.16</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0.0008</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0.15</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0.0006</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0.13</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0.0006</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0.12</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0.0006</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2000</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0.0005</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0.0001</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最大落地浓度最大占标率</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0.0097</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1.94</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0.0015</w:t>
            </w:r>
          </w:p>
        </w:tc>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最大落地点距离（m）</w:t>
            </w:r>
          </w:p>
        </w:tc>
        <w:tc>
          <w:tcPr>
            <w:tcW w:w="4172"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150</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根据上表估算结果可知，</w:t>
      </w:r>
      <w:r>
        <w:rPr>
          <w:rFonts w:hint="eastAsia" w:ascii="Times New Roman" w:hAnsi="Times New Roman" w:cs="Times New Roman"/>
          <w:color w:val="000000" w:themeColor="text1"/>
          <w14:textFill>
            <w14:solidFill>
              <w14:schemeClr w14:val="tx1"/>
            </w14:solidFill>
          </w14:textFill>
        </w:rPr>
        <w:t>堆肥场</w:t>
      </w:r>
      <w:r>
        <w:rPr>
          <w:rFonts w:ascii="Times New Roman" w:hAnsi="Times New Roman" w:cs="Times New Roman"/>
          <w:color w:val="000000" w:themeColor="text1"/>
          <w14:textFill>
            <w14:solidFill>
              <w14:schemeClr w14:val="tx1"/>
            </w14:solidFill>
          </w14:textFill>
        </w:rPr>
        <w:t>无组织H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最大落地浓度分别为</w:t>
      </w:r>
      <w:r>
        <w:rPr>
          <w:rFonts w:hint="eastAsia" w:ascii="Times New Roman" w:hAnsi="Times New Roman" w:cs="Times New Roman"/>
          <w:color w:val="000000" w:themeColor="text1"/>
          <w14:textFill>
            <w14:solidFill>
              <w14:schemeClr w14:val="tx1"/>
            </w14:solidFill>
          </w14:textFill>
        </w:rPr>
        <w:t>0.0015</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0.0097</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，位于</w:t>
      </w:r>
      <w:r>
        <w:rPr>
          <w:rFonts w:hint="eastAsia" w:ascii="Times New Roman" w:hAnsi="Times New Roman" w:cs="Times New Roman"/>
          <w:color w:val="000000" w:themeColor="text1"/>
          <w14:textFill>
            <w14:solidFill>
              <w14:schemeClr w14:val="tx1"/>
            </w14:solidFill>
          </w14:textFill>
        </w:rPr>
        <w:t>下风向150</w:t>
      </w:r>
      <w:r>
        <w:rPr>
          <w:rFonts w:ascii="Times New Roman" w:hAnsi="Times New Roman" w:cs="Times New Roman"/>
          <w:color w:val="000000" w:themeColor="text1"/>
          <w14:textFill>
            <w14:solidFill>
              <w14:schemeClr w14:val="tx1"/>
            </w14:solidFill>
          </w14:textFill>
        </w:rPr>
        <w:t>m处，</w:t>
      </w:r>
      <w:r>
        <w:rPr>
          <w:rFonts w:hint="eastAsia" w:ascii="Times New Roman" w:hAnsi="Times New Roman" w:cs="Times New Roman"/>
          <w:color w:val="000000" w:themeColor="text1"/>
          <w:lang w:val="en-US" w:eastAsia="zh-CN"/>
          <w14:textFill>
            <w14:solidFill>
              <w14:schemeClr w14:val="tx1"/>
            </w14:solidFill>
          </w14:textFill>
        </w:rPr>
        <w:t>满足</w:t>
      </w:r>
      <w:r>
        <w:rPr>
          <w:rFonts w:ascii="Times New Roman" w:hAnsi="Times New Roman" w:cs="Times New Roman"/>
          <w:color w:val="000000" w:themeColor="text1"/>
          <w14:textFill>
            <w14:solidFill>
              <w14:schemeClr w14:val="tx1"/>
            </w14:solidFill>
          </w14:textFill>
        </w:rPr>
        <w:t>《环境影响评价技术导则大气环境》（HJ2.2-2018）附录D表D.1中H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的1h平均值分别为</w:t>
      </w:r>
      <w:r>
        <w:rPr>
          <w:rFonts w:hint="eastAsia" w:ascii="Times New Roman" w:hAnsi="Times New Roman" w:cs="Times New Roman"/>
          <w:color w:val="000000" w:themeColor="text1"/>
          <w:lang w:val="en-US" w:eastAsia="zh-CN"/>
          <w14:textFill>
            <w14:solidFill>
              <w14:schemeClr w14:val="tx1"/>
            </w14:solidFill>
          </w14:textFill>
        </w:rPr>
        <w:t>0.01m</w:t>
      </w:r>
      <w:r>
        <w:rPr>
          <w:rFonts w:ascii="Times New Roman" w:hAnsi="Times New Roman" w:cs="Times New Roman"/>
          <w:color w:val="000000" w:themeColor="text1"/>
          <w14:textFill>
            <w14:solidFill>
              <w14:schemeClr w14:val="tx1"/>
            </w14:solidFill>
          </w14:textFill>
        </w:rPr>
        <w:t>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和</w:t>
      </w:r>
      <w:r>
        <w:rPr>
          <w:rFonts w:hint="eastAsia" w:ascii="Times New Roman" w:hAnsi="Times New Roman" w:cs="Times New Roman"/>
          <w:color w:val="000000" w:themeColor="text1"/>
          <w:lang w:val="en-US" w:eastAsia="zh-CN"/>
          <w14:textFill>
            <w14:solidFill>
              <w14:schemeClr w14:val="tx1"/>
            </w14:solidFill>
          </w14:textFill>
        </w:rPr>
        <w:t>0.2m</w:t>
      </w:r>
      <w:r>
        <w:rPr>
          <w:rFonts w:ascii="Times New Roman" w:hAnsi="Times New Roman" w:cs="Times New Roman"/>
          <w:color w:val="000000" w:themeColor="text1"/>
          <w14:textFill>
            <w14:solidFill>
              <w14:schemeClr w14:val="tx1"/>
            </w14:solidFill>
          </w14:textFill>
        </w:rPr>
        <w:t>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pStyle w:val="7"/>
        <w:rPr>
          <w:rFonts w:cs="Times New Roman"/>
          <w:color w:val="000000" w:themeColor="text1"/>
          <w14:textFill>
            <w14:solidFill>
              <w14:schemeClr w14:val="tx1"/>
            </w14:solidFill>
          </w14:textFill>
        </w:rPr>
      </w:pPr>
      <w:bookmarkStart w:id="736" w:name="_Toc22054"/>
      <w:bookmarkStart w:id="737" w:name="_Toc19915"/>
      <w:r>
        <w:rPr>
          <w:rFonts w:hint="eastAsia" w:cs="Times New Roman"/>
          <w:color w:val="000000" w:themeColor="text1"/>
          <w14:textFill>
            <w14:solidFill>
              <w14:schemeClr w14:val="tx1"/>
            </w14:solidFill>
          </w14:textFill>
        </w:rPr>
        <w:t>5.2.1.3 污染物排放量核算清单</w:t>
      </w:r>
      <w:bookmarkEnd w:id="736"/>
      <w:bookmarkEnd w:id="737"/>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本项目无组织恶臭污染物排放量详见表5.2-12。</w:t>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12</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无组织恶臭污染物排放量</w:t>
      </w:r>
      <w:r>
        <w:rPr>
          <w:rFonts w:hint="eastAsia" w:cs="Times New Roman"/>
          <w:color w:val="000000" w:themeColor="text1"/>
          <w14:textFill>
            <w14:solidFill>
              <w14:schemeClr w14:val="tx1"/>
            </w14:solidFill>
          </w14:textFill>
        </w:rPr>
        <w:t>汇总</w:t>
      </w:r>
      <w:r>
        <w:rPr>
          <w:rFonts w:cs="Times New Roman"/>
          <w:color w:val="000000" w:themeColor="text1"/>
          <w:lang w:val="zh-CN"/>
          <w14:textFill>
            <w14:solidFill>
              <w14:schemeClr w14:val="tx1"/>
            </w14:solidFill>
          </w14:textFill>
        </w:rPr>
        <w:t>表</w:t>
      </w:r>
    </w:p>
    <w:tbl>
      <w:tblPr>
        <w:tblStyle w:val="27"/>
        <w:tblW w:w="50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6"/>
        <w:gridCol w:w="756"/>
        <w:gridCol w:w="878"/>
        <w:gridCol w:w="914"/>
        <w:gridCol w:w="1601"/>
        <w:gridCol w:w="1528"/>
        <w:gridCol w:w="1142"/>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4"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序号</w:t>
            </w:r>
          </w:p>
        </w:tc>
        <w:tc>
          <w:tcPr>
            <w:tcW w:w="447"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排放口编号</w:t>
            </w:r>
          </w:p>
        </w:tc>
        <w:tc>
          <w:tcPr>
            <w:tcW w:w="518"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产污环节</w:t>
            </w:r>
          </w:p>
        </w:tc>
        <w:tc>
          <w:tcPr>
            <w:tcW w:w="540"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污染物</w:t>
            </w:r>
          </w:p>
        </w:tc>
        <w:tc>
          <w:tcPr>
            <w:tcW w:w="946"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主要污染防治</w:t>
            </w:r>
          </w:p>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措施</w:t>
            </w:r>
          </w:p>
        </w:tc>
        <w:tc>
          <w:tcPr>
            <w:tcW w:w="1577" w:type="pct"/>
            <w:gridSpan w:val="2"/>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排放标准</w:t>
            </w:r>
          </w:p>
        </w:tc>
        <w:tc>
          <w:tcPr>
            <w:tcW w:w="605"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年排放量</w:t>
            </w:r>
          </w:p>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t/a</w:t>
            </w:r>
            <w:r>
              <w:rPr>
                <w:rFonts w:hint="eastAsia" w:ascii="Times New Roman" w:hAnsi="Times New Roman" w:cs="Times New Roman"/>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4"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447"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518"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540"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946"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903"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标准名称</w:t>
            </w:r>
          </w:p>
        </w:tc>
        <w:tc>
          <w:tcPr>
            <w:tcW w:w="674"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浓度限值</w:t>
            </w:r>
          </w:p>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（mg/m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w:t>
            </w:r>
          </w:p>
        </w:tc>
        <w:tc>
          <w:tcPr>
            <w:tcW w:w="605"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447"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圈舍</w:t>
            </w:r>
          </w:p>
        </w:tc>
        <w:tc>
          <w:tcPr>
            <w:tcW w:w="518"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育肥猪</w:t>
            </w:r>
          </w:p>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饲养</w:t>
            </w:r>
          </w:p>
        </w:tc>
        <w:tc>
          <w:tcPr>
            <w:tcW w:w="54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946"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低氮饲养+重力清粪+喷洒除臭剂+绿化</w:t>
            </w:r>
          </w:p>
        </w:tc>
        <w:tc>
          <w:tcPr>
            <w:tcW w:w="903"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《恶臭污染物排放标准》</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GB14554-93</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中新污染源二级标准</w:t>
            </w:r>
          </w:p>
        </w:tc>
        <w:tc>
          <w:tcPr>
            <w:tcW w:w="67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p>
        </w:tc>
        <w:tc>
          <w:tcPr>
            <w:tcW w:w="605" w:type="pc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447"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518"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54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946"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903"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67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0.06</w:t>
            </w:r>
          </w:p>
        </w:tc>
        <w:tc>
          <w:tcPr>
            <w:tcW w:w="605" w:type="pc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447"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堆肥场</w:t>
            </w:r>
          </w:p>
        </w:tc>
        <w:tc>
          <w:tcPr>
            <w:tcW w:w="518"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粪污处理</w:t>
            </w:r>
          </w:p>
        </w:tc>
        <w:tc>
          <w:tcPr>
            <w:tcW w:w="54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946"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半封闭+</w:t>
            </w:r>
            <w:r>
              <w:rPr>
                <w:rFonts w:ascii="Times New Roman" w:hAnsi="Times New Roman" w:cs="Times New Roman"/>
                <w:color w:val="000000" w:themeColor="text1"/>
                <w:sz w:val="21"/>
                <w:szCs w:val="21"/>
                <w14:textFill>
                  <w14:solidFill>
                    <w14:schemeClr w14:val="tx1"/>
                  </w14:solidFill>
                </w14:textFill>
              </w:rPr>
              <w:t>喷洒除臭剂+绿化</w:t>
            </w:r>
          </w:p>
        </w:tc>
        <w:tc>
          <w:tcPr>
            <w:tcW w:w="903"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67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p>
        </w:tc>
        <w:tc>
          <w:tcPr>
            <w:tcW w:w="605" w:type="pc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0.00</w:t>
            </w:r>
            <w:r>
              <w:rPr>
                <w:rFonts w:hint="eastAsia" w:ascii="Times New Roman" w:hAnsi="Times New Roman" w:cs="Times New Roman"/>
                <w:color w:val="000000" w:themeColor="text1"/>
                <w:sz w:val="21"/>
                <w:szCs w:val="21"/>
                <w:lang w:val="en-US" w:eastAsia="zh-CN"/>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447"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518"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54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946"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903"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67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0.06</w:t>
            </w:r>
          </w:p>
        </w:tc>
        <w:tc>
          <w:tcPr>
            <w:tcW w:w="605" w:type="pc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0.000</w:t>
            </w:r>
            <w:r>
              <w:rPr>
                <w:rFonts w:hint="eastAsia" w:ascii="Times New Roman" w:hAnsi="Times New Roman" w:cs="Times New Roman"/>
                <w:color w:val="000000" w:themeColor="text1"/>
                <w:sz w:val="21"/>
                <w:szCs w:val="21"/>
                <w:lang w:val="en-US" w:eastAsia="zh-CN"/>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5</w:t>
            </w:r>
          </w:p>
        </w:tc>
        <w:tc>
          <w:tcPr>
            <w:tcW w:w="447"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厌氧储存塘</w:t>
            </w:r>
          </w:p>
        </w:tc>
        <w:tc>
          <w:tcPr>
            <w:tcW w:w="518"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54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946"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覆膜封闭</w:t>
            </w:r>
          </w:p>
        </w:tc>
        <w:tc>
          <w:tcPr>
            <w:tcW w:w="903"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67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p>
        </w:tc>
        <w:tc>
          <w:tcPr>
            <w:tcW w:w="605" w:type="pct"/>
            <w:vAlign w:val="center"/>
          </w:tcPr>
          <w:p>
            <w:pPr>
              <w:pStyle w:val="46"/>
              <w:spacing w:before="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6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6</w:t>
            </w:r>
          </w:p>
        </w:tc>
        <w:tc>
          <w:tcPr>
            <w:tcW w:w="447"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518"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54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946"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903"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67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0.06</w:t>
            </w:r>
          </w:p>
        </w:tc>
        <w:tc>
          <w:tcPr>
            <w:tcW w:w="605" w:type="pc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0.00</w:t>
            </w:r>
            <w:r>
              <w:rPr>
                <w:rFonts w:hint="eastAsia" w:ascii="Times New Roman" w:hAnsi="Times New Roman" w:cs="Times New Roman"/>
                <w:color w:val="000000" w:themeColor="text1"/>
                <w:sz w:val="21"/>
                <w:szCs w:val="21"/>
                <w:lang w:val="en-US" w:eastAsia="zh-CN"/>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000" w:type="pct"/>
            <w:gridSpan w:val="8"/>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0" w:type="pct"/>
            <w:gridSpan w:val="3"/>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无组织恶臭年排放总计</w:t>
            </w:r>
          </w:p>
        </w:tc>
        <w:tc>
          <w:tcPr>
            <w:tcW w:w="3064"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605" w:type="pct"/>
            <w:vAlign w:val="center"/>
          </w:tcPr>
          <w:p>
            <w:pPr>
              <w:pStyle w:val="46"/>
              <w:spacing w:before="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0" w:type="pct"/>
            <w:gridSpan w:val="3"/>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3064"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605" w:type="pct"/>
            <w:vAlign w:val="center"/>
          </w:tcPr>
          <w:p>
            <w:pPr>
              <w:pStyle w:val="46"/>
              <w:spacing w:before="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0.009</w:t>
            </w:r>
          </w:p>
        </w:tc>
      </w:tr>
    </w:tbl>
    <w:p>
      <w:pPr>
        <w:pStyle w:val="7"/>
        <w:rPr>
          <w:rFonts w:cs="Times New Roman"/>
          <w:color w:val="000000" w:themeColor="text1"/>
          <w14:textFill>
            <w14:solidFill>
              <w14:schemeClr w14:val="tx1"/>
            </w14:solidFill>
          </w14:textFill>
        </w:rPr>
      </w:pPr>
      <w:bookmarkStart w:id="738" w:name="_Toc22491"/>
      <w:bookmarkStart w:id="739" w:name="_Toc27799"/>
      <w:r>
        <w:rPr>
          <w:rFonts w:hint="eastAsia" w:cs="Times New Roman"/>
          <w:color w:val="000000" w:themeColor="text1"/>
          <w14:textFill>
            <w14:solidFill>
              <w14:schemeClr w14:val="tx1"/>
            </w14:solidFill>
          </w14:textFill>
        </w:rPr>
        <w:t>5.2.1.4 卫生防护距离</w:t>
      </w:r>
      <w:bookmarkEnd w:id="738"/>
      <w:bookmarkEnd w:id="73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（1）大气环境防护距离</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根据《环境影响评价技术导则－大气环境》（HJ2.2-2018），由于项目短期贡献浓度满足环境质量浓度限值要求，厂界线外部没有超标点，因此无需设置大气环境防护距离。</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（2）卫生防护距离</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w:t>
      </w:r>
      <w:r>
        <w:rPr>
          <w:rFonts w:hint="eastAsia" w:ascii="Times New Roman" w:hAnsi="Times New Roman" w:cs="Times New Roman"/>
          <w:color w:val="000000" w:themeColor="text1"/>
          <w14:textFill>
            <w14:solidFill>
              <w14:schemeClr w14:val="tx1"/>
            </w14:solidFill>
          </w14:textFill>
        </w:rPr>
        <w:t>《大气有害物质无组织排放 卫生防护距离推导技术导则》（GB/T 39499-2020）规定，无组织排放有害气体的生产单元（</w:t>
      </w:r>
      <w:r>
        <w:rPr>
          <w:rFonts w:hint="eastAsia" w:ascii="Times New Roman" w:hAnsi="Times New Roman" w:cs="Times New Roman"/>
          <w:color w:val="000000" w:themeColor="text1"/>
          <w:lang w:val="en-US" w:eastAsia="zh-CN"/>
          <w14:textFill>
            <w14:solidFill>
              <w14:schemeClr w14:val="tx1"/>
            </w14:solidFill>
          </w14:textFill>
        </w:rPr>
        <w:t>圈舍</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堆肥场</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氧化塘</w:t>
      </w:r>
      <w:r>
        <w:rPr>
          <w:rFonts w:hint="eastAsia" w:ascii="Times New Roman" w:hAnsi="Times New Roman" w:cs="Times New Roman"/>
          <w:color w:val="000000" w:themeColor="text1"/>
          <w14:textFill>
            <w14:solidFill>
              <w14:schemeClr w14:val="tx1"/>
            </w14:solidFill>
          </w14:textFill>
        </w:rPr>
        <w:t>）与居民区之间应设置卫生防护距离，计算公式如下：</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m:oMathPara>
        <m:oMath>
          <m:f>
            <m:fPr>
              <m:ctrlPr>
                <w:rPr>
                  <w:rFonts w:ascii="Cambria Math" w:hAnsi="Cambria Math" w:cs="Times New Roman"/>
                  <w:i/>
                  <w:color w:val="000000" w:themeColor="text1"/>
                  <w14:textFill>
                    <w14:solidFill>
                      <w14:schemeClr w14:val="tx1"/>
                    </w14:solidFill>
                  </w14:textFill>
                </w:rPr>
              </m:ctrlPr>
            </m:fPr>
            <m:num>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Q</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c</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C</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m</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i/>
                  <w:color w:val="000000" w:themeColor="text1"/>
                  <w14:textFill>
                    <w14:solidFill>
                      <w14:schemeClr w14:val="tx1"/>
                    </w14:solidFill>
                  </w14:textFill>
                </w:rPr>
              </m:ctrlPr>
            </m:den>
          </m:f>
          <m:r>
            <m:rPr/>
            <w:rPr>
              <w:rFonts w:ascii="Cambria Math" w:hAnsi="Cambria Math" w:cs="Times New Roman"/>
              <w:color w:val="000000" w:themeColor="text1"/>
              <w14:textFill>
                <w14:solidFill>
                  <w14:schemeClr w14:val="tx1"/>
                </w14:solidFill>
              </w14:textFill>
            </w:rPr>
            <m:t>=</m:t>
          </m:r>
          <m:f>
            <m:fPr>
              <m:ctrlPr>
                <w:rPr>
                  <w:rFonts w:ascii="Cambria Math" w:hAnsi="Cambria Math" w:cs="Times New Roman"/>
                  <w:i/>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1</m:t>
              </m:r>
              <m:ctrlPr>
                <w:rPr>
                  <w:rFonts w:ascii="Cambria Math" w:hAnsi="Cambria Math" w:cs="Times New Roman"/>
                  <w:i/>
                  <w:color w:val="000000" w:themeColor="text1"/>
                  <w14:textFill>
                    <w14:solidFill>
                      <w14:schemeClr w14:val="tx1"/>
                    </w14:solidFill>
                  </w14:textFill>
                </w:rPr>
              </m:ctrlPr>
            </m:num>
            <m:den>
              <m:r>
                <m:rPr/>
                <w:rPr>
                  <w:rFonts w:ascii="Cambria Math" w:hAnsi="Cambria Math" w:cs="Times New Roman"/>
                  <w:color w:val="000000" w:themeColor="text1"/>
                  <w14:textFill>
                    <w14:solidFill>
                      <w14:schemeClr w14:val="tx1"/>
                    </w14:solidFill>
                  </w14:textFill>
                </w:rPr>
                <m:t>A</m:t>
              </m:r>
              <m:ctrlPr>
                <w:rPr>
                  <w:rFonts w:ascii="Cambria Math" w:hAnsi="Cambria Math" w:cs="Times New Roman"/>
                  <w:i/>
                  <w:color w:val="000000" w:themeColor="text1"/>
                  <w14:textFill>
                    <w14:solidFill>
                      <w14:schemeClr w14:val="tx1"/>
                    </w14:solidFill>
                  </w14:textFill>
                </w:rPr>
              </m:ctrlPr>
            </m:den>
          </m:f>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(B</m:t>
              </m:r>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C</m:t>
                  </m:r>
                  <m:ctrlPr>
                    <w:rPr>
                      <w:rFonts w:ascii="Cambria Math" w:hAnsi="Cambria Math" w:cs="Times New Roman"/>
                      <w:i/>
                      <w:color w:val="000000" w:themeColor="text1"/>
                      <w14:textFill>
                        <w14:solidFill>
                          <w14:schemeClr w14:val="tx1"/>
                        </w14:solidFill>
                      </w14:textFill>
                    </w:rPr>
                  </m:ctrlPr>
                </m:sup>
              </m:sSup>
              <m:r>
                <m:rPr/>
                <w:rPr>
                  <w:rFonts w:ascii="Cambria Math" w:hAnsi="Cambria Math" w:cs="Times New Roman"/>
                  <w:color w:val="000000" w:themeColor="text1"/>
                  <w14:textFill>
                    <w14:solidFill>
                      <w14:schemeClr w14:val="tx1"/>
                    </w14:solidFill>
                  </w14:textFill>
                </w:rPr>
                <m:t>+0.25</m:t>
              </m:r>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r</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r>
                <m:rPr/>
                <w:rPr>
                  <w:rFonts w:hint="eastAsia" w:ascii="Cambria Math" w:hAnsi="Cambria Math" w:cs="Times New Roman"/>
                  <w:color w:val="000000" w:themeColor="text1"/>
                  <w14:textFill>
                    <w14:solidFill>
                      <w14:schemeClr w14:val="tx1"/>
                    </w14:solidFill>
                  </w14:textFill>
                </w:rPr>
                <m:t>）</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0.50</m:t>
              </m:r>
              <m:ctrlPr>
                <w:rPr>
                  <w:rFonts w:ascii="Cambria Math" w:hAnsi="Cambria Math" w:cs="Times New Roman"/>
                  <w:i/>
                  <w:color w:val="000000" w:themeColor="text1"/>
                  <w14:textFill>
                    <w14:solidFill>
                      <w14:schemeClr w14:val="tx1"/>
                    </w14:solidFill>
                  </w14:textFill>
                </w:rPr>
              </m:ctrlPr>
            </m:sup>
          </m:sSup>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D</m:t>
              </m:r>
              <m:ctrlPr>
                <w:rPr>
                  <w:rFonts w:ascii="Cambria Math" w:hAnsi="Cambria Math" w:cs="Times New Roman"/>
                  <w:i/>
                  <w:color w:val="000000" w:themeColor="text1"/>
                  <w14:textFill>
                    <w14:solidFill>
                      <w14:schemeClr w14:val="tx1"/>
                    </w14:solidFill>
                  </w14:textFill>
                </w:rPr>
              </m:ctrlPr>
            </m:sup>
          </m:sSup>
        </m:oMath>
      </m:oMathPara>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式中：Qc--</w:t>
      </w:r>
      <w:r>
        <w:rPr>
          <w:rFonts w:hint="eastAsia" w:ascii="Times New Roman" w:hAnsi="Times New Roman" w:cs="Times New Roman"/>
          <w:color w:val="000000" w:themeColor="text1"/>
          <w14:textFill>
            <w14:solidFill>
              <w14:schemeClr w14:val="tx1"/>
            </w14:solidFill>
          </w14:textFill>
        </w:rPr>
        <w:t>大气</w:t>
      </w:r>
      <w:r>
        <w:rPr>
          <w:rFonts w:ascii="Times New Roman" w:hAnsi="Times New Roman" w:cs="Times New Roman"/>
          <w:color w:val="000000" w:themeColor="text1"/>
          <w14:textFill>
            <w14:solidFill>
              <w14:schemeClr w14:val="tx1"/>
            </w14:solidFill>
          </w14:textFill>
        </w:rPr>
        <w:t>有害</w:t>
      </w:r>
      <w:r>
        <w:rPr>
          <w:rFonts w:hint="eastAsia" w:ascii="Times New Roman" w:hAnsi="Times New Roman" w:cs="Times New Roman"/>
          <w:color w:val="000000" w:themeColor="text1"/>
          <w14:textFill>
            <w14:solidFill>
              <w14:schemeClr w14:val="tx1"/>
            </w14:solidFill>
          </w14:textFill>
        </w:rPr>
        <w:t>物质的</w:t>
      </w:r>
      <w:r>
        <w:rPr>
          <w:rFonts w:ascii="Times New Roman" w:hAnsi="Times New Roman" w:cs="Times New Roman"/>
          <w:color w:val="000000" w:themeColor="text1"/>
          <w14:textFill>
            <w14:solidFill>
              <w14:schemeClr w14:val="tx1"/>
            </w14:solidFill>
          </w14:textFill>
        </w:rPr>
        <w:t>无组织排放量（kg/h）；</w:t>
      </w:r>
    </w:p>
    <w:p>
      <w:pPr>
        <w:spacing w:line="520" w:lineRule="exact"/>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Cm--</w:t>
      </w:r>
      <w:r>
        <w:rPr>
          <w:rFonts w:hint="eastAsia" w:ascii="Times New Roman" w:hAnsi="Times New Roman" w:cs="Times New Roman"/>
          <w:color w:val="000000" w:themeColor="text1"/>
          <w14:textFill>
            <w14:solidFill>
              <w14:schemeClr w14:val="tx1"/>
            </w14:solidFill>
          </w14:textFill>
        </w:rPr>
        <w:t>大气有害物质环境空气质量的</w:t>
      </w:r>
      <w:r>
        <w:rPr>
          <w:rFonts w:ascii="Times New Roman" w:hAnsi="Times New Roman" w:cs="Times New Roman"/>
          <w:color w:val="000000" w:themeColor="text1"/>
          <w14:textFill>
            <w14:solidFill>
              <w14:schemeClr w14:val="tx1"/>
            </w14:solidFill>
          </w14:textFill>
        </w:rPr>
        <w:t>标准浓度限值（mg/m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spacing w:line="520" w:lineRule="exact"/>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L--</w:t>
      </w:r>
      <w:r>
        <w:rPr>
          <w:rFonts w:hint="eastAsia" w:ascii="Times New Roman" w:hAnsi="Times New Roman" w:cs="Times New Roman"/>
          <w:color w:val="000000" w:themeColor="text1"/>
          <w14:textFill>
            <w14:solidFill>
              <w14:schemeClr w14:val="tx1"/>
            </w14:solidFill>
          </w14:textFill>
        </w:rPr>
        <w:t>大气有害物质</w:t>
      </w:r>
      <w:r>
        <w:rPr>
          <w:rFonts w:ascii="Times New Roman" w:hAnsi="Times New Roman" w:cs="Times New Roman"/>
          <w:color w:val="000000" w:themeColor="text1"/>
          <w14:textFill>
            <w14:solidFill>
              <w14:schemeClr w14:val="tx1"/>
            </w14:solidFill>
          </w14:textFill>
        </w:rPr>
        <w:t>卫生防护距离</w:t>
      </w:r>
      <w:r>
        <w:rPr>
          <w:rFonts w:hint="eastAsia" w:ascii="Times New Roman" w:hAnsi="Times New Roman" w:cs="Times New Roman"/>
          <w:color w:val="000000" w:themeColor="text1"/>
          <w14:textFill>
            <w14:solidFill>
              <w14:schemeClr w14:val="tx1"/>
            </w14:solidFill>
          </w14:textFill>
        </w:rPr>
        <w:t>初值</w:t>
      </w:r>
      <w:r>
        <w:rPr>
          <w:rFonts w:ascii="Times New Roman" w:hAnsi="Times New Roman" w:cs="Times New Roman"/>
          <w:color w:val="000000" w:themeColor="text1"/>
          <w14:textFill>
            <w14:solidFill>
              <w14:schemeClr w14:val="tx1"/>
            </w14:solidFill>
          </w14:textFill>
        </w:rPr>
        <w:t>（m）；</w:t>
      </w:r>
    </w:p>
    <w:p>
      <w:pPr>
        <w:spacing w:line="520" w:lineRule="exact"/>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w:t>
      </w:r>
      <w:r>
        <w:rPr>
          <w:rFonts w:hint="eastAsia" w:ascii="Times New Roman" w:hAnsi="Times New Roman" w:cs="Times New Roman"/>
          <w:color w:val="000000" w:themeColor="text1"/>
          <w14:textFill>
            <w14:solidFill>
              <w14:schemeClr w14:val="tx1"/>
            </w14:solidFill>
          </w14:textFill>
        </w:rPr>
        <w:t>大气有害物质</w:t>
      </w:r>
      <w:r>
        <w:rPr>
          <w:rFonts w:ascii="Times New Roman" w:hAnsi="Times New Roman" w:cs="Times New Roman"/>
          <w:color w:val="000000" w:themeColor="text1"/>
          <w14:textFill>
            <w14:solidFill>
              <w14:schemeClr w14:val="tx1"/>
            </w14:solidFill>
          </w14:textFill>
        </w:rPr>
        <w:t>无组织排放源所在生产单元的等效半径（m）；</w:t>
      </w:r>
    </w:p>
    <w:p>
      <w:pPr>
        <w:spacing w:line="520" w:lineRule="exact"/>
        <w:ind w:left="2760" w:leftChars="500" w:hanging="1560" w:hangingChars="65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A、B、C、D</w:t>
      </w:r>
      <w:r>
        <w:rPr>
          <w:rFonts w:hint="eastAsia" w:ascii="Times New Roman" w:hAnsi="Times New Roman" w:cs="Times New Roman"/>
          <w:color w:val="000000" w:themeColor="text1"/>
          <w14:textFill>
            <w14:solidFill>
              <w14:schemeClr w14:val="tx1"/>
            </w14:solidFill>
          </w14:textFill>
        </w:rPr>
        <w:t>--卫生防护距离</w:t>
      </w:r>
      <w:r>
        <w:rPr>
          <w:rFonts w:ascii="Times New Roman" w:hAnsi="Times New Roman" w:cs="Times New Roman"/>
          <w:color w:val="000000" w:themeColor="text1"/>
          <w14:textFill>
            <w14:solidFill>
              <w14:schemeClr w14:val="tx1"/>
            </w14:solidFill>
          </w14:textFill>
        </w:rPr>
        <w:t>计算系数</w:t>
      </w:r>
      <w:r>
        <w:rPr>
          <w:rFonts w:hint="eastAsia" w:ascii="Times New Roman" w:hAnsi="Times New Roman" w:cs="Times New Roman"/>
          <w:color w:val="000000" w:themeColor="text1"/>
          <w14:textFill>
            <w14:solidFill>
              <w14:schemeClr w14:val="tx1"/>
            </w14:solidFill>
          </w14:textFill>
        </w:rPr>
        <w:t>，无因次，</w:t>
      </w:r>
      <w:r>
        <w:rPr>
          <w:rFonts w:ascii="Times New Roman" w:hAnsi="Times New Roman" w:cs="Times New Roman"/>
          <w:color w:val="000000" w:themeColor="text1"/>
          <w14:textFill>
            <w14:solidFill>
              <w14:schemeClr w14:val="tx1"/>
            </w14:solidFill>
          </w14:textFill>
        </w:rPr>
        <w:t>根据</w:t>
      </w:r>
      <w:r>
        <w:rPr>
          <w:rFonts w:hint="eastAsia" w:ascii="Times New Roman" w:hAnsi="Times New Roman" w:cs="Times New Roman"/>
          <w:color w:val="000000" w:themeColor="text1"/>
          <w14:textFill>
            <w14:solidFill>
              <w14:schemeClr w14:val="tx1"/>
            </w14:solidFill>
          </w14:textFill>
        </w:rPr>
        <w:t>工业企业</w:t>
      </w:r>
      <w:r>
        <w:rPr>
          <w:rFonts w:ascii="Times New Roman" w:hAnsi="Times New Roman" w:cs="Times New Roman"/>
          <w:color w:val="000000" w:themeColor="text1"/>
          <w14:textFill>
            <w14:solidFill>
              <w14:schemeClr w14:val="tx1"/>
            </w14:solidFill>
          </w14:textFill>
        </w:rPr>
        <w:t>所在地</w:t>
      </w:r>
      <w:r>
        <w:rPr>
          <w:rFonts w:hint="eastAsia" w:ascii="Times New Roman" w:hAnsi="Times New Roman" w:cs="Times New Roman"/>
          <w:color w:val="000000" w:themeColor="text1"/>
          <w14:textFill>
            <w14:solidFill>
              <w14:schemeClr w14:val="tx1"/>
            </w14:solidFill>
          </w14:textFill>
        </w:rPr>
        <w:t>近5年</w:t>
      </w:r>
      <w:r>
        <w:rPr>
          <w:rFonts w:ascii="Times New Roman" w:hAnsi="Times New Roman" w:cs="Times New Roman"/>
          <w:color w:val="000000" w:themeColor="text1"/>
          <w14:textFill>
            <w14:solidFill>
              <w14:schemeClr w14:val="tx1"/>
            </w14:solidFill>
          </w14:textFill>
        </w:rPr>
        <w:t>平均风速及大气污染源构成。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（2）参数选取</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组织排放多种有害气体时，按Qc/Cm的最大值计算其所需的卫生防护距离。卫生防护距离在100m内时，级差为50m；超过100m，但小于1000m时，级差为100m。当按两种或两种以上有害气体的Qc/Cm计算卫生防护距离在同一级别时，该类工业企业的卫生防护距离提高一级。</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农业园区</w:t>
      </w:r>
      <w:r>
        <w:rPr>
          <w:rFonts w:ascii="Times New Roman" w:hAnsi="Times New Roman" w:cs="Times New Roman"/>
          <w:color w:val="000000" w:themeColor="text1"/>
          <w14:textFill>
            <w14:solidFill>
              <w14:schemeClr w14:val="tx1"/>
            </w14:solidFill>
          </w14:textFill>
        </w:rPr>
        <w:t>地区的平均风速为</w:t>
      </w:r>
      <w:r>
        <w:rPr>
          <w:rFonts w:hint="eastAsia" w:ascii="Times New Roman" w:hAnsi="Times New Roman" w:cs="Times New Roman"/>
          <w:color w:val="000000" w:themeColor="text1"/>
          <w14:textFill>
            <w14:solidFill>
              <w14:schemeClr w14:val="tx1"/>
            </w14:solidFill>
          </w14:textFill>
        </w:rPr>
        <w:t>3.0</w:t>
      </w:r>
      <w:r>
        <w:rPr>
          <w:rFonts w:ascii="Times New Roman" w:hAnsi="Times New Roman" w:cs="Times New Roman"/>
          <w:color w:val="000000" w:themeColor="text1"/>
          <w14:textFill>
            <w14:solidFill>
              <w14:schemeClr w14:val="tx1"/>
            </w14:solidFill>
          </w14:textFill>
        </w:rPr>
        <w:t>m/s，A、B、C、D值的选取见表5.2-1</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；卫生防护距离按照建设项目建成后场区无组织废气排放量计算，计算结果见表5.2-1</w:t>
      </w: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13</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卫生防护距离计算系数表</w:t>
      </w:r>
    </w:p>
    <w:tbl>
      <w:tblPr>
        <w:tblStyle w:val="27"/>
        <w:tblW w:w="5016"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58"/>
        <w:gridCol w:w="1347"/>
        <w:gridCol w:w="662"/>
        <w:gridCol w:w="662"/>
        <w:gridCol w:w="679"/>
        <w:gridCol w:w="662"/>
        <w:gridCol w:w="662"/>
        <w:gridCol w:w="679"/>
        <w:gridCol w:w="662"/>
        <w:gridCol w:w="663"/>
        <w:gridCol w:w="7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5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14:textFill>
                  <w14:solidFill>
                    <w14:schemeClr w14:val="tx1"/>
                  </w14:solidFill>
                </w14:textFill>
              </w:rPr>
              <w:t>卫生防护距离初值</w:t>
            </w:r>
            <w:r>
              <w:rPr>
                <w:rFonts w:ascii="Times New Roman" w:hAnsi="Times New Roman" w:cs="Times New Roman"/>
                <w:b/>
                <w:bCs/>
                <w:color w:val="000000" w:themeColor="text1"/>
                <w:sz w:val="21"/>
                <w:szCs w:val="21"/>
                <w14:textFill>
                  <w14:solidFill>
                    <w14:schemeClr w14:val="tx1"/>
                  </w14:solidFill>
                </w14:textFill>
              </w:rPr>
              <w:t>计算系数</w:t>
            </w:r>
          </w:p>
        </w:tc>
        <w:tc>
          <w:tcPr>
            <w:tcW w:w="8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14:textFill>
                  <w14:solidFill>
                    <w14:schemeClr w14:val="tx1"/>
                  </w14:solidFill>
                </w14:textFill>
              </w:rPr>
              <w:t>工业企业所在地区</w:t>
            </w:r>
            <w:r>
              <w:rPr>
                <w:rFonts w:ascii="Times New Roman" w:hAnsi="Times New Roman" w:cs="Times New Roman"/>
                <w:b/>
                <w:bCs/>
                <w:color w:val="000000" w:themeColor="text1"/>
                <w:sz w:val="21"/>
                <w:szCs w:val="21"/>
                <w14:textFill>
                  <w14:solidFill>
                    <w14:schemeClr w14:val="tx1"/>
                  </w14:solidFill>
                </w14:textFill>
              </w:rPr>
              <w:t>5年平均风速</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m/s</w:t>
            </w:r>
            <w:r>
              <w:rPr>
                <w:rFonts w:hint="eastAsia" w:ascii="Times New Roman" w:hAnsi="Times New Roman" w:cs="Times New Roman"/>
                <w:b/>
                <w:bCs/>
                <w:color w:val="000000" w:themeColor="text1"/>
                <w:sz w:val="21"/>
                <w:szCs w:val="21"/>
                <w14:textFill>
                  <w14:solidFill>
                    <w14:schemeClr w14:val="tx1"/>
                  </w14:solidFill>
                </w14:textFill>
              </w:rPr>
              <w:t>）</w:t>
            </w:r>
          </w:p>
        </w:tc>
        <w:tc>
          <w:tcPr>
            <w:tcW w:w="3618" w:type="pct"/>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卫生防护距离L</w:t>
            </w:r>
            <w:r>
              <w:rPr>
                <w:rFonts w:hint="eastAsia" w:ascii="Times New Roman" w:hAnsi="Times New Roman" w:cs="Times New Roman"/>
                <w:b/>
                <w:bCs/>
                <w:color w:val="000000" w:themeColor="text1"/>
                <w:sz w:val="21"/>
                <w:szCs w:val="21"/>
                <w:lang w:val="en-US"/>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5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8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L≤1000</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1000＜L≤2000</w:t>
            </w:r>
          </w:p>
        </w:tc>
        <w:tc>
          <w:tcPr>
            <w:tcW w:w="121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L＞2000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5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8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3618" w:type="pct"/>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lang w:val="en-US"/>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工业</w:t>
            </w:r>
            <w:r>
              <w:rPr>
                <w:rFonts w:hint="eastAsia" w:ascii="Times New Roman" w:hAnsi="Times New Roman" w:cs="Times New Roman"/>
                <w:b/>
                <w:bCs/>
                <w:color w:val="000000" w:themeColor="text1"/>
                <w:sz w:val="21"/>
                <w:szCs w:val="21"/>
                <w:lang w:val="en-US"/>
                <w14:textFill>
                  <w14:solidFill>
                    <w14:schemeClr w14:val="tx1"/>
                  </w14:solidFill>
                </w14:textFill>
              </w:rPr>
              <w:t>企业</w:t>
            </w:r>
            <w:r>
              <w:rPr>
                <w:rFonts w:ascii="Times New Roman" w:hAnsi="Times New Roman" w:cs="Times New Roman"/>
                <w:b/>
                <w:bCs/>
                <w:color w:val="000000" w:themeColor="text1"/>
                <w:sz w:val="21"/>
                <w:szCs w:val="21"/>
                <w14:textFill>
                  <w14:solidFill>
                    <w14:schemeClr w14:val="tx1"/>
                  </w14:solidFill>
                </w14:textFill>
              </w:rPr>
              <w:t>大气污染源构成类</w:t>
            </w:r>
            <w:r>
              <w:rPr>
                <w:rFonts w:hint="eastAsia" w:ascii="Times New Roman" w:hAnsi="Times New Roman" w:cs="Times New Roman"/>
                <w:b/>
                <w:bCs/>
                <w:color w:val="000000" w:themeColor="text1"/>
                <w:sz w:val="21"/>
                <w:szCs w:val="21"/>
                <w:lang w:val="en-US"/>
                <w14:textFill>
                  <w14:solidFill>
                    <w14:schemeClr w14:val="tx1"/>
                  </w14:solidFill>
                </w14:textFill>
              </w:rPr>
              <w:t>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5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8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Ⅰ</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Ⅱ</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Ⅲ</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Ⅰ</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Ⅱ</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Ⅲ</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Ⅰ</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Ⅱ</w:t>
            </w:r>
          </w:p>
        </w:tc>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Ⅲ</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w:t>
            </w:r>
          </w:p>
        </w:tc>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2～4</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700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470</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700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470</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380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250</w:t>
            </w:r>
          </w:p>
        </w:tc>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530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350</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260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530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350</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260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290</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190</w:t>
            </w:r>
          </w:p>
        </w:tc>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0.01</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0.015</w:t>
            </w:r>
          </w:p>
        </w:tc>
        <w:tc>
          <w:tcPr>
            <w:tcW w:w="121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0.021</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0.036</w:t>
            </w:r>
          </w:p>
        </w:tc>
        <w:tc>
          <w:tcPr>
            <w:tcW w:w="121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1.85</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1.79</w:t>
            </w:r>
          </w:p>
        </w:tc>
        <w:tc>
          <w:tcPr>
            <w:tcW w:w="121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1.85</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1.77</w:t>
            </w:r>
          </w:p>
        </w:tc>
        <w:tc>
          <w:tcPr>
            <w:tcW w:w="121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0.78</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0.78</w:t>
            </w:r>
          </w:p>
        </w:tc>
        <w:tc>
          <w:tcPr>
            <w:tcW w:w="121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3" w:hRule="atLeast"/>
        </w:trPr>
        <w:tc>
          <w:tcPr>
            <w:tcW w:w="5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0.84</w:t>
            </w:r>
          </w:p>
        </w:tc>
        <w:tc>
          <w:tcPr>
            <w:tcW w:w="120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0.84</w:t>
            </w:r>
          </w:p>
        </w:tc>
        <w:tc>
          <w:tcPr>
            <w:tcW w:w="121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0.76</w:t>
            </w:r>
          </w:p>
        </w:tc>
      </w:tr>
    </w:tbl>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14</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卫生防护距离计算结果</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662"/>
        <w:gridCol w:w="945"/>
        <w:gridCol w:w="900"/>
        <w:gridCol w:w="1125"/>
        <w:gridCol w:w="570"/>
        <w:gridCol w:w="721"/>
        <w:gridCol w:w="614"/>
        <w:gridCol w:w="601"/>
        <w:gridCol w:w="789"/>
        <w:gridCol w:w="440"/>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43" w:type="pct"/>
            <w:gridSpan w:val="2"/>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污染物</w:t>
            </w:r>
          </w:p>
        </w:tc>
        <w:tc>
          <w:tcPr>
            <w:tcW w:w="554"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产生速率</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kg/h</w:t>
            </w:r>
            <w:r>
              <w:rPr>
                <w:rFonts w:hint="eastAsia" w:ascii="Times New Roman" w:hAnsi="Times New Roman" w:cs="Times New Roman"/>
                <w:b/>
                <w:bCs/>
                <w:color w:val="000000" w:themeColor="text1"/>
                <w:sz w:val="21"/>
                <w:szCs w:val="21"/>
                <w14:textFill>
                  <w14:solidFill>
                    <w14:schemeClr w14:val="tx1"/>
                  </w14:solidFill>
                </w14:textFill>
              </w:rPr>
              <w:t>）</w:t>
            </w:r>
          </w:p>
        </w:tc>
        <w:tc>
          <w:tcPr>
            <w:tcW w:w="528" w:type="pct"/>
            <w:vMerge w:val="restar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面源面积</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r>
              <w:rPr>
                <w:rFonts w:ascii="Times New Roman" w:hAnsi="Times New Roman" w:cs="Times New Roman"/>
                <w:b/>
                <w:bCs/>
                <w:color w:val="000000" w:themeColor="text1"/>
                <w:sz w:val="21"/>
                <w:szCs w:val="21"/>
                <w:vertAlign w:val="superscript"/>
                <w14:textFill>
                  <w14:solidFill>
                    <w14:schemeClr w14:val="tx1"/>
                  </w14:solidFill>
                </w14:textFill>
              </w:rPr>
              <w:t>2</w:t>
            </w:r>
            <w:r>
              <w:rPr>
                <w:rFonts w:hint="eastAsia" w:ascii="Times New Roman" w:hAnsi="Times New Roman" w:cs="Times New Roman"/>
                <w:b/>
                <w:bCs/>
                <w:color w:val="000000" w:themeColor="text1"/>
                <w:sz w:val="21"/>
                <w:szCs w:val="21"/>
                <w14:textFill>
                  <w14:solidFill>
                    <w14:schemeClr w14:val="tx1"/>
                  </w14:solidFill>
                </w14:textFill>
              </w:rPr>
              <w:t>）</w:t>
            </w:r>
          </w:p>
        </w:tc>
        <w:tc>
          <w:tcPr>
            <w:tcW w:w="2131" w:type="pct"/>
            <w:gridSpan w:val="5"/>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计算参数</w:t>
            </w:r>
          </w:p>
        </w:tc>
        <w:tc>
          <w:tcPr>
            <w:tcW w:w="1142" w:type="pct"/>
            <w:gridSpan w:val="3"/>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卫生防护距离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43" w:type="pct"/>
            <w:gridSpan w:val="2"/>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554"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528" w:type="pct"/>
            <w:vMerge w:val="continue"/>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660"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Cm</w:t>
            </w:r>
          </w:p>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mg/m</w:t>
            </w:r>
            <w:r>
              <w:rPr>
                <w:rFonts w:ascii="Times New Roman" w:hAnsi="Times New Roman" w:cs="Times New Roman"/>
                <w:b/>
                <w:bCs/>
                <w:color w:val="000000" w:themeColor="text1"/>
                <w:sz w:val="21"/>
                <w:szCs w:val="21"/>
                <w:vertAlign w:val="superscript"/>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w:t>
            </w:r>
          </w:p>
        </w:tc>
        <w:tc>
          <w:tcPr>
            <w:tcW w:w="334"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A</w:t>
            </w:r>
          </w:p>
        </w:tc>
        <w:tc>
          <w:tcPr>
            <w:tcW w:w="423"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B</w:t>
            </w:r>
          </w:p>
        </w:tc>
        <w:tc>
          <w:tcPr>
            <w:tcW w:w="360"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C</w:t>
            </w:r>
          </w:p>
        </w:tc>
        <w:tc>
          <w:tcPr>
            <w:tcW w:w="352"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D</w:t>
            </w:r>
          </w:p>
        </w:tc>
        <w:tc>
          <w:tcPr>
            <w:tcW w:w="463"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L</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r>
              <w:rPr>
                <w:rFonts w:hint="eastAsia" w:ascii="Times New Roman" w:hAnsi="Times New Roman" w:cs="Times New Roman"/>
                <w:b/>
                <w:bCs/>
                <w:color w:val="000000" w:themeColor="text1"/>
                <w:sz w:val="21"/>
                <w:szCs w:val="21"/>
                <w14:textFill>
                  <w14:solidFill>
                    <w14:schemeClr w14:val="tx1"/>
                  </w14:solidFill>
                </w14:textFill>
              </w:rPr>
              <w:t>）</w:t>
            </w:r>
          </w:p>
        </w:tc>
        <w:tc>
          <w:tcPr>
            <w:tcW w:w="258"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p>
        </w:tc>
        <w:tc>
          <w:tcPr>
            <w:tcW w:w="420" w:type="pct"/>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提级</w:t>
            </w:r>
            <w:r>
              <w:rPr>
                <w:rFonts w:hint="eastAsia" w:ascii="Times New Roman" w:hAnsi="Times New Roman" w:cs="Times New Roman"/>
                <w:b/>
                <w:bCs/>
                <w:color w:val="000000" w:themeColor="text1"/>
                <w:sz w:val="21"/>
                <w:szCs w:val="21"/>
                <w14:textFill>
                  <w14:solidFill>
                    <w14:schemeClr w14:val="tx1"/>
                  </w14:solidFill>
                </w14:textFill>
              </w:rPr>
              <w:t>（</w:t>
            </w:r>
            <w:r>
              <w:rPr>
                <w:rFonts w:ascii="Times New Roman" w:hAnsi="Times New Roman" w:cs="Times New Roman"/>
                <w:b/>
                <w:bCs/>
                <w:color w:val="000000" w:themeColor="text1"/>
                <w:sz w:val="21"/>
                <w:szCs w:val="21"/>
                <w14:textFill>
                  <w14:solidFill>
                    <w14:schemeClr w14:val="tx1"/>
                  </w14:solidFill>
                </w14:textFill>
              </w:rPr>
              <w:t>m</w:t>
            </w:r>
            <w:r>
              <w:rPr>
                <w:rFonts w:hint="eastAsia" w:ascii="Times New Roman" w:hAnsi="Times New Roman" w:cs="Times New Roman"/>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厂区</w:t>
            </w:r>
          </w:p>
        </w:tc>
        <w:tc>
          <w:tcPr>
            <w:tcW w:w="38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554" w:type="pc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0.055</w:t>
            </w:r>
          </w:p>
        </w:tc>
        <w:tc>
          <w:tcPr>
            <w:tcW w:w="528" w:type="pct"/>
            <w:vMerge w:val="restart"/>
            <w:vAlign w:val="center"/>
          </w:tcPr>
          <w:p>
            <w:pPr>
              <w:pStyle w:val="46"/>
              <w:spacing w:before="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227028</w:t>
            </w:r>
          </w:p>
        </w:tc>
        <w:tc>
          <w:tcPr>
            <w:tcW w:w="66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w:t>
            </w:r>
          </w:p>
        </w:tc>
        <w:tc>
          <w:tcPr>
            <w:tcW w:w="33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470</w:t>
            </w:r>
          </w:p>
        </w:tc>
        <w:tc>
          <w:tcPr>
            <w:tcW w:w="423"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0.021</w:t>
            </w:r>
          </w:p>
        </w:tc>
        <w:tc>
          <w:tcPr>
            <w:tcW w:w="36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1.85</w:t>
            </w:r>
          </w:p>
        </w:tc>
        <w:tc>
          <w:tcPr>
            <w:tcW w:w="35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0.84</w:t>
            </w:r>
          </w:p>
        </w:tc>
        <w:tc>
          <w:tcPr>
            <w:tcW w:w="463"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r>
              <w:rPr>
                <w:rFonts w:hint="eastAsia" w:ascii="Times New Roman" w:hAnsi="Times New Roman" w:cs="Times New Roman"/>
                <w:color w:val="000000" w:themeColor="text1"/>
                <w:sz w:val="21"/>
                <w:szCs w:val="21"/>
                <w:lang w:val="en-US"/>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37</w:t>
            </w:r>
          </w:p>
        </w:tc>
        <w:tc>
          <w:tcPr>
            <w:tcW w:w="25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w:t>
            </w:r>
          </w:p>
        </w:tc>
        <w:tc>
          <w:tcPr>
            <w:tcW w:w="420"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38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554" w:type="pc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0.0016</w:t>
            </w:r>
          </w:p>
        </w:tc>
        <w:tc>
          <w:tcPr>
            <w:tcW w:w="528"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c>
          <w:tcPr>
            <w:tcW w:w="66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0.01</w:t>
            </w:r>
          </w:p>
        </w:tc>
        <w:tc>
          <w:tcPr>
            <w:tcW w:w="33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470</w:t>
            </w:r>
          </w:p>
        </w:tc>
        <w:tc>
          <w:tcPr>
            <w:tcW w:w="423"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0.021</w:t>
            </w:r>
          </w:p>
        </w:tc>
        <w:tc>
          <w:tcPr>
            <w:tcW w:w="360"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1.85</w:t>
            </w:r>
          </w:p>
        </w:tc>
        <w:tc>
          <w:tcPr>
            <w:tcW w:w="352"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0.84</w:t>
            </w:r>
          </w:p>
        </w:tc>
        <w:tc>
          <w:tcPr>
            <w:tcW w:w="463"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1.305</w:t>
            </w:r>
          </w:p>
        </w:tc>
        <w:tc>
          <w:tcPr>
            <w:tcW w:w="25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w:t>
            </w:r>
          </w:p>
        </w:tc>
        <w:tc>
          <w:tcPr>
            <w:tcW w:w="420"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上表计算结果，按照卫生防护距离标准制定方法的规定：当按两种或两种以上有害气体的Qc/Cm计算卫生防护距离在同一级别时，该类工业企业的卫生防护距离提高一级。按照卫生防护距离设置要求，根据卫生防护距离估算结果，本项目卫生防护距离为以整个厂区边界为起点的</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00m范围。</w:t>
      </w:r>
    </w:p>
    <w:p>
      <w:pPr>
        <w:pStyle w:val="7"/>
        <w:rPr>
          <w:rFonts w:cs="Times New Roman"/>
          <w:color w:val="000000" w:themeColor="text1"/>
          <w14:textFill>
            <w14:solidFill>
              <w14:schemeClr w14:val="tx1"/>
            </w14:solidFill>
          </w14:textFill>
        </w:rPr>
      </w:pPr>
      <w:bookmarkStart w:id="740" w:name="_Toc15254"/>
      <w:bookmarkStart w:id="741" w:name="_Toc14576"/>
      <w:r>
        <w:rPr>
          <w:rFonts w:cs="Times New Roman"/>
          <w:color w:val="000000" w:themeColor="text1"/>
          <w14:textFill>
            <w14:solidFill>
              <w14:schemeClr w14:val="tx1"/>
            </w14:solidFill>
          </w14:textFill>
        </w:rPr>
        <w:t>5.2.1.</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 xml:space="preserve"> 大气环境影响评价自查表</w:t>
      </w:r>
      <w:bookmarkEnd w:id="740"/>
      <w:bookmarkEnd w:id="741"/>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表</w:t>
      </w:r>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15</w:t>
      </w:r>
      <w:r>
        <w:rPr>
          <w:rFonts w:cs="Times New Roman"/>
          <w:color w:val="000000" w:themeColor="text1"/>
          <w:lang w:val="zh-CN"/>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cs="Times New Roman"/>
          <w:color w:val="000000" w:themeColor="text1"/>
          <w:lang w:val="zh-CN"/>
          <w14:textFill>
            <w14:solidFill>
              <w14:schemeClr w14:val="tx1"/>
            </w14:solidFill>
          </w14:textFill>
        </w:rPr>
        <w:t xml:space="preserve"> 大气环境影响评价自查表</w:t>
      </w:r>
    </w:p>
    <w:tbl>
      <w:tblPr>
        <w:tblStyle w:val="27"/>
        <w:tblW w:w="51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5"/>
        <w:gridCol w:w="1338"/>
        <w:gridCol w:w="731"/>
        <w:gridCol w:w="679"/>
        <w:gridCol w:w="195"/>
        <w:gridCol w:w="333"/>
        <w:gridCol w:w="401"/>
        <w:gridCol w:w="231"/>
        <w:gridCol w:w="636"/>
        <w:gridCol w:w="421"/>
        <w:gridCol w:w="390"/>
        <w:gridCol w:w="27"/>
        <w:gridCol w:w="495"/>
        <w:gridCol w:w="163"/>
        <w:gridCol w:w="104"/>
        <w:gridCol w:w="170"/>
        <w:gridCol w:w="523"/>
        <w:gridCol w:w="156"/>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667" w:type="pct"/>
            <w:gridSpan w:val="3"/>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工作内容</w:t>
            </w:r>
          </w:p>
        </w:tc>
        <w:tc>
          <w:tcPr>
            <w:tcW w:w="3332" w:type="pct"/>
            <w:gridSpan w:val="16"/>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评价等级与范围</w:t>
            </w: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评价等级</w:t>
            </w:r>
          </w:p>
        </w:tc>
        <w:tc>
          <w:tcPr>
            <w:tcW w:w="1078"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r>
              <w:rPr>
                <w:rFonts w:ascii="Times New Roman" w:hAnsi="Times New Roman" w:cs="Times New Roman"/>
                <w:color w:val="000000" w:themeColor="text1"/>
                <w:sz w:val="21"/>
                <w:szCs w:val="21"/>
                <w14:textFill>
                  <w14:solidFill>
                    <w14:schemeClr w14:val="tx1"/>
                  </w14:solidFill>
                </w14:textFill>
              </w:rPr>
              <w:sym w:font="Wingdings" w:char="00A8"/>
            </w:r>
          </w:p>
        </w:tc>
        <w:tc>
          <w:tcPr>
            <w:tcW w:w="1250"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r>
              <w:rPr>
                <w:rFonts w:ascii="Times New Roman" w:hAnsi="Times New Roman" w:cs="Times New Roman"/>
                <w:color w:val="000000" w:themeColor="text1"/>
                <w:sz w:val="21"/>
                <w:szCs w:val="21"/>
                <w14:textFill>
                  <w14:solidFill>
                    <w14:schemeClr w14:val="tx1"/>
                  </w14:solidFill>
                </w14:textFill>
              </w:rPr>
              <w:sym w:font="Wingdings" w:char="00FE"/>
            </w:r>
          </w:p>
        </w:tc>
        <w:tc>
          <w:tcPr>
            <w:tcW w:w="1004"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r>
              <w:rPr>
                <w:rFonts w:ascii="Times New Roman" w:hAnsi="Times New Roman" w:cs="Times New Roman"/>
                <w:color w:val="000000" w:themeColor="text1"/>
                <w:sz w:val="21"/>
                <w:szCs w:val="21"/>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评价范围</w:t>
            </w:r>
          </w:p>
        </w:tc>
        <w:tc>
          <w:tcPr>
            <w:tcW w:w="1078"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边长=50km</w:t>
            </w:r>
            <w:r>
              <w:rPr>
                <w:rFonts w:ascii="Times New Roman" w:hAnsi="Times New Roman" w:cs="Times New Roman"/>
                <w:color w:val="000000" w:themeColor="text1"/>
                <w:sz w:val="21"/>
                <w:szCs w:val="21"/>
                <w14:textFill>
                  <w14:solidFill>
                    <w14:schemeClr w14:val="tx1"/>
                  </w14:solidFill>
                </w14:textFill>
              </w:rPr>
              <w:sym w:font="Wingdings" w:char="00A8"/>
            </w:r>
          </w:p>
        </w:tc>
        <w:tc>
          <w:tcPr>
            <w:tcW w:w="1250"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边长5～50km</w:t>
            </w:r>
            <w:r>
              <w:rPr>
                <w:rFonts w:ascii="Times New Roman" w:hAnsi="Times New Roman" w:cs="Times New Roman"/>
                <w:color w:val="000000" w:themeColor="text1"/>
                <w:sz w:val="21"/>
                <w:szCs w:val="21"/>
                <w14:textFill>
                  <w14:solidFill>
                    <w14:schemeClr w14:val="tx1"/>
                  </w14:solidFill>
                </w14:textFill>
              </w:rPr>
              <w:sym w:font="Wingdings" w:char="00FE"/>
            </w:r>
          </w:p>
        </w:tc>
        <w:tc>
          <w:tcPr>
            <w:tcW w:w="1004"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边长=5km</w:t>
            </w:r>
            <w:r>
              <w:rPr>
                <w:rFonts w:ascii="Times New Roman" w:hAnsi="Times New Roman" w:cs="Times New Roman"/>
                <w:color w:val="000000" w:themeColor="text1"/>
                <w:sz w:val="21"/>
                <w:szCs w:val="21"/>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评价因子</w:t>
            </w: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SO</w:t>
            </w:r>
            <w:r>
              <w:rPr>
                <w:rFonts w:ascii="Times New Roman" w:hAnsi="Times New Roman" w:cs="Times New Roman"/>
                <w:color w:val="000000" w:themeColor="text1"/>
                <w:position w:val="2"/>
                <w:sz w:val="21"/>
                <w:szCs w:val="21"/>
                <w:vertAlign w:val="subscript"/>
                <w14:textFill>
                  <w14:solidFill>
                    <w14:schemeClr w14:val="tx1"/>
                  </w14:solidFill>
                </w14:textFill>
              </w:rPr>
              <w:t>2</w:t>
            </w:r>
            <w:r>
              <w:rPr>
                <w:rFonts w:ascii="Times New Roman" w:hAnsi="Times New Roman" w:cs="Times New Roman"/>
                <w:color w:val="000000" w:themeColor="text1"/>
                <w:position w:val="2"/>
                <w:sz w:val="21"/>
                <w:szCs w:val="21"/>
                <w14:textFill>
                  <w14:solidFill>
                    <w14:schemeClr w14:val="tx1"/>
                  </w14:solidFill>
                </w14:textFill>
              </w:rPr>
              <w:t>+NO</w:t>
            </w:r>
            <w:r>
              <w:rPr>
                <w:rFonts w:ascii="Times New Roman" w:hAnsi="Times New Roman" w:cs="Times New Roman"/>
                <w:color w:val="000000" w:themeColor="text1"/>
                <w:position w:val="2"/>
                <w:sz w:val="21"/>
                <w:szCs w:val="21"/>
                <w:vertAlign w:val="subscript"/>
                <w14:textFill>
                  <w14:solidFill>
                    <w14:schemeClr w14:val="tx1"/>
                  </w14:solidFill>
                </w14:textFill>
              </w:rPr>
              <w:t>X</w:t>
            </w:r>
            <w:r>
              <w:rPr>
                <w:rFonts w:ascii="Times New Roman" w:hAnsi="Times New Roman" w:cs="Times New Roman"/>
                <w:color w:val="000000" w:themeColor="text1"/>
                <w:position w:val="2"/>
                <w:sz w:val="21"/>
                <w:szCs w:val="21"/>
                <w14:textFill>
                  <w14:solidFill>
                    <w14:schemeClr w14:val="tx1"/>
                  </w14:solidFill>
                </w14:textFill>
              </w:rPr>
              <w:t xml:space="preserve"> 排放量</w:t>
            </w:r>
          </w:p>
        </w:tc>
        <w:tc>
          <w:tcPr>
            <w:tcW w:w="1078"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≥2000t/a⎕</w:t>
            </w:r>
          </w:p>
        </w:tc>
        <w:tc>
          <w:tcPr>
            <w:tcW w:w="1250"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500～2000t/a⎕</w:t>
            </w:r>
          </w:p>
        </w:tc>
        <w:tc>
          <w:tcPr>
            <w:tcW w:w="1004"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＜500t/a</w:t>
            </w:r>
            <w:r>
              <w:rPr>
                <w:rFonts w:ascii="Times New Roman" w:hAnsi="Times New Roman" w:cs="Times New Roman"/>
                <w:color w:val="000000" w:themeColor="text1"/>
                <w:sz w:val="21"/>
                <w:szCs w:val="21"/>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评价因子</w:t>
            </w:r>
          </w:p>
        </w:tc>
        <w:tc>
          <w:tcPr>
            <w:tcW w:w="2328" w:type="pct"/>
            <w:gridSpan w:val="11"/>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9"/>
                <w:position w:val="2"/>
                <w:sz w:val="21"/>
                <w:szCs w:val="21"/>
                <w14:textFill>
                  <w14:solidFill>
                    <w14:schemeClr w14:val="tx1"/>
                  </w14:solidFill>
                </w14:textFill>
              </w:rPr>
              <w:t>基本污染物</w:t>
            </w:r>
            <w:r>
              <w:rPr>
                <w:rFonts w:ascii="Times New Roman" w:hAnsi="Times New Roman" w:cs="Times New Roman"/>
                <w:color w:val="000000" w:themeColor="text1"/>
                <w:spacing w:val="-1"/>
                <w:position w:val="2"/>
                <w:sz w:val="21"/>
                <w:szCs w:val="21"/>
                <w14:textFill>
                  <w14:solidFill>
                    <w14:schemeClr w14:val="tx1"/>
                  </w14:solidFill>
                </w14:textFill>
              </w:rPr>
              <w:t>（SO</w:t>
            </w:r>
            <w:r>
              <w:rPr>
                <w:rFonts w:ascii="Times New Roman" w:hAnsi="Times New Roman" w:cs="Times New Roman"/>
                <w:color w:val="000000" w:themeColor="text1"/>
                <w:spacing w:val="-1"/>
                <w:position w:val="2"/>
                <w:sz w:val="21"/>
                <w:szCs w:val="21"/>
                <w:vertAlign w:val="subscript"/>
                <w14:textFill>
                  <w14:solidFill>
                    <w14:schemeClr w14:val="tx1"/>
                  </w14:solidFill>
                </w14:textFill>
              </w:rPr>
              <w:t>2</w:t>
            </w:r>
            <w:r>
              <w:rPr>
                <w:rFonts w:ascii="Times New Roman" w:hAnsi="Times New Roman" w:cs="Times New Roman"/>
                <w:color w:val="000000" w:themeColor="text1"/>
                <w:spacing w:val="-41"/>
                <w:position w:val="2"/>
                <w:sz w:val="21"/>
                <w:szCs w:val="21"/>
                <w14:textFill>
                  <w14:solidFill>
                    <w14:schemeClr w14:val="tx1"/>
                  </w14:solidFill>
                </w14:textFill>
              </w:rPr>
              <w:t>、</w:t>
            </w:r>
            <w:r>
              <w:rPr>
                <w:rFonts w:ascii="Times New Roman" w:hAnsi="Times New Roman" w:cs="Times New Roman"/>
                <w:color w:val="000000" w:themeColor="text1"/>
                <w:spacing w:val="-1"/>
                <w:position w:val="2"/>
                <w:sz w:val="21"/>
                <w:szCs w:val="21"/>
                <w14:textFill>
                  <w14:solidFill>
                    <w14:schemeClr w14:val="tx1"/>
                  </w14:solidFill>
                </w14:textFill>
              </w:rPr>
              <w:t>NO</w:t>
            </w:r>
            <w:r>
              <w:rPr>
                <w:rFonts w:ascii="Times New Roman" w:hAnsi="Times New Roman" w:cs="Times New Roman"/>
                <w:color w:val="000000" w:themeColor="text1"/>
                <w:spacing w:val="-1"/>
                <w:position w:val="2"/>
                <w:sz w:val="21"/>
                <w:szCs w:val="21"/>
                <w:vertAlign w:val="subscript"/>
                <w14:textFill>
                  <w14:solidFill>
                    <w14:schemeClr w14:val="tx1"/>
                  </w14:solidFill>
                </w14:textFill>
              </w:rPr>
              <w:t>2</w:t>
            </w:r>
            <w:r>
              <w:rPr>
                <w:rFonts w:ascii="Times New Roman" w:hAnsi="Times New Roman" w:cs="Times New Roman"/>
                <w:color w:val="000000" w:themeColor="text1"/>
                <w:spacing w:val="-41"/>
                <w:position w:val="2"/>
                <w:sz w:val="21"/>
                <w:szCs w:val="21"/>
                <w14:textFill>
                  <w14:solidFill>
                    <w14:schemeClr w14:val="tx1"/>
                  </w14:solidFill>
                </w14:textFill>
              </w:rPr>
              <w:t>、</w:t>
            </w:r>
            <w:r>
              <w:rPr>
                <w:rFonts w:ascii="Times New Roman" w:hAnsi="Times New Roman" w:cs="Times New Roman"/>
                <w:color w:val="000000" w:themeColor="text1"/>
                <w:spacing w:val="-1"/>
                <w:position w:val="2"/>
                <w:sz w:val="21"/>
                <w:szCs w:val="21"/>
                <w14:textFill>
                  <w14:solidFill>
                    <w14:schemeClr w14:val="tx1"/>
                  </w14:solidFill>
                </w14:textFill>
              </w:rPr>
              <w:t>PM</w:t>
            </w:r>
            <w:r>
              <w:rPr>
                <w:rFonts w:ascii="Times New Roman" w:hAnsi="Times New Roman" w:cs="Times New Roman"/>
                <w:color w:val="000000" w:themeColor="text1"/>
                <w:spacing w:val="-1"/>
                <w:position w:val="2"/>
                <w:sz w:val="21"/>
                <w:szCs w:val="21"/>
                <w:vertAlign w:val="subscript"/>
                <w14:textFill>
                  <w14:solidFill>
                    <w14:schemeClr w14:val="tx1"/>
                  </w14:solidFill>
                </w14:textFill>
              </w:rPr>
              <w:t>10</w:t>
            </w:r>
            <w:r>
              <w:rPr>
                <w:rFonts w:ascii="Times New Roman" w:hAnsi="Times New Roman" w:cs="Times New Roman"/>
                <w:color w:val="000000" w:themeColor="text1"/>
                <w:spacing w:val="-44"/>
                <w:position w:val="2"/>
                <w:sz w:val="21"/>
                <w:szCs w:val="21"/>
                <w14:textFill>
                  <w14:solidFill>
                    <w14:schemeClr w14:val="tx1"/>
                  </w14:solidFill>
                </w14:textFill>
              </w:rPr>
              <w:t>、</w:t>
            </w:r>
            <w:r>
              <w:rPr>
                <w:rFonts w:ascii="Times New Roman" w:hAnsi="Times New Roman" w:cs="Times New Roman"/>
                <w:color w:val="000000" w:themeColor="text1"/>
                <w:spacing w:val="-1"/>
                <w:position w:val="2"/>
                <w:sz w:val="21"/>
                <w:szCs w:val="21"/>
                <w14:textFill>
                  <w14:solidFill>
                    <w14:schemeClr w14:val="tx1"/>
                  </w14:solidFill>
                </w14:textFill>
              </w:rPr>
              <w:t>PM</w:t>
            </w:r>
            <w:r>
              <w:rPr>
                <w:rFonts w:ascii="Times New Roman" w:hAnsi="Times New Roman" w:cs="Times New Roman"/>
                <w:color w:val="000000" w:themeColor="text1"/>
                <w:spacing w:val="-1"/>
                <w:position w:val="2"/>
                <w:sz w:val="21"/>
                <w:szCs w:val="21"/>
                <w:vertAlign w:val="subscript"/>
                <w14:textFill>
                  <w14:solidFill>
                    <w14:schemeClr w14:val="tx1"/>
                  </w14:solidFill>
                </w14:textFill>
              </w:rPr>
              <w:t>2.5</w:t>
            </w:r>
            <w:r>
              <w:rPr>
                <w:rFonts w:ascii="Times New Roman" w:hAnsi="Times New Roman" w:cs="Times New Roman"/>
                <w:color w:val="000000" w:themeColor="text1"/>
                <w:spacing w:val="-41"/>
                <w:position w:val="2"/>
                <w:sz w:val="21"/>
                <w:szCs w:val="21"/>
                <w14:textFill>
                  <w14:solidFill>
                    <w14:schemeClr w14:val="tx1"/>
                  </w14:solidFill>
                </w14:textFill>
              </w:rPr>
              <w:t>、</w:t>
            </w:r>
            <w:r>
              <w:rPr>
                <w:rFonts w:ascii="Times New Roman" w:hAnsi="Times New Roman" w:cs="Times New Roman"/>
                <w:color w:val="000000" w:themeColor="text1"/>
                <w:spacing w:val="-14"/>
                <w:position w:val="2"/>
                <w:sz w:val="21"/>
                <w:szCs w:val="21"/>
                <w14:textFill>
                  <w14:solidFill>
                    <w14:schemeClr w14:val="tx1"/>
                  </w14:solidFill>
                </w14:textFill>
              </w:rPr>
              <w:t>CO</w:t>
            </w:r>
            <w:r>
              <w:rPr>
                <w:rFonts w:hint="eastAsia" w:ascii="Times New Roman" w:hAnsi="Times New Roman" w:cs="Times New Roman"/>
                <w:color w:val="000000" w:themeColor="text1"/>
                <w:spacing w:val="-14"/>
                <w:position w:val="2"/>
                <w:sz w:val="21"/>
                <w:szCs w:val="21"/>
                <w14:textFill>
                  <w14:solidFill>
                    <w14:schemeClr w14:val="tx1"/>
                  </w14:solidFill>
                </w14:textFill>
              </w:rPr>
              <w:t>、</w:t>
            </w:r>
            <w:r>
              <w:rPr>
                <w:rFonts w:ascii="Times New Roman" w:hAnsi="Times New Roman" w:cs="Times New Roman"/>
                <w:color w:val="000000" w:themeColor="text1"/>
                <w:position w:val="2"/>
                <w:sz w:val="21"/>
                <w:szCs w:val="21"/>
                <w14:textFill>
                  <w14:solidFill>
                    <w14:schemeClr w14:val="tx1"/>
                  </w14:solidFill>
                </w14:textFill>
              </w:rPr>
              <w:t>O</w:t>
            </w:r>
            <w:r>
              <w:rPr>
                <w:rFonts w:ascii="Times New Roman" w:hAnsi="Times New Roman" w:cs="Times New Roman"/>
                <w:color w:val="000000" w:themeColor="text1"/>
                <w:position w:val="2"/>
                <w:sz w:val="21"/>
                <w:szCs w:val="21"/>
                <w:vertAlign w:val="subscript"/>
                <w14:textFill>
                  <w14:solidFill>
                    <w14:schemeClr w14:val="tx1"/>
                  </w14:solidFill>
                </w14:textFill>
              </w:rPr>
              <w:t>3</w:t>
            </w:r>
            <w:r>
              <w:rPr>
                <w:rFonts w:ascii="Times New Roman" w:hAnsi="Times New Roman" w:cs="Times New Roman"/>
                <w:color w:val="000000" w:themeColor="text1"/>
                <w:position w:val="2"/>
                <w:sz w:val="21"/>
                <w:szCs w:val="21"/>
                <w14:textFill>
                  <w14:solidFill>
                    <w14:schemeClr w14:val="tx1"/>
                  </w14:solidFill>
                </w14:textFill>
              </w:rPr>
              <w:t>）</w:t>
            </w:r>
          </w:p>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其他污染物（NH</w:t>
            </w:r>
            <w:r>
              <w:rPr>
                <w:rFonts w:ascii="Times New Roman" w:hAnsi="Times New Roman" w:cs="Times New Roman"/>
                <w:color w:val="000000" w:themeColor="text1"/>
                <w:position w:val="2"/>
                <w:sz w:val="21"/>
                <w:szCs w:val="21"/>
                <w:vertAlign w:val="subscript"/>
                <w14:textFill>
                  <w14:solidFill>
                    <w14:schemeClr w14:val="tx1"/>
                  </w14:solidFill>
                </w14:textFill>
              </w:rPr>
              <w:t>3</w:t>
            </w:r>
            <w:r>
              <w:rPr>
                <w:rFonts w:ascii="Times New Roman" w:hAnsi="Times New Roman" w:cs="Times New Roman"/>
                <w:color w:val="000000" w:themeColor="text1"/>
                <w:position w:val="2"/>
                <w:sz w:val="21"/>
                <w:szCs w:val="21"/>
                <w14:textFill>
                  <w14:solidFill>
                    <w14:schemeClr w14:val="tx1"/>
                  </w14:solidFill>
                </w14:textFill>
              </w:rPr>
              <w:t>、H</w:t>
            </w:r>
            <w:r>
              <w:rPr>
                <w:rFonts w:ascii="Times New Roman" w:hAnsi="Times New Roman" w:cs="Times New Roman"/>
                <w:color w:val="000000" w:themeColor="text1"/>
                <w:position w:val="2"/>
                <w:sz w:val="21"/>
                <w:szCs w:val="21"/>
                <w:vertAlign w:val="subscript"/>
                <w14:textFill>
                  <w14:solidFill>
                    <w14:schemeClr w14:val="tx1"/>
                  </w14:solidFill>
                </w14:textFill>
              </w:rPr>
              <w:t>2</w:t>
            </w:r>
            <w:r>
              <w:rPr>
                <w:rFonts w:ascii="Times New Roman" w:hAnsi="Times New Roman" w:cs="Times New Roman"/>
                <w:color w:val="000000" w:themeColor="text1"/>
                <w:position w:val="2"/>
                <w:sz w:val="21"/>
                <w:szCs w:val="21"/>
                <w14:textFill>
                  <w14:solidFill>
                    <w14:schemeClr w14:val="tx1"/>
                  </w14:solidFill>
                </w14:textFill>
              </w:rPr>
              <w:t>S）</w:t>
            </w:r>
          </w:p>
        </w:tc>
        <w:tc>
          <w:tcPr>
            <w:tcW w:w="1004"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包括二次PM</w:t>
            </w:r>
            <w:r>
              <w:rPr>
                <w:rFonts w:ascii="Times New Roman" w:hAnsi="Times New Roman" w:cs="Times New Roman"/>
                <w:color w:val="000000" w:themeColor="text1"/>
                <w:position w:val="2"/>
                <w:sz w:val="21"/>
                <w:szCs w:val="21"/>
                <w:vertAlign w:val="subscript"/>
                <w14:textFill>
                  <w14:solidFill>
                    <w14:schemeClr w14:val="tx1"/>
                  </w14:solidFill>
                </w14:textFill>
              </w:rPr>
              <w:t>2.5</w:t>
            </w:r>
            <w:r>
              <w:rPr>
                <w:rFonts w:ascii="Times New Roman" w:hAnsi="Times New Roman" w:cs="Times New Roman"/>
                <w:color w:val="000000" w:themeColor="text1"/>
                <w:position w:val="2"/>
                <w:sz w:val="21"/>
                <w:szCs w:val="21"/>
                <w14:textFill>
                  <w14:solidFill>
                    <w14:schemeClr w14:val="tx1"/>
                  </w14:solidFill>
                </w14:textFill>
              </w:rPr>
              <w:t>⎕</w:t>
            </w:r>
          </w:p>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不包括二次PM</w:t>
            </w:r>
            <w:r>
              <w:rPr>
                <w:rFonts w:ascii="Times New Roman" w:hAnsi="Times New Roman" w:cs="Times New Roman"/>
                <w:color w:val="000000" w:themeColor="text1"/>
                <w:position w:val="2"/>
                <w:sz w:val="21"/>
                <w:szCs w:val="21"/>
                <w:vertAlign w:val="subscript"/>
                <w14:textFill>
                  <w14:solidFill>
                    <w14:schemeClr w14:val="tx1"/>
                  </w14:solidFill>
                </w14:textFill>
              </w:rPr>
              <w:t>2.5</w:t>
            </w:r>
            <w:r>
              <w:rPr>
                <w:rFonts w:ascii="Times New Roman" w:hAnsi="Times New Roman" w:cs="Times New Roman"/>
                <w:color w:val="000000" w:themeColor="text1"/>
                <w:sz w:val="21"/>
                <w:szCs w:val="21"/>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评价标</w:t>
            </w:r>
          </w:p>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准</w:t>
            </w: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评价标准</w:t>
            </w:r>
          </w:p>
        </w:tc>
        <w:tc>
          <w:tcPr>
            <w:tcW w:w="1078"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国家标准</w:t>
            </w:r>
            <w:r>
              <w:rPr>
                <w:rFonts w:ascii="Times New Roman" w:hAnsi="Times New Roman" w:cs="Times New Roman"/>
                <w:color w:val="000000" w:themeColor="text1"/>
                <w:sz w:val="21"/>
                <w:szCs w:val="21"/>
                <w14:textFill>
                  <w14:solidFill>
                    <w14:schemeClr w14:val="tx1"/>
                  </w14:solidFill>
                </w14:textFill>
              </w:rPr>
              <w:sym w:font="Wingdings" w:char="00FE"/>
            </w:r>
          </w:p>
        </w:tc>
        <w:tc>
          <w:tcPr>
            <w:tcW w:w="619"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地方标准⎕</w:t>
            </w:r>
          </w:p>
        </w:tc>
        <w:tc>
          <w:tcPr>
            <w:tcW w:w="630"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附录D</w:t>
            </w:r>
            <w:r>
              <w:rPr>
                <w:rFonts w:ascii="Times New Roman" w:hAnsi="Times New Roman" w:cs="Times New Roman"/>
                <w:color w:val="000000" w:themeColor="text1"/>
                <w:sz w:val="21"/>
                <w:szCs w:val="21"/>
                <w14:textFill>
                  <w14:solidFill>
                    <w14:schemeClr w14:val="tx1"/>
                  </w14:solidFill>
                </w14:textFill>
              </w:rPr>
              <w:sym w:font="Wingdings" w:char="00FE"/>
            </w:r>
          </w:p>
        </w:tc>
        <w:tc>
          <w:tcPr>
            <w:tcW w:w="1004"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现状评价</w:t>
            </w: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环境功能区</w:t>
            </w:r>
          </w:p>
        </w:tc>
        <w:tc>
          <w:tcPr>
            <w:tcW w:w="1078"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一类区⎕</w:t>
            </w:r>
          </w:p>
        </w:tc>
        <w:tc>
          <w:tcPr>
            <w:tcW w:w="1250"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二类区</w:t>
            </w:r>
            <w:r>
              <w:rPr>
                <w:rFonts w:ascii="Times New Roman" w:hAnsi="Times New Roman" w:cs="Times New Roman"/>
                <w:color w:val="000000" w:themeColor="text1"/>
                <w:sz w:val="21"/>
                <w:szCs w:val="21"/>
                <w14:textFill>
                  <w14:solidFill>
                    <w14:schemeClr w14:val="tx1"/>
                  </w14:solidFill>
                </w14:textFill>
              </w:rPr>
              <w:sym w:font="Wingdings" w:char="00FE"/>
            </w:r>
          </w:p>
        </w:tc>
        <w:tc>
          <w:tcPr>
            <w:tcW w:w="1004"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评价基准年</w:t>
            </w:r>
          </w:p>
        </w:tc>
        <w:tc>
          <w:tcPr>
            <w:tcW w:w="3332" w:type="pct"/>
            <w:gridSpan w:val="1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w:t>
            </w:r>
            <w:r>
              <w:rPr>
                <w:rFonts w:hint="eastAsia" w:ascii="Times New Roman" w:hAnsi="Times New Roman" w:cs="Times New Roman"/>
                <w:color w:val="000000" w:themeColor="text1"/>
                <w:sz w:val="21"/>
                <w:szCs w:val="21"/>
                <w:lang w:val="en-US"/>
                <w14:textFill>
                  <w14:solidFill>
                    <w14:schemeClr w14:val="tx1"/>
                  </w14:solidFill>
                </w14:textFill>
              </w:rPr>
              <w:t>9</w:t>
            </w:r>
            <w:r>
              <w:rPr>
                <w:rFonts w:ascii="Times New Roman" w:hAnsi="Times New Roman" w:cs="Times New Roman"/>
                <w:color w:val="000000" w:themeColor="text1"/>
                <w:sz w:val="2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环境空气质量现状调查数据来源</w:t>
            </w:r>
          </w:p>
        </w:tc>
        <w:tc>
          <w:tcPr>
            <w:tcW w:w="1078"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长期例行监测数据</w:t>
            </w:r>
          </w:p>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w w:val="95"/>
                <w:sz w:val="21"/>
                <w:szCs w:val="21"/>
                <w14:textFill>
                  <w14:solidFill>
                    <w14:schemeClr w14:val="tx1"/>
                  </w14:solidFill>
                </w14:textFill>
              </w:rPr>
              <w:t>⎕</w:t>
            </w:r>
          </w:p>
        </w:tc>
        <w:tc>
          <w:tcPr>
            <w:tcW w:w="1250"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主管部门发布的数据</w:t>
            </w:r>
            <w:r>
              <w:rPr>
                <w:rFonts w:ascii="Times New Roman" w:hAnsi="Times New Roman" w:cs="Times New Roman"/>
                <w:color w:val="000000" w:themeColor="text1"/>
                <w:sz w:val="21"/>
                <w:szCs w:val="21"/>
                <w14:textFill>
                  <w14:solidFill>
                    <w14:schemeClr w14:val="tx1"/>
                  </w14:solidFill>
                </w14:textFill>
              </w:rPr>
              <w:sym w:font="Wingdings" w:char="00FE"/>
            </w:r>
          </w:p>
        </w:tc>
        <w:tc>
          <w:tcPr>
            <w:tcW w:w="1004"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现状补充监测</w:t>
            </w:r>
            <w:r>
              <w:rPr>
                <w:rFonts w:ascii="Times New Roman" w:hAnsi="Times New Roman" w:cs="Times New Roman"/>
                <w:color w:val="000000" w:themeColor="text1"/>
                <w:sz w:val="21"/>
                <w:szCs w:val="21"/>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213"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现状评价</w:t>
            </w:r>
          </w:p>
        </w:tc>
        <w:tc>
          <w:tcPr>
            <w:tcW w:w="1698" w:type="pct"/>
            <w:gridSpan w:val="7"/>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达标区⎕</w:t>
            </w:r>
          </w:p>
        </w:tc>
        <w:tc>
          <w:tcPr>
            <w:tcW w:w="1634" w:type="pct"/>
            <w:gridSpan w:val="9"/>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不达标区</w:t>
            </w:r>
            <w:r>
              <w:rPr>
                <w:rFonts w:ascii="Times New Roman" w:hAnsi="Times New Roman" w:cs="Times New Roman"/>
                <w:color w:val="000000" w:themeColor="text1"/>
                <w:sz w:val="21"/>
                <w:szCs w:val="21"/>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污染源调查</w:t>
            </w: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调查内容</w:t>
            </w:r>
          </w:p>
        </w:tc>
        <w:tc>
          <w:tcPr>
            <w:tcW w:w="1507"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本项目正常排放源</w:t>
            </w:r>
            <w:r>
              <w:rPr>
                <w:rFonts w:ascii="Times New Roman" w:hAnsi="Times New Roman" w:cs="Times New Roman"/>
                <w:color w:val="000000" w:themeColor="text1"/>
                <w:sz w:val="21"/>
                <w:szCs w:val="21"/>
                <w14:textFill>
                  <w14:solidFill>
                    <w14:schemeClr w14:val="tx1"/>
                  </w14:solidFill>
                </w14:textFill>
              </w:rPr>
              <w:sym w:font="Wingdings" w:char="00FE"/>
            </w:r>
          </w:p>
          <w:p>
            <w:pPr>
              <w:pStyle w:val="46"/>
              <w:spacing w:before="0" w:line="240" w:lineRule="auto"/>
              <w:ind w:firstLine="0" w:firstLineChars="0"/>
              <w:rPr>
                <w:rFonts w:ascii="Times New Roman" w:hAnsi="Times New Roman" w:cs="Times New Roman"/>
                <w:color w:val="000000" w:themeColor="text1"/>
                <w:spacing w:val="-13"/>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本项目非正常排放源</w:t>
            </w:r>
            <w:r>
              <w:rPr>
                <w:rFonts w:ascii="Times New Roman" w:hAnsi="Times New Roman" w:cs="Times New Roman"/>
                <w:color w:val="000000" w:themeColor="text1"/>
                <w:sz w:val="21"/>
                <w:szCs w:val="21"/>
                <w14:textFill>
                  <w14:solidFill>
                    <w14:schemeClr w14:val="tx1"/>
                  </w14:solidFill>
                </w14:textFill>
              </w:rPr>
              <w:sym w:font="Wingdings" w:char="00FE"/>
            </w:r>
          </w:p>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现有污染源⎕</w:t>
            </w:r>
          </w:p>
        </w:tc>
        <w:tc>
          <w:tcPr>
            <w:tcW w:w="1250"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拟替代的污染源⎕</w:t>
            </w:r>
          </w:p>
        </w:tc>
        <w:tc>
          <w:tcPr>
            <w:tcW w:w="467" w:type="pct"/>
            <w:gridSpan w:val="3"/>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其他在建本项目污染源</w:t>
            </w:r>
            <w:r>
              <w:rPr>
                <w:rFonts w:ascii="Times New Roman" w:hAnsi="Times New Roman" w:cs="Times New Roman"/>
                <w:color w:val="000000" w:themeColor="text1"/>
                <w:w w:val="95"/>
                <w:sz w:val="21"/>
                <w:szCs w:val="21"/>
                <w14:textFill>
                  <w14:solidFill>
                    <w14:schemeClr w14:val="tx1"/>
                  </w14:solidFill>
                </w14:textFill>
              </w:rPr>
              <w:t>⎕</w:t>
            </w:r>
          </w:p>
        </w:tc>
        <w:tc>
          <w:tcPr>
            <w:tcW w:w="536"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大气环境影响预测与评价</w:t>
            </w: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预测模型</w:t>
            </w:r>
          </w:p>
        </w:tc>
        <w:tc>
          <w:tcPr>
            <w:tcW w:w="42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AERMOD</w:t>
            </w:r>
            <w:r>
              <w:rPr>
                <w:rFonts w:ascii="Times New Roman" w:hAnsi="Times New Roman" w:cs="Times New Roman"/>
                <w:color w:val="000000" w:themeColor="text1"/>
                <w:sz w:val="21"/>
                <w:szCs w:val="21"/>
                <w14:textFill>
                  <w14:solidFill>
                    <w14:schemeClr w14:val="tx1"/>
                  </w14:solidFill>
                </w14:textFill>
              </w:rPr>
              <w:sym w:font="Wingdings" w:char="00FE"/>
            </w:r>
          </w:p>
        </w:tc>
        <w:tc>
          <w:tcPr>
            <w:tcW w:w="397"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ADMS</w:t>
            </w:r>
            <w:r>
              <w:rPr>
                <w:rFonts w:ascii="Times New Roman" w:hAnsi="Times New Roman" w:cs="Times New Roman"/>
                <w:color w:val="000000" w:themeColor="text1"/>
                <w:sz w:val="21"/>
                <w:szCs w:val="21"/>
                <w14:textFill>
                  <w14:solidFill>
                    <w14:schemeClr w14:val="tx1"/>
                  </w14:solidFill>
                </w14:textFill>
              </w:rPr>
              <w:sym w:font="Wingdings" w:char="00A8"/>
            </w:r>
          </w:p>
        </w:tc>
        <w:tc>
          <w:tcPr>
            <w:tcW w:w="680"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AUSTAL200 0</w:t>
            </w:r>
            <w:r>
              <w:rPr>
                <w:rFonts w:ascii="Times New Roman" w:hAnsi="Times New Roman" w:cs="Times New Roman"/>
                <w:color w:val="000000" w:themeColor="text1"/>
                <w:sz w:val="21"/>
                <w:szCs w:val="21"/>
                <w14:textFill>
                  <w14:solidFill>
                    <w14:schemeClr w14:val="tx1"/>
                  </w14:solidFill>
                </w14:textFill>
              </w:rPr>
              <w:sym w:font="Wingdings" w:char="00A8"/>
            </w:r>
          </w:p>
        </w:tc>
        <w:tc>
          <w:tcPr>
            <w:tcW w:w="848" w:type="pct"/>
            <w:gridSpan w:val="3"/>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EDMS/AEDT⎕</w:t>
            </w:r>
          </w:p>
        </w:tc>
        <w:tc>
          <w:tcPr>
            <w:tcW w:w="562"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CALPUFF</w:t>
            </w:r>
            <w:r>
              <w:rPr>
                <w:rFonts w:ascii="Times New Roman" w:hAnsi="Times New Roman" w:cs="Times New Roman"/>
                <w:color w:val="000000" w:themeColor="text1"/>
                <w:sz w:val="21"/>
                <w:szCs w:val="21"/>
                <w14:textFill>
                  <w14:solidFill>
                    <w14:schemeClr w14:val="tx1"/>
                  </w14:solidFill>
                </w14:textFill>
              </w:rPr>
              <w:sym w:font="Wingdings" w:char="00A8"/>
            </w:r>
          </w:p>
        </w:tc>
        <w:tc>
          <w:tcPr>
            <w:tcW w:w="397" w:type="pct"/>
            <w:gridSpan w:val="2"/>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网格模型</w:t>
            </w:r>
            <w:r>
              <w:rPr>
                <w:rFonts w:ascii="Times New Roman" w:hAnsi="Times New Roman" w:cs="Times New Roman"/>
                <w:color w:val="000000" w:themeColor="text1"/>
                <w:sz w:val="21"/>
                <w:szCs w:val="21"/>
                <w14:textFill>
                  <w14:solidFill>
                    <w14:schemeClr w14:val="tx1"/>
                  </w14:solidFill>
                </w14:textFill>
              </w:rPr>
              <w:sym w:font="Wingdings" w:char="00A8"/>
            </w:r>
          </w:p>
        </w:tc>
        <w:tc>
          <w:tcPr>
            <w:tcW w:w="445"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w:t>
            </w:r>
            <w:r>
              <w:rPr>
                <w:rFonts w:ascii="Times New Roman" w:hAnsi="Times New Roman" w:cs="Times New Roman"/>
                <w:color w:val="000000" w:themeColor="text1"/>
                <w:sz w:val="21"/>
                <w:szCs w:val="21"/>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预测范围</w:t>
            </w:r>
          </w:p>
        </w:tc>
        <w:tc>
          <w:tcPr>
            <w:tcW w:w="1371" w:type="pct"/>
            <w:gridSpan w:val="5"/>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边长≥50km⎕</w:t>
            </w:r>
          </w:p>
        </w:tc>
        <w:tc>
          <w:tcPr>
            <w:tcW w:w="1289"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边长5～50km</w:t>
            </w:r>
            <w:r>
              <w:rPr>
                <w:rFonts w:ascii="Times New Roman" w:hAnsi="Times New Roman" w:cs="Times New Roman"/>
                <w:color w:val="000000" w:themeColor="text1"/>
                <w:sz w:val="21"/>
                <w:szCs w:val="21"/>
                <w14:textFill>
                  <w14:solidFill>
                    <w14:schemeClr w14:val="tx1"/>
                  </w14:solidFill>
                </w14:textFill>
              </w:rPr>
              <w:sym w:font="Wingdings" w:char="00FE"/>
            </w:r>
          </w:p>
        </w:tc>
        <w:tc>
          <w:tcPr>
            <w:tcW w:w="1099"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预测因子</w:t>
            </w:r>
          </w:p>
        </w:tc>
        <w:tc>
          <w:tcPr>
            <w:tcW w:w="2126" w:type="pct"/>
            <w:gridSpan w:val="8"/>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预测因子（NH</w:t>
            </w:r>
            <w:r>
              <w:rPr>
                <w:rFonts w:ascii="Times New Roman" w:hAnsi="Times New Roman" w:cs="Times New Roman"/>
                <w:color w:val="000000" w:themeColor="text1"/>
                <w:position w:val="2"/>
                <w:sz w:val="21"/>
                <w:szCs w:val="21"/>
                <w:vertAlign w:val="subscript"/>
                <w14:textFill>
                  <w14:solidFill>
                    <w14:schemeClr w14:val="tx1"/>
                  </w14:solidFill>
                </w14:textFill>
              </w:rPr>
              <w:t>3</w:t>
            </w:r>
            <w:r>
              <w:rPr>
                <w:rFonts w:ascii="Times New Roman" w:hAnsi="Times New Roman" w:cs="Times New Roman"/>
                <w:color w:val="000000" w:themeColor="text1"/>
                <w:position w:val="2"/>
                <w:sz w:val="21"/>
                <w:szCs w:val="21"/>
                <w14:textFill>
                  <w14:solidFill>
                    <w14:schemeClr w14:val="tx1"/>
                  </w14:solidFill>
                </w14:textFill>
              </w:rPr>
              <w:t>、H</w:t>
            </w:r>
            <w:r>
              <w:rPr>
                <w:rFonts w:ascii="Times New Roman" w:hAnsi="Times New Roman" w:cs="Times New Roman"/>
                <w:color w:val="000000" w:themeColor="text1"/>
                <w:position w:val="2"/>
                <w:sz w:val="21"/>
                <w:szCs w:val="21"/>
                <w:vertAlign w:val="subscript"/>
                <w14:textFill>
                  <w14:solidFill>
                    <w14:schemeClr w14:val="tx1"/>
                  </w14:solidFill>
                </w14:textFill>
              </w:rPr>
              <w:t>2</w:t>
            </w:r>
            <w:r>
              <w:rPr>
                <w:rFonts w:ascii="Times New Roman" w:hAnsi="Times New Roman" w:cs="Times New Roman"/>
                <w:color w:val="000000" w:themeColor="text1"/>
                <w:position w:val="2"/>
                <w:sz w:val="21"/>
                <w:szCs w:val="21"/>
                <w14:textFill>
                  <w14:solidFill>
                    <w14:schemeClr w14:val="tx1"/>
                  </w14:solidFill>
                </w14:textFill>
              </w:rPr>
              <w:t>S）</w:t>
            </w:r>
          </w:p>
        </w:tc>
        <w:tc>
          <w:tcPr>
            <w:tcW w:w="1634" w:type="pct"/>
            <w:gridSpan w:val="9"/>
            <w:vAlign w:val="center"/>
          </w:tcPr>
          <w:p>
            <w:pPr>
              <w:pStyle w:val="46"/>
              <w:spacing w:before="0" w:line="240" w:lineRule="auto"/>
              <w:ind w:firstLine="0" w:firstLineChars="0"/>
              <w:rPr>
                <w:rFonts w:ascii="Times New Roman" w:hAnsi="Times New Roman" w:cs="Times New Roman"/>
                <w:color w:val="000000" w:themeColor="text1"/>
                <w:position w:val="2"/>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包括二次PM</w:t>
            </w:r>
            <w:r>
              <w:rPr>
                <w:rFonts w:ascii="Times New Roman" w:hAnsi="Times New Roman" w:cs="Times New Roman"/>
                <w:color w:val="000000" w:themeColor="text1"/>
                <w:position w:val="2"/>
                <w:sz w:val="21"/>
                <w:szCs w:val="21"/>
                <w:vertAlign w:val="subscript"/>
                <w14:textFill>
                  <w14:solidFill>
                    <w14:schemeClr w14:val="tx1"/>
                  </w14:solidFill>
                </w14:textFill>
              </w:rPr>
              <w:t>2.5</w:t>
            </w:r>
            <w:r>
              <w:rPr>
                <w:rFonts w:ascii="Times New Roman" w:hAnsi="Times New Roman" w:cs="Times New Roman"/>
                <w:color w:val="000000" w:themeColor="text1"/>
                <w:position w:val="2"/>
                <w:sz w:val="21"/>
                <w:szCs w:val="21"/>
                <w14:textFill>
                  <w14:solidFill>
                    <w14:schemeClr w14:val="tx1"/>
                  </w14:solidFill>
                </w14:textFill>
              </w:rPr>
              <w:t>⎕</w:t>
            </w:r>
          </w:p>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不包括二次 PM</w:t>
            </w:r>
            <w:r>
              <w:rPr>
                <w:rFonts w:ascii="Times New Roman" w:hAnsi="Times New Roman" w:cs="Times New Roman"/>
                <w:color w:val="000000" w:themeColor="text1"/>
                <w:position w:val="2"/>
                <w:sz w:val="21"/>
                <w:szCs w:val="21"/>
                <w:vertAlign w:val="subscript"/>
                <w14:textFill>
                  <w14:solidFill>
                    <w14:schemeClr w14:val="tx1"/>
                  </w14:solidFill>
                </w14:textFill>
              </w:rPr>
              <w:t>2.5</w:t>
            </w:r>
            <w:r>
              <w:rPr>
                <w:rFonts w:ascii="Times New Roman" w:hAnsi="Times New Roman" w:cs="Times New Roman"/>
                <w:color w:val="000000" w:themeColor="text1"/>
                <w:sz w:val="21"/>
                <w:szCs w:val="21"/>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正常排放短期浓度贡献值</w:t>
            </w:r>
          </w:p>
        </w:tc>
        <w:tc>
          <w:tcPr>
            <w:tcW w:w="2126" w:type="pct"/>
            <w:gridSpan w:val="8"/>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position w:val="-1"/>
                <w:sz w:val="21"/>
                <w:szCs w:val="21"/>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最大占标率≤100%⎕</w:t>
            </w:r>
          </w:p>
        </w:tc>
        <w:tc>
          <w:tcPr>
            <w:tcW w:w="1634" w:type="pct"/>
            <w:gridSpan w:val="9"/>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position w:val="-1"/>
                <w:sz w:val="21"/>
                <w:szCs w:val="21"/>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正常排放年均</w:t>
            </w:r>
            <w:r>
              <w:rPr>
                <w:rFonts w:ascii="Times New Roman" w:hAnsi="Times New Roman" w:cs="Times New Roman"/>
                <w:color w:val="000000" w:themeColor="text1"/>
                <w:sz w:val="21"/>
                <w:szCs w:val="21"/>
                <w14:textFill>
                  <w14:solidFill>
                    <w14:schemeClr w14:val="tx1"/>
                  </w14:solidFill>
                </w14:textFill>
              </w:rPr>
              <w:t>浓度贡献值</w:t>
            </w:r>
          </w:p>
        </w:tc>
        <w:tc>
          <w:tcPr>
            <w:tcW w:w="42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一类区</w:t>
            </w:r>
          </w:p>
        </w:tc>
        <w:tc>
          <w:tcPr>
            <w:tcW w:w="1698" w:type="pct"/>
            <w:gridSpan w:val="7"/>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position w:val="-1"/>
                <w:sz w:val="21"/>
                <w:szCs w:val="21"/>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w:t>
            </w:r>
          </w:p>
        </w:tc>
        <w:tc>
          <w:tcPr>
            <w:tcW w:w="1634" w:type="pct"/>
            <w:gridSpan w:val="9"/>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position w:val="-1"/>
                <w:sz w:val="21"/>
                <w:szCs w:val="21"/>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428"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二类区</w:t>
            </w:r>
          </w:p>
        </w:tc>
        <w:tc>
          <w:tcPr>
            <w:tcW w:w="1698" w:type="pct"/>
            <w:gridSpan w:val="7"/>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position w:val="-1"/>
                <w:sz w:val="21"/>
                <w:szCs w:val="21"/>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最大占标率≤30%⎕</w:t>
            </w:r>
          </w:p>
        </w:tc>
        <w:tc>
          <w:tcPr>
            <w:tcW w:w="1634" w:type="pct"/>
            <w:gridSpan w:val="9"/>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position w:val="-1"/>
                <w:sz w:val="21"/>
                <w:szCs w:val="21"/>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非正常排放1h浓度贡献值</w:t>
            </w:r>
          </w:p>
        </w:tc>
        <w:tc>
          <w:tcPr>
            <w:tcW w:w="1136"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非正常持续时长（）h</w:t>
            </w:r>
          </w:p>
        </w:tc>
        <w:tc>
          <w:tcPr>
            <w:tcW w:w="1235"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C</w:t>
            </w:r>
            <w:r>
              <w:rPr>
                <w:rFonts w:ascii="Times New Roman" w:hAnsi="Times New Roman" w:cs="Times New Roman"/>
                <w:color w:val="000000" w:themeColor="text1"/>
                <w:spacing w:val="51"/>
                <w:position w:val="2"/>
                <w:sz w:val="21"/>
                <w:szCs w:val="21"/>
                <w14:textFill>
                  <w14:solidFill>
                    <w14:schemeClr w14:val="tx1"/>
                  </w14:solidFill>
                </w14:textFill>
              </w:rPr>
              <w:t xml:space="preserve"> </w:t>
            </w:r>
            <w:r>
              <w:rPr>
                <w:rFonts w:ascii="Times New Roman" w:hAnsi="Times New Roman" w:cs="Times New Roman"/>
                <w:color w:val="000000" w:themeColor="text1"/>
                <w:spacing w:val="-2"/>
                <w:sz w:val="21"/>
                <w:szCs w:val="21"/>
                <w14:textFill>
                  <w14:solidFill>
                    <w14:schemeClr w14:val="tx1"/>
                  </w14:solidFill>
                </w14:textFill>
              </w:rPr>
              <w:t>本项目</w:t>
            </w:r>
            <w:r>
              <w:rPr>
                <w:rFonts w:ascii="Times New Roman" w:hAnsi="Times New Roman" w:cs="Times New Roman"/>
                <w:color w:val="000000" w:themeColor="text1"/>
                <w:position w:val="2"/>
                <w:sz w:val="21"/>
                <w:szCs w:val="21"/>
                <w14:textFill>
                  <w14:solidFill>
                    <w14:schemeClr w14:val="tx1"/>
                  </w14:solidFill>
                </w14:textFill>
              </w:rPr>
              <w:t>最大占标率≤100%</w:t>
            </w:r>
            <w:r>
              <w:rPr>
                <w:rFonts w:ascii="Times New Roman" w:hAnsi="Times New Roman" w:cs="Times New Roman"/>
                <w:color w:val="000000" w:themeColor="text1"/>
                <w:position w:val="4"/>
                <w:sz w:val="21"/>
                <w:szCs w:val="21"/>
                <w14:textFill>
                  <w14:solidFill>
                    <w14:schemeClr w14:val="tx1"/>
                  </w14:solidFill>
                </w14:textFill>
              </w:rPr>
              <w:t>⎕</w:t>
            </w:r>
          </w:p>
        </w:tc>
        <w:tc>
          <w:tcPr>
            <w:tcW w:w="1389" w:type="pct"/>
            <w:gridSpan w:val="7"/>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C </w:t>
            </w:r>
            <w:r>
              <w:rPr>
                <w:rFonts w:ascii="Times New Roman" w:hAnsi="Times New Roman" w:cs="Times New Roman"/>
                <w:color w:val="000000" w:themeColor="text1"/>
                <w:spacing w:val="-2"/>
                <w:position w:val="-1"/>
                <w:sz w:val="21"/>
                <w:szCs w:val="21"/>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bookmarkStart w:id="742" w:name="_Toc11598"/>
            <w:bookmarkStart w:id="743" w:name="_Toc17252"/>
            <w:bookmarkStart w:id="744" w:name="_Toc1046"/>
            <w:r>
              <w:rPr>
                <w:rFonts w:ascii="Times New Roman" w:hAnsi="Times New Roman" w:cs="Times New Roman"/>
                <w:color w:val="000000" w:themeColor="text1"/>
                <w:sz w:val="21"/>
                <w:szCs w:val="21"/>
                <w14:textFill>
                  <w14:solidFill>
                    <w14:schemeClr w14:val="tx1"/>
                  </w14:solidFill>
                </w14:textFill>
              </w:rPr>
              <w:t>环境监测计划</w:t>
            </w: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污染源监测</w:t>
            </w:r>
          </w:p>
        </w:tc>
        <w:tc>
          <w:tcPr>
            <w:tcW w:w="1136"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w:t>
            </w:r>
            <w:r>
              <w:rPr>
                <w:rFonts w:ascii="Times New Roman" w:hAnsi="Times New Roman" w:cs="Times New Roman"/>
                <w:color w:val="000000" w:themeColor="text1"/>
                <w:position w:val="2"/>
                <w:sz w:val="21"/>
                <w:szCs w:val="21"/>
                <w14:textFill>
                  <w14:solidFill>
                    <w14:schemeClr w14:val="tx1"/>
                  </w14:solidFill>
                </w14:textFill>
              </w:rPr>
              <w:t>NH</w:t>
            </w:r>
            <w:r>
              <w:rPr>
                <w:rFonts w:ascii="Times New Roman" w:hAnsi="Times New Roman" w:cs="Times New Roman"/>
                <w:color w:val="000000" w:themeColor="text1"/>
                <w:position w:val="2"/>
                <w:sz w:val="21"/>
                <w:szCs w:val="21"/>
                <w:vertAlign w:val="subscript"/>
                <w14:textFill>
                  <w14:solidFill>
                    <w14:schemeClr w14:val="tx1"/>
                  </w14:solidFill>
                </w14:textFill>
              </w:rPr>
              <w:t>3</w:t>
            </w:r>
            <w:r>
              <w:rPr>
                <w:rFonts w:ascii="Times New Roman" w:hAnsi="Times New Roman" w:cs="Times New Roman"/>
                <w:color w:val="000000" w:themeColor="text1"/>
                <w:position w:val="2"/>
                <w:sz w:val="21"/>
                <w:szCs w:val="21"/>
                <w14:textFill>
                  <w14:solidFill>
                    <w14:schemeClr w14:val="tx1"/>
                  </w14:solidFill>
                </w14:textFill>
              </w:rPr>
              <w:t>、H</w:t>
            </w:r>
            <w:r>
              <w:rPr>
                <w:rFonts w:ascii="Times New Roman" w:hAnsi="Times New Roman" w:cs="Times New Roman"/>
                <w:color w:val="000000" w:themeColor="text1"/>
                <w:position w:val="2"/>
                <w:sz w:val="21"/>
                <w:szCs w:val="21"/>
                <w:vertAlign w:val="subscript"/>
                <w14:textFill>
                  <w14:solidFill>
                    <w14:schemeClr w14:val="tx1"/>
                  </w14:solidFill>
                </w14:textFill>
              </w:rPr>
              <w:t>2</w:t>
            </w:r>
            <w:r>
              <w:rPr>
                <w:rFonts w:ascii="Times New Roman" w:hAnsi="Times New Roman" w:cs="Times New Roman"/>
                <w:color w:val="000000" w:themeColor="text1"/>
                <w:position w:val="2"/>
                <w:sz w:val="21"/>
                <w:szCs w:val="21"/>
                <w14:textFill>
                  <w14:solidFill>
                    <w14:schemeClr w14:val="tx1"/>
                  </w14:solidFill>
                </w14:textFill>
              </w:rPr>
              <w:t>S</w:t>
            </w:r>
            <w:r>
              <w:rPr>
                <w:rFonts w:hint="eastAsia" w:ascii="Times New Roman" w:hAnsi="Times New Roman" w:cs="Times New Roman"/>
                <w:color w:val="000000" w:themeColor="text1"/>
                <w:position w:val="2"/>
                <w:sz w:val="21"/>
                <w:szCs w:val="21"/>
                <w14:textFill>
                  <w14:solidFill>
                    <w14:schemeClr w14:val="tx1"/>
                  </w14:solidFill>
                </w14:textFill>
              </w:rPr>
              <w:t>、</w:t>
            </w:r>
            <w:r>
              <w:rPr>
                <w:rFonts w:hint="eastAsia" w:ascii="Times New Roman" w:hAnsi="Times New Roman" w:cs="Times New Roman"/>
                <w:color w:val="000000" w:themeColor="text1"/>
                <w:position w:val="2"/>
                <w:sz w:val="21"/>
                <w:szCs w:val="21"/>
                <w:lang w:val="en-US"/>
                <w14:textFill>
                  <w14:solidFill>
                    <w14:schemeClr w14:val="tx1"/>
                  </w14:solidFill>
                </w14:textFill>
              </w:rPr>
              <w:t>臭气浓度、食堂油烟</w:t>
            </w:r>
            <w:r>
              <w:rPr>
                <w:rFonts w:ascii="Times New Roman" w:hAnsi="Times New Roman" w:cs="Times New Roman"/>
                <w:color w:val="000000" w:themeColor="text1"/>
                <w:sz w:val="21"/>
                <w:szCs w:val="21"/>
                <w14:textFill>
                  <w14:solidFill>
                    <w14:schemeClr w14:val="tx1"/>
                  </w14:solidFill>
                </w14:textFill>
              </w:rPr>
              <w:t>）</w:t>
            </w:r>
          </w:p>
        </w:tc>
        <w:tc>
          <w:tcPr>
            <w:tcW w:w="1235" w:type="pct"/>
            <w:gridSpan w:val="6"/>
            <w:vAlign w:val="center"/>
          </w:tcPr>
          <w:p>
            <w:pPr>
              <w:pStyle w:val="46"/>
              <w:spacing w:before="0" w:line="240" w:lineRule="auto"/>
              <w:ind w:firstLine="0" w:firstLineChars="0"/>
              <w:rPr>
                <w:rFonts w:ascii="Times New Roman" w:hAnsi="Times New Roman" w:cs="Times New Roman"/>
                <w:color w:val="000000" w:themeColor="text1"/>
                <w:position w:val="2"/>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有组织废气监测</w:t>
            </w:r>
            <w:r>
              <w:rPr>
                <w:rFonts w:ascii="Times New Roman" w:hAnsi="Times New Roman" w:cs="Times New Roman"/>
                <w:color w:val="000000" w:themeColor="text1"/>
                <w:sz w:val="21"/>
                <w:szCs w:val="21"/>
                <w14:textFill>
                  <w14:solidFill>
                    <w14:schemeClr w14:val="tx1"/>
                  </w14:solidFill>
                </w14:textFill>
              </w:rPr>
              <w:sym w:font="Wingdings" w:char="00FE"/>
            </w:r>
          </w:p>
          <w:p>
            <w:pPr>
              <w:pStyle w:val="46"/>
              <w:spacing w:before="0" w:line="240" w:lineRule="auto"/>
              <w:ind w:firstLine="0" w:firstLineChars="0"/>
              <w:rPr>
                <w:rFonts w:ascii="Times New Roman" w:hAnsi="Times New Roman" w:cs="Times New Roman"/>
                <w:color w:val="000000" w:themeColor="text1"/>
                <w:position w:val="2"/>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无组织废气监测</w:t>
            </w:r>
            <w:r>
              <w:rPr>
                <w:rFonts w:ascii="Times New Roman" w:hAnsi="Times New Roman" w:cs="Times New Roman"/>
                <w:color w:val="000000" w:themeColor="text1"/>
                <w:sz w:val="21"/>
                <w:szCs w:val="21"/>
                <w14:textFill>
                  <w14:solidFill>
                    <w14:schemeClr w14:val="tx1"/>
                  </w14:solidFill>
                </w14:textFill>
              </w:rPr>
              <w:sym w:font="Wingdings" w:char="00A8"/>
            </w:r>
          </w:p>
        </w:tc>
        <w:tc>
          <w:tcPr>
            <w:tcW w:w="1389" w:type="pct"/>
            <w:gridSpan w:val="7"/>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环境质量监测</w:t>
            </w:r>
          </w:p>
        </w:tc>
        <w:tc>
          <w:tcPr>
            <w:tcW w:w="1136"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w:t>
            </w:r>
            <w:r>
              <w:rPr>
                <w:rFonts w:hint="eastAsia" w:ascii="Times New Roman" w:hAnsi="Times New Roman" w:cs="Times New Roman"/>
                <w:color w:val="000000" w:themeColor="text1"/>
                <w:sz w:val="21"/>
                <w:szCs w:val="21"/>
                <w:lang w:val="en-US"/>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p>
        </w:tc>
        <w:tc>
          <w:tcPr>
            <w:tcW w:w="1235" w:type="pct"/>
            <w:gridSpan w:val="6"/>
            <w:vAlign w:val="center"/>
          </w:tcPr>
          <w:p>
            <w:pPr>
              <w:pStyle w:val="46"/>
              <w:spacing w:before="0" w:line="240" w:lineRule="auto"/>
              <w:ind w:firstLine="0" w:firstLineChars="0"/>
              <w:rPr>
                <w:rFonts w:ascii="Times New Roman" w:hAnsi="Times New Roman" w:cs="Times New Roman"/>
                <w:color w:val="000000" w:themeColor="text1"/>
                <w:position w:val="2"/>
                <w:sz w:val="21"/>
                <w:szCs w:val="21"/>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监测点位数（</w:t>
            </w:r>
            <w:r>
              <w:rPr>
                <w:rFonts w:hint="eastAsia" w:ascii="Times New Roman" w:hAnsi="Times New Roman" w:cs="Times New Roman"/>
                <w:color w:val="000000" w:themeColor="text1"/>
                <w:position w:val="2"/>
                <w:sz w:val="21"/>
                <w:szCs w:val="21"/>
                <w:lang w:val="en-US"/>
                <w14:textFill>
                  <w14:solidFill>
                    <w14:schemeClr w14:val="tx1"/>
                  </w14:solidFill>
                </w14:textFill>
              </w:rPr>
              <w:t>/</w:t>
            </w:r>
            <w:r>
              <w:rPr>
                <w:rFonts w:ascii="Times New Roman" w:hAnsi="Times New Roman" w:cs="Times New Roman"/>
                <w:color w:val="000000" w:themeColor="text1"/>
                <w:position w:val="2"/>
                <w:sz w:val="21"/>
                <w:szCs w:val="21"/>
                <w14:textFill>
                  <w14:solidFill>
                    <w14:schemeClr w14:val="tx1"/>
                  </w14:solidFill>
                </w14:textFill>
              </w:rPr>
              <w:t>）</w:t>
            </w:r>
          </w:p>
        </w:tc>
        <w:tc>
          <w:tcPr>
            <w:tcW w:w="1389" w:type="pct"/>
            <w:gridSpan w:val="7"/>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评价结论</w:t>
            </w: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环境影响</w:t>
            </w:r>
          </w:p>
        </w:tc>
        <w:tc>
          <w:tcPr>
            <w:tcW w:w="3761" w:type="pct"/>
            <w:gridSpan w:val="17"/>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可以接受</w:t>
            </w:r>
            <w:r>
              <w:rPr>
                <w:rFonts w:ascii="Times New Roman" w:hAnsi="Times New Roman" w:cs="Times New Roman"/>
                <w:color w:val="000000" w:themeColor="text1"/>
                <w:sz w:val="21"/>
                <w:szCs w:val="21"/>
                <w14:textFill>
                  <w14:solidFill>
                    <w14:schemeClr w14:val="tx1"/>
                  </w14:solidFill>
                </w14:textFill>
              </w:rPr>
              <w:sym w:font="Wingdings" w:char="00FE"/>
            </w:r>
            <w:r>
              <w:rPr>
                <w:rFonts w:hint="eastAsia" w:ascii="Times New Roman" w:hAnsi="Times New Roman" w:cs="Times New Roman"/>
                <w:color w:val="000000" w:themeColor="text1"/>
                <w:sz w:val="21"/>
                <w:szCs w:val="21"/>
                <w:lang w:val="en-US"/>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大气环境防护距离</w:t>
            </w:r>
          </w:p>
        </w:tc>
        <w:tc>
          <w:tcPr>
            <w:tcW w:w="3761" w:type="pct"/>
            <w:gridSpan w:val="17"/>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距（</w:t>
            </w:r>
            <w:r>
              <w:rPr>
                <w:rFonts w:hint="eastAsia" w:ascii="Times New Roman" w:hAnsi="Times New Roman" w:cs="Times New Roman"/>
                <w:color w:val="000000" w:themeColor="text1"/>
                <w:sz w:val="21"/>
                <w:szCs w:val="21"/>
                <w:lang w:val="en-US"/>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）厂界最远（</w:t>
            </w:r>
            <w:r>
              <w:rPr>
                <w:rFonts w:hint="eastAsia" w:ascii="Times New Roman" w:hAnsi="Times New Roman" w:cs="Times New Roman"/>
                <w:color w:val="000000" w:themeColor="text1"/>
                <w:sz w:val="21"/>
                <w:szCs w:val="21"/>
                <w:lang w:val="en-US"/>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Merge w:val="restart"/>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污染源年排放量</w:t>
            </w:r>
          </w:p>
        </w:tc>
        <w:tc>
          <w:tcPr>
            <w:tcW w:w="940" w:type="pct"/>
            <w:gridSpan w:val="3"/>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SO</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）t/a</w:t>
            </w:r>
          </w:p>
        </w:tc>
        <w:tc>
          <w:tcPr>
            <w:tcW w:w="938"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NOX（</w:t>
            </w:r>
            <w:r>
              <w:rPr>
                <w:rFonts w:hint="eastAsia" w:ascii="Times New Roman" w:hAnsi="Times New Roman" w:cs="Times New Roman"/>
                <w:color w:val="000000" w:themeColor="text1"/>
                <w:sz w:val="21"/>
                <w:szCs w:val="21"/>
                <w:lang w:val="en-US"/>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）t/a</w:t>
            </w:r>
          </w:p>
        </w:tc>
        <w:tc>
          <w:tcPr>
            <w:tcW w:w="938" w:type="pct"/>
            <w:gridSpan w:val="6"/>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w:t>
            </w:r>
            <w:r>
              <w:rPr>
                <w:rFonts w:hint="eastAsia" w:ascii="Times New Roman" w:hAnsi="Times New Roman" w:cs="Times New Roman"/>
                <w:color w:val="000000" w:themeColor="text1"/>
                <w:sz w:val="21"/>
                <w:szCs w:val="21"/>
                <w:lang w:val="en-US"/>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）t/a</w:t>
            </w:r>
          </w:p>
        </w:tc>
        <w:tc>
          <w:tcPr>
            <w:tcW w:w="943" w:type="pct"/>
            <w:gridSpan w:val="4"/>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VOC（</w:t>
            </w:r>
            <w:r>
              <w:rPr>
                <w:rFonts w:hint="eastAsia" w:ascii="Times New Roman" w:hAnsi="Times New Roman" w:cs="Times New Roman"/>
                <w:color w:val="000000" w:themeColor="text1"/>
                <w:sz w:val="21"/>
                <w:szCs w:val="21"/>
                <w:lang w:val="en-US"/>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784" w:type="pct"/>
            <w:vMerge w:val="continue"/>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p>
        </w:tc>
        <w:tc>
          <w:tcPr>
            <w:tcW w:w="1879" w:type="pct"/>
            <w:gridSpan w:val="7"/>
            <w:vAlign w:val="center"/>
          </w:tcPr>
          <w:p>
            <w:pPr>
              <w:pStyle w:val="46"/>
              <w:spacing w:before="0"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S（0.009）t/a</w:t>
            </w:r>
          </w:p>
        </w:tc>
        <w:tc>
          <w:tcPr>
            <w:tcW w:w="1881" w:type="pct"/>
            <w:gridSpan w:val="10"/>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（0.244）t/a</w:t>
            </w:r>
          </w:p>
        </w:tc>
      </w:tr>
    </w:tbl>
    <w:p>
      <w:pPr>
        <w:pStyle w:val="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5.2.2运营期水环境影响预测与评价</w:t>
      </w:r>
      <w:bookmarkEnd w:id="742"/>
      <w:bookmarkEnd w:id="743"/>
      <w:bookmarkEnd w:id="744"/>
    </w:p>
    <w:p>
      <w:pPr>
        <w:pStyle w:val="7"/>
        <w:rPr>
          <w:rFonts w:cs="Times New Roman"/>
          <w:color w:val="000000" w:themeColor="text1"/>
          <w14:textFill>
            <w14:solidFill>
              <w14:schemeClr w14:val="tx1"/>
            </w14:solidFill>
          </w14:textFill>
        </w:rPr>
      </w:pPr>
      <w:bookmarkStart w:id="745" w:name="_Toc2322"/>
      <w:bookmarkStart w:id="746" w:name="_Toc1225"/>
      <w:r>
        <w:rPr>
          <w:rFonts w:cs="Times New Roman"/>
          <w:color w:val="000000" w:themeColor="text1"/>
          <w14:textFill>
            <w14:solidFill>
              <w14:schemeClr w14:val="tx1"/>
            </w14:solidFill>
          </w14:textFill>
        </w:rPr>
        <w:t>5.2.2.1 营运期地表水环境影响分析</w:t>
      </w:r>
      <w:bookmarkEnd w:id="745"/>
      <w:bookmarkEnd w:id="746"/>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（1）废水来源、水质、水量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项目建成后污水包括养殖废水和生活污水，其中养殖废水是项目最主要的污水，主要来源于猪舍的冲洗水</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猪尿</w:t>
      </w:r>
      <w:r>
        <w:rPr>
          <w:rFonts w:hint="eastAsia" w:ascii="Times New Roman" w:hAnsi="Times New Roman" w:cs="Times New Roman"/>
          <w:color w:val="000000" w:themeColor="text1"/>
          <w14:textFill>
            <w14:solidFill>
              <w14:schemeClr w14:val="tx1"/>
            </w14:solidFill>
          </w14:textFill>
        </w:rPr>
        <w:t>、猪粪滤液</w:t>
      </w:r>
      <w:r>
        <w:rPr>
          <w:rFonts w:ascii="Times New Roman" w:hAnsi="Times New Roman" w:cs="Times New Roman"/>
          <w:color w:val="000000" w:themeColor="text1"/>
          <w14:textFill>
            <w14:solidFill>
              <w14:schemeClr w14:val="tx1"/>
            </w14:solidFill>
          </w14:textFill>
        </w:rPr>
        <w:t>。生活污水经化粪池处理后与猪舍产生的养殖废水一并排入厌氧存储塘发酵，处理后作为液体有机肥料农用，因此，本项目无外排污水。项目</w:t>
      </w:r>
      <w:r>
        <w:rPr>
          <w:rFonts w:hint="eastAsia" w:ascii="Times New Roman" w:hAnsi="Times New Roman" w:cs="Times New Roman"/>
          <w:color w:val="000000" w:themeColor="text1"/>
          <w14:textFill>
            <w14:solidFill>
              <w14:schemeClr w14:val="tx1"/>
            </w14:solidFill>
          </w14:textFill>
        </w:rPr>
        <w:t>废水</w:t>
      </w:r>
      <w:r>
        <w:rPr>
          <w:rFonts w:ascii="Times New Roman" w:hAnsi="Times New Roman" w:cs="Times New Roman"/>
          <w:color w:val="000000" w:themeColor="text1"/>
          <w14:textFill>
            <w14:solidFill>
              <w14:schemeClr w14:val="tx1"/>
            </w14:solidFill>
          </w14:textFill>
        </w:rPr>
        <w:t>产生量和水质情况见表</w:t>
      </w:r>
      <w:r>
        <w:rPr>
          <w:rFonts w:hint="eastAsia" w:ascii="Times New Roman" w:hAnsi="Times New Roman" w:cs="Times New Roman"/>
          <w:color w:val="000000" w:themeColor="text1"/>
          <w14:textFill>
            <w14:solidFill>
              <w14:schemeClr w14:val="tx1"/>
            </w14:solidFill>
          </w14:textFill>
        </w:rPr>
        <w:t>3.5-6</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（2）废水不排放可行性分析</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液体有机肥厌氧存储塘处理工艺的可行性分析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舍里产生的尿、粪及冲洗水经漏粪板漏入下方的漏粪沟内，然后通过虹吸作用排入积粪池，再送入固液分离系统，分离后固体部分运至堆肥场堆肥后外售，液体部分进入液体池，定期由输送泵输送至厌氧存储塘进行液体肥生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本项目所设计的厌氧存储塘具有防渗防蒸发厌氧处理，最终无害化发酵形成液体有机肥。包括：厌氧存储塘由安全膜、报警系统、底膜及浮动膜（覆膜），安全排气孔等组成。</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0500" cy="1313815"/>
            <wp:effectExtent l="0" t="0" r="6350" b="63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26"/>
                    <a:stretch>
                      <a:fillRect/>
                    </a:stretch>
                  </pic:blipFill>
                  <pic:spPr>
                    <a:xfrm>
                      <a:off x="0" y="0"/>
                      <a:ext cx="5270500" cy="1313815"/>
                    </a:xfrm>
                    <a:prstGeom prst="rect">
                      <a:avLst/>
                    </a:prstGeom>
                    <a:noFill/>
                    <a:ln>
                      <a:noFill/>
                    </a:ln>
                  </pic:spPr>
                </pic:pic>
              </a:graphicData>
            </a:graphic>
          </wp:inline>
        </w:drawing>
      </w:r>
    </w:p>
    <w:p>
      <w:pPr>
        <w:pStyle w:val="39"/>
        <w:spacing w:before="0" w:after="0" w:line="520" w:lineRule="exact"/>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图 5.2-1 厌氧存储塘存储示意图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固液分离后的液体部分存储在底膜和浮动膜之间的空间里，随着进入的液体量不断增加，浮动膜会慢慢浮起。粪污水在双层膜内部经厌氧发酵后，成为液体有机肥还田，方案可行。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厌氧储存塘的低层采用1.5m厚度粘土或原土夯实”的防渗方式，渗透系数不</w:t>
      </w:r>
      <w:r>
        <w:rPr>
          <w:rFonts w:hint="eastAsia" w:ascii="Times New Roman" w:hAnsi="Times New Roman" w:cs="Times New Roman"/>
          <w:color w:val="000000" w:themeColor="text1"/>
          <w14:textFill>
            <w14:solidFill>
              <w14:schemeClr w14:val="tx1"/>
            </w14:solidFill>
          </w14:textFill>
        </w:rPr>
        <w:t>大</w:t>
      </w:r>
      <w:r>
        <w:rPr>
          <w:rFonts w:ascii="Times New Roman" w:hAnsi="Times New Roman" w:cs="Times New Roman"/>
          <w:color w:val="000000" w:themeColor="text1"/>
          <w14:textFill>
            <w14:solidFill>
              <w14:schemeClr w14:val="tx1"/>
            </w14:solidFill>
          </w14:textFill>
        </w:rPr>
        <w:t>于1.0×10</w:t>
      </w:r>
      <w:r>
        <w:rPr>
          <w:rFonts w:ascii="Times New Roman" w:hAnsi="Times New Roman" w:cs="Times New Roman"/>
          <w:color w:val="000000" w:themeColor="text1"/>
          <w:vertAlign w:val="superscript"/>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cm/s，之上铺设一层1mm厚的高密度聚乙烯（HDPE）膜（渗透系数K&lt;10</w:t>
      </w:r>
      <w:r>
        <w:rPr>
          <w:rFonts w:ascii="Times New Roman" w:hAnsi="Times New Roman" w:cs="Times New Roman"/>
          <w:color w:val="000000" w:themeColor="text1"/>
          <w:vertAlign w:val="super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cm/s），在安全膜以上是储存塘的底膜，低膜与浮动膜形成密闭无缝隙的带囊，充装肥水。采取以上措施后，液体有机肥储存可以做到防渗漏。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本项目产生畜禽废水经固液分离设备、厌氧存储塘处理后，全部转变为液体有机肥后施用周边的农田。因此，本工程最终无废水排放。</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有机肥综合利用可行性分析</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有机肥营养成分及用途</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厌氧发酵是由众多微生物参与的非常复杂的分解转化过程，有机肥中的可溶物只有很少部分是物料中残留下来的，大部分是经分解转化后新生成的，这些可溶物主要是种类繁多的有机物及各种离子组成，目前，有机肥中已检测出含有各类氨基酸、维生素、蛋白质、赤酶素、生长素，糖类核酸以及植物生长所需的抗生素，是一种优质的有机肥料和饲料，目前应用比较广泛的是作为有机肥料施用于农田。有机肥一般根外施用，其营养成分可直接被农作物吸收，参与光合作用，从而增加产量，提高品质。此外，对部分病虫害有较好的防治作用。根据相关资料介绍，长期施用有机肥农作物产量可提高10%~30%，农产品质量提高1~2个档次。</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有机肥液施用方案</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养殖废水处理后作为液体有机肥料施用于农田，采用施肥管道将有机肥厌氧存储塘铺设到施肥田地和灌溉（滴灌或喷灌）追肥方式，通过水力将液肥中营养物质带入植物根系，从而营养整个植株。</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本项目产生畜禽废水经厌氧存储塘发酵处理后，上层清液的pH值在6.8~7.5之间，可施用于项目区周边的农田。</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区域对液体有机肥养分的消纳能力</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规模化畜禽养殖业在快速发展的同时，由于养殖场缺少配套的种植用地产生种、养分离这一不合理局面，造成大量粪尿流失，使养殖企业成为影响环境的主要面源。在农业生态系统中养分循环是最简单形式，集约化条件下畜禽粪污可经农田施肥进入土壤。如果进入农田的畜禽粪污超出了作物对养分的需求，便存在向环境流失氮、磷的风险。因此，可用农田对粪污养分的消纳能力来评价畜禽养殖的环境风险程度。</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农田对固体有机肥养分的消纳能力</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粪好氧发酵处理原理是根据生物学的特性，综合利用粪便和添加物料中的微生物，并通过人工控制补充氧气，从而形成好氧发酵，使物料完全腐熟，同时杀死畜禽粪便中的病原菌、病毒、虫卵、寄生虫及其它有害元素，将有机物转变为肥料，由不稳定状态转变为稳定的辅殖质物质。这种处理方法具有省燃料、成本低、发酵产物生物活性强、发酵过程营养损失小，肥效高等优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综上，本项目粪污经科学、合理的处理后，形成有机液肥和固体有机肥料等可资源化利用的产品，从而得到有效利用，不会产生二次污染问题。</w:t>
      </w:r>
    </w:p>
    <w:p>
      <w:pPr>
        <w:pStyle w:val="7"/>
        <w:rPr>
          <w:rFonts w:cs="Times New Roman"/>
          <w:color w:val="000000" w:themeColor="text1"/>
          <w14:textFill>
            <w14:solidFill>
              <w14:schemeClr w14:val="tx1"/>
            </w14:solidFill>
          </w14:textFill>
        </w:rPr>
      </w:pPr>
      <w:bookmarkStart w:id="747" w:name="_Toc3107"/>
      <w:bookmarkStart w:id="748" w:name="_Toc17415"/>
      <w:r>
        <w:rPr>
          <w:rFonts w:cs="Times New Roman"/>
          <w:color w:val="000000" w:themeColor="text1"/>
          <w14:textFill>
            <w14:solidFill>
              <w14:schemeClr w14:val="tx1"/>
            </w14:solidFill>
          </w14:textFill>
        </w:rPr>
        <w:t>5.2.2.2 营运期地下水环境影响分析</w:t>
      </w:r>
      <w:bookmarkEnd w:id="747"/>
      <w:bookmarkEnd w:id="748"/>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（1）区域水文地质概况</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所在区域属于三屯河河流形成的冲洪积平原下部的细土平原区，地下水运动以垂向（蒸发和人工开采）和侧向排泄为主，在水文地质单元上属径流排泄区。园区内主要分布多层结构砂砾石孔隙承压水和自流水。</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（2）地下水补给、径流、排泄特征</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资料显示，项目区地质主要为粉土、粉质粘土和含砂砾土，其含水层顶底板主要为粉土、粉质粘土构成。承压含水层段呈相互层状，最多见有七层，单层厚度6.7~32.24m不等，含水介质由南向北流径逐渐变小，含水层厚度变薄。渗透系数由南向北逐渐减小，为9~49.3m/d。</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因此本项目应严格做好拟建场址及周边区域地下水环境的保护措施。</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（3）本项目对地下水水质影响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根据本项目特点，本项目废水不外排，全部利用于本项目周边农田，通过作物吸收蒸腾及地表蒸发损耗，项目堆肥区域等重点防渗区做好防渗处理，对地下水影响较小。</w:t>
      </w:r>
    </w:p>
    <w:p>
      <w:pPr>
        <w:numPr>
          <w:ilvl w:val="0"/>
          <w:numId w:val="5"/>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场区地下水污染源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本项目的地下水污染源主要为污水处理设施和固废处理设施，污水处理设施有集水池、</w:t>
      </w:r>
      <w:r>
        <w:rPr>
          <w:rFonts w:hint="eastAsia" w:ascii="Times New Roman" w:hAnsi="Times New Roman" w:cs="Times New Roman"/>
          <w:color w:val="000000" w:themeColor="text1"/>
          <w14:textFill>
            <w14:solidFill>
              <w14:schemeClr w14:val="tx1"/>
            </w14:solidFill>
          </w14:textFill>
        </w:rPr>
        <w:t>厌氧储存</w:t>
      </w:r>
      <w:r>
        <w:rPr>
          <w:rFonts w:ascii="Times New Roman" w:hAnsi="Times New Roman" w:cs="Times New Roman"/>
          <w:color w:val="000000" w:themeColor="text1"/>
          <w14:textFill>
            <w14:solidFill>
              <w14:schemeClr w14:val="tx1"/>
            </w14:solidFill>
          </w14:textFill>
        </w:rPr>
        <w:t>塘。固废设施有堆肥场、医疗废物暂存间和无害化处置设施。猪粪尿的主要污染物为COD、氨氮等有机污染物，比较容易降解，无持久性有机污染和重金属等有毒有害物质。</w:t>
      </w:r>
    </w:p>
    <w:p>
      <w:pPr>
        <w:numPr>
          <w:ilvl w:val="0"/>
          <w:numId w:val="5"/>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地下水污染途径分析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根据地下水地质条件、地下水补给、径流条件和排洪特点，分析本项目废水排放情况，可能造成的地下水污染途径有以下几种途径：</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①工程使用的各类废水池、集污管道、污泥、堆肥场、无害化处置设施防渗措施不足，而造成废水渗漏污染；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②工程使用的各类废水池、集污管道、污泥、堆肥场、无害化处置设施防渗措施四周在降雨条件下排水不畅，导致大气降水淋溶水渗入地下造成对地下水的污染；</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对浅层地下水的污染影响正常情况下，对地下水的污染主要是由于污染物迁移穿过包气带进入含水层造成。拟建项目所在区域地质以沙化土为主，渗透率较大，且集水池、氧化塘和配套的污水管网、堆肥场、医疗废物暂存间和无害化处置设施等将采取防渗防漏措施。若污染物泄漏下渗穿过包气带进入浅层地下水，将对浅层地下水产生污染影响。</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对深层地下水的污染影响</w:t>
      </w:r>
    </w:p>
    <w:p>
      <w:pPr>
        <w:spacing w:line="520" w:lineRule="exact"/>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判断深层地下水是否会受到污染影响，通常分析深层地下水含水层上覆地层的防污性能和有无与浅层地下水的水力联系。由于评价区域承压水与潜水矿化度</w:t>
      </w:r>
      <w:r>
        <w:rPr>
          <w:rFonts w:ascii="Times New Roman" w:hAnsi="Times New Roman" w:cs="Times New Roman"/>
          <w:color w:val="000000" w:themeColor="text1"/>
          <w:spacing w:val="-6"/>
          <w14:textFill>
            <w14:solidFill>
              <w14:schemeClr w14:val="tx1"/>
            </w14:solidFill>
          </w14:textFill>
        </w:rPr>
        <w:t>相差较大，说明其水力联系不紧密。因此，深层地下水受下渗污水的污染影响较小。</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⑤</w:t>
      </w:r>
      <w:r>
        <w:rPr>
          <w:rFonts w:ascii="Times New Roman" w:hAnsi="Times New Roman" w:cs="Times New Roman"/>
          <w:color w:val="000000" w:themeColor="text1"/>
          <w14:textFill>
            <w14:solidFill>
              <w14:schemeClr w14:val="tx1"/>
            </w14:solidFill>
          </w14:textFill>
        </w:rPr>
        <w:t>集水池、氧化塘和配套的污水管网、堆肥场、医疗废物暂存间和无害化处理设施等破损泄露对地下水影响分析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如果集水池、氧化塘和配套的污水管网、堆肥场、医疗废物暂存间和无害化处理设施等破损发生泄露事件，会对地下水环境和土壤环境造成一定的影响，因此要经常检查管理这些设施的防渗漏措施是否正常，如发现有破损地方，应当立即修复，减轻对地下水环境和土壤环境的影响。</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地下水防护措施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所在地水文地质条件，建设工程环保措施和废水排放方案，结合废水中主要污染物含量分析。预测在正常生产、废水达标使用、合理灌溉使用的情况下，将不会对场区及周边地下水环境产生显著影响。当地地下水埋藏较深，又有隔水顶板保护，因此地下水防护性能较强。此外，包气带对地下水具有一定防护作用。包气带即地表与潜水面之间的地带，是地下含水层的天然保护层，是地表污染物质进入含水层的垂直过渡带。污染物质进入包气带便与周围介质发生物理化学生物化学等作用，其作用时间越长越充分，包气带净化能力越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工程分析，废水无害化处理后可以施用于周边农田，但由于其含氨氮、COD，会对地下水产生一定影响；固体废弃物堆场如防治措施不当，也会对地下水产生污染；本项目废水若不科学、不合理的灌溉项目区周边农田，则会导致周边农田土壤的含水率较高，若继续大量增加废水，导致土壤含水层处于过饱和状态，废水中污染物很可能渗透到地下水层，引起地下水污染。因此，要严格做好堆肥场防渗、防雨淋、防溢流措施，科学施肥，采用清污混灌，防治过度施肥污染地下水和对作物产生不利影响。</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正常工况废水排放影响分析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本项目年产生废水量为</w:t>
      </w:r>
      <w:r>
        <w:rPr>
          <w:rFonts w:hint="eastAsia" w:ascii="Times New Roman" w:hAnsi="Times New Roman" w:cs="Times New Roman"/>
          <w:color w:val="000000" w:themeColor="text1"/>
          <w14:textFill>
            <w14:solidFill>
              <w14:schemeClr w14:val="tx1"/>
            </w14:solidFill>
          </w14:textFill>
        </w:rPr>
        <w:t>10.10万</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采用“固液分离＋厌氧储存塘”工艺对污水进行处理，废水达标后灌溉周边农田，冬季废水存于场区氧化塘。本项目氧化塘的建设位置易靠近污水处理工程，按照总图布置，氧化塘位于整个大场区圈舍北侧。本环评要求对集水池、污水处理工程设备池体、氧化塘及圈舍做为重点防治区，底部均应做好防渗措施，应由有资质的专业机构共同承担，做好本项目分区防渗，以避免对土壤和对地下水产生污染影响。池体推荐防渗设计如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①基底处理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开挖基坑后，先对基底整平、夯实，进行20cm厚碎石填筑，在碎石上用30cm厚粘土进行压实，采用小型打夯机进行夯实。</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②边墙处理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池壁采用混凝土砖墙，池壁厚50cm，并用水泥砂浆抹面。</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③地上部分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池壁浇筑地上高出50cm，并设置围栏，围栏高度1m。</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④防渗材料</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防渗材料选择1.5mm厚高密度聚乙烯</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HDPE</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膜或其他材质土工膜，对集水池和厌氧储存塘进行防渗铺设，铺设自池壁放至坡底，按规定顺序和方向分区、分块进行膜铺设。在铺设土工膜时，适当放松，并避免人力硬折和损伤，膜块间形成的结点为T字型，焊接搭接面不得有污垢、砂土、积水（包括露水）等影响焊接质量的杂物存在。最后进行水泥砂浆抹面，水泥应优先选用硅酸盐水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生产废水经处理后用于农田灌溉，厌氧储存塘的容量能够满足冬季产生量要求，经合理处置利用后，生产废水对环境影响较小。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工程在做好分区防渗的情况下，对粪污、污水采取回收处理措施后，不会对潜水产生污染，否则，污水下渗后，将对场区及下游区潜水产生污染。</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事故状态废水排放影响分析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事故状态下，生产废水将对地下水产生一定影响。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①可能出现的事故情况及针对措施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地震破坏：地震发生时可能产生砂土液化现象，或撕裂局部的防渗膜，但这种可能性极小。环评要求防渗膜下方铺设粘土层（K≤10</w:t>
      </w:r>
      <w:r>
        <w:rPr>
          <w:rFonts w:ascii="Times New Roman" w:hAnsi="Times New Roman" w:cs="Times New Roman"/>
          <w:color w:val="000000" w:themeColor="text1"/>
          <w:vertAlign w:val="superscript"/>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cm/s），以起到缓冲的保护作用。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渗膜破损：据有关资料报道，防渗膜应用于水库、沟渠、垃圾场等设施历史较长，尚未有污染事例，只要选购HDPE防渗膜时把好第一道关口，即施工中精心粘结，作业时避免对其过分碾压等，就可避免对其的损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②事故情况下对地下水环境影响分析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一旦发生以上事故情况，淋滤液、废水将穿过防渗层进入地下水，对地下水环境会造成污染。平时强化维护，加强管理，发现问题及时处理。一旦发生渗漏事故，必须要及时处理，以减轻对地下水环境的影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事故状态下，防范措施及应急计划如下：</w:t>
      </w:r>
    </w:p>
    <w:p>
      <w:pPr>
        <w:numPr>
          <w:ilvl w:val="0"/>
          <w:numId w:val="6"/>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废水治理措施应保证其去除率，当发现去除率下降时，尽快安排检修。</w:t>
      </w:r>
    </w:p>
    <w:p>
      <w:pPr>
        <w:numPr>
          <w:ilvl w:val="0"/>
          <w:numId w:val="6"/>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应在污水站设置事故应急池，当废水处理设施发生故障停运时，将废水导入事故池，工厂应立即停止生产，并及时检修。处理设施运行正常后，将事故贮存池中废水处理无害化后方可使用。</w:t>
      </w:r>
    </w:p>
    <w:p>
      <w:pPr>
        <w:numPr>
          <w:ilvl w:val="0"/>
          <w:numId w:val="6"/>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做好应急监测的准备。</w:t>
      </w:r>
    </w:p>
    <w:p>
      <w:pPr>
        <w:pStyle w:val="6"/>
        <w:rPr>
          <w:rFonts w:ascii="Times New Roman" w:hAnsi="Times New Roman" w:cs="Times New Roman"/>
          <w:color w:val="000000" w:themeColor="text1"/>
          <w14:textFill>
            <w14:solidFill>
              <w14:schemeClr w14:val="tx1"/>
            </w14:solidFill>
          </w14:textFill>
        </w:rPr>
      </w:pPr>
      <w:bookmarkStart w:id="749" w:name="_Toc4731"/>
      <w:bookmarkStart w:id="750" w:name="_Toc7478"/>
      <w:bookmarkStart w:id="751" w:name="_Toc15622"/>
      <w:r>
        <w:rPr>
          <w:rFonts w:ascii="Times New Roman" w:hAnsi="Times New Roman" w:cs="Times New Roman"/>
          <w:color w:val="000000" w:themeColor="text1"/>
          <w14:textFill>
            <w14:solidFill>
              <w14:schemeClr w14:val="tx1"/>
            </w14:solidFill>
          </w14:textFill>
        </w:rPr>
        <w:t>5.2.3运营期声环境影响预测与评价</w:t>
      </w:r>
      <w:bookmarkEnd w:id="749"/>
      <w:bookmarkEnd w:id="750"/>
      <w:bookmarkEnd w:id="75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本项目产噪设备主要为于生产区风机、水泵等。噪声源强约为75～85dB</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。大部分噪声设备均置于室内。针对噪声源的特点，通过在设备机座与基础之间设橡胶隔振垫、隔声等措施降噪隔声后，可减低噪声10dB（A），其中风机采取设置消音器、基础减震措施，可减低噪声15dB（A）。</w:t>
      </w:r>
    </w:p>
    <w:p>
      <w:pPr>
        <w:spacing w:line="520" w:lineRule="exact"/>
        <w:ind w:firstLine="456"/>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本评价采用噪声距离衰减模式，预测各厂界处及声环境敏感点处的噪声影响。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①预测模式：</w:t>
      </w:r>
    </w:p>
    <w:p>
      <w:pPr>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P0</w:t>
      </w:r>
      <w:r>
        <w:rPr>
          <w:rFonts w:ascii="Times New Roman" w:hAnsi="Times New Roman" w:cs="Times New Roman"/>
          <w:color w:val="000000" w:themeColor="text1"/>
          <w14:textFill>
            <w14:solidFill>
              <w14:schemeClr w14:val="tx1"/>
            </w14:solidFill>
          </w14:textFill>
        </w:rPr>
        <w:t>－20lg（r/r</w:t>
      </w:r>
      <w:r>
        <w:rPr>
          <w:rFonts w:ascii="Times New Roman" w:hAnsi="Times New Roman" w:cs="Times New Roman"/>
          <w:color w:val="000000" w:themeColor="text1"/>
          <w:vertAlign w:val="subscript"/>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式中：L</w:t>
      </w:r>
      <w:r>
        <w:rPr>
          <w:rFonts w:ascii="Times New Roman" w:hAnsi="Times New Roman" w:cs="Times New Roman"/>
          <w:color w:val="000000" w:themeColor="text1"/>
          <w:vertAlign w:val="subscript"/>
          <w14:textFill>
            <w14:solidFill>
              <w14:schemeClr w14:val="tx1"/>
            </w14:solidFill>
          </w14:textFill>
        </w:rPr>
        <w:t xml:space="preserve">P </w:t>
      </w:r>
      <w:r>
        <w:rPr>
          <w:rFonts w:ascii="Times New Roman" w:hAnsi="Times New Roman" w:cs="Times New Roman"/>
          <w:color w:val="000000" w:themeColor="text1"/>
          <w14:textFill>
            <w14:solidFill>
              <w14:schemeClr w14:val="tx1"/>
            </w14:solidFill>
          </w14:textFill>
        </w:rPr>
        <w:t>—评价点噪声预测值，dB（A）；</w:t>
      </w:r>
    </w:p>
    <w:p>
      <w:pPr>
        <w:spacing w:line="520" w:lineRule="exact"/>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P0</w:t>
      </w:r>
      <w:r>
        <w:rPr>
          <w:rFonts w:ascii="Times New Roman" w:hAnsi="Times New Roman" w:cs="Times New Roman"/>
          <w:color w:val="000000" w:themeColor="text1"/>
          <w14:textFill>
            <w14:solidFill>
              <w14:schemeClr w14:val="tx1"/>
            </w14:solidFill>
          </w14:textFill>
        </w:rPr>
        <w:t>—参考位置r</w:t>
      </w:r>
      <w:r>
        <w:rPr>
          <w:rFonts w:ascii="Times New Roman" w:hAnsi="Times New Roman" w:cs="Times New Roman"/>
          <w:color w:val="000000" w:themeColor="text1"/>
          <w:vertAlign w:val="subscript"/>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处的声源压级，dB（A）；</w:t>
      </w:r>
    </w:p>
    <w:p>
      <w:pPr>
        <w:spacing w:line="520" w:lineRule="exact"/>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 —为预测点距声源的距离，m；</w:t>
      </w:r>
    </w:p>
    <w:p>
      <w:pPr>
        <w:spacing w:line="520" w:lineRule="exact"/>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w:t>
      </w:r>
      <w:r>
        <w:rPr>
          <w:rFonts w:ascii="Times New Roman" w:hAnsi="Times New Roman" w:cs="Times New Roman"/>
          <w:color w:val="000000" w:themeColor="text1"/>
          <w:vertAlign w:val="subscript"/>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—为参考点距声源的距离，m。</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②评价标准</w:t>
      </w:r>
    </w:p>
    <w:p>
      <w:pPr>
        <w:spacing w:line="520" w:lineRule="exact"/>
        <w:ind w:firstLine="4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评价标准采用《工业单位厂界环境噪声排放标准》（GB12348-2008）中2类。</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③预测结果</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本项目营运期厂界噪声预测结果见表5.2-</w:t>
      </w:r>
      <w:r>
        <w:rPr>
          <w:rFonts w:hint="eastAsia" w:ascii="Times New Roman" w:hAnsi="Times New Roman" w:cs="Times New Roman"/>
          <w:color w:val="000000" w:themeColor="text1"/>
          <w14:textFill>
            <w14:solidFill>
              <w14:schemeClr w14:val="tx1"/>
            </w14:solidFill>
          </w14:textFill>
        </w:rPr>
        <w:t>16</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w:t>
      </w:r>
      <w:r>
        <w:rPr>
          <w:rFonts w:hint="eastAsia" w:cs="Times New Roman"/>
          <w:color w:val="000000" w:themeColor="text1"/>
          <w14:textFill>
            <w14:solidFill>
              <w14:schemeClr w14:val="tx1"/>
            </w14:solidFill>
          </w14:textFill>
        </w:rPr>
        <w:t>16</w:t>
      </w:r>
      <w:r>
        <w:rPr>
          <w:rFonts w:cs="Times New Roman"/>
          <w:color w:val="000000" w:themeColor="text1"/>
          <w14:textFill>
            <w14:solidFill>
              <w14:schemeClr w14:val="tx1"/>
            </w14:solidFill>
          </w14:textFill>
        </w:rPr>
        <w:t xml:space="preserve">   设备噪声源对厂界四周的影响值预测</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trPr>
        <w:tc>
          <w:tcPr>
            <w:tcW w:w="2840" w:type="dxa"/>
            <w:gridSpan w:val="2"/>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预测点</w:t>
            </w:r>
          </w:p>
        </w:tc>
        <w:tc>
          <w:tcPr>
            <w:tcW w:w="1420"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项目区北侧</w:t>
            </w:r>
          </w:p>
        </w:tc>
        <w:tc>
          <w:tcPr>
            <w:tcW w:w="1420"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项目区东侧</w:t>
            </w:r>
          </w:p>
        </w:tc>
        <w:tc>
          <w:tcPr>
            <w:tcW w:w="1421"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项目区南侧</w:t>
            </w:r>
          </w:p>
        </w:tc>
        <w:tc>
          <w:tcPr>
            <w:tcW w:w="1421"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项目区西侧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0" w:type="dxa"/>
            <w:vMerge w:val="restar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预测值</w:t>
            </w:r>
          </w:p>
        </w:tc>
        <w:tc>
          <w:tcPr>
            <w:tcW w:w="142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昼间</w:t>
            </w:r>
          </w:p>
        </w:tc>
        <w:tc>
          <w:tcPr>
            <w:tcW w:w="142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53</w:t>
            </w:r>
          </w:p>
        </w:tc>
        <w:tc>
          <w:tcPr>
            <w:tcW w:w="142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51</w:t>
            </w:r>
          </w:p>
        </w:tc>
        <w:tc>
          <w:tcPr>
            <w:tcW w:w="142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49</w:t>
            </w:r>
          </w:p>
        </w:tc>
        <w:tc>
          <w:tcPr>
            <w:tcW w:w="142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20" w:type="dxa"/>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42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夜间</w:t>
            </w:r>
          </w:p>
        </w:tc>
        <w:tc>
          <w:tcPr>
            <w:tcW w:w="142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42</w:t>
            </w:r>
          </w:p>
        </w:tc>
        <w:tc>
          <w:tcPr>
            <w:tcW w:w="1420"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42</w:t>
            </w:r>
          </w:p>
        </w:tc>
        <w:tc>
          <w:tcPr>
            <w:tcW w:w="142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40</w:t>
            </w:r>
          </w:p>
        </w:tc>
        <w:tc>
          <w:tcPr>
            <w:tcW w:w="142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43</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由预测结果可知，对产生噪声的设备采取减振、厂房屏蔽及隔声措施，并经距离衰减后，</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噪声可达到《工业企业</w:t>
      </w:r>
      <w:r>
        <w:rPr>
          <w:rFonts w:hint="eastAsia" w:ascii="Times New Roman" w:hAnsi="Times New Roman" w:cs="Times New Roman"/>
          <w:color w:val="000000" w:themeColor="text1"/>
          <w:lang w:val="en-US" w:eastAsia="zh-CN"/>
          <w14:textFill>
            <w14:solidFill>
              <w14:schemeClr w14:val="tx1"/>
            </w14:solidFill>
          </w14:textFill>
        </w:rPr>
        <w:t>厂</w:t>
      </w:r>
      <w:r>
        <w:rPr>
          <w:rFonts w:ascii="Times New Roman" w:hAnsi="Times New Roman" w:cs="Times New Roman"/>
          <w:color w:val="000000" w:themeColor="text1"/>
          <w14:textFill>
            <w14:solidFill>
              <w14:schemeClr w14:val="tx1"/>
            </w14:solidFill>
          </w14:textFill>
        </w:rPr>
        <w:t>界环境噪声排放标准》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GB12348-2008</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2类标准，且养殖场周边无声环境敏感点，本项目对区域声环境影响轻微。</w:t>
      </w:r>
    </w:p>
    <w:p>
      <w:pPr>
        <w:pStyle w:val="6"/>
        <w:rPr>
          <w:rFonts w:ascii="Times New Roman" w:hAnsi="Times New Roman" w:cs="Times New Roman"/>
          <w:color w:val="000000" w:themeColor="text1"/>
          <w14:textFill>
            <w14:solidFill>
              <w14:schemeClr w14:val="tx1"/>
            </w14:solidFill>
          </w14:textFill>
        </w:rPr>
      </w:pPr>
      <w:bookmarkStart w:id="752" w:name="6.3.8.2非正常工况下车间排气筒废气预测结果分析"/>
      <w:bookmarkEnd w:id="752"/>
      <w:bookmarkStart w:id="753" w:name="6.3.10卫生防护距离的确定"/>
      <w:bookmarkEnd w:id="753"/>
      <w:bookmarkStart w:id="754" w:name="6.3.9大气环境防护距离的确定"/>
      <w:bookmarkEnd w:id="754"/>
      <w:bookmarkStart w:id="755" w:name="_Toc20999"/>
      <w:bookmarkStart w:id="756" w:name="_Toc27088"/>
      <w:bookmarkStart w:id="757" w:name="_Toc17543"/>
      <w:r>
        <w:rPr>
          <w:rFonts w:ascii="Times New Roman" w:hAnsi="Times New Roman" w:cs="Times New Roman"/>
          <w:color w:val="000000" w:themeColor="text1"/>
          <w14:textFill>
            <w14:solidFill>
              <w14:schemeClr w14:val="tx1"/>
            </w14:solidFill>
          </w14:textFill>
        </w:rPr>
        <w:t>5.2.4 运营期固体废物环境影响预测与评价</w:t>
      </w:r>
      <w:bookmarkEnd w:id="755"/>
      <w:bookmarkEnd w:id="756"/>
      <w:bookmarkEnd w:id="757"/>
    </w:p>
    <w:p>
      <w:pPr>
        <w:spacing w:line="520" w:lineRule="exact"/>
        <w:rPr>
          <w:rFonts w:ascii="Times New Roman" w:hAnsi="Times New Roman" w:cs="Times New Roman"/>
          <w:color w:val="000000" w:themeColor="text1"/>
          <w14:textFill>
            <w14:solidFill>
              <w14:schemeClr w14:val="tx1"/>
            </w14:solidFill>
          </w14:textFill>
        </w:rPr>
      </w:pPr>
      <w:bookmarkStart w:id="758" w:name="_Toc15807"/>
      <w:bookmarkStart w:id="759" w:name="_Toc18140_WPSOffice_Level2"/>
      <w:r>
        <w:rPr>
          <w:rFonts w:ascii="Times New Roman" w:hAnsi="Times New Roman" w:cs="Times New Roman"/>
          <w:color w:val="000000" w:themeColor="text1"/>
          <w14:textFill>
            <w14:solidFill>
              <w14:schemeClr w14:val="tx1"/>
            </w14:solidFill>
          </w14:textFill>
        </w:rPr>
        <w:t>本项目运营期最终产生的固体废弃物主要为生活垃圾、猪粪便、病死猪尸体、污水处理站污泥、治疗猪疫病产生的医疗废物。</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（1）生活垃圾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本项目日产生垃圾</w:t>
      </w:r>
      <w:r>
        <w:rPr>
          <w:rFonts w:hint="eastAsia" w:ascii="Times New Roman" w:hAnsi="Times New Roman" w:cs="Times New Roman"/>
          <w:color w:val="000000" w:themeColor="text1"/>
          <w14:textFill>
            <w14:solidFill>
              <w14:schemeClr w14:val="tx1"/>
            </w14:solidFill>
          </w14:textFill>
        </w:rPr>
        <w:t>17.5</w:t>
      </w:r>
      <w:r>
        <w:rPr>
          <w:rFonts w:ascii="Times New Roman" w:hAnsi="Times New Roman" w:cs="Times New Roman"/>
          <w:color w:val="000000" w:themeColor="text1"/>
          <w14:textFill>
            <w14:solidFill>
              <w14:schemeClr w14:val="tx1"/>
            </w14:solidFill>
          </w14:textFill>
        </w:rPr>
        <w:t>kg，年产生垃圾量约为</w:t>
      </w:r>
      <w:r>
        <w:rPr>
          <w:rFonts w:hint="eastAsia" w:ascii="Times New Roman" w:hAnsi="Times New Roman" w:cs="Times New Roman"/>
          <w:color w:val="000000" w:themeColor="text1"/>
          <w14:textFill>
            <w14:solidFill>
              <w14:schemeClr w14:val="tx1"/>
            </w14:solidFill>
          </w14:textFill>
        </w:rPr>
        <w:t>5.25</w:t>
      </w:r>
      <w:r>
        <w:rPr>
          <w:rFonts w:ascii="Times New Roman" w:hAnsi="Times New Roman" w:cs="Times New Roman"/>
          <w:color w:val="000000" w:themeColor="text1"/>
          <w14:textFill>
            <w14:solidFill>
              <w14:schemeClr w14:val="tx1"/>
            </w14:solidFill>
          </w14:textFill>
        </w:rPr>
        <w:t>t，经养殖场内垃圾箱（桶）集中收集后，由环卫部门统一清运至</w:t>
      </w:r>
      <w:r>
        <w:rPr>
          <w:rFonts w:hint="eastAsia" w:ascii="Times New Roman" w:hAnsi="Times New Roman" w:cs="Times New Roman"/>
          <w:color w:val="000000" w:themeColor="text1"/>
          <w14:textFill>
            <w14:solidFill>
              <w14:schemeClr w14:val="tx1"/>
            </w14:solidFill>
          </w14:textFill>
        </w:rPr>
        <w:t>昌吉市</w:t>
      </w:r>
      <w:r>
        <w:rPr>
          <w:rFonts w:ascii="Times New Roman" w:hAnsi="Times New Roman" w:cs="Times New Roman"/>
          <w:color w:val="000000" w:themeColor="text1"/>
          <w14:textFill>
            <w14:solidFill>
              <w14:schemeClr w14:val="tx1"/>
            </w14:solidFill>
          </w14:textFill>
        </w:rPr>
        <w:t>生活垃圾填埋场。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（2）猪粪</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本项目猪粪便产生量约为1</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0t/d，</w:t>
      </w:r>
      <w:r>
        <w:rPr>
          <w:rFonts w:hint="eastAsia" w:ascii="Times New Roman" w:hAnsi="Times New Roman" w:cs="Times New Roman"/>
          <w:color w:val="000000" w:themeColor="text1"/>
          <w14:textFill>
            <w14:solidFill>
              <w14:schemeClr w14:val="tx1"/>
            </w14:solidFill>
          </w14:textFill>
        </w:rPr>
        <w:t>48000</w:t>
      </w:r>
      <w:r>
        <w:rPr>
          <w:rFonts w:ascii="Times New Roman" w:hAnsi="Times New Roman" w:cs="Times New Roman"/>
          <w:color w:val="000000" w:themeColor="text1"/>
          <w14:textFill>
            <w14:solidFill>
              <w14:schemeClr w14:val="tx1"/>
            </w14:solidFill>
          </w14:textFill>
        </w:rPr>
        <w:t>t/a。粪便集中在堆肥场，腐熟发酵达到无害化标准后还田。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粪便按照《畜禽养殖业污染治理工程技术规范》（HJ497-2009）、《农村小型畜禽养殖污染防治项目建设与投资指南》要求，建设规范化堆肥场进行发酵处置，堆放场所地面需硬化，建设污水收集系统，必须有防渗漏、溢流、防雨措施。规范化处置猪粪，不仅实现了再生资源利用，而且不会对周围环境造成二次污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肥场采用自然堆肥及机械翻堆相结合的方式对粪污进行处理。在有氧条件下，微生物通过自身的生物代谢活动，对一部分有机物进行分解代谢，以获得生物生长、活动所需要的能量，把另一部分有机物转化合成新的细胞物质，使微生物生长繁殖，产生更多的生物体；同时好氧反应释放的热量形成高温（&gt;55℃）杀死病原微生物，从而实现畜禽粪便减量化、稳定化和无害化的过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粪污通过发酵制成有机肥料，发酵的过程中可以杀死粪便中的蛔虫卵。消除粪便对土壤、水体（包括地下水）和大气的污染，阻断病原菌的传播途径，维护环境生态平衡。同时堆肥制成的有机肥料可为发展绿色农业提供优质价廉的无公害绿色环保肥料，为农业产业结构调整创造有利的条件。</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（3）病死猪尸体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本项目病死猪尸体产生量约</w:t>
      </w:r>
      <w:r>
        <w:rPr>
          <w:rFonts w:hint="eastAsia" w:ascii="Times New Roman" w:hAnsi="Times New Roman" w:cs="Times New Roman"/>
          <w:color w:val="000000" w:themeColor="text1"/>
          <w14:textFill>
            <w14:solidFill>
              <w14:schemeClr w14:val="tx1"/>
            </w14:solidFill>
          </w14:textFill>
        </w:rPr>
        <w:t>800</w:t>
      </w:r>
      <w:r>
        <w:rPr>
          <w:rFonts w:ascii="Times New Roman" w:hAnsi="Times New Roman" w:cs="Times New Roman"/>
          <w:color w:val="000000" w:themeColor="text1"/>
          <w14:textFill>
            <w14:solidFill>
              <w14:schemeClr w14:val="tx1"/>
            </w14:solidFill>
          </w14:textFill>
        </w:rPr>
        <w:t>头/年，</w:t>
      </w:r>
      <w:r>
        <w:rPr>
          <w:rFonts w:hint="eastAsia" w:ascii="Times New Roman" w:hAnsi="Times New Roman" w:cs="Times New Roman"/>
          <w:color w:val="000000" w:themeColor="text1"/>
          <w14:textFill>
            <w14:solidFill>
              <w14:schemeClr w14:val="tx1"/>
            </w14:solidFill>
          </w14:textFill>
        </w:rPr>
        <w:t>56</w:t>
      </w:r>
      <w:r>
        <w:rPr>
          <w:rFonts w:ascii="Times New Roman" w:hAnsi="Times New Roman" w:cs="Times New Roman"/>
          <w:color w:val="000000" w:themeColor="text1"/>
          <w14:textFill>
            <w14:solidFill>
              <w14:schemeClr w14:val="tx1"/>
            </w14:solidFill>
          </w14:textFill>
        </w:rPr>
        <w:t>t/a。病死猪尸体要及时处理，严禁随意丢弃，严禁出售或作为饲料再利用。本项目属于规模化养殖场，且处置的病死猪尸体量大，不用于一般小型规模化畜禽养殖场。采用填埋井占地面积大，且环境污染风险大，无害化处置效果不及高温与生物降解畜禽无害化处理技术。本项目采用高温与生物降解畜禽无害化处理技术。该技术和设施具有以下几个特点和先进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技术创新。将高温灭菌和生物降解技术有机结合，实现了在一体机内动物尸体无害化处理的效果。①灭菌温度大于≥100℃，有效灭菌，生物安全；②发酵降解温度（启动降解）55℃—80℃；③环保，臭气密闭集中收集处理后达标排放，高温灭菌后水分蒸发，无废水排放，是目前病死畜禽无害化处理最为先进和适用的技术。</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工艺创新。①灭菌—降解在同一罐体内进行，先灭菌后降解，灭菌温度大于≥100℃，降解温度55—80℃。②工艺设计具有对动物尸体分切、研磨细碎功能，保证处理效果。③自动化控制，操作简单、安全，经济、适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节约和资源有效利用。①将病死动物尸体通过灭菌和生物降解复合处理转化为有机肥原料，实现产物资源化利用；②处理过程中需要的辅料为锯末、秸秆、玉米芯、稻糠等农业废弃物原材料，来源广泛，容易取得，实现变废为宝。</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参考该技术特点，该技术处理能力≥1000kg/批次，批次处理时间&lt;24小时，年处理可达到300吨以上，因此，完全可满足本项目的处理规模和容量要求。考虑到养殖场主导风向为西北风、地势由西南向东北倾斜，建设方在猪场下风侧设置动物病死猪尸体高温与生物降解畜禽无害化处理设施，对项目区生产区和办公生活区影响较小。</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（4）污泥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本项目污水处理工程产生污泥</w:t>
      </w:r>
      <w:r>
        <w:rPr>
          <w:rFonts w:hint="eastAsia" w:ascii="Times New Roman" w:hAnsi="Times New Roman" w:cs="Times New Roman"/>
          <w:color w:val="000000" w:themeColor="text1"/>
          <w14:textFill>
            <w14:solidFill>
              <w14:schemeClr w14:val="tx1"/>
            </w14:solidFill>
          </w14:textFill>
        </w:rPr>
        <w:t>6.8</w:t>
      </w:r>
      <w:r>
        <w:rPr>
          <w:rFonts w:ascii="Times New Roman" w:hAnsi="Times New Roman" w:cs="Times New Roman"/>
          <w:color w:val="000000" w:themeColor="text1"/>
          <w14:textFill>
            <w14:solidFill>
              <w14:schemeClr w14:val="tx1"/>
            </w14:solidFill>
          </w14:textFill>
        </w:rPr>
        <w:t>t/a。污泥可做农肥，与腐熟发酵后的猪粪一起还田做有机肥。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（5）兽用医疗废物</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根据《医疗废物名录》、《国家危险废物名录》规定，兽用医疗废物主要</w:t>
      </w:r>
      <w:r>
        <w:rPr>
          <w:rFonts w:hint="eastAsia" w:ascii="Times New Roman" w:hAnsi="Times New Roman" w:cs="Times New Roman"/>
          <w:color w:val="000000" w:themeColor="text1"/>
          <w14:textFill>
            <w14:solidFill>
              <w14:schemeClr w14:val="tx1"/>
            </w14:solidFill>
          </w14:textFill>
        </w:rPr>
        <w:t>为</w:t>
      </w:r>
      <w:r>
        <w:rPr>
          <w:rFonts w:ascii="Times New Roman" w:hAnsi="Times New Roman" w:cs="Times New Roman"/>
          <w:color w:val="000000" w:themeColor="text1"/>
          <w14:textFill>
            <w14:solidFill>
              <w14:schemeClr w14:val="tx1"/>
            </w14:solidFill>
          </w14:textFill>
        </w:rPr>
        <w:t>养殖过程治疗性医疗废物。本项目主要以育肥猪生产为主，主要兽用医疗废物为治疗性医疗废物。治疗畜禽疾病使用的药剂主要有链霉素、卡那霉素、口蹄疫疫苗、青霉素、氢氧化钠、瘟可康注射液等；药具主要为一次性针具、吊瓶等。本项目全部可产生兽用医疗废物为</w:t>
      </w:r>
      <w:r>
        <w:rPr>
          <w:rFonts w:hint="eastAsia" w:ascii="Times New Roman" w:hAnsi="Times New Roman" w:cs="Times New Roman"/>
          <w:color w:val="000000" w:themeColor="text1"/>
          <w14:textFill>
            <w14:solidFill>
              <w14:schemeClr w14:val="tx1"/>
            </w14:solidFill>
          </w14:textFill>
        </w:rPr>
        <w:t>0.8</w:t>
      </w:r>
      <w:r>
        <w:rPr>
          <w:rFonts w:ascii="Times New Roman" w:hAnsi="Times New Roman" w:cs="Times New Roman"/>
          <w:color w:val="000000" w:themeColor="text1"/>
          <w14:textFill>
            <w14:solidFill>
              <w14:schemeClr w14:val="tx1"/>
            </w14:solidFill>
          </w14:textFill>
        </w:rPr>
        <w:t>t/a。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医疗废物的产生量与养殖过程中疫情的发生量和治疗量有关，根据卫生防疫要求及疫病防治管理，疫苗药具及防疫用药用量按每只畜禽注射一次，主要产生的一次性针具及废弃药瓶量。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医疗废物集中处置技术规范（试行）》规定，项目应设置医疗废物暂时贮存库房，对医疗废弃物进行分类暂存。对于存在传染性的医疗固废，必须按照《危险废物贮存污染控制标准》（GB18597-2001）进行收集管理，医疗废物最终交由有资质单位处置。《医疗废物集中处置技术规范（试行）》对医疗废物暂存库房的卫生和存储要求规定如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1）应防止医疗废物在暂时贮存库房和专用暂时贮存柜（箱）中腐败散发恶臭，尽量做到日产日清。</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2）确实不能做到日产日清，且当地最高气温高于25℃时，应将医疗废物低温暂时贮存，暂时贮存温度应低于20℃，时间最长不超过48小时。</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3）医疗废物暂时贮存库房每天应在废物清运之后消毒冲洗，冲洗液应排入医疗卫生机构内的医疗废水消毒、处理系统。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本项目运营期固体废物产生及处置情况见表</w:t>
      </w:r>
      <w:r>
        <w:rPr>
          <w:rFonts w:hint="eastAsia" w:ascii="Times New Roman" w:hAnsi="Times New Roman" w:cs="Times New Roman"/>
          <w:color w:val="000000" w:themeColor="text1"/>
          <w14:textFill>
            <w14:solidFill>
              <w14:schemeClr w14:val="tx1"/>
            </w14:solidFill>
          </w14:textFill>
        </w:rPr>
        <w:t>5.2-17</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w:t>
      </w:r>
      <w:r>
        <w:rPr>
          <w:rFonts w:hint="eastAsia" w:cs="Times New Roman"/>
          <w:color w:val="000000" w:themeColor="text1"/>
          <w14:textFill>
            <w14:solidFill>
              <w14:schemeClr w14:val="tx1"/>
            </w14:solidFill>
          </w14:textFill>
        </w:rPr>
        <w:t>17</w:t>
      </w:r>
      <w:r>
        <w:rPr>
          <w:rFonts w:cs="Times New Roman"/>
          <w:color w:val="000000" w:themeColor="text1"/>
          <w14:textFill>
            <w14:solidFill>
              <w14:schemeClr w14:val="tx1"/>
            </w14:solidFill>
          </w14:textFill>
        </w:rPr>
        <w:t xml:space="preserve">   本项目运营期固体废物产生及处置情况汇总表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44"/>
        <w:gridCol w:w="1700"/>
        <w:gridCol w:w="1497"/>
        <w:gridCol w:w="1480"/>
        <w:gridCol w:w="249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序号</w:t>
            </w:r>
          </w:p>
        </w:tc>
        <w:tc>
          <w:tcPr>
            <w:tcW w:w="10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名称</w:t>
            </w:r>
          </w:p>
        </w:tc>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来源</w:t>
            </w:r>
          </w:p>
        </w:tc>
        <w:tc>
          <w:tcPr>
            <w:tcW w:w="8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产生量（t/a）</w:t>
            </w:r>
          </w:p>
        </w:tc>
        <w:tc>
          <w:tcPr>
            <w:tcW w:w="149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采取的处置方式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10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猪粪</w:t>
            </w:r>
          </w:p>
        </w:tc>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圈舍</w:t>
            </w:r>
          </w:p>
        </w:tc>
        <w:tc>
          <w:tcPr>
            <w:tcW w:w="8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48000</w:t>
            </w:r>
          </w:p>
        </w:tc>
        <w:tc>
          <w:tcPr>
            <w:tcW w:w="149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好氧堆肥无害化处置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p>
        </w:tc>
        <w:tc>
          <w:tcPr>
            <w:tcW w:w="10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病死猪尸体</w:t>
            </w:r>
          </w:p>
        </w:tc>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养殖区</w:t>
            </w:r>
          </w:p>
        </w:tc>
        <w:tc>
          <w:tcPr>
            <w:tcW w:w="8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56</w:t>
            </w:r>
          </w:p>
        </w:tc>
        <w:tc>
          <w:tcPr>
            <w:tcW w:w="149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高温与生物降解畜禽无害化处理设施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w:t>
            </w:r>
          </w:p>
        </w:tc>
        <w:tc>
          <w:tcPr>
            <w:tcW w:w="10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生活垃圾</w:t>
            </w:r>
          </w:p>
        </w:tc>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职工</w:t>
            </w:r>
          </w:p>
        </w:tc>
        <w:tc>
          <w:tcPr>
            <w:tcW w:w="8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5.25</w:t>
            </w:r>
          </w:p>
        </w:tc>
        <w:tc>
          <w:tcPr>
            <w:tcW w:w="149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拉运至昌吉市垃圾填埋场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w:t>
            </w:r>
          </w:p>
        </w:tc>
        <w:tc>
          <w:tcPr>
            <w:tcW w:w="10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污泥</w:t>
            </w:r>
          </w:p>
        </w:tc>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污水处理站</w:t>
            </w:r>
          </w:p>
        </w:tc>
        <w:tc>
          <w:tcPr>
            <w:tcW w:w="8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6.8</w:t>
            </w:r>
          </w:p>
        </w:tc>
        <w:tc>
          <w:tcPr>
            <w:tcW w:w="149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外运做有机肥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w:t>
            </w:r>
          </w:p>
        </w:tc>
        <w:tc>
          <w:tcPr>
            <w:tcW w:w="10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兽用医疗固废</w:t>
            </w:r>
          </w:p>
        </w:tc>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猪疫病治疗</w:t>
            </w:r>
          </w:p>
        </w:tc>
        <w:tc>
          <w:tcPr>
            <w:tcW w:w="89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0.8</w:t>
            </w:r>
          </w:p>
        </w:tc>
        <w:tc>
          <w:tcPr>
            <w:tcW w:w="149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交医疗废物专业处理机</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构处置</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综上所述：通过以上措施，本项目产生的固体废物均得到行之有效的妥善处置和利用，符合《畜禽养殖业污染防治技术规范》（HJ/T81-2001），不向环境排放，不会对环境产生有害影响。</w:t>
      </w:r>
    </w:p>
    <w:p>
      <w:pPr>
        <w:pStyle w:val="6"/>
        <w:rPr>
          <w:rFonts w:ascii="Times New Roman" w:hAnsi="Times New Roman" w:cs="Times New Roman"/>
          <w:color w:val="000000" w:themeColor="text1"/>
          <w14:textFill>
            <w14:solidFill>
              <w14:schemeClr w14:val="tx1"/>
            </w14:solidFill>
          </w14:textFill>
        </w:rPr>
      </w:pPr>
      <w:bookmarkStart w:id="760" w:name="_Toc25690"/>
      <w:bookmarkStart w:id="761" w:name="_Toc17973"/>
      <w:r>
        <w:rPr>
          <w:rFonts w:ascii="Times New Roman" w:hAnsi="Times New Roman" w:cs="Times New Roman"/>
          <w:color w:val="000000" w:themeColor="text1"/>
          <w14:textFill>
            <w14:solidFill>
              <w14:schemeClr w14:val="tx1"/>
            </w14:solidFill>
          </w14:textFill>
        </w:rPr>
        <w:t>5.2.</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 xml:space="preserve"> 生态环境影响分析</w:t>
      </w:r>
      <w:bookmarkEnd w:id="760"/>
      <w:bookmarkEnd w:id="761"/>
    </w:p>
    <w:p>
      <w:pPr>
        <w:pStyle w:val="7"/>
        <w:rPr>
          <w:rFonts w:cs="Times New Roman"/>
          <w:color w:val="000000" w:themeColor="text1"/>
          <w14:textFill>
            <w14:solidFill>
              <w14:schemeClr w14:val="tx1"/>
            </w14:solidFill>
          </w14:textFill>
        </w:rPr>
      </w:pPr>
      <w:bookmarkStart w:id="762" w:name="_Toc1158"/>
      <w:bookmarkStart w:id="763" w:name="_Toc1389"/>
      <w:r>
        <w:rPr>
          <w:rFonts w:cs="Times New Roman"/>
          <w:color w:val="000000" w:themeColor="text1"/>
          <w14:textFill>
            <w14:solidFill>
              <w14:schemeClr w14:val="tx1"/>
            </w14:solidFill>
          </w14:textFill>
        </w:rPr>
        <w:t>5.2.</w:t>
      </w:r>
      <w:r>
        <w:rPr>
          <w:rFonts w:hint="eastAsia" w:cs="Times New Roman"/>
          <w:color w:val="000000" w:themeColor="text1"/>
          <w14:textFill>
            <w14:solidFill>
              <w14:schemeClr w14:val="tx1"/>
            </w14:solidFill>
          </w14:textFill>
        </w:rPr>
        <w:t>5.1</w:t>
      </w:r>
      <w:r>
        <w:rPr>
          <w:rFonts w:cs="Times New Roman"/>
          <w:color w:val="000000" w:themeColor="text1"/>
          <w14:textFill>
            <w14:solidFill>
              <w14:schemeClr w14:val="tx1"/>
            </w14:solidFill>
          </w14:textFill>
        </w:rPr>
        <w:t xml:space="preserve"> 土地利用环境影响评价</w:t>
      </w:r>
      <w:bookmarkEnd w:id="762"/>
      <w:bookmarkEnd w:id="76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项目区土地利用状况不属于林地、草地，投产后的养殖场建成混凝土地面，并在空地和</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四周加强绿化和种植。因此本项目的实施可以提高土地利用率和生产力，且绿化种植一方面可以起到降噪降恶臭的环境功能，另一方面相对以前物种单一的荒漠草原植被更利于对地表径流水的吸收，有利于水土保持，减少土壤侵蚀。</w:t>
      </w:r>
    </w:p>
    <w:p>
      <w:pPr>
        <w:pStyle w:val="7"/>
        <w:rPr>
          <w:rFonts w:cs="Times New Roman"/>
          <w:color w:val="000000" w:themeColor="text1"/>
          <w14:textFill>
            <w14:solidFill>
              <w14:schemeClr w14:val="tx1"/>
            </w14:solidFill>
          </w14:textFill>
        </w:rPr>
      </w:pPr>
      <w:bookmarkStart w:id="764" w:name="_Toc7096"/>
      <w:bookmarkStart w:id="765" w:name="_Toc31034"/>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 xml:space="preserve">2.5.2 </w:t>
      </w:r>
      <w:r>
        <w:rPr>
          <w:rFonts w:cs="Times New Roman"/>
          <w:color w:val="000000" w:themeColor="text1"/>
          <w14:textFill>
            <w14:solidFill>
              <w14:schemeClr w14:val="tx1"/>
            </w14:solidFill>
          </w14:textFill>
        </w:rPr>
        <w:t>“堆肥+废水处理”处理模式对生态环境影响分析</w:t>
      </w:r>
      <w:bookmarkEnd w:id="764"/>
      <w:bookmarkEnd w:id="765"/>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（1）堆肥处置还田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14:textFill>
            <w14:solidFill>
              <w14:schemeClr w14:val="tx1"/>
            </w14:solidFill>
          </w14:textFill>
        </w:rPr>
        <w:t>产生的猪</w:t>
      </w:r>
      <w:r>
        <w:rPr>
          <w:rFonts w:ascii="Times New Roman" w:hAnsi="Times New Roman" w:cs="Times New Roman"/>
          <w:color w:val="000000" w:themeColor="text1"/>
          <w14:textFill>
            <w14:solidFill>
              <w14:schemeClr w14:val="tx1"/>
            </w14:solidFill>
          </w14:textFill>
        </w:rPr>
        <w:t>粪集中在堆肥场暂存，经腐熟发酵达到无害化标准后还田。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目前，集约化畜禽养殖场多建在大、中城市近郊是中国畜禽养殖业污染防治存在的主要问题之一。另外大量养殖专业户和专业村导致畜禽粪便量大且集中</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而城郊又无充足的土地进行消纳，形成农牧分离，种养严重脱节的不利局面，导致环境的严重污染。另一方面化肥的大量使用，导致有机肥施用量大幅减少</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使畜禽粪便未得到有效利用。猪粪便含有丰富的N、P、K及微量元素，通过处理及加工后是理想的有机肥料，是解决规模化养猪场粪便污染的有效措施，也是实现规模化畜禽养殖场粪便资源化的重要途径之一。</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猪粪堆肥无害化处置，实现综合利用，可大大改善土壤的颗粒结构，可修复长期施用无机肥而板结的土壤，从而增加了土壤的肥力，增加农作物的产量并形成良性生态循环。</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（2）液体有机肥农田灌溉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规模化畜禽养殖业在快速发展的同时，由于养殖场缺少配套的种植用地产生种、养分离这一不合理局面，造成大量粪尿流失，使养殖企业成为影响环境的主要面源。在农业生态系统中养分循环是最简单形式，集约化条件下畜禽粪污可经农田施肥进入土壤。如果进入农田的畜禽粪污超出了作物对养分的需求，便存在向环境流失氮、磷的风险。因此，可用农田对粪污养分的消纳能力来评价畜禽养殖的环境风险程度。</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一般来说，正确估算作物施肥量，应根据作物目标产量、达产所需要养分、土壤供肥能力和肥料的利用率等因素来综合计算。</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根据建设方提供的资料，本项目液体有机肥以大田沟灌及漫灌的方式进行农业利用，有机液肥做为肥料一次勾兑的量约为6-7m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/亩，农作物种类不同勾兑量略有不同，每年每亩地可勾兑灌溉液肥3次，这样既可避免液肥集中灌溉造成污染，又可以有效增高农作物产量，本项目每年液肥产生量为</w:t>
      </w:r>
      <w:r>
        <w:rPr>
          <w:rFonts w:hint="eastAsia" w:ascii="Times New Roman" w:hAnsi="Times New Roman" w:cs="Times New Roman"/>
          <w:color w:val="000000" w:themeColor="text1"/>
          <w14:textFill>
            <w14:solidFill>
              <w14:schemeClr w14:val="tx1"/>
            </w14:solidFill>
          </w14:textFill>
        </w:rPr>
        <w:t>10.10万</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，可以约为</w:t>
      </w:r>
      <w:r>
        <w:rPr>
          <w:rFonts w:hint="eastAsia" w:ascii="Times New Roman" w:hAnsi="Times New Roman" w:cs="Times New Roman"/>
          <w:color w:val="000000" w:themeColor="text1"/>
          <w:lang w:val="en-US" w:eastAsia="zh-CN"/>
          <w14:textFill>
            <w14:solidFill>
              <w14:schemeClr w14:val="tx1"/>
            </w14:solidFill>
          </w14:textFill>
        </w:rPr>
        <w:t>5180</w:t>
      </w:r>
      <w:r>
        <w:rPr>
          <w:rFonts w:ascii="Times New Roman" w:hAnsi="Times New Roman" w:cs="Times New Roman"/>
          <w:color w:val="000000" w:themeColor="text1"/>
          <w14:textFill>
            <w14:solidFill>
              <w14:schemeClr w14:val="tx1"/>
            </w14:solidFill>
          </w14:textFill>
        </w:rPr>
        <w:t>亩耕地提供肥料，实现了废物的资源化和循环利用。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（3）农田对固体有机肥养分的消纳能力</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粪好氧发酵处理原理是根据生物学的特性，综合利用粪便和添加物料中的微生物，并通过人工控制补充氧气，从而形成好氧发酵，使物料完全腐熟，同时杀死畜禽粪便中的病原菌、病毒、虫卵、寄生虫及其它有害元素，将有机物转变为肥料，由不稳定状态转变为稳定的辅殖质物质。这种处理方法具有省燃料、成本低、发酵产物生物活性强、发酵过程营养损失小，肥效高等优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沼渣沼液的肥用研究进展》（郜玉环，山东农业科学2011.6）文献报道，固体有机肥作为基肥施用的用量可达到每年每亩3000kg，直接泼洒田面，立即耕翻，以利沼肥入土，提高肥效。据此测算，本项目堆肥发酵有机肥产量为</w:t>
      </w:r>
      <w:r>
        <w:rPr>
          <w:rFonts w:hint="eastAsia" w:ascii="Times New Roman" w:hAnsi="Times New Roman" w:cs="Times New Roman"/>
          <w:color w:val="000000" w:themeColor="text1"/>
          <w:spacing w:val="-6"/>
          <w14:textFill>
            <w14:solidFill>
              <w14:schemeClr w14:val="tx1"/>
            </w14:solidFill>
          </w14:textFill>
        </w:rPr>
        <w:t>48000</w:t>
      </w:r>
      <w:r>
        <w:rPr>
          <w:rFonts w:ascii="Times New Roman" w:hAnsi="Times New Roman" w:cs="Times New Roman"/>
          <w:color w:val="000000" w:themeColor="text1"/>
          <w:spacing w:val="-6"/>
          <w14:textFill>
            <w14:solidFill>
              <w14:schemeClr w14:val="tx1"/>
            </w14:solidFill>
          </w14:textFill>
        </w:rPr>
        <w:t>t/a，按照每年春季、秋季2次还田做基肥计算，可约为</w:t>
      </w:r>
      <w:r>
        <w:rPr>
          <w:rFonts w:hint="eastAsia" w:ascii="Times New Roman" w:hAnsi="Times New Roman" w:cs="Times New Roman"/>
          <w:color w:val="000000" w:themeColor="text1"/>
          <w:spacing w:val="-6"/>
          <w14:textFill>
            <w14:solidFill>
              <w14:schemeClr w14:val="tx1"/>
            </w14:solidFill>
          </w14:textFill>
        </w:rPr>
        <w:t>8</w:t>
      </w:r>
      <w:r>
        <w:rPr>
          <w:rFonts w:ascii="Times New Roman" w:hAnsi="Times New Roman" w:cs="Times New Roman"/>
          <w:color w:val="000000" w:themeColor="text1"/>
          <w:spacing w:val="-6"/>
          <w14:textFill>
            <w14:solidFill>
              <w14:schemeClr w14:val="tx1"/>
            </w14:solidFill>
          </w14:textFill>
        </w:rPr>
        <w:t>000亩的农田做基肥。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综上，本项目粪污经科学、合理的处理后，形成有机液肥和固体有机肥料等可资源化利用的产品，从而得到有效利用，不会产生二次污染问题。</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更好地保护好农田生态环境，促进农业生产可持续发展，采用本项目养殖废水灌溉周边农田，灌溉方式上应注意控制几点要求：①尽量采用清污混灌、轮灌的方式，清污混合灌溉避开作物苗期；②灌溉方式优先采用滴灌溉、沟灌，其次是漫灌；③清污混合灌溉的比例宜控制在1:3。</w:t>
      </w:r>
      <w:bookmarkStart w:id="1247" w:name="_GoBack"/>
      <w:bookmarkEnd w:id="1247"/>
    </w:p>
    <w:p>
      <w:pPr>
        <w:pStyle w:val="5"/>
        <w:rPr>
          <w:rFonts w:ascii="Times New Roman" w:hAnsi="Times New Roman" w:cs="Times New Roman"/>
          <w:color w:val="000000" w:themeColor="text1"/>
          <w14:textFill>
            <w14:solidFill>
              <w14:schemeClr w14:val="tx1"/>
            </w14:solidFill>
          </w14:textFill>
        </w:rPr>
      </w:pPr>
      <w:bookmarkStart w:id="766" w:name="_Toc15154"/>
      <w:bookmarkStart w:id="767" w:name="_Toc19237"/>
      <w:bookmarkStart w:id="768" w:name="_Toc13439"/>
      <w:bookmarkStart w:id="769" w:name="_Toc31838"/>
      <w:r>
        <w:rPr>
          <w:rFonts w:ascii="Times New Roman" w:hAnsi="Times New Roman" w:cs="Times New Roman"/>
          <w:color w:val="000000" w:themeColor="text1"/>
          <w14:textFill>
            <w14:solidFill>
              <w14:schemeClr w14:val="tx1"/>
            </w14:solidFill>
          </w14:textFill>
        </w:rPr>
        <w:t>5.3环境风险评价</w:t>
      </w:r>
      <w:bookmarkEnd w:id="758"/>
      <w:bookmarkEnd w:id="759"/>
      <w:bookmarkEnd w:id="766"/>
      <w:bookmarkEnd w:id="767"/>
      <w:bookmarkEnd w:id="768"/>
      <w:bookmarkEnd w:id="76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环境风险评价的目的在于分析、识别项目生产、贮运过程中的风险因素及可能诱发的环境问题，并针对潜在的环境风险，提出相应的预防措施，力求在产品生产过程中，将潜在的事故工况和危害程度降到最低。</w:t>
      </w:r>
    </w:p>
    <w:p>
      <w:pPr>
        <w:pStyle w:val="6"/>
        <w:rPr>
          <w:rFonts w:ascii="Times New Roman" w:hAnsi="Times New Roman" w:cs="Times New Roman"/>
          <w:color w:val="000000" w:themeColor="text1"/>
          <w14:textFill>
            <w14:solidFill>
              <w14:schemeClr w14:val="tx1"/>
            </w14:solidFill>
          </w14:textFill>
        </w:rPr>
      </w:pPr>
      <w:bookmarkStart w:id="770" w:name="_Toc31981"/>
      <w:bookmarkStart w:id="771" w:name="_Toc23427"/>
      <w:bookmarkStart w:id="772" w:name="_Toc30177"/>
      <w:r>
        <w:rPr>
          <w:rFonts w:ascii="Times New Roman" w:hAnsi="Times New Roman" w:cs="Times New Roman"/>
          <w:color w:val="000000" w:themeColor="text1"/>
          <w14:textFill>
            <w14:solidFill>
              <w14:schemeClr w14:val="tx1"/>
            </w14:solidFill>
          </w14:textFill>
        </w:rPr>
        <w:t>5.3.1 风险调查</w:t>
      </w:r>
      <w:bookmarkEnd w:id="770"/>
      <w:bookmarkEnd w:id="771"/>
      <w:bookmarkEnd w:id="77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依据《建设项目环境风险评价技术导则》（HJ 169-2018）中附录B的表B.1和表B.2，本项目的风险物质为H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。其中H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产生后即排放，不存储。本项目风险物质存在量情况祥见表5.3-1。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表5.3-1   环境风险评价工作级别</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厂内分部区域</w:t>
            </w:r>
          </w:p>
        </w:tc>
        <w:tc>
          <w:tcPr>
            <w:tcW w:w="2841"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物质类别</w:t>
            </w:r>
          </w:p>
        </w:tc>
        <w:tc>
          <w:tcPr>
            <w:tcW w:w="2841"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最大储存量（t）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圈舍、堆肥场、厌氧储存塘</w:t>
            </w:r>
          </w:p>
        </w:tc>
        <w:tc>
          <w:tcPr>
            <w:tcW w:w="284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S</w:t>
            </w:r>
          </w:p>
        </w:tc>
        <w:tc>
          <w:tcPr>
            <w:tcW w:w="284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284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NH</w:t>
            </w:r>
            <w:r>
              <w:rPr>
                <w:rFonts w:hint="eastAsia" w:ascii="Times New Roman" w:hAnsi="Times New Roman" w:cs="Times New Roman"/>
                <w:color w:val="000000" w:themeColor="text1"/>
                <w:sz w:val="21"/>
                <w:szCs w:val="21"/>
                <w:vertAlign w:val="subscript"/>
                <w14:textFill>
                  <w14:solidFill>
                    <w14:schemeClr w14:val="tx1"/>
                  </w14:solidFill>
                </w14:textFill>
              </w:rPr>
              <w:t>3</w:t>
            </w:r>
          </w:p>
        </w:tc>
        <w:tc>
          <w:tcPr>
            <w:tcW w:w="2841"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p>
        </w:tc>
      </w:tr>
    </w:tbl>
    <w:p>
      <w:pPr>
        <w:pStyle w:val="6"/>
        <w:rPr>
          <w:rFonts w:ascii="Times New Roman" w:hAnsi="Times New Roman" w:cs="Times New Roman"/>
          <w:color w:val="000000" w:themeColor="text1"/>
          <w14:textFill>
            <w14:solidFill>
              <w14:schemeClr w14:val="tx1"/>
            </w14:solidFill>
          </w14:textFill>
        </w:rPr>
      </w:pPr>
      <w:bookmarkStart w:id="773" w:name="_Toc5482"/>
      <w:bookmarkStart w:id="774" w:name="_Toc31238"/>
      <w:r>
        <w:rPr>
          <w:rFonts w:ascii="Times New Roman" w:hAnsi="Times New Roman" w:cs="Times New Roman"/>
          <w:color w:val="000000" w:themeColor="text1"/>
          <w14:textFill>
            <w14:solidFill>
              <w14:schemeClr w14:val="tx1"/>
            </w14:solidFill>
          </w14:textFill>
        </w:rPr>
        <w:t>5.3.2 环境风险潜势划分</w:t>
      </w:r>
      <w:bookmarkEnd w:id="773"/>
      <w:bookmarkEnd w:id="77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根据《建设项目环境风险评价技术导则》（HJ/T169-2018）的相关规定，建设项目环境风险潜势划分为Ⅰ、Ⅱ、Ⅲ、Ⅳ/Ⅳ</w:t>
      </w:r>
      <w:r>
        <w:rPr>
          <w:rFonts w:ascii="Times New Roman" w:hAnsi="Times New Roman" w:cs="Times New Roman"/>
          <w:color w:val="000000" w:themeColor="text1"/>
          <w:vertAlign w:val="superscript"/>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根据建设项目涉及的物质和工艺系统的危险性及其所在的环境敏感程度，结合事故情形下环境影响途径，对建设项目潜在环境危害程度进行概化分析，按照下表确定环境风险潜势。</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表5.3-2   建设项目环境风险潜势划分</w:t>
      </w:r>
    </w:p>
    <w:tbl>
      <w:tblPr>
        <w:tblStyle w:val="27"/>
        <w:tblW w:w="83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6"/>
        <w:gridCol w:w="1525"/>
        <w:gridCol w:w="1525"/>
        <w:gridCol w:w="1525"/>
        <w:gridCol w:w="1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vMerge w:val="restar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环境敏感程度（E）</w:t>
            </w:r>
          </w:p>
        </w:tc>
        <w:tc>
          <w:tcPr>
            <w:tcW w:w="6101" w:type="dxa"/>
            <w:gridSpan w:val="4"/>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危险物质及工艺系统危险性（P）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vMerge w:val="continue"/>
            <w:tcBorders>
              <w:top w:val="nil"/>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p>
        </w:tc>
        <w:tc>
          <w:tcPr>
            <w:tcW w:w="1525"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极高危害（P1）</w:t>
            </w:r>
          </w:p>
        </w:tc>
        <w:tc>
          <w:tcPr>
            <w:tcW w:w="1525"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高度危害（P2）</w:t>
            </w:r>
          </w:p>
        </w:tc>
        <w:tc>
          <w:tcPr>
            <w:tcW w:w="1525"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中度危害（P3）</w:t>
            </w:r>
          </w:p>
        </w:tc>
        <w:tc>
          <w:tcPr>
            <w:tcW w:w="1526"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轻度危害（P4）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环境高度敏感区（E1）</w:t>
            </w:r>
          </w:p>
        </w:tc>
        <w:tc>
          <w:tcPr>
            <w:tcW w:w="1525"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Ⅳ</w:t>
            </w:r>
            <w:r>
              <w:rPr>
                <w:rFonts w:ascii="Times New Roman" w:hAnsi="Times New Roman" w:cs="Times New Roman"/>
                <w:color w:val="000000" w:themeColor="text1"/>
                <w:sz w:val="21"/>
                <w:szCs w:val="21"/>
                <w:vertAlign w:val="superscript"/>
                <w14:textFill>
                  <w14:solidFill>
                    <w14:schemeClr w14:val="tx1"/>
                  </w14:solidFill>
                </w14:textFill>
              </w:rPr>
              <w:t>+</w:t>
            </w:r>
          </w:p>
        </w:tc>
        <w:tc>
          <w:tcPr>
            <w:tcW w:w="1525"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Ⅳ</w:t>
            </w:r>
          </w:p>
        </w:tc>
        <w:tc>
          <w:tcPr>
            <w:tcW w:w="1525"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Ⅲ</w:t>
            </w:r>
          </w:p>
        </w:tc>
        <w:tc>
          <w:tcPr>
            <w:tcW w:w="1526"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环境高度敏感区（E2）</w:t>
            </w:r>
          </w:p>
        </w:tc>
        <w:tc>
          <w:tcPr>
            <w:tcW w:w="1525"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Ⅳ</w:t>
            </w:r>
          </w:p>
        </w:tc>
        <w:tc>
          <w:tcPr>
            <w:tcW w:w="1525"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Ⅲ</w:t>
            </w:r>
          </w:p>
        </w:tc>
        <w:tc>
          <w:tcPr>
            <w:tcW w:w="1525"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Ⅲ</w:t>
            </w:r>
          </w:p>
        </w:tc>
        <w:tc>
          <w:tcPr>
            <w:tcW w:w="1526"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环境高度敏感区（E3）</w:t>
            </w:r>
          </w:p>
        </w:tc>
        <w:tc>
          <w:tcPr>
            <w:tcW w:w="1525"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Ⅲ</w:t>
            </w:r>
          </w:p>
        </w:tc>
        <w:tc>
          <w:tcPr>
            <w:tcW w:w="1525"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Ⅲ</w:t>
            </w:r>
          </w:p>
        </w:tc>
        <w:tc>
          <w:tcPr>
            <w:tcW w:w="1525"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Ⅱ</w:t>
            </w:r>
          </w:p>
        </w:tc>
        <w:tc>
          <w:tcPr>
            <w:tcW w:w="1526" w:type="dxa"/>
          </w:tcPr>
          <w:p>
            <w:pPr>
              <w:spacing w:line="240" w:lineRule="auto"/>
              <w:ind w:firstLine="0" w:firstLineChars="0"/>
              <w:jc w:val="center"/>
              <w:rPr>
                <w:rFonts w:ascii="Times New Roman" w:hAnsi="Times New Roman" w:cs="Times New Roman"/>
                <w:color w:val="000000" w:themeColor="text1"/>
                <w:sz w:val="21"/>
                <w:szCs w:val="21"/>
                <w:lang w:val="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307" w:type="dxa"/>
            <w:gridSpan w:val="5"/>
            <w:vAlign w:val="center"/>
          </w:tcPr>
          <w:p>
            <w:pPr>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注：Ⅳ</w:t>
            </w:r>
            <w:r>
              <w:rPr>
                <w:rFonts w:ascii="Times New Roman" w:hAnsi="Times New Roman" w:cs="Times New Roman"/>
                <w:color w:val="000000" w:themeColor="text1"/>
                <w:sz w:val="21"/>
                <w:szCs w:val="21"/>
                <w:vertAlign w:val="superscript"/>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高环境风险</w:t>
            </w:r>
          </w:p>
        </w:tc>
      </w:tr>
    </w:tbl>
    <w:p>
      <w:pPr>
        <w:pStyle w:val="6"/>
        <w:rPr>
          <w:rFonts w:ascii="Times New Roman" w:hAnsi="Times New Roman" w:cs="Times New Roman"/>
          <w:color w:val="000000" w:themeColor="text1"/>
          <w14:textFill>
            <w14:solidFill>
              <w14:schemeClr w14:val="tx1"/>
            </w14:solidFill>
          </w14:textFill>
        </w:rPr>
      </w:pPr>
      <w:bookmarkStart w:id="775" w:name="_Toc28465"/>
      <w:bookmarkStart w:id="776" w:name="_Toc4577"/>
      <w:r>
        <w:rPr>
          <w:rFonts w:ascii="Times New Roman" w:hAnsi="Times New Roman" w:cs="Times New Roman"/>
          <w:color w:val="000000" w:themeColor="text1"/>
          <w14:textFill>
            <w14:solidFill>
              <w14:schemeClr w14:val="tx1"/>
            </w14:solidFill>
          </w14:textFill>
        </w:rPr>
        <w:t>5.3.3 （P）的分级确定</w:t>
      </w:r>
      <w:bookmarkEnd w:id="775"/>
      <w:bookmarkEnd w:id="77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（1）危险物质数量与临界量的比值（Q）</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根据《建设项目环境风险评价技术导则》（HJ/T169-2018），计算项目所涉及的每种危险物质在厂界内的最大存在总量与其在附录B中对应临界量的比值（Q）。在不同</w:t>
      </w:r>
      <w:r>
        <w:rPr>
          <w:rFonts w:hint="eastAsia" w:ascii="Times New Roman" w:hAnsi="Times New Roman" w:cs="Times New Roman"/>
          <w:color w:val="000000" w:themeColor="text1"/>
          <w:lang w:val="en-US" w:eastAsia="zh-CN"/>
          <w14:textFill>
            <w14:solidFill>
              <w14:schemeClr w14:val="tx1"/>
            </w14:solidFill>
          </w14:textFill>
        </w:rPr>
        <w:t>场</w:t>
      </w:r>
      <w:r>
        <w:rPr>
          <w:rFonts w:ascii="Times New Roman" w:hAnsi="Times New Roman" w:cs="Times New Roman"/>
          <w:color w:val="000000" w:themeColor="text1"/>
          <w14:textFill>
            <w14:solidFill>
              <w14:schemeClr w14:val="tx1"/>
            </w14:solidFill>
          </w14:textFill>
        </w:rPr>
        <w:t>区的同一种物质，按其在厂界内最大存在总量计算。对于长输管线项目，按照两个截断阀室之间管段危险物质最大存在总量计算。</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当只涉及一种危险物质时，计算该物质的总量与临界量比值，即为Q；当存在多种危险物质时，则按式（C.1）计算物质总量与其临界量比值（Q）：</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position w:val="-30"/>
          <w14:textFill>
            <w14:solidFill>
              <w14:schemeClr w14:val="tx1"/>
            </w14:solidFill>
          </w14:textFill>
        </w:rPr>
        <w:object>
          <v:shape id="_x0000_i1031" o:spt="75" type="#_x0000_t75" style="height:34.2pt;width:109.8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式中：q</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，q</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，…，q</w:t>
      </w:r>
      <w:r>
        <w:rPr>
          <w:rFonts w:ascii="Times New Roman" w:hAnsi="Times New Roman" w:cs="Times New Roman"/>
          <w:color w:val="000000" w:themeColor="text1"/>
          <w:vertAlign w:val="subscript"/>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—每种危险物质的最大存在量，t；</w:t>
      </w:r>
    </w:p>
    <w:p>
      <w:pPr>
        <w:spacing w:line="520" w:lineRule="exact"/>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Q</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，Q</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，…，Q</w:t>
      </w:r>
      <w:r>
        <w:rPr>
          <w:rFonts w:ascii="Times New Roman" w:hAnsi="Times New Roman" w:cs="Times New Roman"/>
          <w:color w:val="000000" w:themeColor="text1"/>
          <w:vertAlign w:val="subscript"/>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——每种危险物质的临界量，t；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当Q＜1时，该项目环境风险潜势为Ⅰ；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当Q≥1时，将Q值划分为：（1）1≤Q＜10；（2）10≤Q＜100；（3）Q≥100。对照本项目生产过程所涉及到各类危险物质的最大数量（生产场所使用量和储存量之和）和临界量比值计算见表5.3-</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表5.3-</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 xml:space="preserve">   本项目危险物质数量与临界量比值</w:t>
      </w:r>
    </w:p>
    <w:tbl>
      <w:tblPr>
        <w:tblStyle w:val="2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84"/>
        <w:gridCol w:w="2576"/>
        <w:gridCol w:w="2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2214" w:type="pct"/>
            <w:tcBorders>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危险物质名称</w:t>
            </w:r>
          </w:p>
        </w:tc>
        <w:tc>
          <w:tcPr>
            <w:tcW w:w="1548" w:type="pct"/>
            <w:tcBorders>
              <w:left w:val="single" w:color="000000" w:sz="6" w:space="0"/>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最大存在量（t）</w:t>
            </w:r>
          </w:p>
        </w:tc>
        <w:tc>
          <w:tcPr>
            <w:tcW w:w="1236" w:type="pct"/>
            <w:tcBorders>
              <w:left w:val="single" w:color="000000" w:sz="6" w:space="0"/>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临界量（t）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14" w:type="pct"/>
            <w:tcBorders>
              <w:top w:val="single" w:color="000000" w:sz="6" w:space="0"/>
              <w:bottom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S</w:t>
            </w:r>
          </w:p>
        </w:tc>
        <w:tc>
          <w:tcPr>
            <w:tcW w:w="1548" w:type="pct"/>
            <w:tcBorders>
              <w:top w:val="single" w:color="000000" w:sz="6" w:space="0"/>
              <w:left w:val="single" w:color="000000" w:sz="6" w:space="0"/>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p>
        </w:tc>
        <w:tc>
          <w:tcPr>
            <w:tcW w:w="1236" w:type="pct"/>
            <w:tcBorders>
              <w:top w:val="single" w:color="000000" w:sz="6" w:space="0"/>
              <w:left w:val="single" w:color="000000" w:sz="6" w:space="0"/>
              <w:bottom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w w:val="99"/>
                <w:sz w:val="21"/>
                <w:szCs w:val="21"/>
                <w:lang w:val="en-US"/>
                <w14:textFill>
                  <w14:solidFill>
                    <w14:schemeClr w14:val="tx1"/>
                  </w14:solidFill>
                </w14:textFill>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14" w:type="pct"/>
            <w:tcBorders>
              <w:top w:val="single" w:color="000000" w:sz="6" w:space="0"/>
              <w:right w:val="single" w:color="000000" w:sz="6"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NH</w:t>
            </w:r>
            <w:r>
              <w:rPr>
                <w:rFonts w:hint="eastAsia" w:ascii="Times New Roman" w:hAnsi="Times New Roman" w:cs="Times New Roman"/>
                <w:color w:val="000000" w:themeColor="text1"/>
                <w:sz w:val="21"/>
                <w:szCs w:val="21"/>
                <w:vertAlign w:val="subscript"/>
                <w14:textFill>
                  <w14:solidFill>
                    <w14:schemeClr w14:val="tx1"/>
                  </w14:solidFill>
                </w14:textFill>
              </w:rPr>
              <w:t>3</w:t>
            </w:r>
          </w:p>
        </w:tc>
        <w:tc>
          <w:tcPr>
            <w:tcW w:w="1548" w:type="pct"/>
            <w:tcBorders>
              <w:top w:val="single" w:color="000000" w:sz="6" w:space="0"/>
              <w:left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0</w:t>
            </w:r>
          </w:p>
        </w:tc>
        <w:tc>
          <w:tcPr>
            <w:tcW w:w="1236" w:type="pct"/>
            <w:tcBorders>
              <w:top w:val="single" w:color="000000" w:sz="6" w:space="0"/>
              <w:left w:val="single" w:color="000000" w:sz="6" w:space="0"/>
              <w:right w:val="single" w:color="000000" w:sz="6" w:space="0"/>
            </w:tcBorders>
            <w:vAlign w:val="center"/>
          </w:tcPr>
          <w:p>
            <w:pPr>
              <w:pStyle w:val="46"/>
              <w:spacing w:before="0" w:line="240" w:lineRule="auto"/>
              <w:ind w:firstLine="0" w:firstLineChars="0"/>
              <w:rPr>
                <w:rFonts w:ascii="Times New Roman" w:hAnsi="Times New Roman" w:cs="Times New Roman"/>
                <w:color w:val="000000" w:themeColor="text1"/>
                <w:w w:val="99"/>
                <w:sz w:val="21"/>
                <w:szCs w:val="21"/>
                <w:lang w:val="en-US"/>
                <w14:textFill>
                  <w14:solidFill>
                    <w14:schemeClr w14:val="tx1"/>
                  </w14:solidFill>
                </w14:textFill>
              </w:rPr>
            </w:pPr>
            <w:r>
              <w:rPr>
                <w:rFonts w:hint="eastAsia" w:ascii="Times New Roman" w:hAnsi="Times New Roman" w:cs="Times New Roman"/>
                <w:color w:val="000000" w:themeColor="text1"/>
                <w:w w:val="99"/>
                <w:sz w:val="21"/>
                <w:szCs w:val="21"/>
                <w:lang w:val="en-US"/>
                <w14:textFill>
                  <w14:solidFill>
                    <w14:schemeClr w14:val="tx1"/>
                  </w14:solidFill>
                </w14:textFill>
              </w:rPr>
              <w:t>5</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因为Q＜1时，所以该项目环境风险潜势为Ⅰ。</w:t>
      </w:r>
    </w:p>
    <w:p>
      <w:pPr>
        <w:pStyle w:val="6"/>
        <w:rPr>
          <w:rFonts w:ascii="Times New Roman" w:hAnsi="Times New Roman" w:cs="Times New Roman"/>
          <w:color w:val="000000" w:themeColor="text1"/>
          <w14:textFill>
            <w14:solidFill>
              <w14:schemeClr w14:val="tx1"/>
            </w14:solidFill>
          </w14:textFill>
        </w:rPr>
      </w:pPr>
      <w:bookmarkStart w:id="777" w:name="_Toc7271"/>
      <w:bookmarkStart w:id="778" w:name="_Toc28751"/>
      <w:r>
        <w:rPr>
          <w:rFonts w:ascii="Times New Roman" w:hAnsi="Times New Roman" w:cs="Times New Roman"/>
          <w:color w:val="000000" w:themeColor="text1"/>
          <w14:textFill>
            <w14:solidFill>
              <w14:schemeClr w14:val="tx1"/>
            </w14:solidFill>
          </w14:textFill>
        </w:rPr>
        <w:t>5.3.4 环境风险评价等级</w:t>
      </w:r>
      <w:bookmarkEnd w:id="777"/>
      <w:bookmarkEnd w:id="77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pPr>
        <w:pStyle w:val="6"/>
        <w:rPr>
          <w:rFonts w:ascii="Times New Roman" w:hAnsi="Times New Roman" w:cs="Times New Roman"/>
          <w:color w:val="000000" w:themeColor="text1"/>
          <w14:textFill>
            <w14:solidFill>
              <w14:schemeClr w14:val="tx1"/>
            </w14:solidFill>
          </w14:textFill>
        </w:rPr>
      </w:pPr>
      <w:bookmarkStart w:id="779" w:name="_Toc16839"/>
      <w:bookmarkStart w:id="780" w:name="_Toc23237"/>
      <w:r>
        <w:rPr>
          <w:rFonts w:ascii="Times New Roman" w:hAnsi="Times New Roman" w:cs="Times New Roman"/>
          <w:color w:val="000000" w:themeColor="text1"/>
          <w14:textFill>
            <w14:solidFill>
              <w14:schemeClr w14:val="tx1"/>
            </w14:solidFill>
          </w14:textFill>
        </w:rPr>
        <w:t>5.3.5 风险源项识别</w:t>
      </w:r>
      <w:bookmarkEnd w:id="779"/>
      <w:bookmarkEnd w:id="78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风险评价技术导则》（HJ169-2018），确定项目环境风险识别的原则为：可能发生的突发性事件或事故（一般不包括人为破坏及自然灾害），引起有毒有害、易燃易爆等物质泄漏对环境造成的影响；选择生产、加工、运输、使用或贮存中涉及到的主要危险物质，按附录B，进行物质危险性判断。</w:t>
      </w:r>
    </w:p>
    <w:p>
      <w:pPr>
        <w:pStyle w:val="7"/>
        <w:rPr>
          <w:rFonts w:cs="Times New Roman"/>
          <w:color w:val="000000" w:themeColor="text1"/>
          <w14:textFill>
            <w14:solidFill>
              <w14:schemeClr w14:val="tx1"/>
            </w14:solidFill>
          </w14:textFill>
        </w:rPr>
      </w:pPr>
      <w:bookmarkStart w:id="781" w:name="_Toc29886"/>
      <w:bookmarkStart w:id="782" w:name="_Toc25316"/>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3.5.1</w:t>
      </w:r>
      <w:r>
        <w:rPr>
          <w:rFonts w:cs="Times New Roman"/>
          <w:color w:val="000000" w:themeColor="text1"/>
          <w14:textFill>
            <w14:solidFill>
              <w14:schemeClr w14:val="tx1"/>
            </w14:solidFill>
          </w14:textFill>
        </w:rPr>
        <w:t xml:space="preserve"> 物质风险识别</w:t>
      </w:r>
      <w:bookmarkEnd w:id="781"/>
      <w:bookmarkEnd w:id="78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风险评价技术导则》（HJ169-2018），物质危险性识别，包括主要原辅材料、燃料、中间产品、副产品、最终产品、污染物、火灾和爆炸伴生/次生物等。经分析，本项目生产过程中涉及的危险物质主要为氨和硫化氢，其物化性质和危险特性见表5.</w:t>
      </w:r>
      <w:r>
        <w:rPr>
          <w:rFonts w:hint="eastAsia" w:ascii="Times New Roman" w:hAnsi="Times New Roman" w:cs="Times New Roman"/>
          <w:color w:val="000000" w:themeColor="text1"/>
          <w14:textFill>
            <w14:solidFill>
              <w14:schemeClr w14:val="tx1"/>
            </w14:solidFill>
          </w14:textFill>
        </w:rPr>
        <w:t>3-4</w:t>
      </w:r>
      <w:r>
        <w:rPr>
          <w:rFonts w:ascii="Times New Roman" w:hAnsi="Times New Roman" w:cs="Times New Roman"/>
          <w:color w:val="000000" w:themeColor="text1"/>
          <w14:textFill>
            <w14:solidFill>
              <w14:schemeClr w14:val="tx1"/>
            </w14:solidFill>
          </w14:textFill>
        </w:rPr>
        <w:t>。项目生产过程中涉及的危险化学品危险性识别结果见表5.</w:t>
      </w:r>
      <w:r>
        <w:rPr>
          <w:rFonts w:hint="eastAsia" w:ascii="Times New Roman" w:hAnsi="Times New Roman" w:cs="Times New Roman"/>
          <w:color w:val="000000" w:themeColor="text1"/>
          <w14:textFill>
            <w14:solidFill>
              <w14:schemeClr w14:val="tx1"/>
            </w14:solidFill>
          </w14:textFill>
        </w:rPr>
        <w:t>3-5</w:t>
      </w:r>
      <w:r>
        <w:rPr>
          <w:rFonts w:ascii="Times New Roman" w:hAnsi="Times New Roman" w:cs="Times New Roman"/>
          <w:color w:val="000000" w:themeColor="text1"/>
          <w14:textFill>
            <w14:solidFill>
              <w14:schemeClr w14:val="tx1"/>
            </w14:solidFill>
          </w14:textFill>
        </w:rPr>
        <w:t>。</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表5.3-4   物化性质和危害特性一览表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8"/>
        <w:gridCol w:w="1628"/>
        <w:gridCol w:w="5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564"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名称</w:t>
            </w:r>
          </w:p>
        </w:tc>
        <w:tc>
          <w:tcPr>
            <w:tcW w:w="979"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物化性质</w:t>
            </w:r>
          </w:p>
        </w:tc>
        <w:tc>
          <w:tcPr>
            <w:tcW w:w="3455"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氨</w:t>
            </w:r>
          </w:p>
        </w:tc>
        <w:tc>
          <w:tcPr>
            <w:tcW w:w="979"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无色有刺激性恶臭的气体；熔点-77.7℃，沸点-33.5℃。溶解性：易溶于水，溶乙醇、乙醚。</w:t>
            </w:r>
          </w:p>
        </w:tc>
        <w:tc>
          <w:tcPr>
            <w:tcW w:w="345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健康危害：低浓度氨对粘膜有刺激作用，高浓度可造成组织溶解坏死。危险特性：与空气混合，含氨量为15.7%-27.4%时，遇到电焊、气割、气焊、电器线路短路等产生的明火，高热能，在密闭空间内有爆炸、开裂的危险。与氟、氯等接触会发生剧烈化学反应。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4"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硫化氢</w:t>
            </w:r>
          </w:p>
        </w:tc>
        <w:tc>
          <w:tcPr>
            <w:tcW w:w="979"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无色、有恶臭的气体。沸点-60.4℃，熔点-85.5℃。溶解性：溶于水、乙醇。</w:t>
            </w:r>
          </w:p>
        </w:tc>
        <w:tc>
          <w:tcPr>
            <w:tcW w:w="3455"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健康危害：是强烈的神经毒物，对粘膜有强烈刺激作用。急性中 毒：短期内吸入高浓度硫化氢后出现流泪、眼痛、眼内异物感、畏光、视物模糊、流涕、咽喉部灼烧感、咳嗽、胸闷、头疼、头晕、乏力、意识模糊等。部分患者可有心肌损害。重者可出现脑 水肿、肺水肿</w:t>
            </w:r>
          </w:p>
        </w:tc>
      </w:tr>
    </w:tbl>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表5.3-</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 xml:space="preserve">   物质危险性识别结果一览表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38"/>
        <w:gridCol w:w="1077"/>
        <w:gridCol w:w="1617"/>
        <w:gridCol w:w="1345"/>
        <w:gridCol w:w="1616"/>
        <w:gridCol w:w="20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8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序号</w:t>
            </w:r>
          </w:p>
        </w:tc>
        <w:tc>
          <w:tcPr>
            <w:tcW w:w="64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物质名称</w:t>
            </w:r>
          </w:p>
        </w:tc>
        <w:tc>
          <w:tcPr>
            <w:tcW w:w="97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危险类别</w:t>
            </w:r>
          </w:p>
        </w:tc>
        <w:tc>
          <w:tcPr>
            <w:tcW w:w="80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危险特性</w:t>
            </w:r>
          </w:p>
        </w:tc>
        <w:tc>
          <w:tcPr>
            <w:tcW w:w="97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毒性数据</w:t>
            </w:r>
          </w:p>
        </w:tc>
        <w:tc>
          <w:tcPr>
            <w:tcW w:w="12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危险性辨识结果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8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64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氨</w:t>
            </w:r>
          </w:p>
        </w:tc>
        <w:tc>
          <w:tcPr>
            <w:tcW w:w="97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第2.3类有毒气</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体</w:t>
            </w:r>
          </w:p>
        </w:tc>
        <w:tc>
          <w:tcPr>
            <w:tcW w:w="80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易燃，具窒息性</w:t>
            </w:r>
          </w:p>
        </w:tc>
        <w:tc>
          <w:tcPr>
            <w:tcW w:w="97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LC50：1390mg/m</w:t>
            </w:r>
            <w:r>
              <w:rPr>
                <w:rFonts w:hint="eastAsia"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（大鼠吸入，4小时）；</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LD50：350mg/m</w:t>
            </w:r>
            <w:r>
              <w:rPr>
                <w:rFonts w:hint="eastAsia" w:ascii="Times New Roman" w:hAnsi="Times New Roman" w:cs="Times New Roman"/>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（大鼠经口）；</w:t>
            </w:r>
          </w:p>
        </w:tc>
        <w:tc>
          <w:tcPr>
            <w:tcW w:w="12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易燃物质预热易爆炸性物质毒性物质有腐蚀性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38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p>
        </w:tc>
        <w:tc>
          <w:tcPr>
            <w:tcW w:w="64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硫化氢</w:t>
            </w:r>
          </w:p>
        </w:tc>
        <w:tc>
          <w:tcPr>
            <w:tcW w:w="97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第2.1类易燃气体</w:t>
            </w:r>
          </w:p>
        </w:tc>
        <w:tc>
          <w:tcPr>
            <w:tcW w:w="80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易燃</w:t>
            </w:r>
          </w:p>
        </w:tc>
        <w:tc>
          <w:tcPr>
            <w:tcW w:w="97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LC50：</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6180mg/m</w:t>
            </w:r>
            <w:r>
              <w:rPr>
                <w:rFonts w:hint="eastAsia" w:ascii="Times New Roman" w:hAnsi="Times New Roman" w:cs="Times New Roman"/>
                <w:color w:val="000000" w:themeColor="text1"/>
                <w:sz w:val="21"/>
                <w:szCs w:val="21"/>
                <w:vertAlign w:val="superscript"/>
                <w14:textFill>
                  <w14:solidFill>
                    <w14:schemeClr w14:val="tx1"/>
                  </w14:solidFill>
                </w14:textFill>
              </w:rPr>
              <w:t>3</w:t>
            </w:r>
          </w:p>
        </w:tc>
        <w:tc>
          <w:tcPr>
            <w:tcW w:w="121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易燃物质爆炸性物质毒性物质</w:t>
            </w:r>
          </w:p>
        </w:tc>
      </w:tr>
    </w:tbl>
    <w:p>
      <w:pPr>
        <w:pStyle w:val="7"/>
        <w:rPr>
          <w:rFonts w:cs="Times New Roman"/>
          <w:color w:val="000000" w:themeColor="text1"/>
          <w14:textFill>
            <w14:solidFill>
              <w14:schemeClr w14:val="tx1"/>
            </w14:solidFill>
          </w14:textFill>
        </w:rPr>
      </w:pPr>
      <w:bookmarkStart w:id="783" w:name="_Toc305"/>
      <w:bookmarkStart w:id="784" w:name="_Toc23754"/>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 xml:space="preserve">3.5.2 </w:t>
      </w:r>
      <w:r>
        <w:rPr>
          <w:rFonts w:cs="Times New Roman"/>
          <w:color w:val="000000" w:themeColor="text1"/>
          <w14:textFill>
            <w14:solidFill>
              <w14:schemeClr w14:val="tx1"/>
            </w14:solidFill>
          </w14:textFill>
        </w:rPr>
        <w:t>生产系统风险识别</w:t>
      </w:r>
      <w:bookmarkEnd w:id="783"/>
      <w:bookmarkEnd w:id="78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生产系统危险性识别，包括主要生产装置、储运设施、公用工程和辅助生产设施，以及环境保护设施等。项目生产过程中的主要环境风险是疫情风险、作为液肥农灌风险以及病死猪风险。</w:t>
      </w:r>
    </w:p>
    <w:p>
      <w:pPr>
        <w:pStyle w:val="6"/>
        <w:rPr>
          <w:rFonts w:ascii="Times New Roman" w:hAnsi="Times New Roman" w:cs="Times New Roman"/>
          <w:color w:val="000000" w:themeColor="text1"/>
          <w14:textFill>
            <w14:solidFill>
              <w14:schemeClr w14:val="tx1"/>
            </w14:solidFill>
          </w14:textFill>
        </w:rPr>
      </w:pPr>
      <w:bookmarkStart w:id="785" w:name="_Toc9023"/>
      <w:bookmarkStart w:id="786" w:name="_Toc6841"/>
      <w:r>
        <w:rPr>
          <w:rFonts w:hint="eastAsia" w:ascii="Times New Roman" w:hAnsi="Times New Roman" w:cs="Times New Roman"/>
          <w:color w:val="000000" w:themeColor="text1"/>
          <w14:textFill>
            <w14:solidFill>
              <w14:schemeClr w14:val="tx1"/>
            </w14:solidFill>
          </w14:textFill>
        </w:rPr>
        <w:t xml:space="preserve">5.3.6 </w:t>
      </w:r>
      <w:r>
        <w:rPr>
          <w:rFonts w:ascii="Times New Roman" w:hAnsi="Times New Roman" w:cs="Times New Roman"/>
          <w:color w:val="000000" w:themeColor="text1"/>
          <w14:textFill>
            <w14:solidFill>
              <w14:schemeClr w14:val="tx1"/>
            </w14:solidFill>
          </w14:textFill>
        </w:rPr>
        <w:t>环境风险分析</w:t>
      </w:r>
      <w:bookmarkEnd w:id="785"/>
      <w:bookmarkEnd w:id="786"/>
    </w:p>
    <w:p>
      <w:pPr>
        <w:pStyle w:val="7"/>
        <w:rPr>
          <w:rFonts w:cs="Times New Roman"/>
          <w:color w:val="000000" w:themeColor="text1"/>
          <w14:textFill>
            <w14:solidFill>
              <w14:schemeClr w14:val="tx1"/>
            </w14:solidFill>
          </w14:textFill>
        </w:rPr>
      </w:pPr>
      <w:bookmarkStart w:id="787" w:name="_Toc26503"/>
      <w:bookmarkStart w:id="788" w:name="_Toc4031"/>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3.6</w:t>
      </w:r>
      <w:r>
        <w:rPr>
          <w:rFonts w:cs="Times New Roman"/>
          <w:color w:val="000000" w:themeColor="text1"/>
          <w14:textFill>
            <w14:solidFill>
              <w14:schemeClr w14:val="tx1"/>
            </w14:solidFill>
          </w14:textFill>
        </w:rPr>
        <w:t>.1 疫情风险的分析</w:t>
      </w:r>
      <w:bookmarkEnd w:id="787"/>
      <w:bookmarkEnd w:id="78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集约化猪场养殖规模大、密度高、传播速度快，疾病威胁严重，一旦发生很难控制，可直接导致牲畜死亡、产品低劣、产量下降，防治费用增加，经济损失巨大。这就要求我们随时具备对猪群有群防群控能力。</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（1）流行性疾病</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近3年来，几种影响免疫功能的疾病困扰着我国养猪业，给养猪业造成了难以估量的损失，如猪非洲疫病毒、猪环状病毒感染、猪繁殖与呼吸综合征等疫病的发生流行，引起机体的基础免疫功能下降，导致猪群免疫失败，如猪繁殖与呼吸综合征（PRRS）、仔猪断奶后多系统衰弱综合征（PMWS）、猪呼吸道疾病综合征（PRDC）、猪皮炎肾病综合征（PDNS）等，多种病原体引起的疾病的临床病变极其严重，极易造成临床上的误诊和防治上的困难，由于这些新病的出现，有的疾病缺乏有效的防治措施，因此，猪群发病率和死亡率提高，养猪场损失惨重，给我国养猪业造成了巨大的危害，不少猪场因种猪的疫病问题造成巨大的经济损失而倒闭。</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（2）慢性疾病</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许多慢性疾病虽然死亡率不高，但由于造成生长速度减慢、饲料利用效率降低，并发二次感染，增加药物和治疗费用等，经济损失极大。据国外研究报道，萎缩性鼻炎可使生长速度降低5%，如果与肺炎并发，可导致生长速度降低17%；由于地方性肺炎导致肺的不同程度损坏，每损坏10</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的肺组织可降低5%的生长速度；猪群由于胸膜肺炎的影响，可使销售额降低20%，并导致达100千克延长12天；某些皮肤病如猪疥癣可降低10%的生长和饲料利用率，并且可能诱发皮脂炎而严重影响胴体品质，据国内有关数据显示，病毒、细菌等混合感染引起的呼吸道疾病，除了造成直接死亡之外，可使猪日增重降低15%、饲料利用率降低18%、出栏时间推迟23天，甚至更多，增重下降或生长停滞的猪可达70%甚至更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（3）病死猪风险</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病死的家畜、家禽多数是因患了某种传染病而死亡的。其中有一些是人畜共患的传染病，如炭疽、结核、禽流感等，如食用这些病死的畜禽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禽的肉，就会发生食物中毒。有些禽畜可能因吃了被污染剧毒农药的食料而中毒死亡，人如果吃了这种死畜禽，同样也有可能中毒,甚至造成死亡。因此，对于病死或者死因不明的畜禽，必须按照国务院畜牧兽医行政管理部门的有关规定进行无害化处理，不得随意处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本项目属于规模化肉猪养殖项目，按照1%的病死率计算，每年将产生约</w:t>
      </w:r>
      <w:r>
        <w:rPr>
          <w:rFonts w:hint="eastAsia" w:ascii="Times New Roman" w:hAnsi="Times New Roman" w:cs="Times New Roman"/>
          <w:color w:val="000000" w:themeColor="text1"/>
          <w14:textFill>
            <w14:solidFill>
              <w14:schemeClr w14:val="tx1"/>
            </w14:solidFill>
          </w14:textFill>
        </w:rPr>
        <w:t>800</w:t>
      </w:r>
      <w:r>
        <w:rPr>
          <w:rFonts w:ascii="Times New Roman" w:hAnsi="Times New Roman" w:cs="Times New Roman"/>
          <w:color w:val="000000" w:themeColor="text1"/>
          <w14:textFill>
            <w14:solidFill>
              <w14:schemeClr w14:val="tx1"/>
            </w14:solidFill>
          </w14:textFill>
        </w:rPr>
        <w:t>头病死猪尸体。在养殖场内，专门设置有隔离猪舍和病猪舍，对可疑病猪先在隔离猪舍进行隔离观察，确诊后立即送入病猪舍，将病猪和可疑病猪与健康猪隔离开来，将疫情限制在最小范围内，同时启动相应级别疫情应急处置方案。仍然有使用价值的病猪应隔离饲养、治疗，彻底治愈后，可以归群。</w:t>
      </w:r>
    </w:p>
    <w:p>
      <w:pPr>
        <w:pStyle w:val="7"/>
        <w:rPr>
          <w:rFonts w:cs="Times New Roman"/>
          <w:color w:val="000000" w:themeColor="text1"/>
          <w14:textFill>
            <w14:solidFill>
              <w14:schemeClr w14:val="tx1"/>
            </w14:solidFill>
          </w14:textFill>
        </w:rPr>
      </w:pPr>
      <w:bookmarkStart w:id="789" w:name="_Toc6037"/>
      <w:bookmarkStart w:id="790" w:name="_Toc4316"/>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3.6</w:t>
      </w:r>
      <w:r>
        <w:rPr>
          <w:rFonts w:cs="Times New Roman"/>
          <w:color w:val="000000" w:themeColor="text1"/>
          <w14:textFill>
            <w14:solidFill>
              <w14:schemeClr w14:val="tx1"/>
            </w14:solidFill>
          </w14:textFill>
        </w:rPr>
        <w:t>.2 液肥农灌风险分析</w:t>
      </w:r>
      <w:bookmarkEnd w:id="789"/>
      <w:bookmarkEnd w:id="79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（1）地下水污染风险分析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本养殖场废水处理后作为液肥是施用后，有部分随着灌溉水下渗，可能污染地下水环境。根据膜下滴灌的试验资料，滴灌下渗水浸润范围在80-90cm土层内，根据当地的地勘资料，项目区域地下水埋深约在</w:t>
      </w:r>
      <w:r>
        <w:rPr>
          <w:rFonts w:hint="eastAsia" w:ascii="Times New Roman" w:hAnsi="Times New Roman" w:cs="Times New Roman"/>
          <w:color w:val="000000" w:themeColor="text1"/>
          <w14:textFill>
            <w14:solidFill>
              <w14:schemeClr w14:val="tx1"/>
            </w14:solidFill>
          </w14:textFill>
        </w:rPr>
        <w:t>10-35</w:t>
      </w:r>
      <w:r>
        <w:rPr>
          <w:rFonts w:ascii="Times New Roman" w:hAnsi="Times New Roman" w:cs="Times New Roman"/>
          <w:color w:val="000000" w:themeColor="text1"/>
          <w14:textFill>
            <w14:solidFill>
              <w14:schemeClr w14:val="tx1"/>
            </w14:solidFill>
          </w14:textFill>
        </w:rPr>
        <w:t>m，本项目区灌溉方式以滴灌为主，因此，只要加强液肥灌溉时的管理，灌溉水下渗进入地下水中污染地下水环境造成的影响很小。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（2）土壤污染分析</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研究表明：Zn、Cu和As的污染源主要为养殖场废水，项目区农田土壤没有遭受重金属污染，本项目处理后的废水全部肥料化利用，作为有机肥料综合利用对土壤环境影响较小。</w:t>
      </w:r>
    </w:p>
    <w:p>
      <w:pPr>
        <w:pStyle w:val="7"/>
        <w:rPr>
          <w:rFonts w:cs="Times New Roman"/>
          <w:color w:val="000000" w:themeColor="text1"/>
          <w14:textFill>
            <w14:solidFill>
              <w14:schemeClr w14:val="tx1"/>
            </w14:solidFill>
          </w14:textFill>
        </w:rPr>
      </w:pPr>
      <w:bookmarkStart w:id="791" w:name="_Toc12612"/>
      <w:bookmarkStart w:id="792" w:name="_Toc4564"/>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3.6</w:t>
      </w:r>
      <w:r>
        <w:rPr>
          <w:rFonts w:cs="Times New Roman"/>
          <w:color w:val="000000" w:themeColor="text1"/>
          <w14:textFill>
            <w14:solidFill>
              <w14:schemeClr w14:val="tx1"/>
            </w14:solidFill>
          </w14:textFill>
        </w:rPr>
        <w:t>.3 病死猪风险分析</w:t>
      </w:r>
      <w:bookmarkEnd w:id="791"/>
      <w:bookmarkEnd w:id="79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病死的家畜、家禽多数是因患了某种传染病而死亡的。其中有一些是人畜共患的传染病，如炭疽、结核、禽流感等，如食用这些病死的畜禽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禽的肉，就会发生食物中毒。有些禽畜可能因吃了被污染剧毒农药的食料而中毒死亡，人如果吃了这种死畜禽，同样也有可能中毒，甚至造成死亡。因此，对于病死或者死因不明的畜禽，必须按照国务院畜牧兽医行政管理部门的有关规定进行无害化处理，不得随意处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本项目属于规模化肉猪养殖项目，按照</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%的病死率计算，每年将产生约</w:t>
      </w:r>
      <w:r>
        <w:rPr>
          <w:rFonts w:hint="eastAsia" w:ascii="Times New Roman" w:hAnsi="Times New Roman" w:cs="Times New Roman"/>
          <w:color w:val="000000" w:themeColor="text1"/>
          <w14:textFill>
            <w14:solidFill>
              <w14:schemeClr w14:val="tx1"/>
            </w14:solidFill>
          </w14:textFill>
        </w:rPr>
        <w:t>800头病死猪。在养殖场内，专门设置有隔离猪舍和病猪舍，对可疑病猪先在隔离猪舍进行隔离观察，确诊后立即送入病猪舍，将病猪和可疑病猪与健康猪隔离开来，将疫情限制在最小范围内，同时启动相应级别疫情应急处置方案。仍然有使用价值的病猪应隔离饲养、治疗，彻底治愈后，可以归群。</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根据《畜禽养殖业污染治理工程技术规范》（HJ 497-2009）中第9章和《畜禽养殖业污染物防治技术规范》（HJ/T 81-2001）中第9章的要求，病死畜禽尸体应及时处理，不得随意丢弃，不得出售或作为饲料再利用。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高温与生物降解畜禽无害化处理设施，高温与生物降解畜禽无害化复合处理技术是高温灭菌与生物降解技术的结合，即在特定的处理器中高温灭菌、破碎并启动生物降解的过程，处理病害动物尸体，杀灭病原微生物，同时可以实现环保及资源利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规模化养殖场，且处置的病死猪尸体量大，不用于一般小型规模化畜禽养殖场。采用填埋井占地面积大，且环境污染风险大，无害化处置效果不及高温与生物降解畜禽无害化处理技术。本项目采用高温与生物降解畜禽无害化处理技术，该技术和设施具有以下几个特点和先进性：</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技术创新。将高温灭菌和生物降解技术有机结合，实现了在一体机内动物尸体无害化处理的效果。①灭菌温度大于≥100℃，有效灭菌，生物安全；②发酵降解温度（启动降解）55℃—80℃；③环保，臭气密闭集中收集处理后达标排放，高温灭菌后水分蒸发，无废水排放，是目前病死畜禽无害化处理最为先进和适用的技术。</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2）工艺创新。①灭菌—降解在同一罐体内进行，先灭菌后降解，灭菌温度大于≥100℃，降解温度 55—80℃。②工艺设计具有对动物尸体分切、研磨细碎功能，保证处理效果。③自动化控制，操作简单、安全，经济、适用。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环保和资源化。①将病死动物通过灭菌和生物降解复合处理转化为有机肥原料，实现产物资源化利用；②处理过程中需要的辅料为锯末、秸秆、玉米芯、稻糠等农业废弃物原材料，来源广泛，容易取得，实现变废为宝；③采用动力为电力，电力为清洁能源，有利于保护大气环境。</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因此，本项目采用动物尸体高温与生物降解畜禽无害化处理设施可行且环境风险较低。</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（5）病死猪的档案管理要求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管理员每日按要求对病猪和当日填埋处理的病死猪种类、原因、头数和体重如实进行登记记录。记录档案保存应不少于两年。</w:t>
      </w:r>
    </w:p>
    <w:p>
      <w:pPr>
        <w:pStyle w:val="6"/>
        <w:rPr>
          <w:rFonts w:ascii="Times New Roman" w:hAnsi="Times New Roman" w:cs="Times New Roman"/>
          <w:color w:val="000000" w:themeColor="text1"/>
          <w14:textFill>
            <w14:solidFill>
              <w14:schemeClr w14:val="tx1"/>
            </w14:solidFill>
          </w14:textFill>
        </w:rPr>
      </w:pPr>
      <w:bookmarkStart w:id="793" w:name="_Toc21363"/>
      <w:bookmarkStart w:id="794" w:name="_Toc17681"/>
      <w:r>
        <w:rPr>
          <w:rFonts w:ascii="Times New Roman" w:hAnsi="Times New Roman" w:cs="Times New Roman"/>
          <w:color w:val="000000" w:themeColor="text1"/>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3.7</w:t>
      </w:r>
      <w:r>
        <w:rPr>
          <w:rFonts w:ascii="Times New Roman" w:hAnsi="Times New Roman" w:cs="Times New Roman"/>
          <w:color w:val="000000" w:themeColor="text1"/>
          <w14:textFill>
            <w14:solidFill>
              <w14:schemeClr w14:val="tx1"/>
            </w14:solidFill>
          </w14:textFill>
        </w:rPr>
        <w:t xml:space="preserve"> 环境风险防范措施</w:t>
      </w:r>
      <w:bookmarkEnd w:id="793"/>
      <w:bookmarkEnd w:id="794"/>
    </w:p>
    <w:p>
      <w:pPr>
        <w:pStyle w:val="7"/>
        <w:rPr>
          <w:rFonts w:cs="Times New Roman"/>
          <w:color w:val="000000" w:themeColor="text1"/>
          <w14:textFill>
            <w14:solidFill>
              <w14:schemeClr w14:val="tx1"/>
            </w14:solidFill>
          </w14:textFill>
        </w:rPr>
      </w:pPr>
      <w:bookmarkStart w:id="795" w:name="_Toc18895"/>
      <w:bookmarkStart w:id="796" w:name="_Toc20143"/>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3.7</w:t>
      </w:r>
      <w:r>
        <w:rPr>
          <w:rFonts w:cs="Times New Roman"/>
          <w:color w:val="000000" w:themeColor="text1"/>
          <w14:textFill>
            <w14:solidFill>
              <w14:schemeClr w14:val="tx1"/>
            </w14:solidFill>
          </w14:textFill>
        </w:rPr>
        <w:t>.1 疫情风险的防范措施</w:t>
      </w:r>
      <w:bookmarkEnd w:id="795"/>
      <w:bookmarkEnd w:id="79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卫生防疫是规模化养殖场成败的关键，必须严格按照《中华人民共和国动物防疫法》的要求，做到“以防为主，防治结合，制度健全，责任到人”。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（1）消毒制度</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凡进入饲养场的人和车辆等都需要经过消毒。凡是进入饲养场的工作人员，一律更换工作服、工作鞋，并经紫外线照射5分钟进行消毒。外来人员必须进入</w:t>
      </w:r>
      <w:r>
        <w:rPr>
          <w:rFonts w:ascii="Times New Roman" w:hAnsi="Times New Roman" w:cs="Times New Roman"/>
          <w:color w:val="000000" w:themeColor="text1"/>
          <w:spacing w:val="-6"/>
          <w14:textFill>
            <w14:solidFill>
              <w14:schemeClr w14:val="tx1"/>
            </w14:solidFill>
          </w14:textFill>
        </w:rPr>
        <w:t>生产区时，也应按照上述方法消毒，在场区管理人员的带领下，按照指定路线行走。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（2）免疫程序管理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在生猪养殖过程中严格执行自治区家畜疫病防治的五个强制（免疫、疫区检疫、封锁、消毒、病畜捕杀）和两个强化（疫病报告、防疫监督）制度，定期防治传染病和寄生虫病。制定一套合理的免疫程序和实验室检测制度，一旦发生疫情，封锁疫点，禁止猪只流动，病猪及相关物品采取无害化处理。对未发病的猪，用疫苗（剂量可加大2～4倍）进行紧急预防接种，对猪舍、粪便和用具彻底彻底消毒，饲养用具每天消毒一次。</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每年口蹄疫灭活苗（亚1型+A型）免疫3次，每年春、秋季各进行一次结</w:t>
      </w:r>
      <w:r>
        <w:rPr>
          <w:rFonts w:ascii="Times New Roman" w:hAnsi="Times New Roman" w:cs="Times New Roman"/>
          <w:color w:val="000000" w:themeColor="text1"/>
          <w:spacing w:val="-6"/>
          <w14:textFill>
            <w14:solidFill>
              <w14:schemeClr w14:val="tx1"/>
            </w14:solidFill>
          </w14:textFill>
        </w:rPr>
        <w:t>核病、布氏杆菌病、副结核病的检疫。检出阳性或有可疑反应的猪及时按规定处置。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检疫结束后对猪舍内外及用具等彻底进行一次大消毒。每年春、秋各进行一次疥癣等体表寄生虫的检查，春季对犊群进行球虫的普查和驱虫工作。发生疫情时迅速隔离病猪，对病猪及封锁区内的猪实行合理的综合防制措施，包括疫苗的紧急接种、抗生素疗法、化学疗法、增强体质和生理机能的辅助疗法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对症施用疫苗，疫苗从出厂到使用全部都要保证冷藏贮运。</w:t>
      </w:r>
    </w:p>
    <w:p>
      <w:pPr>
        <w:pStyle w:val="7"/>
        <w:rPr>
          <w:rFonts w:cs="Times New Roman"/>
          <w:color w:val="000000" w:themeColor="text1"/>
          <w14:textFill>
            <w14:solidFill>
              <w14:schemeClr w14:val="tx1"/>
            </w14:solidFill>
          </w14:textFill>
        </w:rPr>
      </w:pPr>
      <w:bookmarkStart w:id="797" w:name="_Toc13215"/>
      <w:bookmarkStart w:id="798" w:name="_Toc4884"/>
    </w:p>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3.7</w:t>
      </w:r>
      <w:r>
        <w:rPr>
          <w:rFonts w:cs="Times New Roman"/>
          <w:color w:val="000000" w:themeColor="text1"/>
          <w14:textFill>
            <w14:solidFill>
              <w14:schemeClr w14:val="tx1"/>
            </w14:solidFill>
          </w14:textFill>
        </w:rPr>
        <w:t>.2 诊疗程序管理</w:t>
      </w:r>
      <w:bookmarkEnd w:id="797"/>
      <w:bookmarkEnd w:id="79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本项目设有一个值班室，值班室有专职兽医值守，兽医应每天进入各猪舍观察猪群，发现病情做好记录并向技术部门备案，一旦发现疫情，做到早、严、快，并向上级部门回报。</w:t>
      </w:r>
    </w:p>
    <w:p>
      <w:pPr>
        <w:pStyle w:val="7"/>
        <w:rPr>
          <w:rFonts w:cs="Times New Roman"/>
          <w:color w:val="000000" w:themeColor="text1"/>
          <w14:textFill>
            <w14:solidFill>
              <w14:schemeClr w14:val="tx1"/>
            </w14:solidFill>
          </w14:textFill>
        </w:rPr>
      </w:pPr>
      <w:bookmarkStart w:id="799" w:name="_Toc10484"/>
      <w:bookmarkStart w:id="800" w:name="_Toc31761"/>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3.7</w:t>
      </w:r>
      <w:r>
        <w:rPr>
          <w:rFonts w:cs="Times New Roman"/>
          <w:color w:val="000000" w:themeColor="text1"/>
          <w14:textFill>
            <w14:solidFill>
              <w14:schemeClr w14:val="tx1"/>
            </w14:solidFill>
          </w14:textFill>
        </w:rPr>
        <w:t>.3 保证猪舍良好的卫生环境</w:t>
      </w:r>
      <w:bookmarkEnd w:id="799"/>
      <w:bookmarkEnd w:id="80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舍做到大环境通风和干燥，并注意猪舍的保温，减少应激反应。猪舍内应勤清扫、勤换土、勤晒和勤换垫草，不定期地用生石灰或草木灰对猪舍吸潮消毒。水槽、料槽、饲料车、饲料桶等要经常刷洗。要注意灭鼠和灭蚊蝇，应定期定点安全投放灭鼠药，及时收集死鼠和残余鼠药，并应做深埋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对猪舍内消毒时要将圈舍清扫干净，传统方法一般选用30%的热草木灰水、或强力消毒灵或“安立消”兑成</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1000-1500的水剂喷雾消毒，或2%火碱溶液、或石炭酸、或2%福尔马林溶液或10%-20%石灰乳液进行喷洒消毒。经济条件允许的话应选择新型、刺激性较小的酸性消毒剂：如复合醛类消毒剂。消毒时要做到细致，无死角。</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猪舍周围环境定期用2%火碱或撒生石灰消毒。猪场周围及场内的污染池、排粪坑、下水道出口，每月用漂白粉消毒一次。在猪场、猪舍入口设消毒池并定期更换消毒液。</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猪舍配备转盘式自动药浴喷淋装置定期对猪群进行药浴消毒。</w:t>
      </w:r>
    </w:p>
    <w:p>
      <w:pPr>
        <w:pStyle w:val="7"/>
        <w:rPr>
          <w:rFonts w:cs="Times New Roman"/>
          <w:color w:val="000000" w:themeColor="text1"/>
          <w14:textFill>
            <w14:solidFill>
              <w14:schemeClr w14:val="tx1"/>
            </w14:solidFill>
          </w14:textFill>
        </w:rPr>
      </w:pPr>
      <w:bookmarkStart w:id="801" w:name="_Toc27063"/>
      <w:bookmarkStart w:id="802" w:name="_Toc2921"/>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3.7</w:t>
      </w:r>
      <w:r>
        <w:rPr>
          <w:rFonts w:cs="Times New Roman"/>
          <w:color w:val="000000" w:themeColor="text1"/>
          <w14:textFill>
            <w14:solidFill>
              <w14:schemeClr w14:val="tx1"/>
            </w14:solidFill>
          </w14:textFill>
        </w:rPr>
        <w:t>.4 保证饲料质量</w:t>
      </w:r>
      <w:bookmarkEnd w:id="801"/>
      <w:bookmarkEnd w:id="80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猪的喂养过程中保证饲料品质，防止将霉变饲料让猪食用。另外，在饲料中添加免疫增强剂，以提高猪群抵抗力。</w:t>
      </w:r>
    </w:p>
    <w:p>
      <w:pPr>
        <w:pStyle w:val="7"/>
        <w:rPr>
          <w:rFonts w:cs="Times New Roman"/>
          <w:color w:val="000000" w:themeColor="text1"/>
          <w14:textFill>
            <w14:solidFill>
              <w14:schemeClr w14:val="tx1"/>
            </w14:solidFill>
          </w14:textFill>
        </w:rPr>
      </w:pPr>
      <w:bookmarkStart w:id="803" w:name="_Toc23031"/>
      <w:bookmarkStart w:id="804" w:name="_Toc30727"/>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3.7</w:t>
      </w:r>
      <w:r>
        <w:rPr>
          <w:rFonts w:cs="Times New Roman"/>
          <w:color w:val="000000" w:themeColor="text1"/>
          <w14:textFill>
            <w14:solidFill>
              <w14:schemeClr w14:val="tx1"/>
            </w14:solidFill>
          </w14:textFill>
        </w:rPr>
        <w:t>.5 定期监测</w:t>
      </w:r>
      <w:bookmarkEnd w:id="803"/>
      <w:bookmarkEnd w:id="80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消除亚临床感染猪。亚临床感染猪长期带毒并不断排毒，是潜在的传染源，极易将其他易感猪感染，因此须加大免疫剂量，切断持续感染（亚临床感染），采取综合措施，逐渐淘汰阳性感染猪，至少每6个月监测一次。</w:t>
      </w:r>
    </w:p>
    <w:p>
      <w:pPr>
        <w:pStyle w:val="7"/>
        <w:rPr>
          <w:rFonts w:cs="Times New Roman"/>
          <w:color w:val="000000" w:themeColor="text1"/>
          <w14:textFill>
            <w14:solidFill>
              <w14:schemeClr w14:val="tx1"/>
            </w14:solidFill>
          </w14:textFill>
        </w:rPr>
      </w:pPr>
      <w:bookmarkStart w:id="805" w:name="_Toc9255"/>
      <w:bookmarkStart w:id="806" w:name="_Toc1167"/>
    </w:p>
    <w:p>
      <w:pPr>
        <w:pStyle w:val="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3.7</w:t>
      </w:r>
      <w:r>
        <w:rPr>
          <w:rFonts w:cs="Times New Roman"/>
          <w:color w:val="000000" w:themeColor="text1"/>
          <w14:textFill>
            <w14:solidFill>
              <w14:schemeClr w14:val="tx1"/>
            </w14:solidFill>
          </w14:textFill>
        </w:rPr>
        <w:t>.6 隔离措施</w:t>
      </w:r>
      <w:bookmarkEnd w:id="805"/>
      <w:bookmarkEnd w:id="80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建设围墙、防疫沟及绿化隔离带。</w:t>
      </w:r>
    </w:p>
    <w:p>
      <w:pPr>
        <w:pStyle w:val="7"/>
        <w:rPr>
          <w:rFonts w:cs="Times New Roman"/>
          <w:color w:val="000000" w:themeColor="text1"/>
          <w14:textFill>
            <w14:solidFill>
              <w14:schemeClr w14:val="tx1"/>
            </w14:solidFill>
          </w14:textFill>
        </w:rPr>
      </w:pPr>
      <w:bookmarkStart w:id="807" w:name="_Toc6639"/>
      <w:bookmarkStart w:id="808" w:name="_Toc17421"/>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3.7</w:t>
      </w:r>
      <w:r>
        <w:rPr>
          <w:rFonts w:cs="Times New Roman"/>
          <w:color w:val="000000" w:themeColor="text1"/>
          <w14:textFill>
            <w14:solidFill>
              <w14:schemeClr w14:val="tx1"/>
            </w14:solidFill>
          </w14:textFill>
        </w:rPr>
        <w:t>.7 废水农灌时风险防范措施</w:t>
      </w:r>
      <w:bookmarkEnd w:id="807"/>
      <w:bookmarkEnd w:id="80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（1）地下水污染风险防范措施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水污染防治措施除了严格养殖场饲料进料关，禁止有害饲料、农药及重金属污染饲料、霉烂变质饲料进场，并通过对废水无害化规范处理后才作为液肥使用；此外，还要严格控制灌溉定额，以滴灌为主，避免大水漫灌，避免灌溉水下渗后与表潜水混合。另外，严格按照规范施工，严格粪污处理设施的防渗设计要求，特别是液体有机肥厌氧存储塘处理设施，防止污水渗漏可以有效防止养殖场废水对地下水的污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（2）土壤污染风险防范措施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严格养殖场饲料进料关，禁止有害饲料、农药及重金属污染饲料、霉烂变质饲料进场；液肥利用需参照《畜禽粪便无害化处理技术规范》（NY/T1168-2006），避免粪尿中重金属元素超标排放，避免土壤中Cu</w:t>
      </w:r>
      <w:r>
        <w:rPr>
          <w:rFonts w:hint="eastAsia" w:ascii="Times New Roman" w:hAnsi="Times New Roman" w:cs="Times New Roman"/>
          <w:color w:val="000000" w:themeColor="text1"/>
          <w14:textFill>
            <w14:solidFill>
              <w14:schemeClr w14:val="tx1"/>
            </w14:solidFill>
          </w14:textFill>
        </w:rPr>
        <w:t>、Pb、</w:t>
      </w:r>
      <w:r>
        <w:rPr>
          <w:rFonts w:ascii="Times New Roman" w:hAnsi="Times New Roman" w:cs="Times New Roman"/>
          <w:color w:val="000000" w:themeColor="text1"/>
          <w14:textFill>
            <w14:solidFill>
              <w14:schemeClr w14:val="tx1"/>
            </w14:solidFill>
          </w14:textFill>
        </w:rPr>
        <w:t>As等重金属元素含量超标，即可避免土壤污染。</w:t>
      </w:r>
    </w:p>
    <w:p>
      <w:pPr>
        <w:pStyle w:val="6"/>
        <w:rPr>
          <w:rFonts w:ascii="Times New Roman" w:hAnsi="Times New Roman" w:cs="Times New Roman"/>
          <w:color w:val="000000" w:themeColor="text1"/>
          <w14:textFill>
            <w14:solidFill>
              <w14:schemeClr w14:val="tx1"/>
            </w14:solidFill>
          </w14:textFill>
        </w:rPr>
      </w:pPr>
      <w:bookmarkStart w:id="809" w:name="_Toc17608"/>
      <w:bookmarkStart w:id="810" w:name="_Toc18681"/>
      <w:r>
        <w:rPr>
          <w:rFonts w:ascii="Times New Roman" w:hAnsi="Times New Roman" w:cs="Times New Roman"/>
          <w:color w:val="000000" w:themeColor="text1"/>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3.8</w:t>
      </w:r>
      <w:r>
        <w:rPr>
          <w:rFonts w:ascii="Times New Roman" w:hAnsi="Times New Roman" w:cs="Times New Roman"/>
          <w:color w:val="000000" w:themeColor="text1"/>
          <w14:textFill>
            <w14:solidFill>
              <w14:schemeClr w14:val="tx1"/>
            </w14:solidFill>
          </w14:textFill>
        </w:rPr>
        <w:t xml:space="preserve"> 环境风险应急预案</w:t>
      </w:r>
      <w:bookmarkEnd w:id="809"/>
      <w:bookmarkEnd w:id="81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制定环境风险事故应急预案的目的是为了在发生风险事故时，能以最快的速度发挥最大的效能，有序的实施救援，尽快控制事态的发展，降低事故造成的危害，减少事故造成的损失。 根据《国家突发环境事件应急预案》（国办函〔2014〕119）号、《突发环境事 件应急管理办法》（部令第34号），结合厂区的规章制度编制了可能造成环境风险的突发性事故应急预案内容见表5.</w:t>
      </w:r>
      <w:r>
        <w:rPr>
          <w:rFonts w:hint="eastAsia" w:ascii="Times New Roman" w:hAnsi="Times New Roman" w:cs="Times New Roman"/>
          <w:color w:val="000000" w:themeColor="text1"/>
          <w14:textFill>
            <w14:solidFill>
              <w14:schemeClr w14:val="tx1"/>
            </w14:solidFill>
          </w14:textFill>
        </w:rPr>
        <w:t>3-6</w:t>
      </w:r>
      <w:r>
        <w:rPr>
          <w:rFonts w:ascii="Times New Roman" w:hAnsi="Times New Roman" w:cs="Times New Roman"/>
          <w:color w:val="000000" w:themeColor="text1"/>
          <w14:textFill>
            <w14:solidFill>
              <w14:schemeClr w14:val="tx1"/>
            </w14:solidFill>
          </w14:textFill>
        </w:rPr>
        <w:t>。</w:t>
      </w:r>
    </w:p>
    <w:p>
      <w:pPr>
        <w:spacing w:line="520" w:lineRule="exact"/>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表5.3-6   环境风险应急预案内容一览表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3"/>
        <w:gridCol w:w="1798"/>
        <w:gridCol w:w="5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56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序号</w:t>
            </w:r>
          </w:p>
        </w:tc>
        <w:tc>
          <w:tcPr>
            <w:tcW w:w="1081"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项目</w:t>
            </w:r>
          </w:p>
        </w:tc>
        <w:tc>
          <w:tcPr>
            <w:tcW w:w="3356" w:type="pct"/>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应急计划区</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厂区猪舍、污水收集装置区、厌氧存储塘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应急组织结构</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以厂区为主体，各主要负责人为应急计划、协调第一人，应急人员必须 为培训上岗熟练工；区域应急组织结构由当地政府、相关行业专家、卫生安全相关单位组成，并由当地政府进行统一调度。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预案分级响应条</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件</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根据事故的严重程度制定相应级别的应急预案，以及适合相</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应情况的处理措施。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报警、通讯联络方式</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逐一细化应急状态下各主要负责单位的报警通讯方式、地点、电话号码 以及相关配套的交通保障、管制、消防、环境保护</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部门联络方法，及时通报事故处理情况，以获得区域性支援。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Merge w:val="restar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应急环境监测</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组织专业队伍负责对事故现场进行侦察监测，对事故性质、</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参数与后果进行评估，专为指挥部门提供决策依据。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Merge w:val="continue"/>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抢险、救援控制措施</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严格规定事故多发区、事故现场、邻近区域、控制防火区域设置控制和 清除污染措施及相应设备的数量、使用方法、使</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人员紧急撤离、疏散计划</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事故现场、邻近区、受事故影响的区域人员及公众对有毒有害物质应急剂量控制规定，制定紧急撤离组织计划和救护，制定事故发生时职工撤 退应急路线图，医疗救护与公众健康。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事故应急救援关闭程序</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制定相关应急状态终止程序，事故现场、受影响范围内的善</w:t>
            </w:r>
          </w:p>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后处理、恢 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事故恢复措施</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制定有关的环境恢复措施，组织专业人员对事故后的环境变化进行监测，对事故应急措施的环境可行性进行后影响评价。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应急培训计划</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定期安排有关人员进行培训与演练。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6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081"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公众教育和信息</w:t>
            </w:r>
          </w:p>
        </w:tc>
        <w:tc>
          <w:tcPr>
            <w:tcW w:w="3356"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对邻近地区开展公众教育、培训和发布有关信息。</w:t>
            </w:r>
          </w:p>
        </w:tc>
      </w:tr>
    </w:tbl>
    <w:p>
      <w:pPr>
        <w:pStyle w:val="6"/>
        <w:rPr>
          <w:rFonts w:ascii="Times New Roman" w:hAnsi="Times New Roman" w:cs="Times New Roman"/>
          <w:color w:val="000000" w:themeColor="text1"/>
          <w14:textFill>
            <w14:solidFill>
              <w14:schemeClr w14:val="tx1"/>
            </w14:solidFill>
          </w14:textFill>
        </w:rPr>
      </w:pPr>
      <w:bookmarkStart w:id="811" w:name="_Toc17411"/>
      <w:bookmarkStart w:id="812" w:name="_Toc22536"/>
      <w:r>
        <w:rPr>
          <w:rFonts w:ascii="Times New Roman" w:hAnsi="Times New Roman" w:cs="Times New Roman"/>
          <w:color w:val="000000" w:themeColor="text1"/>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3.9</w:t>
      </w:r>
      <w:r>
        <w:rPr>
          <w:rFonts w:ascii="Times New Roman" w:hAnsi="Times New Roman" w:cs="Times New Roman"/>
          <w:color w:val="000000" w:themeColor="text1"/>
          <w14:textFill>
            <w14:solidFill>
              <w14:schemeClr w14:val="tx1"/>
            </w14:solidFill>
          </w14:textFill>
        </w:rPr>
        <w:t xml:space="preserve"> 风险评价结论</w:t>
      </w:r>
      <w:bookmarkEnd w:id="811"/>
      <w:bookmarkEnd w:id="81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项目具有潜在的事故风险，要从建设、生产、储运等各方面积极采取防护措施，这是确保安全的根本措施。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为了防范事故和减少危害，需制定灾害事故的应急处理预案。当出现事故时，要采取紧急的工程应急措施，如必要，要采取社会应急措施，以控制事故和减少其造成的危害。</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集约化养殖场疫病发生有自身的特点，只要企业加强日常管理，做好预防工作，经常消毒，并建立疫病监测制度，在疫病发生时能严格按照应急计划执行，评价认为该风险是可以接受的。</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项目存在的潜在风险与该项目实施后产生各方面的效益及意义相比，评价认为该项目环境风险在可接受范围内。</w:t>
      </w:r>
    </w:p>
    <w:p>
      <w:pPr>
        <w:pStyle w:val="6"/>
        <w:rPr>
          <w:rFonts w:ascii="Times New Roman" w:hAnsi="Times New Roman" w:cs="Times New Roman"/>
          <w:color w:val="000000" w:themeColor="text1"/>
          <w14:textFill>
            <w14:solidFill>
              <w14:schemeClr w14:val="tx1"/>
            </w14:solidFill>
          </w14:textFill>
        </w:rPr>
      </w:pPr>
      <w:bookmarkStart w:id="813" w:name="_Toc17647"/>
      <w:bookmarkStart w:id="814" w:name="_Toc11861"/>
      <w:r>
        <w:rPr>
          <w:rFonts w:ascii="Times New Roman" w:hAnsi="Times New Roman" w:cs="Times New Roman"/>
          <w:color w:val="000000" w:themeColor="text1"/>
          <w14:textFill>
            <w14:solidFill>
              <w14:schemeClr w14:val="tx1"/>
            </w14:solidFill>
          </w14:textFill>
        </w:rPr>
        <w:t>5.3.</w:t>
      </w:r>
      <w:r>
        <w:rPr>
          <w:rFonts w:hint="eastAsia" w:ascii="Times New Roman" w:hAnsi="Times New Roman" w:cs="Times New Roman"/>
          <w:color w:val="000000" w:themeColor="text1"/>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 xml:space="preserve"> 环境风险简单分析内容表</w:t>
      </w:r>
      <w:bookmarkEnd w:id="813"/>
      <w:bookmarkEnd w:id="814"/>
    </w:p>
    <w:p>
      <w:pPr>
        <w:spacing w:line="520" w:lineRule="exact"/>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表5.3-</w:t>
      </w:r>
      <w:r>
        <w:rPr>
          <w:rFonts w:hint="eastAsia" w:ascii="Times New Roman" w:hAnsi="Times New Roman" w:cs="Times New Roman"/>
          <w:b/>
          <w:bCs/>
          <w:color w:val="000000" w:themeColor="text1"/>
          <w:sz w:val="21"/>
          <w:szCs w:val="21"/>
          <w14:textFill>
            <w14:solidFill>
              <w14:schemeClr w14:val="tx1"/>
            </w14:solidFill>
          </w14:textFill>
        </w:rPr>
        <w:t>7</w:t>
      </w:r>
      <w:r>
        <w:rPr>
          <w:rFonts w:ascii="Times New Roman" w:hAnsi="Times New Roman" w:cs="Times New Roman"/>
          <w:b/>
          <w:bCs/>
          <w:color w:val="000000" w:themeColor="text1"/>
          <w:sz w:val="21"/>
          <w:szCs w:val="21"/>
          <w14:textFill>
            <w14:solidFill>
              <w14:schemeClr w14:val="tx1"/>
            </w14:solidFill>
          </w14:textFill>
        </w:rPr>
        <w:t xml:space="preserve">   建设项目环境风险简单分析内容表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1068"/>
        <w:gridCol w:w="1319"/>
        <w:gridCol w:w="1157"/>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64" w:type="dxa"/>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建设项目名称</w:t>
            </w:r>
          </w:p>
        </w:tc>
        <w:tc>
          <w:tcPr>
            <w:tcW w:w="5858" w:type="dxa"/>
            <w:gridSpan w:val="5"/>
            <w:vAlign w:val="center"/>
          </w:tcPr>
          <w:p>
            <w:pPr>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昌吉州泰昆农牧科技有限公司</w:t>
            </w:r>
            <w:r>
              <w:rPr>
                <w:rFonts w:ascii="Times New Roman" w:hAnsi="Times New Roman" w:cs="Times New Roman"/>
                <w:b/>
                <w:bCs/>
                <w:color w:val="000000" w:themeColor="text1"/>
                <w:sz w:val="21"/>
                <w:szCs w:val="21"/>
                <w14:textFill>
                  <w14:solidFill>
                    <w14:schemeClr w14:val="tx1"/>
                  </w14:solidFill>
                </w14:textFill>
              </w:rPr>
              <w:t>泰昆农牧年出栏20万头商品猪建设项目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建设地点</w:t>
            </w:r>
          </w:p>
        </w:tc>
        <w:tc>
          <w:tcPr>
            <w:tcW w:w="1068"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（新疆）省</w:t>
            </w:r>
          </w:p>
        </w:tc>
        <w:tc>
          <w:tcPr>
            <w:tcW w:w="1319"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（/）市</w:t>
            </w:r>
          </w:p>
        </w:tc>
        <w:tc>
          <w:tcPr>
            <w:tcW w:w="1157"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（/）区</w:t>
            </w:r>
          </w:p>
        </w:tc>
        <w:tc>
          <w:tcPr>
            <w:tcW w:w="1156"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）县</w:t>
            </w:r>
          </w:p>
        </w:tc>
        <w:tc>
          <w:tcPr>
            <w:tcW w:w="1158"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农业园区</w:t>
            </w:r>
            <w:r>
              <w:rPr>
                <w:rFonts w:ascii="Times New Roman" w:hAnsi="Times New Roman" w:cs="Times New Roman"/>
                <w:color w:val="000000" w:themeColor="text1"/>
                <w:sz w:val="21"/>
                <w:szCs w:val="21"/>
                <w14:textFill>
                  <w14:solidFill>
                    <w14:schemeClr w14:val="tx1"/>
                  </w14:solidFill>
                </w14:textFill>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地理坐标</w:t>
            </w:r>
          </w:p>
        </w:tc>
        <w:tc>
          <w:tcPr>
            <w:tcW w:w="1068"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经度</w:t>
            </w:r>
          </w:p>
        </w:tc>
        <w:tc>
          <w:tcPr>
            <w:tcW w:w="1319"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87.14131°</w:t>
            </w:r>
          </w:p>
        </w:tc>
        <w:tc>
          <w:tcPr>
            <w:tcW w:w="1157"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纬度</w:t>
            </w:r>
          </w:p>
        </w:tc>
        <w:tc>
          <w:tcPr>
            <w:tcW w:w="2314" w:type="dxa"/>
            <w:gridSpan w:val="2"/>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44.31829°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主要危险物质及分布</w:t>
            </w:r>
          </w:p>
        </w:tc>
        <w:tc>
          <w:tcPr>
            <w:tcW w:w="5858" w:type="dxa"/>
            <w:gridSpan w:val="5"/>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项目主要危险物质为恶臭污染物H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S和NH</w:t>
            </w:r>
            <w:r>
              <w:rPr>
                <w:rFonts w:ascii="Times New Roman" w:hAnsi="Times New Roman" w:cs="Times New Roman"/>
                <w:color w:val="000000" w:themeColor="text1"/>
                <w:sz w:val="21"/>
                <w:szCs w:val="21"/>
                <w:vertAlign w:val="sub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，来自猪粪、尿、粪污水处理设施散发出的臭气。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环境影响途径及危害后果（大气、地表水、地下水等）</w:t>
            </w:r>
          </w:p>
        </w:tc>
        <w:tc>
          <w:tcPr>
            <w:tcW w:w="5858" w:type="dxa"/>
            <w:gridSpan w:val="5"/>
            <w:vAlign w:val="center"/>
          </w:tcPr>
          <w:p>
            <w:pPr>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硫化氢浓度含量高造成人员中毒死亡或遇到明火发生火灾对周围环境产生影响，危及人员生命。</w:t>
            </w:r>
          </w:p>
          <w:p>
            <w:pPr>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低浓度氨气对粘膜有刺激作用，高浓度可造成人体组织溶解坏死。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风险防范措施要求</w:t>
            </w:r>
          </w:p>
        </w:tc>
        <w:tc>
          <w:tcPr>
            <w:tcW w:w="5858" w:type="dxa"/>
            <w:gridSpan w:val="5"/>
            <w:vAlign w:val="center"/>
          </w:tcPr>
          <w:p>
            <w:pPr>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color w:val="000000" w:themeColor="text1"/>
                <w:sz w:val="21"/>
                <w14:textFill>
                  <w14:solidFill>
                    <w14:schemeClr w14:val="tx1"/>
                  </w14:solidFill>
                </w14:textFill>
              </w:rPr>
              <w:t>严格落实圈舍、粪污治理区产生的氨和硫化氢等恶臭气体的治理方案，定期监测，按照应急预案做好事故防范措施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spacing w:line="240" w:lineRule="auto"/>
              <w:ind w:firstLine="0" w:firstLineChars="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填表说明（列出项目相关信息及评价说明）：</w:t>
            </w:r>
          </w:p>
          <w:p>
            <w:pPr>
              <w:spacing w:line="240" w:lineRule="auto"/>
              <w:ind w:firstLine="42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本项目涉及的有毒有害物质主要为氨、硫化氢等，主要来源于圈舍、厌氧储存塘、堆肥场无组织排放的臭气，其数量与临界量的比值Q=0＜1，仅进行简单风险分析。</w:t>
            </w:r>
          </w:p>
        </w:tc>
      </w:tr>
    </w:tbl>
    <w:p>
      <w:pPr>
        <w:spacing w:line="520" w:lineRule="exact"/>
        <w:rPr>
          <w:rFonts w:ascii="Times New Roman" w:hAnsi="Times New Roman" w:cs="Times New Roman"/>
          <w:color w:val="000000" w:themeColor="text1"/>
          <w:kern w:val="0"/>
          <w:szCs w:val="28"/>
          <w14:textFill>
            <w14:solidFill>
              <w14:schemeClr w14:val="tx1"/>
            </w14:solidFill>
          </w14:textFill>
        </w:rPr>
      </w:pPr>
    </w:p>
    <w:p>
      <w:pPr>
        <w:spacing w:line="520" w:lineRule="exact"/>
        <w:rPr>
          <w:rFonts w:ascii="Times New Roman" w:hAnsi="Times New Roman" w:cs="Times New Roman"/>
          <w:color w:val="000000" w:themeColor="text1"/>
          <w:kern w:val="0"/>
          <w:szCs w:val="28"/>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
        <w:jc w:val="center"/>
        <w:rPr>
          <w:rFonts w:ascii="Times New Roman" w:hAnsi="Times New Roman" w:cs="Times New Roman"/>
          <w:color w:val="000000" w:themeColor="text1"/>
          <w14:textFill>
            <w14:solidFill>
              <w14:schemeClr w14:val="tx1"/>
            </w14:solidFill>
          </w14:textFill>
        </w:rPr>
      </w:pPr>
      <w:bookmarkStart w:id="815" w:name="_Toc520"/>
      <w:bookmarkStart w:id="816" w:name="_Toc3207"/>
      <w:bookmarkStart w:id="817" w:name="_Toc18996"/>
      <w:bookmarkStart w:id="818" w:name="_Toc8588_WPSOffice_Level1"/>
      <w:bookmarkStart w:id="819" w:name="_Toc29812"/>
      <w:bookmarkStart w:id="820" w:name="_Toc24390"/>
      <w:r>
        <w:rPr>
          <w:rFonts w:ascii="Times New Roman" w:hAnsi="Times New Roman" w:cs="Times New Roman"/>
          <w:color w:val="000000" w:themeColor="text1"/>
          <w14:textFill>
            <w14:solidFill>
              <w14:schemeClr w14:val="tx1"/>
            </w14:solidFill>
          </w14:textFill>
        </w:rPr>
        <w:t>6 环境保护措施及可行性论证</w:t>
      </w:r>
      <w:bookmarkEnd w:id="815"/>
      <w:bookmarkEnd w:id="816"/>
      <w:bookmarkEnd w:id="817"/>
      <w:bookmarkEnd w:id="818"/>
      <w:bookmarkEnd w:id="819"/>
      <w:bookmarkEnd w:id="820"/>
    </w:p>
    <w:p>
      <w:pPr>
        <w:pStyle w:val="5"/>
        <w:rPr>
          <w:rFonts w:ascii="Times New Roman" w:hAnsi="Times New Roman" w:cs="Times New Roman"/>
          <w:color w:val="000000" w:themeColor="text1"/>
          <w14:textFill>
            <w14:solidFill>
              <w14:schemeClr w14:val="tx1"/>
            </w14:solidFill>
          </w14:textFill>
        </w:rPr>
      </w:pPr>
      <w:bookmarkStart w:id="821" w:name="_Toc29687"/>
      <w:bookmarkStart w:id="822" w:name="_Toc11745_WPSOffice_Level2"/>
      <w:bookmarkStart w:id="823" w:name="_Toc24242"/>
      <w:bookmarkStart w:id="824" w:name="_Toc21337"/>
      <w:bookmarkStart w:id="825" w:name="_Toc17868"/>
      <w:bookmarkStart w:id="826" w:name="_Toc17434"/>
      <w:r>
        <w:rPr>
          <w:rFonts w:ascii="Times New Roman" w:hAnsi="Times New Roman" w:cs="Times New Roman"/>
          <w:color w:val="000000" w:themeColor="text1"/>
          <w14:textFill>
            <w14:solidFill>
              <w14:schemeClr w14:val="tx1"/>
            </w14:solidFill>
          </w14:textFill>
        </w:rPr>
        <w:t>6.1</w:t>
      </w:r>
      <w:bookmarkStart w:id="827" w:name="_Toc483293659"/>
      <w:bookmarkStart w:id="828" w:name="_Toc504733749"/>
      <w:bookmarkStart w:id="829" w:name="_Toc501940740"/>
      <w:r>
        <w:rPr>
          <w:rFonts w:ascii="Times New Roman" w:hAnsi="Times New Roman" w:cs="Times New Roman"/>
          <w:color w:val="000000" w:themeColor="text1"/>
          <w14:textFill>
            <w14:solidFill>
              <w14:schemeClr w14:val="tx1"/>
            </w14:solidFill>
          </w14:textFill>
        </w:rPr>
        <w:t xml:space="preserve"> 施工期环境保护措施</w:t>
      </w:r>
      <w:bookmarkEnd w:id="821"/>
      <w:bookmarkEnd w:id="822"/>
      <w:bookmarkEnd w:id="823"/>
      <w:bookmarkEnd w:id="824"/>
      <w:bookmarkEnd w:id="825"/>
      <w:bookmarkEnd w:id="826"/>
      <w:bookmarkEnd w:id="827"/>
      <w:bookmarkEnd w:id="828"/>
      <w:bookmarkEnd w:id="829"/>
    </w:p>
    <w:p>
      <w:pPr>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由施工期环境影响分析可知，虽然施工期的环境影响基本上都是短期的、局部的，但若不采取有效的污染防治措施，也会对周围环境造成一定的影响。因此，建设单位必须制定切实有效的污染防治措施，尽量减小对周围环境的影响范围和程度，并必须在施工合同中明确有关内容，对施工单位提出具体要求，同时建设单位和当地环境保护管理部门要对施工过程中的污染防治措施落实情况进行监督和指导，发现问题及时纠正，确保污染防治措施得到充分的落实。</w:t>
      </w:r>
    </w:p>
    <w:p>
      <w:pPr>
        <w:pStyle w:val="6"/>
        <w:rPr>
          <w:rFonts w:ascii="Times New Roman" w:hAnsi="Times New Roman" w:cs="Times New Roman"/>
          <w:color w:val="000000" w:themeColor="text1"/>
          <w14:textFill>
            <w14:solidFill>
              <w14:schemeClr w14:val="tx1"/>
            </w14:solidFill>
          </w14:textFill>
        </w:rPr>
      </w:pPr>
      <w:bookmarkStart w:id="830" w:name="_Toc21069"/>
      <w:bookmarkStart w:id="831" w:name="_Toc504733750"/>
      <w:bookmarkStart w:id="832" w:name="_Toc501940741"/>
      <w:bookmarkStart w:id="833" w:name="_Toc280779967"/>
      <w:bookmarkStart w:id="834" w:name="_Toc23442"/>
      <w:bookmarkStart w:id="835" w:name="_Toc199747721"/>
      <w:bookmarkStart w:id="836" w:name="_Toc27137"/>
      <w:bookmarkStart w:id="837" w:name="_Toc199748702"/>
      <w:bookmarkStart w:id="838" w:name="_Toc278226090"/>
      <w:r>
        <w:rPr>
          <w:rFonts w:ascii="Times New Roman" w:hAnsi="Times New Roman" w:cs="Times New Roman"/>
          <w:color w:val="000000" w:themeColor="text1"/>
          <w14:textFill>
            <w14:solidFill>
              <w14:schemeClr w14:val="tx1"/>
            </w14:solidFill>
          </w14:textFill>
        </w:rPr>
        <w:t>6.1.1 施工大气污染防治措施</w:t>
      </w:r>
      <w:bookmarkEnd w:id="830"/>
      <w:bookmarkEnd w:id="831"/>
      <w:bookmarkEnd w:id="832"/>
      <w:bookmarkEnd w:id="833"/>
      <w:bookmarkEnd w:id="834"/>
      <w:bookmarkEnd w:id="835"/>
      <w:bookmarkEnd w:id="836"/>
      <w:bookmarkEnd w:id="837"/>
      <w:bookmarkEnd w:id="838"/>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（1）施工时尽量减少占地，即在满足施工要求的前提下，施工场地要尽量小，并在施工现场设置围档或部分围档，以减少施工扬尘的扩散范围，减轻扬尘对周围居民的影响。</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2）施工现场只存放用于回填的土方量。干燥季节要覆盖防尘网，适时地对现场存放的土方洒水，保持其表面潮湿，以避免产生扬尘。散装水泥、沙子和石灰等易产生扬尘的建筑材料不得随意露天堆放，要有专门的堆棚，并在堆棚周围设置围档，以免产生扬尘，对周围环境造成影响。</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3）产生扬尘的机械设备要设置在远离居民区的地方，以减轻扬尘对人体健康的影响。混凝土搅拌机应设在专门的棚内，散落在地上的水泥等建筑材料要经常清理。环评建议，除十分必要外尽可能使用商品混凝土，不在施工区加工混凝土。</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（4）运输建筑材料的车辆必须用篷布盖严，不得沿路抛洒，散落在地上的沙子和水泥要经常清理。运输车辆进入施工场地应低速行驶或限速行驶，减少扬尘产生量。</w:t>
      </w:r>
    </w:p>
    <w:p>
      <w:pPr>
        <w:pStyle w:val="6"/>
        <w:rPr>
          <w:rFonts w:ascii="Times New Roman" w:hAnsi="Times New Roman" w:cs="Times New Roman"/>
          <w:color w:val="000000" w:themeColor="text1"/>
          <w14:textFill>
            <w14:solidFill>
              <w14:schemeClr w14:val="tx1"/>
            </w14:solidFill>
          </w14:textFill>
        </w:rPr>
      </w:pPr>
      <w:bookmarkStart w:id="839" w:name="_Toc27479"/>
      <w:bookmarkStart w:id="840" w:name="_Toc278226092"/>
      <w:bookmarkStart w:id="841" w:name="_Toc11858"/>
      <w:bookmarkStart w:id="842" w:name="_Toc199748704"/>
      <w:bookmarkStart w:id="843" w:name="_Toc501940743"/>
      <w:bookmarkStart w:id="844" w:name="_Toc504733752"/>
      <w:bookmarkStart w:id="845" w:name="_Toc7640"/>
      <w:bookmarkStart w:id="846" w:name="_Toc199747723"/>
      <w:bookmarkStart w:id="847" w:name="_Toc280779969"/>
      <w:bookmarkStart w:id="848" w:name="_Toc504733751"/>
      <w:bookmarkStart w:id="849" w:name="_Toc199747722"/>
      <w:bookmarkStart w:id="850" w:name="_Toc278226091"/>
      <w:bookmarkStart w:id="851" w:name="_Toc280779968"/>
      <w:bookmarkStart w:id="852" w:name="_Toc199748703"/>
      <w:bookmarkStart w:id="853" w:name="_Toc501940742"/>
      <w:r>
        <w:rPr>
          <w:rFonts w:ascii="Times New Roman" w:hAnsi="Times New Roman" w:cs="Times New Roman"/>
          <w:color w:val="000000" w:themeColor="text1"/>
          <w14:textFill>
            <w14:solidFill>
              <w14:schemeClr w14:val="tx1"/>
            </w14:solidFill>
          </w14:textFill>
        </w:rPr>
        <w:t>6.1.2 施工期水污染防治措施</w:t>
      </w:r>
      <w:bookmarkEnd w:id="839"/>
      <w:bookmarkEnd w:id="840"/>
      <w:bookmarkEnd w:id="841"/>
      <w:bookmarkEnd w:id="842"/>
      <w:bookmarkEnd w:id="843"/>
      <w:bookmarkEnd w:id="844"/>
      <w:bookmarkEnd w:id="845"/>
      <w:bookmarkEnd w:id="846"/>
      <w:bookmarkEnd w:id="847"/>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（1）施工期工地一切废物都要按指定地点堆放并及时组织清除，避免因暴雨径流而被冲入下水道流入附近水体。</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（2）施工现场破土、堆土较多，应及时清除土方到准予堆放点，禁止随意倾倒。</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3）施工现场要严格规定排水去向，对建筑施工中产生的土建泥浆水、车辆冲洗水以及外排淤水等在施工前期设计好排水沟和沉淀池，将建筑泥浆水和冲洗水经沉淀分离后的上清液回用，沉淀泥浆固化后应定期及时清运至建筑垃圾堆放场地。</w:t>
      </w:r>
    </w:p>
    <w:p>
      <w:pPr>
        <w:pStyle w:val="6"/>
        <w:rPr>
          <w:rFonts w:ascii="Times New Roman" w:hAnsi="Times New Roman" w:cs="Times New Roman"/>
          <w:color w:val="000000" w:themeColor="text1"/>
          <w14:textFill>
            <w14:solidFill>
              <w14:schemeClr w14:val="tx1"/>
            </w14:solidFill>
          </w14:textFill>
        </w:rPr>
      </w:pPr>
      <w:bookmarkStart w:id="854" w:name="_Toc13449"/>
      <w:bookmarkStart w:id="855" w:name="_Toc18309"/>
      <w:bookmarkStart w:id="856" w:name="_Toc15067"/>
      <w:r>
        <w:rPr>
          <w:rFonts w:ascii="Times New Roman" w:hAnsi="Times New Roman" w:cs="Times New Roman"/>
          <w:color w:val="000000" w:themeColor="text1"/>
          <w14:textFill>
            <w14:solidFill>
              <w14:schemeClr w14:val="tx1"/>
            </w14:solidFill>
          </w14:textFill>
        </w:rPr>
        <w:t>6.1.3 施工期噪声防治措施</w:t>
      </w:r>
      <w:bookmarkEnd w:id="848"/>
      <w:bookmarkEnd w:id="849"/>
      <w:bookmarkEnd w:id="850"/>
      <w:bookmarkEnd w:id="851"/>
      <w:bookmarkEnd w:id="852"/>
      <w:bookmarkEnd w:id="853"/>
      <w:bookmarkEnd w:id="854"/>
      <w:bookmarkEnd w:id="855"/>
      <w:bookmarkEnd w:id="856"/>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（1）施工机械应尽量选用低噪设备，从源头上对噪声进行控制。</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（2）施工单位要及时对机械设备进行修理、维护和保养，使机械设备保持良好的状态，减轻因设备运行状态不佳而造成的噪声污染。</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（3合理安排施工时间，避开休息工作时间段，以防止施工噪声的扰民问题，尽可能地集中会产生较大噪声的机械进行作业，优化施工时间，以便缩短噪声污染的时间，减小施工噪声的影响范围和程度。</w:t>
      </w:r>
    </w:p>
    <w:p>
      <w:pPr>
        <w:pStyle w:val="6"/>
        <w:rPr>
          <w:rFonts w:ascii="Times New Roman" w:hAnsi="Times New Roman" w:cs="Times New Roman"/>
          <w:color w:val="000000" w:themeColor="text1"/>
          <w14:textFill>
            <w14:solidFill>
              <w14:schemeClr w14:val="tx1"/>
            </w14:solidFill>
          </w14:textFill>
        </w:rPr>
      </w:pPr>
      <w:bookmarkStart w:id="857" w:name="_Toc504733753"/>
      <w:bookmarkStart w:id="858" w:name="_Toc32604"/>
      <w:bookmarkStart w:id="859" w:name="_Toc278226093"/>
      <w:bookmarkStart w:id="860" w:name="_Toc29944"/>
      <w:bookmarkStart w:id="861" w:name="_Toc994"/>
      <w:bookmarkStart w:id="862" w:name="_Toc280779970"/>
      <w:bookmarkStart w:id="863" w:name="_Toc501940744"/>
      <w:r>
        <w:rPr>
          <w:rFonts w:ascii="Times New Roman" w:hAnsi="Times New Roman" w:cs="Times New Roman"/>
          <w:color w:val="000000" w:themeColor="text1"/>
          <w14:textFill>
            <w14:solidFill>
              <w14:schemeClr w14:val="tx1"/>
            </w14:solidFill>
          </w14:textFill>
        </w:rPr>
        <w:t>6.1.4 施工期固体废物防治措施</w:t>
      </w:r>
      <w:bookmarkEnd w:id="857"/>
      <w:bookmarkEnd w:id="858"/>
      <w:bookmarkEnd w:id="859"/>
      <w:bookmarkEnd w:id="860"/>
      <w:bookmarkEnd w:id="861"/>
      <w:bookmarkEnd w:id="862"/>
      <w:bookmarkEnd w:id="863"/>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为减缓固体废物对环境的影响，需采取下列措施：</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（1）多余土石方送</w:t>
      </w:r>
      <w:r>
        <w:rPr>
          <w:rFonts w:hint="eastAsia" w:ascii="Times New Roman" w:hAnsi="Times New Roman" w:cs="Times New Roman"/>
          <w:color w:val="000000" w:themeColor="text1"/>
          <w:kern w:val="0"/>
          <w:szCs w:val="28"/>
          <w14:textFill>
            <w14:solidFill>
              <w14:schemeClr w14:val="tx1"/>
            </w14:solidFill>
          </w14:textFill>
        </w:rPr>
        <w:t>当地</w:t>
      </w:r>
      <w:r>
        <w:rPr>
          <w:rFonts w:ascii="Times New Roman" w:hAnsi="Times New Roman" w:cs="Times New Roman"/>
          <w:color w:val="000000" w:themeColor="text1"/>
          <w:kern w:val="0"/>
          <w:szCs w:val="28"/>
          <w14:textFill>
            <w14:solidFill>
              <w14:schemeClr w14:val="tx1"/>
            </w14:solidFill>
          </w14:textFill>
        </w:rPr>
        <w:t>建筑垃圾堆场。</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（2）建筑废料应实行分类堆放，对于可回收的建筑废料，应予以单独存放，用于建设过程中废物利用或外售。</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（3）临时堆土在工业园管委会指定地点堆放，并做好先挡后弃的预防措施。</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（4）生活垃圾统一收集，再由</w:t>
      </w:r>
      <w:r>
        <w:rPr>
          <w:rFonts w:hint="eastAsia" w:ascii="Times New Roman" w:hAnsi="Times New Roman" w:cs="Times New Roman"/>
          <w:color w:val="000000" w:themeColor="text1"/>
          <w:kern w:val="0"/>
          <w:szCs w:val="28"/>
          <w14:textFill>
            <w14:solidFill>
              <w14:schemeClr w14:val="tx1"/>
            </w14:solidFill>
          </w14:textFill>
        </w:rPr>
        <w:t>昌吉市</w:t>
      </w:r>
      <w:r>
        <w:rPr>
          <w:rFonts w:ascii="Times New Roman" w:hAnsi="Times New Roman" w:cs="Times New Roman"/>
          <w:color w:val="000000" w:themeColor="text1"/>
          <w:kern w:val="0"/>
          <w:szCs w:val="28"/>
          <w14:textFill>
            <w14:solidFill>
              <w14:schemeClr w14:val="tx1"/>
            </w14:solidFill>
          </w14:textFill>
        </w:rPr>
        <w:t>环卫部门统一外运处理。</w:t>
      </w:r>
    </w:p>
    <w:p>
      <w:pPr>
        <w:pStyle w:val="6"/>
        <w:rPr>
          <w:rFonts w:ascii="Times New Roman" w:hAnsi="Times New Roman" w:cs="Times New Roman"/>
          <w:color w:val="000000" w:themeColor="text1"/>
          <w14:textFill>
            <w14:solidFill>
              <w14:schemeClr w14:val="tx1"/>
            </w14:solidFill>
          </w14:textFill>
        </w:rPr>
      </w:pPr>
      <w:bookmarkStart w:id="864" w:name="_Toc15328"/>
      <w:bookmarkStart w:id="865" w:name="_Toc199748705"/>
      <w:bookmarkStart w:id="866" w:name="_Toc280779971"/>
      <w:bookmarkStart w:id="867" w:name="_Toc25351"/>
      <w:bookmarkStart w:id="868" w:name="_Toc199747724"/>
      <w:bookmarkStart w:id="869" w:name="_Toc504733754"/>
      <w:bookmarkStart w:id="870" w:name="_Toc11154"/>
      <w:bookmarkStart w:id="871" w:name="_Toc501940745"/>
      <w:bookmarkStart w:id="872" w:name="_Toc278226094"/>
      <w:r>
        <w:rPr>
          <w:rFonts w:ascii="Times New Roman" w:hAnsi="Times New Roman" w:cs="Times New Roman"/>
          <w:color w:val="000000" w:themeColor="text1"/>
          <w14:textFill>
            <w14:solidFill>
              <w14:schemeClr w14:val="tx1"/>
            </w14:solidFill>
          </w14:textFill>
        </w:rPr>
        <w:t>6.1.5 生态环境影响防治措施</w:t>
      </w:r>
      <w:bookmarkEnd w:id="864"/>
      <w:bookmarkEnd w:id="865"/>
      <w:bookmarkEnd w:id="866"/>
      <w:bookmarkEnd w:id="867"/>
      <w:bookmarkEnd w:id="868"/>
      <w:bookmarkEnd w:id="869"/>
      <w:bookmarkEnd w:id="870"/>
      <w:bookmarkEnd w:id="871"/>
      <w:bookmarkEnd w:id="872"/>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生态保护措施：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（1）工程利用料、临时堆渣在堆放和运输过程中均应采取防护措施，防止扬尘和散溢，造成水土流失；</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（2）加强施工管理，划定施工区界限，严禁机械和人员越界施工，减少原地表和植被的破坏；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（3）施工生产生活营地内各种建设材料拉运、堆放频繁，对于易产生流失的砂砾石、土方等集中堆放，并进行遮挡防护；</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（4）根据施工实际需求合理划定场内道路区作业带的施工范围，禁止施工机械的越界扰动：</w:t>
      </w:r>
    </w:p>
    <w:p>
      <w:pPr>
        <w:snapToGrid w:val="0"/>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（5）本工程建设过程中，将弃渣、建筑垃圾等堆放在专门堆场内，减少水土流失。</w:t>
      </w:r>
    </w:p>
    <w:p>
      <w:pPr>
        <w:spacing w:line="520" w:lineRule="exac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6）施工结束后，对临时施工迹地进行土地平整和植被恢复。及时开展厂区内、外的绿化工程，可通过灌草片带、厂区林网等组成。整个厂区通过乔木、绿篱、草坪等的合理布局，使其产生空间层次变化，更重要的是绿色植物在各功能区可起到防风、降尘，减少噪声等作用。</w:t>
      </w:r>
    </w:p>
    <w:p>
      <w:pPr>
        <w:pStyle w:val="6"/>
        <w:rPr>
          <w:rFonts w:ascii="Times New Roman" w:hAnsi="Times New Roman" w:cs="Times New Roman"/>
          <w:color w:val="000000" w:themeColor="text1"/>
          <w14:textFill>
            <w14:solidFill>
              <w14:schemeClr w14:val="tx1"/>
            </w14:solidFill>
          </w14:textFill>
        </w:rPr>
      </w:pPr>
      <w:bookmarkStart w:id="873" w:name="_Toc504733755"/>
      <w:bookmarkStart w:id="874" w:name="_Toc443261262"/>
      <w:bookmarkStart w:id="875" w:name="_Toc4688"/>
      <w:bookmarkStart w:id="876" w:name="_Toc251742156"/>
      <w:bookmarkStart w:id="877" w:name="_Toc40"/>
      <w:bookmarkStart w:id="878" w:name="_Toc446946294"/>
      <w:bookmarkStart w:id="879" w:name="_Toc264398767"/>
      <w:bookmarkStart w:id="880" w:name="_Toc2518"/>
      <w:bookmarkStart w:id="881" w:name="_Toc264399221"/>
      <w:bookmarkStart w:id="882" w:name="_Toc272672751"/>
      <w:bookmarkStart w:id="883" w:name="_Toc264398370"/>
      <w:bookmarkStart w:id="884" w:name="_Toc441980232"/>
      <w:bookmarkStart w:id="885" w:name="_Toc280779974"/>
      <w:bookmarkStart w:id="886" w:name="_Toc242956536"/>
      <w:bookmarkStart w:id="887" w:name="_Toc501940746"/>
      <w:r>
        <w:rPr>
          <w:rFonts w:ascii="Times New Roman" w:hAnsi="Times New Roman" w:cs="Times New Roman"/>
          <w:color w:val="000000" w:themeColor="text1"/>
          <w14:textFill>
            <w14:solidFill>
              <w14:schemeClr w14:val="tx1"/>
            </w14:solidFill>
          </w14:textFill>
        </w:rPr>
        <w:t>6.1.6 施工期环境管理</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pPr>
        <w:spacing w:line="520" w:lineRule="exact"/>
        <w:rPr>
          <w:rFonts w:ascii="Times New Roman" w:hAnsi="Times New Roman" w:cs="Times New Roman"/>
          <w:color w:val="000000" w:themeColor="text1"/>
          <w:kern w:val="0"/>
          <w:szCs w:val="28"/>
          <w14:textFill>
            <w14:solidFill>
              <w14:schemeClr w14:val="tx1"/>
            </w14:solidFill>
          </w14:textFill>
        </w:rPr>
      </w:pPr>
      <w:r>
        <w:rPr>
          <w:rFonts w:ascii="Times New Roman" w:hAnsi="Times New Roman" w:cs="Times New Roman"/>
          <w:color w:val="000000" w:themeColor="text1"/>
          <w:kern w:val="0"/>
          <w:szCs w:val="28"/>
          <w14:textFill>
            <w14:solidFill>
              <w14:schemeClr w14:val="tx1"/>
            </w14:solidFill>
          </w14:textFill>
        </w:rPr>
        <w:t>建设单位与施工单位共同负责建设阶段的环境保护管理。施工单位在环境管理、污染控制及防治措施实施中起关键作用，施工单位应负责建设阶段环境影响减缓措施的落实，并与当地群众进行沟通和协商，在施工单元树立公告牌，公布具体的施工活动和施工时间。建设单位应定期对施工单位进行督促和检查，尽可能降低或减轻施工活动对周围环境产生的不利影响。</w:t>
      </w:r>
    </w:p>
    <w:p>
      <w:pPr>
        <w:pStyle w:val="5"/>
        <w:rPr>
          <w:rFonts w:ascii="Times New Roman" w:hAnsi="Times New Roman" w:cs="Times New Roman"/>
          <w:color w:val="000000" w:themeColor="text1"/>
          <w14:textFill>
            <w14:solidFill>
              <w14:schemeClr w14:val="tx1"/>
            </w14:solidFill>
          </w14:textFill>
        </w:rPr>
      </w:pPr>
      <w:bookmarkStart w:id="888" w:name="_Toc9867"/>
      <w:bookmarkStart w:id="889" w:name="_Toc10324"/>
      <w:bookmarkStart w:id="890" w:name="_Toc25516"/>
      <w:bookmarkStart w:id="891" w:name="_Toc570"/>
      <w:bookmarkStart w:id="892" w:name="_Toc1514"/>
      <w:bookmarkStart w:id="893" w:name="_Toc18020_WPSOffice_Level2"/>
      <w:r>
        <w:rPr>
          <w:rFonts w:ascii="Times New Roman" w:hAnsi="Times New Roman" w:cs="Times New Roman"/>
          <w:color w:val="000000" w:themeColor="text1"/>
          <w14:textFill>
            <w14:solidFill>
              <w14:schemeClr w14:val="tx1"/>
            </w14:solidFill>
          </w14:textFill>
        </w:rPr>
        <w:t>6.2 运营期环境保护措施</w:t>
      </w:r>
      <w:bookmarkEnd w:id="888"/>
      <w:bookmarkEnd w:id="889"/>
      <w:bookmarkEnd w:id="890"/>
      <w:bookmarkEnd w:id="891"/>
      <w:bookmarkEnd w:id="892"/>
      <w:bookmarkEnd w:id="893"/>
    </w:p>
    <w:p>
      <w:pPr>
        <w:pStyle w:val="6"/>
        <w:rPr>
          <w:rFonts w:ascii="Times New Roman" w:hAnsi="Times New Roman" w:cs="Times New Roman"/>
          <w:color w:val="000000" w:themeColor="text1"/>
          <w14:textFill>
            <w14:solidFill>
              <w14:schemeClr w14:val="tx1"/>
            </w14:solidFill>
          </w14:textFill>
        </w:rPr>
      </w:pPr>
      <w:bookmarkStart w:id="894" w:name="_Toc2237"/>
      <w:bookmarkStart w:id="895" w:name="_Toc21304"/>
      <w:bookmarkStart w:id="896" w:name="_Toc13783"/>
      <w:r>
        <w:rPr>
          <w:rFonts w:ascii="Times New Roman" w:hAnsi="Times New Roman" w:cs="Times New Roman"/>
          <w:color w:val="000000" w:themeColor="text1"/>
          <w14:textFill>
            <w14:solidFill>
              <w14:schemeClr w14:val="tx1"/>
            </w14:solidFill>
          </w14:textFill>
        </w:rPr>
        <w:t>6.2.1 运营期大气防治措施</w:t>
      </w:r>
      <w:bookmarkEnd w:id="894"/>
      <w:bookmarkEnd w:id="895"/>
      <w:bookmarkEnd w:id="896"/>
    </w:p>
    <w:p>
      <w:pPr>
        <w:pStyle w:val="7"/>
        <w:rPr>
          <w:rFonts w:cs="Times New Roman"/>
          <w:color w:val="000000" w:themeColor="text1"/>
          <w14:textFill>
            <w14:solidFill>
              <w14:schemeClr w14:val="tx1"/>
            </w14:solidFill>
          </w14:textFill>
        </w:rPr>
      </w:pPr>
      <w:bookmarkStart w:id="897" w:name="_Toc20154"/>
      <w:bookmarkStart w:id="898" w:name="_Toc6272"/>
      <w:r>
        <w:rPr>
          <w:rFonts w:hint="eastAsia" w:cs="Times New Roman"/>
          <w:color w:val="000000" w:themeColor="text1"/>
          <w14:textFill>
            <w14:solidFill>
              <w14:schemeClr w14:val="tx1"/>
            </w14:solidFill>
          </w14:textFill>
        </w:rPr>
        <w:t xml:space="preserve">6.2.1.1 </w:t>
      </w:r>
      <w:r>
        <w:rPr>
          <w:rFonts w:cs="Times New Roman"/>
          <w:color w:val="000000" w:themeColor="text1"/>
          <w14:textFill>
            <w14:solidFill>
              <w14:schemeClr w14:val="tx1"/>
            </w14:solidFill>
          </w14:textFill>
        </w:rPr>
        <w:t>恶臭防治方案和措施</w:t>
      </w:r>
      <w:bookmarkEnd w:id="897"/>
      <w:bookmarkEnd w:id="89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本项目大气污染物主要来自圈舍粪便、堆肥场、</w:t>
      </w:r>
      <w:r>
        <w:rPr>
          <w:rFonts w:hint="eastAsia" w:ascii="Times New Roman" w:hAnsi="Times New Roman" w:cs="Times New Roman"/>
          <w:color w:val="000000" w:themeColor="text1"/>
          <w14:textFill>
            <w14:solidFill>
              <w14:schemeClr w14:val="tx1"/>
            </w14:solidFill>
          </w14:textFill>
        </w:rPr>
        <w:t>厌氧储存塘</w:t>
      </w:r>
      <w:r>
        <w:rPr>
          <w:rFonts w:ascii="Times New Roman" w:hAnsi="Times New Roman" w:cs="Times New Roman"/>
          <w:color w:val="000000" w:themeColor="text1"/>
          <w14:textFill>
            <w14:solidFill>
              <w14:schemeClr w14:val="tx1"/>
            </w14:solidFill>
          </w14:textFill>
        </w:rPr>
        <w:t>臭气，根据项目设计，拟采取恶臭污染防治措施如下：</w:t>
      </w:r>
    </w:p>
    <w:p>
      <w:pPr>
        <w:numPr>
          <w:ilvl w:val="0"/>
          <w:numId w:val="7"/>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通过选择优质的饲料原料、改进饲料配方，在饲料中添加益生素、酶制剂、酸化剂等，猪饮食后可从消化源上减少猪只粪便中各种臭气源（氨气、硫化氢等）的产生。通过在饲料中添加丝兰素植物、活性碳、沙皂素等除臭剂，也可以从源头上减少硫化氢、氨等恶臭气体的排放。</w:t>
      </w:r>
    </w:p>
    <w:p>
      <w:pPr>
        <w:numPr>
          <w:ilvl w:val="0"/>
          <w:numId w:val="7"/>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及时清理猪舍，保持猪舍卫生，通过加强猪舍的通风、改善饲养管理（湿拌料、及时清除粪便）等措施改善猪舍的空气质量。</w:t>
      </w:r>
    </w:p>
    <w:p>
      <w:pPr>
        <w:numPr>
          <w:ilvl w:val="0"/>
          <w:numId w:val="7"/>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因鼠疫等疾病传染原因，绿化带需距离圈舍一定距离（一般50m），除此而外，环评提出将场址内能绿化的地方都绿化，大量栽种当地吸尘、降噪、防毒植物，例如松树，一方面可以起到隔音、净化空气、杀菌、滞尘的作用，另一方面，也可以降低风速，减少厂区内的扬尘产生量，在一定程度上起到阻隔传播臭气的作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《畜禽养殖业污染治理工程技术规范》（HJ497-2009）中对恶臭控制提出了指导性的要求，具体如下：</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粪污处理各工艺单元宜设计为密闭形式，减少恶臭对周围环境的污染。</w:t>
      </w:r>
    </w:p>
    <w:p>
      <w:pPr>
        <w:spacing w:line="520" w:lineRule="exact"/>
        <w:ind w:firstLine="456"/>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pacing w:val="-6"/>
          <w14:textFill>
            <w14:solidFill>
              <w14:schemeClr w14:val="tx1"/>
            </w14:solidFill>
          </w14:textFill>
        </w:rPr>
        <w:t>（2）</w:t>
      </w:r>
      <w:r>
        <w:rPr>
          <w:rFonts w:ascii="Times New Roman" w:hAnsi="Times New Roman" w:cs="Times New Roman"/>
          <w:color w:val="000000" w:themeColor="text1"/>
          <w:spacing w:val="-6"/>
          <w14:textFill>
            <w14:solidFill>
              <w14:schemeClr w14:val="tx1"/>
            </w14:solidFill>
          </w14:textFill>
        </w:rPr>
        <w:t>在集中式粪污处理厂的泄粪口及固液分离设备等位置宜喷淋生化除臭剂。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根据上述要求，为了使项目恶臭对周边环境影响降到最低，针对本项目，环评建议项目增加的恶臭污染防治措施如下：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（1）合理控制养殖规模和猪群结构。</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（2）为了更好的防治恶臭，粪污水处理工程中的集粪池、固液分离系统应采取密闭措施，置于室内。</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（3）调节池内PH值创造不利于厌氧菌活动的条件以减少恶臭气体的产生；使用环保新产品，沸石是一种具有微孔和可交换离子的硅酸盐矿石，表面对NH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S、CO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水分等有很强的吸附力，能抑制氨的产生和挥发，可使氨含量降低90%；应用磷酸钙减少舍内氨浓度效果良好，其去除氨的效果可达97%；向粪便或猪舍内投放吸附剂减少臭气的散发，将硫酸亚铁撒在粪便中，可以抑制粪便发酵分解，减少有害气体产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（4）项目粪便堆肥间设计为密封形式，并做好防渗。</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（5）项目猪粪堆肥过程，可向粪便投放沸石、锯末、秸秆、泥炭等含纤维素和木质素较多的吸附剂以减少猪粪处理过程产生的臭气。</w:t>
      </w:r>
    </w:p>
    <w:p>
      <w:pPr>
        <w:spacing w:line="520" w:lineRule="exac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（6）项目堆肥场卸粪口位置喷淋生化除臭剂，除臭剂可以选择双氧水、次氯酸钠、臭氧等。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（7）项目设置</w:t>
      </w:r>
      <w:r>
        <w:rPr>
          <w:rFonts w:hint="eastAsia" w:ascii="Times New Roman" w:hAnsi="Times New Roman" w:cs="Times New Roman"/>
          <w:color w:val="000000" w:themeColor="text1"/>
          <w14:textFill>
            <w14:solidFill>
              <w14:schemeClr w14:val="tx1"/>
            </w14:solidFill>
          </w14:textFill>
        </w:rPr>
        <w:t>100</w:t>
      </w:r>
      <w:r>
        <w:rPr>
          <w:rFonts w:ascii="Times New Roman" w:hAnsi="Times New Roman" w:cs="Times New Roman"/>
          <w:color w:val="000000" w:themeColor="text1"/>
          <w14:textFill>
            <w14:solidFill>
              <w14:schemeClr w14:val="tx1"/>
            </w14:solidFill>
          </w14:textFill>
        </w:rPr>
        <w:t>m卫生防护距离，在该卫生防护距离内禁止建设居民区、学校等其他敏感点。</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（8）蚊蝇孳生季节喷洒虫卵消灭液，杜绝蚊蝇的生长，避免对附近居民的影响。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通过采取项目设计及环评建议的恶臭污染防治措施后，项目运营期产生的恶臭气体对周边环境影响不大，采取的措施是可行的。</w:t>
      </w:r>
    </w:p>
    <w:p>
      <w:pPr>
        <w:pStyle w:val="7"/>
        <w:rPr>
          <w:rFonts w:cs="Times New Roman"/>
          <w:color w:val="000000" w:themeColor="text1"/>
          <w14:textFill>
            <w14:solidFill>
              <w14:schemeClr w14:val="tx1"/>
            </w14:solidFill>
          </w14:textFill>
        </w:rPr>
      </w:pPr>
      <w:bookmarkStart w:id="899" w:name="_Toc24243"/>
      <w:bookmarkStart w:id="900" w:name="_Toc15465"/>
      <w:r>
        <w:rPr>
          <w:rFonts w:cs="Times New Roman"/>
          <w:color w:val="000000" w:themeColor="text1"/>
          <w14:textFill>
            <w14:solidFill>
              <w14:schemeClr w14:val="tx1"/>
            </w14:solidFill>
          </w14:textFill>
        </w:rPr>
        <w:t>6.2.1.2 食堂油烟污染防治措施</w:t>
      </w:r>
      <w:bookmarkEnd w:id="899"/>
      <w:bookmarkEnd w:id="90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食堂油烟在采用效率大于60%的油烟净化装置净化后达标排放，满足《饮食业油烟排放标准（试行）（GB18483-2001），油烟最高允许排放浓度≤2</w:t>
      </w:r>
      <w:r>
        <w:rPr>
          <w:rFonts w:hint="eastAsia" w:ascii="Times New Roman" w:hAnsi="Times New Roman" w:cs="Times New Roman"/>
          <w:color w:val="000000" w:themeColor="text1"/>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标准。</w:t>
      </w:r>
    </w:p>
    <w:p>
      <w:pPr>
        <w:pStyle w:val="6"/>
        <w:rPr>
          <w:rFonts w:ascii="Times New Roman" w:hAnsi="Times New Roman" w:cs="Times New Roman"/>
          <w:color w:val="000000" w:themeColor="text1"/>
          <w14:textFill>
            <w14:solidFill>
              <w14:schemeClr w14:val="tx1"/>
            </w14:solidFill>
          </w14:textFill>
        </w:rPr>
      </w:pPr>
      <w:bookmarkStart w:id="901" w:name="_Toc4192"/>
      <w:bookmarkStart w:id="902" w:name="_Toc32120"/>
      <w:bookmarkStart w:id="903" w:name="_Toc17268"/>
      <w:r>
        <w:rPr>
          <w:rFonts w:ascii="Times New Roman" w:hAnsi="Times New Roman" w:cs="Times New Roman"/>
          <w:color w:val="000000" w:themeColor="text1"/>
          <w14:textFill>
            <w14:solidFill>
              <w14:schemeClr w14:val="tx1"/>
            </w14:solidFill>
          </w14:textFill>
        </w:rPr>
        <w:t>6.2.2</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运营期水防治措施</w:t>
      </w:r>
      <w:bookmarkEnd w:id="901"/>
      <w:bookmarkEnd w:id="902"/>
      <w:bookmarkEnd w:id="903"/>
    </w:p>
    <w:p>
      <w:pPr>
        <w:pStyle w:val="7"/>
        <w:rPr>
          <w:rFonts w:cs="Times New Roman"/>
          <w:color w:val="000000" w:themeColor="text1"/>
          <w14:textFill>
            <w14:solidFill>
              <w14:schemeClr w14:val="tx1"/>
            </w14:solidFill>
          </w14:textFill>
        </w:rPr>
      </w:pPr>
      <w:bookmarkStart w:id="904" w:name="_Toc29321"/>
      <w:bookmarkStart w:id="905" w:name="_Toc4780"/>
      <w:r>
        <w:rPr>
          <w:rFonts w:cs="Times New Roman"/>
          <w:color w:val="000000" w:themeColor="text1"/>
          <w14:textFill>
            <w14:solidFill>
              <w14:schemeClr w14:val="tx1"/>
            </w14:solidFill>
          </w14:textFill>
        </w:rPr>
        <w:t>6.2.2.1 废水处理方案比选</w:t>
      </w:r>
      <w:bookmarkEnd w:id="904"/>
      <w:bookmarkEnd w:id="905"/>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本项目每天废水量约为</w:t>
      </w:r>
      <w:r>
        <w:rPr>
          <w:rFonts w:hint="eastAsia" w:ascii="Times New Roman" w:hAnsi="Times New Roman" w:cs="Times New Roman"/>
          <w:color w:val="000000" w:themeColor="text1"/>
          <w14:textFill>
            <w14:solidFill>
              <w14:schemeClr w14:val="tx1"/>
            </w14:solidFill>
          </w14:textFill>
        </w:rPr>
        <w:t>10.10万</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r>
        <w:rPr>
          <w:rFonts w:hint="eastAsia" w:ascii="Times New Roman" w:hAnsi="Times New Roman" w:cs="Times New Roman"/>
          <w:color w:val="000000" w:themeColor="text1"/>
          <w14:textFill>
            <w14:solidFill>
              <w14:schemeClr w14:val="tx1"/>
            </w14:solidFill>
          </w14:textFill>
        </w:rPr>
        <w:t>（336.72</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，拟建“固液分离＋厌氧储存塘”污水处理工艺处理废水，建设位置位于场区北侧。</w:t>
      </w:r>
    </w:p>
    <w:p>
      <w:pPr>
        <w:pStyle w:val="7"/>
        <w:rPr>
          <w:rFonts w:cs="Times New Roman"/>
          <w:color w:val="000000" w:themeColor="text1"/>
          <w14:textFill>
            <w14:solidFill>
              <w14:schemeClr w14:val="tx1"/>
            </w14:solidFill>
          </w14:textFill>
        </w:rPr>
      </w:pPr>
      <w:bookmarkStart w:id="906" w:name="_Toc488"/>
      <w:bookmarkStart w:id="907" w:name="_Toc9964"/>
      <w:r>
        <w:rPr>
          <w:rFonts w:cs="Times New Roman"/>
          <w:color w:val="000000" w:themeColor="text1"/>
          <w14:textFill>
            <w14:solidFill>
              <w14:schemeClr w14:val="tx1"/>
            </w14:solidFill>
          </w14:textFill>
        </w:rPr>
        <w:t>6.2.2.2 污水处理工艺</w:t>
      </w:r>
      <w:bookmarkEnd w:id="906"/>
      <w:bookmarkEnd w:id="90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采用的污水处理工艺符合《畜禽粪污资源化利用行动方案》（2017-2020）推荐的“污水肥料化利用”模式，本项目粪污水最终经过该“固液分离＋厌氧储存塘”污水处理工艺处理后，产生的废水可以满足《农田灌溉水质标准》（GB5084-2005）中的旱作标准。“堆肥+废水处理”模式是资源利用的能源环保模式。粪便外运无害化处置后做有机肥出售，废水处理以生态处理技术为主体，实现废水无害化后综合利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污水处理工艺流程及产污环节见第3章节。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艺说明：养殖场产生的污水主要是圈舍冲洗水、以及生活废水通过管道进入污水收集池。废水混合后经过干湿分离系统，进一步实现固液分离，废水最终进入氧化塘，并使污泥分离和浓缩，最终处理产生的废水灌溉周边农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粪污收集：刮板将粪尿刮到圈舍的地下粪渠，圈舍冲洗废水也一并进入到地下粪渠，粪渠坡度约为0.3%。在粪渠的始端设置水冲阀门，利用废水冲洗将粪污冲到混合搅拌池。</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粪污干湿分离系统：舍内粪尿及污水通过排污工程被收集排放到集污池，集污池内安装有潜水搅拌机和潜水切割泵，粪污经由搅拌机搅拌均匀后由切割泵提升至固液分离机进行螺旋挤压分离。分离后的固体粪渣含水量低，运输方便，堆肥制作成有机肥。液体污水通过出料管进入液体池，最终进入厌氧塘系统，经过发酵熟化后作为液态粪肥还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氧化塘系统：根据调查本项目实施方案（代可行性研究报告）资料及向建设单位核实，本项目氧化塘（粪污存储池）底膜采用进口底膜系统LDPE1mm，防渗系数较高，其密度、抗拉强度、断裂拉伸率见附件，具有较好的耐化学腐蚀性、耐寒、抗紫外线能力等：池中安装的防渗膜具有普通防水材料所无法比拟的防渗效果，不会污染地下水和土壤，具有高强抗拉伸机械性能，优良的弹性和变形能力使其非常适用于膨胀和收缩基面，可有效克服基面的不均匀沉降。</w:t>
      </w:r>
    </w:p>
    <w:p>
      <w:pPr>
        <w:pStyle w:val="7"/>
        <w:rPr>
          <w:rFonts w:cs="Times New Roman"/>
          <w:color w:val="000000" w:themeColor="text1"/>
          <w14:textFill>
            <w14:solidFill>
              <w14:schemeClr w14:val="tx1"/>
            </w14:solidFill>
          </w14:textFill>
        </w:rPr>
      </w:pPr>
      <w:bookmarkStart w:id="908" w:name="_Toc30704"/>
      <w:bookmarkStart w:id="909" w:name="_Toc16314"/>
      <w:r>
        <w:rPr>
          <w:rFonts w:cs="Times New Roman"/>
          <w:color w:val="000000" w:themeColor="text1"/>
          <w14:textFill>
            <w14:solidFill>
              <w14:schemeClr w14:val="tx1"/>
            </w14:solidFill>
          </w14:textFill>
        </w:rPr>
        <w:t>6.2.2.3 废水资源化利用合理性分析</w:t>
      </w:r>
      <w:bookmarkEnd w:id="908"/>
      <w:bookmarkEnd w:id="90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粪污水采用《畜禽粪污资源化利用行动方案》（2017-2020）推荐的“污水肥料化利用”模式，本项目粪污水最终经过“固液分离＋厌氧储存塘”污水处理工艺处理后，产生的废水可以达到无害化标准要求，用于灌溉周边农田，种养结合，废水综合利用，全部用于场区周边农田，非灌溉期在场区氧化塘对废水进行储存。</w:t>
      </w:r>
    </w:p>
    <w:p>
      <w:pPr>
        <w:pStyle w:val="7"/>
        <w:rPr>
          <w:rFonts w:cs="Times New Roman"/>
          <w:color w:val="000000" w:themeColor="text1"/>
          <w14:textFill>
            <w14:solidFill>
              <w14:schemeClr w14:val="tx1"/>
            </w14:solidFill>
          </w14:textFill>
        </w:rPr>
      </w:pPr>
      <w:bookmarkStart w:id="910" w:name="_Toc32645"/>
      <w:bookmarkStart w:id="911" w:name="_Toc15646"/>
      <w:r>
        <w:rPr>
          <w:rFonts w:cs="Times New Roman"/>
          <w:color w:val="000000" w:themeColor="text1"/>
          <w14:textFill>
            <w14:solidFill>
              <w14:schemeClr w14:val="tx1"/>
            </w14:solidFill>
          </w14:textFill>
        </w:rPr>
        <w:t>6.2.2.</w:t>
      </w:r>
      <w:r>
        <w:rPr>
          <w:rFonts w:hint="eastAsia"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 xml:space="preserve"> 地下水分区防控措施</w:t>
      </w:r>
      <w:bookmarkEnd w:id="910"/>
      <w:bookmarkEnd w:id="911"/>
    </w:p>
    <w:p>
      <w:pPr>
        <w:spacing w:line="520" w:lineRule="exact"/>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本项目建成后全场分为重点防渗区和一般防渗区。重点防渗区主要包括：猪舍、污水处理区、堆肥场、</w:t>
      </w:r>
      <w:r>
        <w:rPr>
          <w:rFonts w:hint="eastAsia" w:ascii="Times New Roman" w:hAnsi="Times New Roman" w:cs="Times New Roman"/>
          <w:color w:val="000000" w:themeColor="text1"/>
          <w:lang w:val="en-US" w:eastAsia="zh-CN"/>
          <w14:textFill>
            <w14:solidFill>
              <w14:schemeClr w14:val="tx1"/>
            </w14:solidFill>
          </w14:textFill>
        </w:rPr>
        <w:t>医疗</w:t>
      </w:r>
      <w:r>
        <w:rPr>
          <w:rFonts w:ascii="Times New Roman" w:hAnsi="Times New Roman" w:cs="Times New Roman"/>
          <w:color w:val="000000" w:themeColor="text1"/>
          <w14:textFill>
            <w14:solidFill>
              <w14:schemeClr w14:val="tx1"/>
            </w14:solidFill>
          </w14:textFill>
        </w:rPr>
        <w:t>废物暂存场地等；一般防渗区主要包括：一般固废暂存区、猪舍周围地面等；简单防区主要包括职工宿舍区，办公区等。</w:t>
      </w:r>
      <w:r>
        <w:rPr>
          <w:rFonts w:hint="eastAsia" w:ascii="Times New Roman" w:hAnsi="Times New Roman" w:cs="Times New Roman"/>
          <w:color w:val="000000" w:themeColor="text1"/>
          <w:lang w:val="en-US" w:eastAsia="zh-CN"/>
          <w14:textFill>
            <w14:solidFill>
              <w14:schemeClr w14:val="tx1"/>
            </w14:solidFill>
          </w14:textFill>
        </w:rPr>
        <w:t>分区防渗图详见图6.2-1。</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一般防渗区：评价建议对该区域采取粘土铺底，再在上层铺10-15cm的水泥进行硬化。通过以上措施可使一般防渗区各单元防渗层渗透系数≤10</w:t>
      </w:r>
      <w:r>
        <w:rPr>
          <w:rFonts w:ascii="Times New Roman" w:hAnsi="Times New Roman" w:cs="Times New Roman"/>
          <w:color w:val="000000" w:themeColor="text1"/>
          <w:vertAlign w:val="superscript"/>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cm/s。</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重点防渗区：重点防渗区在清场夯压的基础上厌氧储存塘采用铺设HDPE膜+混凝土进行防渗，污水处理区、养殖区圈舍、堆肥场等用混凝土进行防渗；HDPE膜抗渗能力比较强，渗透系数能够达到10</w:t>
      </w:r>
      <w:r>
        <w:rPr>
          <w:rFonts w:ascii="Times New Roman" w:hAnsi="Times New Roman" w:cs="Times New Roman"/>
          <w:color w:val="000000" w:themeColor="text1"/>
          <w:vertAlign w:val="super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cm/s。底部设置排气沟，最底部排气沟设置放水管，并设置导流渠，以防止污染地下水。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防治地下水污染的措施有：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（1）主动措施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为了最大限度降低养殖生产过程中高浓度有机废水的跑冒滴漏，防止地下水污染，本工程在生产工艺、设备、建筑结构、总图等方面应考虑相应的控制措施，具体措施如下：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①本项目猪舍、污水处理区、堆肥场、厌氧储存塘等易产生泄漏的重点区域、设备尽可能按其物料性质分类处置，固液分离。场区应设置防止泄露的污染物和污水直接排出厂外的设施。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设备装置系统内除输送消防水、生产用水和生活用水等非污染介质的管道外，管道上所有安装后不需拆卸的螺纹连接部位均应密封焊，其它需要经常进行拆装或不允许密封焊的螺纹连接部位应有可靠的密封措施。对于含污染物的管道，除与阀门、仪表和设备等连接可采用法兰连接外，应优先采用焊接，管道应做明显的标志，按规范要求进行气密性试验。如确实需要地下敷设时，应采取必要的防渗措施。输送生产废水的压力管道宜采用地上敷设，输送含污染物的地下重力污水管道及附属构筑物，必须进行闭水试验，试验段不得有渗漏。对于所有含污染物的管道和设备日常使用的排净口应配备法兰盖。</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③场区仓库有可能发生物料或化学药品或含有污染物的介质泄漏的地面按污染区地面处理，地面坡向集水点的坡度须大于0.01，地面与墙、柱、设备基础等交接处须做翻边处理。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（2）被动措施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防止地下水污染的被动控制措施即为地面防渗工程，全厂污染区参照相应标准要求铺设防渗层。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防渗层设计方案包括：项目按非污染防治区、一般污染防治区、重点污染防治区、特殊污染防治区分别采取不同等级的防渗措施。非污染防治区包括办公楼、绿化区域，采取非铺砌地坪或普通混凝土地坪，可不设置防渗层。污染防治区首先采取措施，切断泄漏粪污水流入非污染区的途径，重点防治区在清场夯压的基础上铺设HDPE膜+混凝土进行防渗，污染防治区的地面坡向排水口，最小排水坡度不得小于5‰。防渗结构型式通常有天然防渗结构、刚性防渗结构、柔性防渗结构和复合防渗结构等。根据本项目包气带防污性能，项目区不能采取天然防渗。本项目重点防渗区主要包括：猪舍、污水处理区、堆肥场、厌氧储存塘、</w:t>
      </w:r>
      <w:r>
        <w:rPr>
          <w:rFonts w:hint="eastAsia" w:ascii="Times New Roman" w:hAnsi="Times New Roman" w:cs="Times New Roman"/>
          <w:color w:val="000000" w:themeColor="text1"/>
          <w:lang w:val="en-US" w:eastAsia="zh-CN"/>
          <w14:textFill>
            <w14:solidFill>
              <w14:schemeClr w14:val="tx1"/>
            </w14:solidFill>
          </w14:textFill>
        </w:rPr>
        <w:t>医疗</w:t>
      </w:r>
      <w:r>
        <w:rPr>
          <w:rFonts w:ascii="Times New Roman" w:hAnsi="Times New Roman" w:cs="Times New Roman"/>
          <w:color w:val="000000" w:themeColor="text1"/>
          <w14:textFill>
            <w14:solidFill>
              <w14:schemeClr w14:val="tx1"/>
            </w14:solidFill>
          </w14:textFill>
        </w:rPr>
        <w:t>废物暂存场地等；一般防渗区主要包括：一般固废暂存区、猪舍周围地面等。</w:t>
      </w:r>
    </w:p>
    <w:p>
      <w:pPr>
        <w:pStyle w:val="6"/>
        <w:rPr>
          <w:rFonts w:ascii="Times New Roman" w:hAnsi="Times New Roman" w:cs="Times New Roman"/>
          <w:color w:val="000000" w:themeColor="text1"/>
          <w14:textFill>
            <w14:solidFill>
              <w14:schemeClr w14:val="tx1"/>
            </w14:solidFill>
          </w14:textFill>
        </w:rPr>
      </w:pPr>
      <w:bookmarkStart w:id="912" w:name="_Toc21526"/>
      <w:bookmarkStart w:id="913" w:name="_Toc26962"/>
      <w:r>
        <w:rPr>
          <w:rFonts w:ascii="Times New Roman" w:hAnsi="Times New Roman" w:cs="Times New Roman"/>
          <w:color w:val="000000" w:themeColor="text1"/>
          <w14:textFill>
            <w14:solidFill>
              <w14:schemeClr w14:val="tx1"/>
            </w14:solidFill>
          </w14:textFill>
        </w:rPr>
        <w:t>6.2.</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 xml:space="preserve"> 噪声环境保护措施</w:t>
      </w:r>
      <w:bookmarkEnd w:id="912"/>
      <w:bookmarkEnd w:id="91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优先选用低噪声设备，对产强噪声设备如风机、水泵等采取减振、厂房屏蔽及隔声措施，加强场区</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绿化，并经距离衰减后，厂界噪声可达到《工业企业厂界环境噪声排放标准》（GB12348-2008）2类标准。</w:t>
      </w:r>
    </w:p>
    <w:p>
      <w:pPr>
        <w:pStyle w:val="6"/>
        <w:rPr>
          <w:rFonts w:ascii="Times New Roman" w:hAnsi="Times New Roman" w:cs="Times New Roman"/>
          <w:color w:val="000000" w:themeColor="text1"/>
          <w14:textFill>
            <w14:solidFill>
              <w14:schemeClr w14:val="tx1"/>
            </w14:solidFill>
          </w14:textFill>
        </w:rPr>
      </w:pPr>
      <w:bookmarkStart w:id="914" w:name="_Toc1713"/>
      <w:bookmarkStart w:id="915" w:name="_Toc6392"/>
      <w:r>
        <w:rPr>
          <w:rFonts w:ascii="Times New Roman" w:hAnsi="Times New Roman" w:cs="Times New Roman"/>
          <w:color w:val="000000" w:themeColor="text1"/>
          <w14:textFill>
            <w14:solidFill>
              <w14:schemeClr w14:val="tx1"/>
            </w14:solidFill>
          </w14:textFill>
        </w:rPr>
        <w:t>6.2.</w:t>
      </w: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 xml:space="preserve"> 固废环境保护措施</w:t>
      </w:r>
      <w:bookmarkEnd w:id="914"/>
      <w:bookmarkEnd w:id="915"/>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（1）粪污治理措施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本项目猪场圈舍粪便集中在堆肥场处置，经腐熟发酵后，达到无害化标准后还田。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肥场地的设计应满足《畜禽养殖业污染治理工程技术规范》有关规定要求：堆肥场地一般应由粪便贮存池、堆肥场地以及成品堆肥存放场地等组成；采用间歇式堆肥处理时，粪便贮存池的有效体积应按至少能容纳6个月粪便产生量计算；场内应建立收集堆肥渗滤液的贮存池；应考虑防渗漏措施，不得对地下水造成污染；应配置防雨淋设施和雨水排水系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本项目猪场设计平面占地</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0m×</w:t>
      </w:r>
      <w:r>
        <w:rPr>
          <w:rFonts w:hint="eastAsia" w:ascii="Times New Roman" w:hAnsi="Times New Roman"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0m，按粪堆高度</w:t>
      </w:r>
      <w:r>
        <w:rPr>
          <w:rFonts w:hint="eastAsia" w:ascii="Times New Roman" w:hAnsi="Times New Roman" w:cs="Times New Roman"/>
          <w:color w:val="000000" w:themeColor="text1"/>
          <w:lang w:val="en-US" w:eastAsia="zh-CN"/>
          <w14:textFill>
            <w14:solidFill>
              <w14:schemeClr w14:val="tx1"/>
            </w14:solidFill>
          </w14:textFill>
        </w:rPr>
        <w:t>4.5</w:t>
      </w:r>
      <w:r>
        <w:rPr>
          <w:rFonts w:ascii="Times New Roman" w:hAnsi="Times New Roman" w:cs="Times New Roman"/>
          <w:color w:val="000000" w:themeColor="text1"/>
          <w14:textFill>
            <w14:solidFill>
              <w14:schemeClr w14:val="tx1"/>
            </w14:solidFill>
          </w14:textFill>
        </w:rPr>
        <w:t>m计算，可堆放</w:t>
      </w:r>
      <w:r>
        <w:rPr>
          <w:rFonts w:hint="eastAsia" w:ascii="Times New Roman" w:hAnsi="Times New Roman" w:cs="Times New Roman"/>
          <w:color w:val="000000" w:themeColor="text1"/>
          <w:lang w:val="en-US" w:eastAsia="zh-CN"/>
          <w14:textFill>
            <w14:solidFill>
              <w14:schemeClr w14:val="tx1"/>
            </w14:solidFill>
          </w14:textFill>
        </w:rPr>
        <w:t>900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的粪污。</w:t>
      </w:r>
      <w:r>
        <w:rPr>
          <w:rFonts w:ascii="Times New Roman" w:hAnsi="Times New Roman" w:cs="Times New Roman"/>
          <w:color w:val="000000" w:themeColor="text1"/>
          <w:highlight w:val="none"/>
          <w14:textFill>
            <w14:solidFill>
              <w14:schemeClr w14:val="tx1"/>
            </w14:solidFill>
          </w14:textFill>
        </w:rPr>
        <w:t>好氧堆肥</w:t>
      </w:r>
      <w:r>
        <w:rPr>
          <w:rFonts w:hint="eastAsia" w:ascii="Times New Roman" w:hAnsi="Times New Roman" w:cs="Times New Roman"/>
          <w:color w:val="000000" w:themeColor="text1"/>
          <w:highlight w:val="none"/>
          <w:lang w:val="en-US" w:eastAsia="zh-CN"/>
          <w14:textFill>
            <w14:solidFill>
              <w14:schemeClr w14:val="tx1"/>
            </w14:solidFill>
          </w14:textFill>
        </w:rPr>
        <w:t>在</w:t>
      </w:r>
      <w:r>
        <w:rPr>
          <w:rFonts w:ascii="Times New Roman" w:hAnsi="Times New Roman" w:cs="Times New Roman"/>
          <w:color w:val="000000" w:themeColor="text1"/>
          <w14:textFill>
            <w14:solidFill>
              <w14:schemeClr w14:val="tx1"/>
            </w14:solidFill>
          </w14:textFill>
        </w:rPr>
        <w:t>加入发酵菌后腐熟无害化的日期</w:t>
      </w:r>
      <w:r>
        <w:rPr>
          <w:rFonts w:hint="eastAsia" w:ascii="Times New Roman" w:hAnsi="Times New Roman" w:cs="Times New Roman"/>
          <w:color w:val="000000" w:themeColor="text1"/>
          <w:lang w:val="en-US" w:eastAsia="zh-CN"/>
          <w14:textFill>
            <w14:solidFill>
              <w14:schemeClr w14:val="tx1"/>
            </w14:solidFill>
          </w14:textFill>
        </w:rPr>
        <w:t>较</w:t>
      </w:r>
      <w:r>
        <w:rPr>
          <w:rFonts w:ascii="Times New Roman" w:hAnsi="Times New Roman" w:cs="Times New Roman"/>
          <w:color w:val="000000" w:themeColor="text1"/>
          <w14:textFill>
            <w14:solidFill>
              <w14:schemeClr w14:val="tx1"/>
            </w14:solidFill>
          </w14:textFill>
        </w:rPr>
        <w:t>短</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发酵时间一般为</w:t>
      </w:r>
      <w:r>
        <w:rPr>
          <w:rFonts w:hint="eastAsia" w:ascii="Times New Roman" w:hAnsi="Times New Roman" w:cs="Times New Roman"/>
          <w:color w:val="000000" w:themeColor="text1"/>
          <w:highlight w:val="none"/>
          <w:lang w:val="en-US" w:eastAsia="zh-CN"/>
          <w14:textFill>
            <w14:solidFill>
              <w14:schemeClr w14:val="tx1"/>
            </w14:solidFill>
          </w14:textFill>
        </w:rPr>
        <w:t>5-10</w:t>
      </w:r>
      <w:r>
        <w:rPr>
          <w:rFonts w:ascii="Times New Roman" w:hAnsi="Times New Roman" w:cs="Times New Roman"/>
          <w:color w:val="000000" w:themeColor="text1"/>
          <w:highlight w:val="none"/>
          <w14:textFill>
            <w14:solidFill>
              <w14:schemeClr w14:val="tx1"/>
            </w14:solidFill>
          </w14:textFill>
        </w:rPr>
        <w:t>d</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按照日产日清原则，腐熟发酵无害化后的粪便及时拉走还田不占用堆肥场，实现滚动式循环。本项目猪场产生粪污量为</w:t>
      </w:r>
      <w:r>
        <w:rPr>
          <w:rFonts w:hint="eastAsia" w:ascii="Times New Roman" w:hAnsi="Times New Roman" w:cs="Times New Roman"/>
          <w:color w:val="000000" w:themeColor="text1"/>
          <w14:textFill>
            <w14:solidFill>
              <w14:schemeClr w14:val="tx1"/>
            </w14:solidFill>
          </w14:textFill>
        </w:rPr>
        <w:t>160</w:t>
      </w:r>
      <w:r>
        <w:rPr>
          <w:rFonts w:ascii="Times New Roman" w:hAnsi="Times New Roman" w:cs="Times New Roman"/>
          <w:color w:val="000000" w:themeColor="text1"/>
          <w14:textFill>
            <w14:solidFill>
              <w14:schemeClr w14:val="tx1"/>
            </w14:solidFill>
          </w14:textFill>
        </w:rPr>
        <w:t>t/d，可满足储存容纳量，因此该堆肥场的容积规模可同时满足一期工程、二期工程的固体粪便处置需要。建议堆肥场可设计成封闭式的，不仅增大容纳量，臭气集中收集处置，更满足环保防臭要求。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堆肥场的设计具体内容如下：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a.采用混凝土地坪，用水泥砂浆进行防渗处理；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b.沿堆肥场地四周修建挡水墙，挡水墙高度0.5m，避免场外雨雪水流入堆肥场内，同时也可避免粪污外流散落；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c.沿挡水墙内侧修建导流沟并设置收集池，雨雪水及堆肥场内形成的渗水随导流沟汇入收集池，通过吸粪车将收集到的水污运至项目污水处理系统；</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d.设置彩钢顶棚，避免雨水的淋漓。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设计示意图如下：</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770" cy="1408430"/>
            <wp:effectExtent l="0" t="0" r="5080" b="127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29"/>
                    <a:stretch>
                      <a:fillRect/>
                    </a:stretch>
                  </pic:blipFill>
                  <pic:spPr>
                    <a:xfrm>
                      <a:off x="0" y="0"/>
                      <a:ext cx="5271770" cy="1408430"/>
                    </a:xfrm>
                    <a:prstGeom prst="rect">
                      <a:avLst/>
                    </a:prstGeom>
                    <a:noFill/>
                    <a:ln>
                      <a:noFill/>
                    </a:ln>
                  </pic:spPr>
                </pic:pic>
              </a:graphicData>
            </a:graphic>
          </wp:inline>
        </w:drawing>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图6.2-</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 xml:space="preserve">    堆肥场立面剖面示意图</w:t>
      </w:r>
    </w:p>
    <w:p>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770" cy="2117090"/>
            <wp:effectExtent l="0" t="0" r="5080" b="1651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30"/>
                    <a:stretch>
                      <a:fillRect/>
                    </a:stretch>
                  </pic:blipFill>
                  <pic:spPr>
                    <a:xfrm>
                      <a:off x="0" y="0"/>
                      <a:ext cx="5271770" cy="2117090"/>
                    </a:xfrm>
                    <a:prstGeom prst="rect">
                      <a:avLst/>
                    </a:prstGeom>
                    <a:noFill/>
                    <a:ln>
                      <a:noFill/>
                    </a:ln>
                  </pic:spPr>
                </pic:pic>
              </a:graphicData>
            </a:graphic>
          </wp:inline>
        </w:drawing>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图6.2-</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 xml:space="preserve">    堆肥场平面示意图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本项目猪粪最终经堆存发酵处置后应满足《粪便无害化卫生</w:t>
      </w:r>
      <w:r>
        <w:rPr>
          <w:rFonts w:hint="eastAsia" w:ascii="Times New Roman" w:hAnsi="Times New Roman" w:cs="Times New Roman"/>
          <w:color w:val="000000" w:themeColor="text1"/>
          <w:lang w:val="en-US" w:eastAsia="zh-CN"/>
          <w14:textFill>
            <w14:solidFill>
              <w14:schemeClr w14:val="tx1"/>
            </w14:solidFill>
          </w14:textFill>
        </w:rPr>
        <w:t>要求</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GB7959-2012</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中污染物排放标准及《畜禽养殖业污染物排放标准》（GB18596-2001）表6中畜禽养殖业废渣无害化环境标准要求。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（2）生活垃圾治理措施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本项目生活垃圾产生量</w:t>
      </w:r>
      <w:r>
        <w:rPr>
          <w:rFonts w:hint="eastAsia" w:ascii="Times New Roman" w:hAnsi="Times New Roman" w:cs="Times New Roman"/>
          <w:color w:val="000000" w:themeColor="text1"/>
          <w14:textFill>
            <w14:solidFill>
              <w14:schemeClr w14:val="tx1"/>
            </w14:solidFill>
          </w14:textFill>
        </w:rPr>
        <w:t>5.25</w:t>
      </w:r>
      <w:r>
        <w:rPr>
          <w:rFonts w:ascii="Times New Roman" w:hAnsi="Times New Roman" w:cs="Times New Roman"/>
          <w:color w:val="000000" w:themeColor="text1"/>
          <w14:textFill>
            <w14:solidFill>
              <w14:schemeClr w14:val="tx1"/>
            </w14:solidFill>
          </w14:textFill>
        </w:rPr>
        <w:t>t/a。在生活区设置垃圾房一处，日常产生的垃圾用袋子包装好后分类堆放，按堆放量定期由环卫部门就近拉运至</w:t>
      </w:r>
      <w:r>
        <w:rPr>
          <w:rFonts w:hint="eastAsia" w:ascii="Times New Roman" w:hAnsi="Times New Roman" w:cs="Times New Roman"/>
          <w:color w:val="000000" w:themeColor="text1"/>
          <w14:textFill>
            <w14:solidFill>
              <w14:schemeClr w14:val="tx1"/>
            </w14:solidFill>
          </w14:textFill>
        </w:rPr>
        <w:t>昌吉市</w:t>
      </w:r>
      <w:r>
        <w:rPr>
          <w:rFonts w:ascii="Times New Roman" w:hAnsi="Times New Roman" w:cs="Times New Roman"/>
          <w:color w:val="000000" w:themeColor="text1"/>
          <w14:textFill>
            <w14:solidFill>
              <w14:schemeClr w14:val="tx1"/>
            </w14:solidFill>
          </w14:textFill>
        </w:rPr>
        <w:t>生活垃圾填埋场。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（3）病死猪尸体治理措施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畜禽养殖业污染防治技术规范》（HJ/T81-2001）的相关规定，企业对病死猪尸体及时处理，严禁随意丢弃，严禁出售或作为饲料再利用。本项目采用高温与生物降解畜禽无害化处理设施，高温与生物降解畜禽无害化复合处理技术是高温灭菌与生物降解技术的结合，即在特定的处理器中高温灭菌、破碎并启动生物降解的过程，处理病害动物尸体，杀灭病原微生物，同时可以实现环保及资源利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采用比安全填埋处置更先进的高温与生物降解畜禽无害化处理技术和设施。该技术设施已在我国内地很多省市推广应用，鉴于技术发展与相关政策标准规范的时间落差，虽然在《畜禽养殖业污染防治技术规范》（HJ/T81-2001）未提到，但该技术属于国家支持和鼓励研究新型、高效、环保的无害化处理技术和装备。在新疆地区的大型规模化畜禽养殖场中有10余家应用案例，例如新疆泰坤畜牧公司兵团第六师103团养猪场等。</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（4）医疗废物治理措施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医疗废物集中处置技术规范（试行）》规定，项目应设置医疗废物暂时贮存库房，对医疗废弃物进行分类暂存，本项目医疗废物暂存间依托一期工程。对于存在传染性的医疗固废，必须按照《危险废物贮存污染控制标准》（GB18597-2001）进行收集管理，医疗废物最终交由有资质单位处置。</w:t>
      </w:r>
    </w:p>
    <w:p>
      <w:pPr>
        <w:spacing w:line="520" w:lineRule="exact"/>
        <w:ind w:firstLine="482"/>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本项目医疗废物的暂存设施设计要求如下：</w:t>
      </w:r>
    </w:p>
    <w:p>
      <w:pPr>
        <w:numPr>
          <w:ilvl w:val="0"/>
          <w:numId w:val="8"/>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地面与裙脚要用坚固、防渗的材料建造，建筑材料必须与危险废物相容</w:t>
      </w:r>
      <w:r>
        <w:rPr>
          <w:rFonts w:hint="eastAsia" w:ascii="Times New Roman" w:hAnsi="Times New Roman" w:cs="Times New Roman"/>
          <w:color w:val="000000" w:themeColor="text1"/>
          <w14:textFill>
            <w14:solidFill>
              <w14:schemeClr w14:val="tx1"/>
            </w14:solidFill>
          </w14:textFill>
        </w:rPr>
        <w:t>。</w:t>
      </w:r>
    </w:p>
    <w:p>
      <w:pPr>
        <w:numPr>
          <w:ilvl w:val="0"/>
          <w:numId w:val="8"/>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必须有泄漏液体收集装置、气体导出口及气体净化装置。</w:t>
      </w:r>
    </w:p>
    <w:p>
      <w:pPr>
        <w:numPr>
          <w:ilvl w:val="0"/>
          <w:numId w:val="8"/>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设施内要有安全照明设施和观察窗口。</w:t>
      </w:r>
    </w:p>
    <w:p>
      <w:pPr>
        <w:numPr>
          <w:ilvl w:val="0"/>
          <w:numId w:val="8"/>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用以存放装载液体、半固体危险废物容器的地方，必须有耐腐蚀的硬化地面，且表面无裂隙。</w:t>
      </w:r>
    </w:p>
    <w:p>
      <w:pPr>
        <w:numPr>
          <w:ilvl w:val="0"/>
          <w:numId w:val="8"/>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应设计堵截泄漏的裙脚，地面与裙脚所围建的容积不低于堵截最大容器的最大储量或总储量的五分之一。</w:t>
      </w:r>
    </w:p>
    <w:p>
      <w:pPr>
        <w:numPr>
          <w:ilvl w:val="0"/>
          <w:numId w:val="8"/>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不相容的危险废物必须分开存放，并设有隔离间隔断。</w:t>
      </w:r>
    </w:p>
    <w:p>
      <w:pPr>
        <w:spacing w:line="520" w:lineRule="exact"/>
        <w:ind w:firstLine="482"/>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本项目医疗废物的暂存、转运管理要求如下：</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医疗废物产生地点应当有医疗废物分类收集方法的示意图或者文字说明。</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盛装的医疗废物达到包装物或者容器的3/4时，应当使用有效的封口方式，使包装物或者容器的封口紧实、严密。</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包装物或者容器的外表面被感染性废物污染时，应当对被污染处进行消毒处理或者增加一层包装。</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盛装医疗废物的每个包装物、容器外表面应当有警示标识，在每个包装物、容器上应当系中文标签，中文标签的内容应当包括：医疗废物产生单位、产生日期、类别及需要的特别说明等。</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运送人员每天从医疗废物产生地点将分类包装的医疗废物按照规定的时间和路线运送至内部指定的暂时贮存地点。</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运送人员在运送医疗废物前，应当检查包装物或者容器的标识、标签及封口是否符合要求，不得将不符合要求的医疗废物运送至暂时贮存地点。</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运送人员在运送医疗废物时，应当防止造成包装物或容器破损和医疗废物的流失、泄漏和扩散，并防止医疗废物直接接触身体。</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运送医疗废物应当使用防渗漏、防遗撒、无锐利边角、易于装卸和清洁的专用运送工具。每天运送工作结束后，应当对运送工具及时进行清洁和消毒。</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应当建立医疗废物暂时贮存设施、设备，不得露天存放医疗废物；医疗废物暂时贮存的时间不得超过2d。</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建立的医疗废物暂时贮存设施、设备应当达到以下要求：</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①远离职工宿舍、人员活动区和生活垃圾存放场所，方便医疗废物运送人员及运送工具、车辆的出入；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②有严密的封闭措施，设专（兼）职人员管理，防止非工作人员接触医疗废物；③有防鼠、防蚊蝇、防蟑螂的安全措施；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④防止渗漏和雨水冲刷；</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⑤易于清洁和消毒；</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⑥</w:t>
      </w:r>
      <w:r>
        <w:rPr>
          <w:rFonts w:ascii="Times New Roman" w:hAnsi="Times New Roman" w:cs="Times New Roman"/>
          <w:color w:val="000000" w:themeColor="text1"/>
          <w14:textFill>
            <w14:solidFill>
              <w14:schemeClr w14:val="tx1"/>
            </w14:solidFill>
          </w14:textFill>
        </w:rPr>
        <w:t>避免阳光直射；</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⑦设有明显的医疗废物警示标识和“禁止吸烟、饮食”的警示标识。</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暂时贮存病理性废物，应当具备低温贮存或者防腐条件。</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应当将医疗废物交由取得县级以上人民政府环境保护行政主管部门许可</w:t>
      </w:r>
      <w:r>
        <w:rPr>
          <w:rFonts w:ascii="Times New Roman" w:hAnsi="Times New Roman" w:cs="Times New Roman"/>
          <w:color w:val="000000" w:themeColor="text1"/>
          <w:spacing w:val="-6"/>
          <w14:textFill>
            <w14:solidFill>
              <w14:schemeClr w14:val="tx1"/>
            </w14:solidFill>
          </w14:textFill>
        </w:rPr>
        <w:t>的医疗废物集中处置单位处置，依照危险废物转移联单制度填写和保存转移联单。</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应当对医疗废物进行登记，登记内容应当包括医疗废物的来源、种类、重量或者数量、交接时间、最终去向以及经办人签名等项目。登记资料至少保存3年。</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医疗废物转交出去后，应当对暂时贮存地点、设施及时进行清洁和消毒处理。</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禁止转让、买卖医疗废物。</w:t>
      </w:r>
    </w:p>
    <w:p>
      <w:pPr>
        <w:numPr>
          <w:ilvl w:val="0"/>
          <w:numId w:val="9"/>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禁止在非收集、非暂时贮存地点倾倒、堆放医疗废物，禁止将医疗废物混入其它废物和生活垃圾。</w:t>
      </w:r>
    </w:p>
    <w:p>
      <w:pPr>
        <w:pStyle w:val="6"/>
        <w:rPr>
          <w:rFonts w:ascii="Times New Roman" w:hAnsi="Times New Roman" w:cs="Times New Roman"/>
          <w:color w:val="000000" w:themeColor="text1"/>
          <w14:textFill>
            <w14:solidFill>
              <w14:schemeClr w14:val="tx1"/>
            </w14:solidFill>
          </w14:textFill>
        </w:rPr>
      </w:pPr>
      <w:bookmarkStart w:id="916" w:name="_Toc14035"/>
      <w:bookmarkStart w:id="917" w:name="_Toc22922"/>
      <w:r>
        <w:rPr>
          <w:rFonts w:ascii="Times New Roman" w:hAnsi="Times New Roman" w:cs="Times New Roman"/>
          <w:color w:val="000000" w:themeColor="text1"/>
          <w14:textFill>
            <w14:solidFill>
              <w14:schemeClr w14:val="tx1"/>
            </w14:solidFill>
          </w14:textFill>
        </w:rPr>
        <w:t>6.2.5 养殖场猪病预防及猪瘟防治环境保护措施</w:t>
      </w:r>
      <w:bookmarkEnd w:id="916"/>
      <w:bookmarkEnd w:id="91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病预防总的原则是“预防为主、防重于治、无病先防，采取综合措施防患于未然”。猪病的预防措施主要包括加强饲养管理以提高机体抵抗力，利用药或预防措施阻止致病因素危害猪群。加强饲养管理应做到以下几点：</w:t>
      </w:r>
    </w:p>
    <w:p>
      <w:pPr>
        <w:numPr>
          <w:ilvl w:val="0"/>
          <w:numId w:val="10"/>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满足猪群机体需要，保证充足清洁的饮水，定时提供充足的饲料。</w:t>
      </w:r>
    </w:p>
    <w:p>
      <w:pPr>
        <w:numPr>
          <w:ilvl w:val="0"/>
          <w:numId w:val="10"/>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搞好各猪舍内外的环境卫生，及时清除猪舍周围的杂草、粪便和垃圾。消灭老鼠及蚊蝇。饲料用具及饮水用具要保持清洁并定期消毒。</w:t>
      </w:r>
    </w:p>
    <w:p>
      <w:pPr>
        <w:numPr>
          <w:ilvl w:val="0"/>
          <w:numId w:val="10"/>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根据地不同季节做好防寒防暑工作。保证适宜的饲养密度，以避免影响生长发育和生产性能。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猪瘟防疫是当前养猪业所面临的重大实际问题，也是控制猪瘟及消灭猪瘟的重要手段。具体做法是：</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坚持自繁自养，全进全出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为切断猪瘟传染机会，要坚持自繁自养，对不同饲养阶段的猪要实行全进全出，猪舍空出后，彻底消毒。</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加强饲养管理，增强抗病能力</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对哺乳母猪要给予足够的营养，保证哺乳仔猪吃到足够的初乳，增强仔猪的非特异性免疫力和抗病能力，保持猪舍干燥、卫生，并注意夏季降温、冬季保暖。</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加强防疫及检疫</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旦发生猪瘟后，要封锁疫点，禁止猪只流动，病猪及相关物品应采取无害化处理。对未发病的猪，应立即以猪瘟弱毒疫苗（剂量可加大2～4倍）进行紧急预防接种，对猪舍、粪便和用具彻底彻底消毒，饲养用具每天消毒一次。</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制定科学的免疫程序。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在猪25日龄及65日龄各免疫一次，每次注射疫苗3份。繁殖母猪在配种前15天或仔猪断奶时注射疫苗4份，种公猪每年注射2次疫苗。</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正确选择和使用疫苗</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猪瘟弱毒疫苗从出厂到使用全部都要保证冷藏贮运，对猪瘟的免疫要使用猪瘟单苗，尤其是超前免疫和25日龄免疫。</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定期监测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消除亚临床感染猪。亚临床感染猪长期带毒并不断排毒，它们是潜在的传染病，极容易造成其他易感猪的感染。因此必须加大免疫剂量，可切断持续感染仔猪持续感染—猪瘟持续感染—猪瘟传染源这一恶性循环。采取综合措施，逐渐淘汰阳性感染猪。每6个月监测一次。</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建设围墙、防疫沟及绿化隔离带。</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对病死猪必须上报卫生主管部门，按卫生防疫主管部门的要求实行无害化处置。病死猪尸体按照卫生防疫规程、《畜禽养殖业污染防治技术规范》</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HJ/T81-2001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、农医发</w:t>
      </w:r>
      <w:r>
        <w:rPr>
          <w:rFonts w:hint="eastAsia" w:ascii="宋体" w:hAnsi="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2017</w:t>
      </w:r>
      <w:r>
        <w:rPr>
          <w:rFonts w:hint="eastAsia" w:ascii="宋体" w:hAnsi="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25号要求进行处理。严禁将病死猪尸体随意丢弃，出售或作为饲料再利用或直接埋入土壤。</w:t>
      </w:r>
    </w:p>
    <w:p>
      <w:pPr>
        <w:pStyle w:val="6"/>
        <w:rPr>
          <w:rFonts w:ascii="Times New Roman" w:hAnsi="Times New Roman" w:cs="Times New Roman"/>
          <w:color w:val="000000" w:themeColor="text1"/>
          <w14:textFill>
            <w14:solidFill>
              <w14:schemeClr w14:val="tx1"/>
            </w14:solidFill>
          </w14:textFill>
        </w:rPr>
      </w:pPr>
      <w:bookmarkStart w:id="918" w:name="_Toc28022"/>
      <w:bookmarkStart w:id="919" w:name="_Toc15119"/>
      <w:r>
        <w:rPr>
          <w:rFonts w:ascii="Times New Roman" w:hAnsi="Times New Roman" w:cs="Times New Roman"/>
          <w:color w:val="000000" w:themeColor="text1"/>
          <w14:textFill>
            <w14:solidFill>
              <w14:schemeClr w14:val="tx1"/>
            </w14:solidFill>
          </w14:textFill>
        </w:rPr>
        <w:t>6.2.6 交通运输环境保护措施</w:t>
      </w:r>
      <w:bookmarkEnd w:id="918"/>
      <w:bookmarkEnd w:id="919"/>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交通运输噪声防治措施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为了减轻因运输车辆的增加而引起交通噪声，建议加强以下措施进行防范：</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①根据生产实际情况，合理调度汽车运输。汽车运输尽量选择白天进行，在夜间22点以后就必须停止任何运输活动，这样避免因夜间运输出现的声环境超标现象。</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②优化运输路线，使运输路线尽量选择距离居民敏感点较远、地域比较开阔的地段。</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运输沿线恶臭防治措施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①出栏装车前应进行彻底清洗，冲净粪便和身上的污物。</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②猪只运输车辆注意消毒，保持清洁。</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③尽量选择半封闭式的运输车辆，最大可能地防止恶臭对城区运输路线两边居民的影响。</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④</w:t>
      </w:r>
      <w:r>
        <w:rPr>
          <w:rFonts w:ascii="Times New Roman" w:hAnsi="Times New Roman" w:cs="Times New Roman"/>
          <w:color w:val="000000" w:themeColor="text1"/>
          <w14:textFill>
            <w14:solidFill>
              <w14:schemeClr w14:val="tx1"/>
            </w14:solidFill>
          </w14:textFill>
        </w:rPr>
        <w:t>运输车辆必须按定额载重量运输，严禁超载行驶。</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⑤运输车辆在进入城区或环境敏感点较多的地段前应在定点冲洗位置冲洗车辆，冲净猪粪（尿）。</w:t>
      </w:r>
    </w:p>
    <w:p>
      <w:pPr>
        <w:pStyle w:val="6"/>
        <w:rPr>
          <w:rFonts w:ascii="Times New Roman" w:hAnsi="Times New Roman" w:cs="Times New Roman"/>
          <w:color w:val="000000" w:themeColor="text1"/>
          <w14:textFill>
            <w14:solidFill>
              <w14:schemeClr w14:val="tx1"/>
            </w14:solidFill>
          </w14:textFill>
        </w:rPr>
      </w:pPr>
      <w:bookmarkStart w:id="920" w:name="_Toc26365"/>
      <w:bookmarkStart w:id="921" w:name="_Toc10338"/>
      <w:r>
        <w:rPr>
          <w:rFonts w:ascii="Times New Roman" w:hAnsi="Times New Roman" w:cs="Times New Roman"/>
          <w:color w:val="000000" w:themeColor="text1"/>
          <w14:textFill>
            <w14:solidFill>
              <w14:schemeClr w14:val="tx1"/>
            </w14:solidFill>
          </w14:textFill>
        </w:rPr>
        <w:t>6.2.7 生态环境保护措施</w:t>
      </w:r>
      <w:bookmarkEnd w:id="920"/>
      <w:bookmarkEnd w:id="92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加强项目区绿化工作，改善项目区生态环境。本项目厂区内绿化面积不小于</w:t>
      </w:r>
      <w:r>
        <w:rPr>
          <w:rFonts w:hint="eastAsia" w:ascii="Times New Roman" w:hAnsi="Times New Roman" w:cs="Times New Roman"/>
          <w:color w:val="000000" w:themeColor="text1"/>
          <w14:textFill>
            <w14:solidFill>
              <w14:schemeClr w14:val="tx1"/>
            </w14:solidFill>
          </w14:textFill>
        </w:rPr>
        <w:t>75</w:t>
      </w:r>
      <w:r>
        <w:rPr>
          <w:rFonts w:ascii="Times New Roman" w:hAnsi="Times New Roman" w:cs="Times New Roman"/>
          <w:color w:val="000000" w:themeColor="text1"/>
          <w14:textFill>
            <w14:solidFill>
              <w14:schemeClr w14:val="tx1"/>
            </w14:solidFill>
          </w14:textFill>
        </w:rPr>
        <w:t>亩，绿化率不低于</w:t>
      </w:r>
      <w:r>
        <w:rPr>
          <w:rFonts w:hint="eastAsia" w:ascii="Times New Roman" w:hAnsi="Times New Roman" w:cs="Times New Roman"/>
          <w:color w:val="000000" w:themeColor="text1"/>
          <w14:textFill>
            <w14:solidFill>
              <w14:schemeClr w14:val="tx1"/>
            </w14:solidFill>
          </w14:textFill>
        </w:rPr>
        <w:t>15</w:t>
      </w:r>
      <w:r>
        <w:rPr>
          <w:rFonts w:ascii="Times New Roman" w:hAnsi="Times New Roman" w:cs="Times New Roman"/>
          <w:color w:val="000000" w:themeColor="text1"/>
          <w14:textFill>
            <w14:solidFill>
              <w14:schemeClr w14:val="tx1"/>
            </w14:solidFill>
          </w14:textFill>
        </w:rPr>
        <w:t>%，绿化尽量利用当地植物种。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本项目废水无害化处理后，作为液体肥料用于养殖场周边农田灌溉。本项目周边农田面积广阔，可完全资源化利用本项目废水。</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为了更好地保护农田生态环境，促进农业生产可持续发展，采用本项目液肥农田灌溉时，应注意以下几点：液肥做为肥料一次勾兑6-7m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/亩，按农作物种类，每年每亩地勾兑灌溉液肥3次，避免液肥集中灌溉造成污染、农作物减产。</w:t>
      </w:r>
    </w:p>
    <w:p>
      <w:pPr>
        <w:pStyle w:val="5"/>
        <w:rPr>
          <w:rFonts w:ascii="Times New Roman" w:hAnsi="Times New Roman" w:cs="Times New Roman"/>
          <w:color w:val="000000" w:themeColor="text1"/>
          <w14:textFill>
            <w14:solidFill>
              <w14:schemeClr w14:val="tx1"/>
            </w14:solidFill>
          </w14:textFill>
        </w:rPr>
      </w:pPr>
      <w:bookmarkStart w:id="922" w:name="_Toc14534"/>
      <w:bookmarkStart w:id="923" w:name="_Toc30728"/>
      <w:bookmarkStart w:id="924" w:name="_Toc29665"/>
      <w:bookmarkStart w:id="925" w:name="_Toc2678"/>
      <w:r>
        <w:rPr>
          <w:rFonts w:ascii="Times New Roman" w:hAnsi="Times New Roman" w:cs="Times New Roman"/>
          <w:color w:val="000000" w:themeColor="text1"/>
          <w14:textFill>
            <w14:solidFill>
              <w14:schemeClr w14:val="tx1"/>
            </w14:solidFill>
          </w14:textFill>
        </w:rPr>
        <w:t>6.3 环境风险防范措施</w:t>
      </w:r>
      <w:bookmarkEnd w:id="922"/>
      <w:bookmarkEnd w:id="923"/>
      <w:bookmarkEnd w:id="924"/>
      <w:bookmarkEnd w:id="925"/>
    </w:p>
    <w:p>
      <w:pPr>
        <w:pStyle w:val="6"/>
        <w:rPr>
          <w:rFonts w:ascii="Times New Roman" w:hAnsi="Times New Roman" w:cs="Times New Roman"/>
          <w:color w:val="000000" w:themeColor="text1"/>
          <w14:textFill>
            <w14:solidFill>
              <w14:schemeClr w14:val="tx1"/>
            </w14:solidFill>
          </w14:textFill>
        </w:rPr>
      </w:pPr>
      <w:bookmarkStart w:id="926" w:name="_Toc8209"/>
      <w:bookmarkStart w:id="927" w:name="_Toc28969"/>
      <w:r>
        <w:rPr>
          <w:rFonts w:ascii="Times New Roman" w:hAnsi="Times New Roman" w:cs="Times New Roman"/>
          <w:color w:val="000000" w:themeColor="text1"/>
          <w14:textFill>
            <w14:solidFill>
              <w14:schemeClr w14:val="tx1"/>
            </w14:solidFill>
          </w14:textFill>
        </w:rPr>
        <w:t>6.3.1 疫情风险的防范措施</w:t>
      </w:r>
      <w:bookmarkEnd w:id="926"/>
      <w:bookmarkEnd w:id="92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卫生防疫是规模化养殖场成败的关键，必须严格按照《中华人民共和国动物防疫法》的要求，做到“以防为主，防治结合，制度健全，责任到人”。</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消毒制度</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凡进入饲养场的人和车辆等都需要经过消毒。凡是进入饲养场的工作人员，一律更换工作服、工作鞋，并经喷雾消毒5分钟左右。外来人员必须进入生产区时，也应按照上述方法消毒，在场区管理人员的带领下，按照指定路线行走。</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免疫程序管理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进入21世纪，随着养殖业规模扩大，进口种畜禽引种、动物流通等因素导致高致病性禽流感、高致病性蓝耳病、口蹄疫、猪链球菌病等出现和流行，加之一些原本已经得到控制的疾病因为抗原的变异或其他免疫抑制病的出现，致使多种动物传染病屡防不止、老病新发，所以想要管理好自己的猪场，免疫程序显得尤为重要。</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养殖场引进猪时，严格检疫，运输过程严格执行《种畜禽调运检疫技术规范》的要求，猪到场后，在隔离场观察15～30d。在隔离观察期内，应作临床检查和实验室检验猪的疫病，经检查确定为健康种猪后，方可供繁殖、生产使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严格执行自治区家畜疫病防治的五个强制（免疫、疫区检疫、封锁、消毒、病畜捕杀）和两个强化（疫病报告、防疫监督）制度，定期防治传染病和寄生虫病。制定一套合理的免疫程序和实验室检测制度，一旦发生疫情，封锁疫点，禁止猪只流动，病猪及相关物品采取无害化处理。对未发病的猪，用疫苗（剂量可加大2～4倍）进行紧急预防接种，对猪舍、粪便和用具彻底消毒，饲养用具每天消毒一次。</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蓝耳、猪瘟是猪场首要防范疫病，蓝耳是猪瘟的帮凶、也是繁殖障碍和呼吸道疾病的元凶。蓝耳病严重破坏猪体的免疫系统，圆环、猪瘟同样引起猪体的免疫抑制。控制好蓝耳、猪瘟、圆环等疫病传染，免疫抑制问题才能得到有效改善，猪场的其他问题就会迎刃而解。</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保证猪舍良好的卫生环境</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遵循“猪不卧湿”和“圈暖三分膘”的道理，猪舍做到大环境通风和干燥，并注意猪舍的保温，减少应激反应。猪舍内应勤清扫、勤换土、勤晒和勤换垫草，不定期地用生石灰或草木灰对猪舍吸潮消毒。水槽、料槽、饲料车、饲料桶等要经常刷洗。要注意灭鼠和灭蚊蝇，应定期定点安全投放灭鼠药，及时收集死鼠和残余鼠药，并应做妥善处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猪舍内消毒时要将圈舍清扫干净，传统方法一般选用30%的热草木灰水、或强力消毒灵或“安立消”兑成1:1000-1500的水剂喷雾消毒，或2%火碱溶液、或石炭酸、或2%福尔马林溶液或10%-20%石灰乳液进行喷洒消毒。经济条件允许的话应选择新型、刺激性较小的酸性消毒剂：如复合醛类消毒剂。消毒时要做到细致，无死角。</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猪舍周围环境定期用2%火碱或撒生石灰消毒。猪场周围及场内的污染池、排粪坑、下水道出口，每月用漂白粉消毒一次。在猪场、猪舍入口设消毒池并定期更换消毒液。</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猪舍配备转盘式自动药浴喷淋装置定期对猪群进行药浴消毒。</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保证饲料质量，加强饲养管理。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春季给猪补喂的草料一般都是上年贮存的，由于贮存时间长，到春季使用时可能有不同程度的霉变，猪采食后常会引起慢性或急性中毒。因此，要特别注意对其翻晒或通过水洗去霉。春季有些幼嫩的豆科牧草以及其他杂草、树叶等由于</w:t>
      </w:r>
      <w:r>
        <w:rPr>
          <w:rFonts w:ascii="Times New Roman" w:hAnsi="Times New Roman" w:cs="Times New Roman"/>
          <w:color w:val="000000" w:themeColor="text1"/>
          <w:spacing w:val="-6"/>
          <w14:textFill>
            <w14:solidFill>
              <w14:schemeClr w14:val="tx1"/>
            </w14:solidFill>
          </w14:textFill>
        </w:rPr>
        <w:t>刚萌发，含有不同程度的有毒成分，猪食用后常发生中毒或瘤胃鼓胀，要加以防范。</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另外，在饲料中添加免疫增强剂，以提高猪群抵抗力。</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定期监测</w:t>
      </w:r>
    </w:p>
    <w:p>
      <w:pPr>
        <w:spacing w:line="520" w:lineRule="exac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消除亚临床感染猪。亚临床感染猪长期带毒并不断排毒，是潜在的传染源，极易将其他易感猪感染，因此须加大免疫剂量，切断持续感染（亚临床感染），采取综合措施，逐渐淘汰阳性感染猪，至少每6个月监测一次。</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建设围墙、防疫沟及绿化隔离带。</w:t>
      </w:r>
    </w:p>
    <w:p>
      <w:pPr>
        <w:pStyle w:val="6"/>
        <w:rPr>
          <w:rFonts w:ascii="Times New Roman" w:hAnsi="Times New Roman" w:cs="Times New Roman"/>
          <w:color w:val="000000" w:themeColor="text1"/>
          <w14:textFill>
            <w14:solidFill>
              <w14:schemeClr w14:val="tx1"/>
            </w14:solidFill>
          </w14:textFill>
        </w:rPr>
      </w:pPr>
      <w:bookmarkStart w:id="928" w:name="_Toc3744"/>
      <w:bookmarkStart w:id="929" w:name="_Toc188"/>
      <w:r>
        <w:rPr>
          <w:rFonts w:ascii="Times New Roman" w:hAnsi="Times New Roman" w:cs="Times New Roman"/>
          <w:color w:val="000000" w:themeColor="text1"/>
          <w14:textFill>
            <w14:solidFill>
              <w14:schemeClr w14:val="tx1"/>
            </w14:solidFill>
          </w14:textFill>
        </w:rPr>
        <w:t>6.3.2 病死猪风险防范措施</w:t>
      </w:r>
      <w:bookmarkEnd w:id="928"/>
      <w:bookmarkEnd w:id="92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根据《畜禽养殖业污染治理工程技术规范》（HJ 497-2009）中第9章和《畜禽养殖业污染物防治技术规范》（HJ/T 81-2001）中第9章的要求，病死畜禽尸体应及时处理，不得随意丢弃，不得出售或作为饲料再利用。因高致病性禽流感疫情导致禽类死亡，死禽尸体的处理与处置应符合《高致病新禽流感疫情处置技术规范（试行）》的规定。</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借鉴2017年8月29日农业部关于病死及病害动物产品无害化处理有关问题对广西壮族自治区水产畜牧局兽医局的回函，经征询当地畜牧管理部门的意见，根据建设单位提供的资料和评审专家意见和建议，本项目采用比安全填埋处置更先进的高温与生物降解畜禽无害化处理技术和设施。</w:t>
      </w:r>
    </w:p>
    <w:p>
      <w:pPr>
        <w:pStyle w:val="6"/>
        <w:rPr>
          <w:rFonts w:ascii="Times New Roman" w:hAnsi="Times New Roman" w:cs="Times New Roman"/>
          <w:color w:val="000000" w:themeColor="text1"/>
          <w14:textFill>
            <w14:solidFill>
              <w14:schemeClr w14:val="tx1"/>
            </w14:solidFill>
          </w14:textFill>
        </w:rPr>
      </w:pPr>
      <w:bookmarkStart w:id="930" w:name="_Toc1934"/>
      <w:bookmarkStart w:id="931" w:name="_Toc26240"/>
      <w:r>
        <w:rPr>
          <w:rFonts w:ascii="Times New Roman" w:hAnsi="Times New Roman" w:cs="Times New Roman"/>
          <w:color w:val="000000" w:themeColor="text1"/>
          <w14:textFill>
            <w14:solidFill>
              <w14:schemeClr w14:val="tx1"/>
            </w14:solidFill>
          </w14:textFill>
        </w:rPr>
        <w:t>6.3.</w:t>
      </w:r>
      <w:r>
        <w:rPr>
          <w:rFonts w:hint="eastAsia" w:ascii="Times New Roman" w:hAnsi="Times New Roman" w:cs="Times New Roman"/>
          <w:color w:val="000000" w:themeColor="text1"/>
          <w14:textFill>
            <w14:solidFill>
              <w14:schemeClr w14:val="tx1"/>
            </w14:solidFill>
          </w14:textFill>
        </w:rPr>
        <w:t xml:space="preserve">3 </w:t>
      </w:r>
      <w:r>
        <w:rPr>
          <w:rFonts w:ascii="Times New Roman" w:hAnsi="Times New Roman" w:cs="Times New Roman"/>
          <w:color w:val="000000" w:themeColor="text1"/>
          <w14:textFill>
            <w14:solidFill>
              <w14:schemeClr w14:val="tx1"/>
            </w14:solidFill>
          </w14:textFill>
        </w:rPr>
        <w:t>液肥还田风险防范措施</w:t>
      </w:r>
      <w:bookmarkEnd w:id="930"/>
      <w:bookmarkEnd w:id="93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（1）土壤污染风险防范措施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严格养殖场饲料进料关，禁止有害饲料、农药及重金属污染饲料、霉烂变质饲料进场；制成的液肥还田需满足《畜禽粪便还田技术规范》（GB/T25246-2010），可以避免粪尿中重金属元素超标排放，可以避免土壤中Zn、Cu、Cd、Cr、Pb和As等重金属元素含量超标，即可避免土壤污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（2）地下水污染风险防范措施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水污染防治措施除了严格养殖场饲料进料关，禁止有害饲料、农药及重金属污染饲料、霉烂变质饲料进场，并执行液肥达标使用外；还要严格控制灌溉定额，以滴灌为主，避免大水漫灌，避免灌溉水下渗后与表潜水混合。另外，严格按照规范施工，严格粪污处理设施的防渗设计要求，特别是粪污水处理设施，防止污水渗漏可以有效防止养殖场废水对地下水的污染。</w:t>
      </w:r>
    </w:p>
    <w:p>
      <w:pPr>
        <w:pStyle w:val="6"/>
        <w:rPr>
          <w:rFonts w:ascii="Times New Roman" w:hAnsi="Times New Roman" w:cs="Times New Roman"/>
          <w:color w:val="000000" w:themeColor="text1"/>
          <w14:textFill>
            <w14:solidFill>
              <w14:schemeClr w14:val="tx1"/>
            </w14:solidFill>
          </w14:textFill>
        </w:rPr>
      </w:pPr>
      <w:bookmarkStart w:id="932" w:name="_Toc7973"/>
      <w:bookmarkStart w:id="933" w:name="_Toc7974"/>
      <w:r>
        <w:rPr>
          <w:rFonts w:ascii="Times New Roman" w:hAnsi="Times New Roman" w:cs="Times New Roman"/>
          <w:color w:val="000000" w:themeColor="text1"/>
          <w14:textFill>
            <w14:solidFill>
              <w14:schemeClr w14:val="tx1"/>
            </w14:solidFill>
          </w14:textFill>
        </w:rPr>
        <w:t>6.3.</w:t>
      </w:r>
      <w:r>
        <w:rPr>
          <w:rFonts w:hint="eastAsia" w:ascii="Times New Roman" w:hAnsi="Times New Roman" w:cs="Times New Roman"/>
          <w:color w:val="000000" w:themeColor="text1"/>
          <w14:textFill>
            <w14:solidFill>
              <w14:schemeClr w14:val="tx1"/>
            </w14:solidFill>
          </w14:textFill>
        </w:rPr>
        <w:t xml:space="preserve">4 </w:t>
      </w:r>
      <w:r>
        <w:rPr>
          <w:rFonts w:ascii="Times New Roman" w:hAnsi="Times New Roman" w:cs="Times New Roman"/>
          <w:color w:val="000000" w:themeColor="text1"/>
          <w14:textFill>
            <w14:solidFill>
              <w14:schemeClr w14:val="tx1"/>
            </w14:solidFill>
          </w14:textFill>
        </w:rPr>
        <w:t>风险评价结论</w:t>
      </w:r>
      <w:bookmarkEnd w:id="932"/>
      <w:bookmarkEnd w:id="933"/>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项目具有潜在的事故风险，要从建设、生产、储运等各方面积极采取防护措施，这是确保安全的根本措施。</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为了防范事故和减少危害，需制定灾害事故的应急处理预案。当出现事故时，要采取紧急的工程应急措施，如必要，要采取社会应急措施，以控制事故和减少其造成的危害。</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集约化养殖场疫病发生有自身的特点，只要企业加强日常管理，做好预防工作，经常消毒，并建立疫病监测制度，在疫病发生时能严格按照应急计划执行，评价认为该风险是可以接受的。</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项目存在的潜在风险与该项目实施后产生各方面的效益及意义相比，评价认为该风险是完全可以被接受的。</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kern w:val="0"/>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
        <w:jc w:val="center"/>
        <w:rPr>
          <w:rFonts w:ascii="Times New Roman" w:hAnsi="Times New Roman" w:cs="Times New Roman"/>
          <w:color w:val="000000" w:themeColor="text1"/>
          <w14:textFill>
            <w14:solidFill>
              <w14:schemeClr w14:val="tx1"/>
            </w14:solidFill>
          </w14:textFill>
        </w:rPr>
      </w:pPr>
      <w:bookmarkStart w:id="934" w:name="_Toc29588"/>
      <w:bookmarkStart w:id="935" w:name="_Toc22402"/>
      <w:bookmarkStart w:id="936" w:name="_Toc29836_WPSOffice_Level1"/>
      <w:bookmarkStart w:id="937" w:name="_Toc11812"/>
      <w:bookmarkStart w:id="938" w:name="_Toc15691"/>
      <w:bookmarkStart w:id="939" w:name="_Toc3157"/>
      <w:r>
        <w:rPr>
          <w:rFonts w:ascii="Times New Roman" w:hAnsi="Times New Roman" w:cs="Times New Roman"/>
          <w:color w:val="000000" w:themeColor="text1"/>
          <w14:textFill>
            <w14:solidFill>
              <w14:schemeClr w14:val="tx1"/>
            </w14:solidFill>
          </w14:textFill>
        </w:rPr>
        <w:t>7 环境影响经济损益分析</w:t>
      </w:r>
      <w:bookmarkEnd w:id="934"/>
      <w:bookmarkEnd w:id="935"/>
      <w:bookmarkEnd w:id="936"/>
      <w:bookmarkEnd w:id="937"/>
      <w:bookmarkEnd w:id="938"/>
      <w:bookmarkEnd w:id="939"/>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个项目的开发建设，除对国民经济的发展起着促进作用外，同时也在一定程度上影响着项目所处地区的环境变化。社会影响、经济影响、环境影响是一个系统的三要素，最终以提高人类的生活质量为目的，它们之间既互相促进，又互相制约，必须通过全面规划、综合平衡，正确地把全局利益和局部利益、长远利益和近期利益结合起来，使环境保护和经济建设协调发展，实现经济效益、环境效益和社会效益的统一。</w:t>
      </w:r>
    </w:p>
    <w:p>
      <w:pPr>
        <w:pStyle w:val="5"/>
        <w:rPr>
          <w:rFonts w:ascii="Times New Roman" w:hAnsi="Times New Roman" w:cs="Times New Roman"/>
          <w:color w:val="000000" w:themeColor="text1"/>
          <w14:textFill>
            <w14:solidFill>
              <w14:schemeClr w14:val="tx1"/>
            </w14:solidFill>
          </w14:textFill>
        </w:rPr>
      </w:pPr>
      <w:bookmarkStart w:id="940" w:name="_Toc14436"/>
      <w:bookmarkStart w:id="941" w:name="_Toc20529"/>
      <w:bookmarkStart w:id="942" w:name="_Toc30404"/>
      <w:bookmarkStart w:id="943" w:name="_Toc6452"/>
      <w:bookmarkStart w:id="944" w:name="_Toc15425"/>
      <w:bookmarkStart w:id="945" w:name="_Toc12432"/>
      <w:bookmarkStart w:id="946" w:name="_Toc30791"/>
      <w:bookmarkStart w:id="947" w:name="_Toc5482_WPSOffice_Level2"/>
      <w:bookmarkStart w:id="948" w:name="_Toc13852"/>
      <w:bookmarkStart w:id="949" w:name="_Toc31583"/>
      <w:bookmarkStart w:id="950" w:name="_Toc11582"/>
      <w:bookmarkStart w:id="951" w:name="_Toc376168627"/>
      <w:bookmarkStart w:id="952" w:name="_Toc10265"/>
      <w:bookmarkStart w:id="953" w:name="_Toc13520"/>
      <w:bookmarkStart w:id="954" w:name="_Toc15038"/>
      <w:bookmarkStart w:id="955" w:name="_Toc12806"/>
      <w:bookmarkStart w:id="956" w:name="_Toc32157"/>
      <w:bookmarkStart w:id="957" w:name="_Toc13586_WPSOffice_Level2"/>
      <w:bookmarkStart w:id="958" w:name="_Toc10709"/>
      <w:bookmarkStart w:id="959" w:name="_Toc19352"/>
      <w:bookmarkStart w:id="960" w:name="_Toc7381"/>
      <w:r>
        <w:rPr>
          <w:rFonts w:ascii="Times New Roman" w:hAnsi="Times New Roman" w:cs="Times New Roman"/>
          <w:color w:val="000000" w:themeColor="text1"/>
          <w14:textFill>
            <w14:solidFill>
              <w14:schemeClr w14:val="tx1"/>
            </w14:solidFill>
          </w14:textFill>
        </w:rPr>
        <w:t>7.1 环保投资估算</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spacing w:line="520" w:lineRule="exact"/>
        <w:rPr>
          <w:rFonts w:ascii="Times New Roman" w:hAnsi="Times New Roman" w:cs="Times New Roman"/>
          <w:color w:val="000000" w:themeColor="text1"/>
          <w14:textFill>
            <w14:solidFill>
              <w14:schemeClr w14:val="tx1"/>
            </w14:solidFill>
          </w14:textFill>
        </w:rPr>
      </w:pPr>
      <w:bookmarkStart w:id="961" w:name="_Toc255059133"/>
      <w:bookmarkStart w:id="962" w:name="_Toc196139275"/>
      <w:r>
        <w:rPr>
          <w:rFonts w:ascii="Times New Roman" w:hAnsi="Times New Roman" w:cs="Times New Roman"/>
          <w:color w:val="000000" w:themeColor="text1"/>
          <w14:textFill>
            <w14:solidFill>
              <w14:schemeClr w14:val="tx1"/>
            </w14:solidFill>
          </w14:textFill>
        </w:rPr>
        <w:t>本项目的环境保护投资主要由废气、废水、固废、噪声治理等组成，</w:t>
      </w:r>
      <w:r>
        <w:rPr>
          <w:rFonts w:hint="eastAsia" w:ascii="Times New Roman" w:hAnsi="Times New Roman" w:cs="Times New Roman"/>
          <w:color w:val="000000" w:themeColor="text1"/>
          <w14:textFill>
            <w14:solidFill>
              <w14:schemeClr w14:val="tx1"/>
            </w14:solidFill>
          </w14:textFill>
        </w:rPr>
        <w:t>主要</w:t>
      </w:r>
      <w:r>
        <w:rPr>
          <w:rFonts w:ascii="Times New Roman" w:hAnsi="Times New Roman" w:cs="Times New Roman"/>
          <w:color w:val="000000" w:themeColor="text1"/>
          <w14:textFill>
            <w14:solidFill>
              <w14:schemeClr w14:val="tx1"/>
            </w14:solidFill>
          </w14:textFill>
        </w:rPr>
        <w:t>包括污水处理设施、固废处置、绿化</w:t>
      </w:r>
      <w:r>
        <w:rPr>
          <w:rFonts w:hint="eastAsia" w:ascii="Times New Roman" w:hAnsi="Times New Roman" w:cs="Times New Roman"/>
          <w:color w:val="000000" w:themeColor="text1"/>
          <w14:textFill>
            <w14:solidFill>
              <w14:schemeClr w14:val="tx1"/>
            </w14:solidFill>
          </w14:textFill>
        </w:rPr>
        <w:t>等费用，</w:t>
      </w:r>
      <w:r>
        <w:rPr>
          <w:rFonts w:ascii="Times New Roman" w:hAnsi="Times New Roman" w:cs="Times New Roman"/>
          <w:color w:val="000000" w:themeColor="text1"/>
          <w14:textFill>
            <w14:solidFill>
              <w14:schemeClr w14:val="tx1"/>
            </w14:solidFill>
          </w14:textFill>
        </w:rPr>
        <w:t>合计约</w:t>
      </w:r>
      <w:r>
        <w:rPr>
          <w:rFonts w:hint="eastAsia" w:ascii="Times New Roman" w:hAnsi="Times New Roman" w:cs="Times New Roman"/>
          <w:color w:val="000000" w:themeColor="text1"/>
          <w14:textFill>
            <w14:solidFill>
              <w14:schemeClr w14:val="tx1"/>
            </w14:solidFill>
          </w14:textFill>
        </w:rPr>
        <w:t>308</w:t>
      </w:r>
      <w:r>
        <w:rPr>
          <w:rFonts w:ascii="Times New Roman" w:hAnsi="Times New Roman" w:cs="Times New Roman"/>
          <w:color w:val="000000" w:themeColor="text1"/>
          <w14:textFill>
            <w14:solidFill>
              <w14:schemeClr w14:val="tx1"/>
            </w14:solidFill>
          </w14:textFill>
        </w:rPr>
        <w:t>万元</w:t>
      </w:r>
      <w:r>
        <w:rPr>
          <w:rFonts w:hint="eastAsia" w:ascii="Times New Roman" w:hAnsi="Times New Roman" w:cs="Times New Roman"/>
          <w:color w:val="000000" w:themeColor="text1"/>
          <w14:textFill>
            <w14:solidFill>
              <w14:schemeClr w14:val="tx1"/>
            </w14:solidFill>
          </w14:textFill>
        </w:rPr>
        <w:t>。本项目总投资16000万元，</w:t>
      </w:r>
      <w:r>
        <w:rPr>
          <w:rFonts w:ascii="Times New Roman" w:hAnsi="Times New Roman" w:cs="Times New Roman"/>
          <w:color w:val="000000" w:themeColor="text1"/>
          <w14:textFill>
            <w14:solidFill>
              <w14:schemeClr w14:val="tx1"/>
            </w14:solidFill>
          </w14:textFill>
        </w:rPr>
        <w:t>约占总投资的</w:t>
      </w:r>
      <w:r>
        <w:rPr>
          <w:rFonts w:hint="eastAsia" w:ascii="Times New Roman" w:hAnsi="Times New Roman" w:cs="Times New Roman"/>
          <w:color w:val="000000" w:themeColor="text1"/>
          <w14:textFill>
            <w14:solidFill>
              <w14:schemeClr w14:val="tx1"/>
            </w14:solidFill>
          </w14:textFill>
        </w:rPr>
        <w:t>1.93</w:t>
      </w:r>
      <w:r>
        <w:rPr>
          <w:rFonts w:ascii="Times New Roman" w:hAnsi="Times New Roman" w:eastAsia="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，费用估算见表7.1-1所示。</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表7.1-1    污染物治理措施及投资一览表</w:t>
      </w:r>
    </w:p>
    <w:tbl>
      <w:tblPr>
        <w:tblStyle w:val="27"/>
        <w:tblW w:w="5081"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751"/>
        <w:gridCol w:w="561"/>
        <w:gridCol w:w="954"/>
        <w:gridCol w:w="4742"/>
        <w:gridCol w:w="144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时段</w:t>
            </w: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项目</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主要内容</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投资（万元）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restar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w:t>
            </w: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废气治理</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设置屏障、围挡、施工道路硬化、施工场地保洁、洒水降尘</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废水治理</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沉淀池</w:t>
            </w:r>
            <w:r>
              <w:rPr>
                <w:rFonts w:hint="eastAsia" w:ascii="Times New Roman" w:hAnsi="Times New Roman" w:cs="Times New Roman"/>
                <w:color w:val="000000" w:themeColor="text1"/>
                <w14:textFill>
                  <w14:solidFill>
                    <w14:schemeClr w14:val="tx1"/>
                  </w14:solidFill>
                </w14:textFill>
              </w:rPr>
              <w:t>、化粪池</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噪声治理</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隔声、隔振、消声措施</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固废治理</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垃圾桶、清运生活垃圾</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restar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运营期</w:t>
            </w:r>
          </w:p>
        </w:tc>
        <w:tc>
          <w:tcPr>
            <w:tcW w:w="896" w:type="pct"/>
            <w:gridSpan w:val="2"/>
            <w:vMerge w:val="restart"/>
            <w:tcBorders>
              <w:top w:val="single" w:color="auto" w:sz="4" w:space="0"/>
              <w:left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废气治理</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臭气治理：密闭、粪污清理、除臭剂</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left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896" w:type="pct"/>
            <w:gridSpan w:val="2"/>
            <w:vMerge w:val="continue"/>
            <w:tcBorders>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食堂油烟净化装置</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废水治理</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固液分离+</w:t>
            </w:r>
            <w:r>
              <w:rPr>
                <w:rFonts w:ascii="Times New Roman" w:hAnsi="Times New Roman" w:cs="Times New Roman"/>
                <w:color w:val="000000" w:themeColor="text1"/>
                <w14:textFill>
                  <w14:solidFill>
                    <w14:schemeClr w14:val="tx1"/>
                  </w14:solidFill>
                </w14:textFill>
              </w:rPr>
              <w:t>防渗集粪池、厌氧存储塘及防渗</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噪声治理</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机械设备加装减振垫、设备间设置吸声、隔声措施来降噪等</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332" w:type="pct"/>
            <w:vMerge w:val="restart"/>
            <w:tcBorders>
              <w:top w:val="single" w:color="auto" w:sz="4" w:space="0"/>
              <w:left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固废治理</w:t>
            </w:r>
          </w:p>
        </w:tc>
        <w:tc>
          <w:tcPr>
            <w:tcW w:w="56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病死猪</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高温生物降解无害化处理设施</w:t>
            </w:r>
            <w:r>
              <w:rPr>
                <w:rFonts w:hint="eastAsia" w:ascii="Times New Roman" w:hAnsi="Times New Roman" w:cs="Times New Roman"/>
                <w:color w:val="000000" w:themeColor="text1"/>
                <w14:textFill>
                  <w14:solidFill>
                    <w14:schemeClr w14:val="tx1"/>
                  </w14:solidFill>
                </w14:textFill>
              </w:rPr>
              <w:t>、医疗危废暂存间</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332" w:type="pct"/>
            <w:vMerge w:val="continue"/>
            <w:tcBorders>
              <w:left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56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堆肥场</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半封闭式堆肥场、堆肥场地坪防渗、防雨</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332" w:type="pct"/>
            <w:vMerge w:val="continue"/>
            <w:tcBorders>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56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生活垃圾</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生活垃圾收集箱</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4" w:type="pct"/>
            <w:vMerge w:val="continue"/>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其它</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美化绿化、阻臭隔离带</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3" w:hRule="atLeast"/>
        </w:trPr>
        <w:tc>
          <w:tcPr>
            <w:tcW w:w="44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合计</w:t>
            </w:r>
          </w:p>
        </w:tc>
        <w:tc>
          <w:tcPr>
            <w:tcW w:w="896" w:type="pct"/>
            <w:gridSpan w:val="2"/>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2804"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853" w:type="pct"/>
            <w:tcBorders>
              <w:top w:val="single" w:color="auto" w:sz="4" w:space="0"/>
              <w:left w:val="single" w:color="auto" w:sz="4" w:space="0"/>
              <w:bottom w:val="single" w:color="auto" w:sz="4" w:space="0"/>
              <w:right w:val="single" w:color="auto" w:sz="4" w:space="0"/>
            </w:tcBorders>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308</w:t>
            </w:r>
          </w:p>
        </w:tc>
      </w:tr>
    </w:tbl>
    <w:p>
      <w:pPr>
        <w:pStyle w:val="5"/>
        <w:rPr>
          <w:rFonts w:ascii="Times New Roman" w:hAnsi="Times New Roman" w:cs="Times New Roman"/>
          <w:color w:val="000000" w:themeColor="text1"/>
          <w14:textFill>
            <w14:solidFill>
              <w14:schemeClr w14:val="tx1"/>
            </w14:solidFill>
          </w14:textFill>
        </w:rPr>
      </w:pPr>
      <w:bookmarkStart w:id="963" w:name="_Toc4112"/>
      <w:bookmarkStart w:id="964" w:name="_Toc15678"/>
      <w:bookmarkStart w:id="965" w:name="_Toc559"/>
      <w:bookmarkStart w:id="966" w:name="_Toc9215"/>
      <w:bookmarkStart w:id="967" w:name="_Toc14643"/>
      <w:bookmarkStart w:id="968" w:name="_Toc17342"/>
      <w:bookmarkStart w:id="969" w:name="_Toc29822"/>
      <w:bookmarkStart w:id="970" w:name="_Toc435"/>
      <w:bookmarkStart w:id="971" w:name="_Toc23756_WPSOffice_Level2"/>
      <w:bookmarkStart w:id="972" w:name="_Toc16025"/>
      <w:bookmarkStart w:id="973" w:name="_Toc27994"/>
      <w:bookmarkStart w:id="974" w:name="_Toc23942"/>
      <w:bookmarkStart w:id="975" w:name="_Toc20339_WPSOffice_Level2"/>
      <w:bookmarkStart w:id="976" w:name="_Toc376168628"/>
      <w:bookmarkStart w:id="977" w:name="_Toc24701"/>
      <w:bookmarkStart w:id="978" w:name="_Toc27652"/>
      <w:bookmarkStart w:id="979" w:name="_Toc17508"/>
      <w:bookmarkStart w:id="980" w:name="_Toc1987"/>
      <w:bookmarkStart w:id="981" w:name="_Toc10902"/>
      <w:bookmarkStart w:id="982" w:name="_Toc28636"/>
      <w:bookmarkStart w:id="983" w:name="_Toc25359"/>
      <w:bookmarkStart w:id="984" w:name="_Toc449_WPSOffice_Level2"/>
      <w:bookmarkStart w:id="985" w:name="_Toc16303"/>
      <w:r>
        <w:rPr>
          <w:rFonts w:ascii="Times New Roman" w:hAnsi="Times New Roman" w:cs="Times New Roman"/>
          <w:color w:val="000000" w:themeColor="text1"/>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效益分析</w:t>
      </w:r>
      <w:bookmarkEnd w:id="963"/>
      <w:bookmarkEnd w:id="964"/>
      <w:bookmarkEnd w:id="965"/>
      <w:bookmarkEnd w:id="966"/>
    </w:p>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Pr>
        <w:pStyle w:val="6"/>
        <w:rPr>
          <w:rFonts w:ascii="Times New Roman" w:hAnsi="Times New Roman" w:cs="Times New Roman"/>
          <w:color w:val="000000" w:themeColor="text1"/>
          <w14:textFill>
            <w14:solidFill>
              <w14:schemeClr w14:val="tx1"/>
            </w14:solidFill>
          </w14:textFill>
        </w:rPr>
      </w:pPr>
      <w:bookmarkStart w:id="986" w:name="_Toc8803"/>
      <w:bookmarkStart w:id="987" w:name="_Toc6831"/>
      <w:r>
        <w:rPr>
          <w:rFonts w:ascii="Times New Roman" w:hAnsi="Times New Roman" w:cs="Times New Roman"/>
          <w:color w:val="000000" w:themeColor="text1"/>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 xml:space="preserve"> 经济效益分析</w:t>
      </w:r>
      <w:bookmarkEnd w:id="984"/>
      <w:bookmarkEnd w:id="985"/>
      <w:bookmarkEnd w:id="986"/>
      <w:bookmarkEnd w:id="987"/>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本项目投入总资金</w:t>
      </w:r>
      <w:r>
        <w:rPr>
          <w:rFonts w:hint="eastAsia" w:ascii="Times New Roman" w:hAnsi="Times New Roman" w:cs="Times New Roman"/>
          <w:color w:val="000000" w:themeColor="text1"/>
          <w14:textFill>
            <w14:solidFill>
              <w14:schemeClr w14:val="tx1"/>
            </w14:solidFill>
          </w14:textFill>
        </w:rPr>
        <w:t>16000</w:t>
      </w:r>
      <w:r>
        <w:rPr>
          <w:rFonts w:ascii="Times New Roman" w:hAnsi="Times New Roman" w:cs="Times New Roman"/>
          <w:color w:val="000000" w:themeColor="text1"/>
          <w14:textFill>
            <w14:solidFill>
              <w14:schemeClr w14:val="tx1"/>
            </w14:solidFill>
          </w14:textFill>
        </w:rPr>
        <w:t>万元，项目投资利润率25.3%；销售收入利润率24.16%；总成本利润率31.85%。本项目经济效益较好，且具有一定的抗风险能力，在经济上是可行的。</w:t>
      </w:r>
    </w:p>
    <w:bookmarkEnd w:id="961"/>
    <w:bookmarkEnd w:id="962"/>
    <w:p>
      <w:pPr>
        <w:pStyle w:val="6"/>
        <w:rPr>
          <w:rFonts w:ascii="Times New Roman" w:hAnsi="Times New Roman" w:cs="Times New Roman"/>
          <w:color w:val="000000" w:themeColor="text1"/>
          <w14:textFill>
            <w14:solidFill>
              <w14:schemeClr w14:val="tx1"/>
            </w14:solidFill>
          </w14:textFill>
        </w:rPr>
      </w:pPr>
      <w:bookmarkStart w:id="988" w:name="_Toc31233"/>
      <w:bookmarkStart w:id="989" w:name="_Toc5582"/>
      <w:bookmarkStart w:id="990" w:name="_Toc20061_WPSOffice_Level2"/>
      <w:bookmarkStart w:id="991" w:name="_Toc25294"/>
      <w:r>
        <w:rPr>
          <w:rFonts w:ascii="Times New Roman" w:hAnsi="Times New Roman" w:cs="Times New Roman"/>
          <w:color w:val="000000" w:themeColor="text1"/>
          <w14:textFill>
            <w14:solidFill>
              <w14:schemeClr w14:val="tx1"/>
            </w14:solidFill>
          </w14:textFill>
        </w:rPr>
        <w:t>7.2</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xml:space="preserve"> 社会效益分析</w:t>
      </w:r>
      <w:bookmarkEnd w:id="988"/>
      <w:bookmarkEnd w:id="989"/>
      <w:bookmarkEnd w:id="990"/>
      <w:bookmarkEnd w:id="99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本项目符合国家产业政策，本项目采用优良种猪</w:t>
      </w:r>
      <w:r>
        <w:rPr>
          <w:rFonts w:hint="eastAsia" w:ascii="Times New Roman" w:hAnsi="Times New Roman" w:cs="Times New Roman"/>
          <w:color w:val="000000" w:themeColor="text1"/>
          <w:lang w:val="en-US" w:eastAsia="zh-CN"/>
          <w14:textFill>
            <w14:solidFill>
              <w14:schemeClr w14:val="tx1"/>
            </w14:solidFill>
          </w14:textFill>
        </w:rPr>
        <w:t>育肥</w:t>
      </w:r>
      <w:r>
        <w:rPr>
          <w:rFonts w:ascii="Times New Roman" w:hAnsi="Times New Roman" w:cs="Times New Roman"/>
          <w:color w:val="000000" w:themeColor="text1"/>
          <w14:textFill>
            <w14:solidFill>
              <w14:schemeClr w14:val="tx1"/>
            </w14:solidFill>
          </w14:textFill>
        </w:rPr>
        <w:t>、引进国外先进模式和管理经验、推动</w:t>
      </w:r>
      <w:r>
        <w:rPr>
          <w:rFonts w:hint="eastAsia" w:ascii="Times New Roman" w:hAnsi="Times New Roman" w:cs="Times New Roman"/>
          <w:color w:val="000000" w:themeColor="text1"/>
          <w14:textFill>
            <w14:solidFill>
              <w14:schemeClr w14:val="tx1"/>
            </w14:solidFill>
          </w14:textFill>
        </w:rPr>
        <w:t>农业园区</w:t>
      </w:r>
      <w:r>
        <w:rPr>
          <w:rFonts w:ascii="Times New Roman" w:hAnsi="Times New Roman" w:cs="Times New Roman"/>
          <w:color w:val="000000" w:themeColor="text1"/>
          <w14:textFill>
            <w14:solidFill>
              <w14:schemeClr w14:val="tx1"/>
            </w14:solidFill>
          </w14:textFill>
        </w:rPr>
        <w:t>畜牧业进一步做大做强增强人民体质等方面都具有重要意义。本项目的社会效益主要表现在：</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（1）通过该项目的实施，有利于加大农业综合开发利用力度，有利于资源优势转化为产业优势，提高土地的产出效益。</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（2）通过引进优良品质、采用现代化的养殖工艺与装备，通过标准化、规模化生猪饲养模式，推动</w:t>
      </w:r>
      <w:r>
        <w:rPr>
          <w:rFonts w:hint="eastAsia" w:ascii="Times New Roman" w:hAnsi="Times New Roman" w:cs="Times New Roman"/>
          <w:color w:val="000000" w:themeColor="text1"/>
          <w14:textFill>
            <w14:solidFill>
              <w14:schemeClr w14:val="tx1"/>
            </w14:solidFill>
          </w14:textFill>
        </w:rPr>
        <w:t>昌吉市</w:t>
      </w:r>
      <w:r>
        <w:rPr>
          <w:rFonts w:ascii="Times New Roman" w:hAnsi="Times New Roman" w:cs="Times New Roman"/>
          <w:color w:val="000000" w:themeColor="text1"/>
          <w14:textFill>
            <w14:solidFill>
              <w14:schemeClr w14:val="tx1"/>
            </w14:solidFill>
          </w14:textFill>
        </w:rPr>
        <w:t>城郊畜牧业实现高效生产和可持续发展具有较好的示范作用。本项目共产生猪粪</w:t>
      </w:r>
      <w:r>
        <w:rPr>
          <w:rFonts w:hint="eastAsia" w:ascii="Times New Roman" w:hAnsi="Times New Roman" w:cs="Times New Roman"/>
          <w:color w:val="000000" w:themeColor="text1"/>
          <w14:textFill>
            <w14:solidFill>
              <w14:schemeClr w14:val="tx1"/>
            </w14:solidFill>
          </w14:textFill>
        </w:rPr>
        <w:t>48000</w:t>
      </w:r>
      <w:r>
        <w:rPr>
          <w:rFonts w:ascii="Times New Roman" w:hAnsi="Times New Roman" w:cs="Times New Roman"/>
          <w:color w:val="000000" w:themeColor="text1"/>
          <w14:textFill>
            <w14:solidFill>
              <w14:schemeClr w14:val="tx1"/>
            </w14:solidFill>
          </w14:textFill>
        </w:rPr>
        <w:t>t/a，经堆肥后，设计单位提供资料，每吨肥料为200元，肥料合计产生效益</w:t>
      </w:r>
      <w:r>
        <w:rPr>
          <w:rFonts w:hint="eastAsia" w:ascii="Times New Roman" w:hAnsi="Times New Roman" w:cs="Times New Roman"/>
          <w:color w:val="000000" w:themeColor="text1"/>
          <w14:textFill>
            <w14:solidFill>
              <w14:schemeClr w14:val="tx1"/>
            </w14:solidFill>
          </w14:textFill>
        </w:rPr>
        <w:t>96</w:t>
      </w:r>
      <w:r>
        <w:rPr>
          <w:rFonts w:ascii="Times New Roman" w:hAnsi="Times New Roman" w:cs="Times New Roman"/>
          <w:color w:val="000000" w:themeColor="text1"/>
          <w14:textFill>
            <w14:solidFill>
              <w14:schemeClr w14:val="tx1"/>
            </w14:solidFill>
          </w14:textFill>
        </w:rPr>
        <w:t>万元。项目实施后，废水实现了零排放，项目每年最大减少排水量为</w:t>
      </w:r>
      <w:r>
        <w:rPr>
          <w:rFonts w:hint="eastAsia" w:ascii="Times New Roman" w:hAnsi="Times New Roman" w:cs="Times New Roman"/>
          <w:color w:val="000000" w:themeColor="text1"/>
          <w14:textFill>
            <w14:solidFill>
              <w14:schemeClr w14:val="tx1"/>
            </w14:solidFill>
          </w14:textFill>
        </w:rPr>
        <w:t>10.</w:t>
      </w:r>
      <w:r>
        <w:rPr>
          <w:rFonts w:hint="eastAsia" w:ascii="Times New Roman" w:hAnsi="Times New Roman" w:cs="Times New Roman"/>
          <w:color w:val="000000" w:themeColor="text1"/>
          <w:lang w:val="en-US"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万m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，根据设计单位提供的资料，每吨废水处理费为0.8元，合计节约污水处理费</w:t>
      </w:r>
      <w:r>
        <w:rPr>
          <w:rFonts w:hint="eastAsia" w:ascii="Times New Roman" w:hAnsi="Times New Roman" w:cs="Times New Roman"/>
          <w:color w:val="000000" w:themeColor="text1"/>
          <w14:textFill>
            <w14:solidFill>
              <w14:schemeClr w14:val="tx1"/>
            </w14:solidFill>
          </w14:textFill>
        </w:rPr>
        <w:t>0.8</w:t>
      </w:r>
      <w:r>
        <w:rPr>
          <w:rFonts w:ascii="Times New Roman" w:hAnsi="Times New Roman" w:cs="Times New Roman"/>
          <w:color w:val="000000" w:themeColor="text1"/>
          <w14:textFill>
            <w14:solidFill>
              <w14:schemeClr w14:val="tx1"/>
            </w14:solidFill>
          </w14:textFill>
        </w:rPr>
        <w:t>万元。综合效益约为</w:t>
      </w:r>
      <w:r>
        <w:rPr>
          <w:rFonts w:hint="eastAsia" w:ascii="Times New Roman" w:hAnsi="Times New Roman" w:cs="Times New Roman"/>
          <w:color w:val="000000" w:themeColor="text1"/>
          <w14:textFill>
            <w14:solidFill>
              <w14:schemeClr w14:val="tx1"/>
            </w14:solidFill>
          </w14:textFill>
        </w:rPr>
        <w:t>96.8</w:t>
      </w:r>
      <w:r>
        <w:rPr>
          <w:rFonts w:ascii="Times New Roman" w:hAnsi="Times New Roman" w:cs="Times New Roman"/>
          <w:color w:val="000000" w:themeColor="text1"/>
          <w14:textFill>
            <w14:solidFill>
              <w14:schemeClr w14:val="tx1"/>
            </w14:solidFill>
          </w14:textFill>
        </w:rPr>
        <w:t>万元/a。</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（3）畜禽粪制成优质有机肥用于土壤施肥、土壤改良。项目为周围种植业提供了大量优质有机肥，降低了化肥在农产品生产中的使用量，为无公害、绿色、有机农产品的生产提供了有利条件。</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（4）项目实施后将促进和带动周边加工业等相关产业的发展，同时，可以进一步促进规划区内基础设施的建设。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（5）本项目的实施可以直接或间接的增加许多就业机会，促进社会的安定团结。</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（6）项目的实施可以增加地方政府的税收，促进地方经济发展和人民生活质量的提高。</w:t>
      </w:r>
    </w:p>
    <w:p>
      <w:pPr>
        <w:pStyle w:val="6"/>
        <w:rPr>
          <w:rFonts w:ascii="Times New Roman" w:hAnsi="Times New Roman" w:cs="Times New Roman"/>
          <w:color w:val="000000" w:themeColor="text1"/>
          <w14:textFill>
            <w14:solidFill>
              <w14:schemeClr w14:val="tx1"/>
            </w14:solidFill>
          </w14:textFill>
        </w:rPr>
      </w:pPr>
      <w:bookmarkStart w:id="992" w:name="_TOC_250011"/>
      <w:bookmarkEnd w:id="992"/>
      <w:bookmarkStart w:id="993" w:name="_Toc5243"/>
      <w:bookmarkStart w:id="994" w:name="_Toc22089"/>
      <w:r>
        <w:rPr>
          <w:rFonts w:ascii="Times New Roman" w:hAnsi="Times New Roman" w:cs="Times New Roman"/>
          <w:color w:val="000000" w:themeColor="text1"/>
          <w14:textFill>
            <w14:solidFill>
              <w14:schemeClr w14:val="tx1"/>
            </w14:solidFill>
          </w14:textFill>
        </w:rPr>
        <w:t>7.1.</w: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 xml:space="preserve"> 环境损益分析</w:t>
      </w:r>
      <w:bookmarkEnd w:id="993"/>
      <w:bookmarkEnd w:id="994"/>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在设计中充分考虑了环境保护的要求，严格执行各项环境保护标准。采用的工艺为原料消耗较低、工艺先进、成熟可靠、少污染的新工艺、新技术、新设备，从根本上减少了污染，有利于环境保护。针对在生产中产生的污染物，从实际出发采取多种相应的处理措施。如合理划分排水系统，供热锅炉合理依托减少废气排放；生产废水处理后循环利用；在设备选型时，选用低噪声设施，并采取消声措施，减少噪声对环境的影响等。本项目采取上述环境治理措施后，外排的污染物很少，既保护了环境又为企业带来了一定的经济效益。主要表现为以下几个方面：</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（1）废水削减</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该养殖场日排尿尿液、冲洗水和生活污水</w:t>
      </w:r>
      <w:r>
        <w:rPr>
          <w:rFonts w:hint="eastAsia" w:ascii="Times New Roman" w:hAnsi="Times New Roman" w:cs="Times New Roman"/>
          <w:color w:val="000000" w:themeColor="text1"/>
          <w14:textFill>
            <w14:solidFill>
              <w14:schemeClr w14:val="tx1"/>
            </w14:solidFill>
          </w14:textFill>
        </w:rPr>
        <w:t>10.10</w:t>
      </w:r>
      <w:r>
        <w:rPr>
          <w:rFonts w:ascii="Times New Roman" w:hAnsi="Times New Roman" w:cs="Times New Roman"/>
          <w:color w:val="000000" w:themeColor="text1"/>
          <w14:textFill>
            <w14:solidFill>
              <w14:schemeClr w14:val="tx1"/>
            </w14:solidFill>
          </w14:textFill>
        </w:rPr>
        <w:t>万t/a，经污水处理设施处理后全部转化为液体有机肥灌溉周边农田，全部综合利用，全部实现资源化。</w:t>
      </w:r>
    </w:p>
    <w:p>
      <w:pPr>
        <w:numPr>
          <w:ilvl w:val="0"/>
          <w:numId w:val="11"/>
        </w:num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固废削减</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项目猪粪产量为</w:t>
      </w:r>
      <w:r>
        <w:rPr>
          <w:rFonts w:hint="eastAsia" w:ascii="Times New Roman" w:hAnsi="Times New Roman" w:cs="Times New Roman"/>
          <w:color w:val="000000" w:themeColor="text1"/>
          <w14:textFill>
            <w14:solidFill>
              <w14:schemeClr w14:val="tx1"/>
            </w14:solidFill>
          </w14:textFill>
        </w:rPr>
        <w:t>48000</w:t>
      </w:r>
      <w:r>
        <w:rPr>
          <w:rFonts w:ascii="Times New Roman" w:hAnsi="Times New Roman" w:cs="Times New Roman"/>
          <w:color w:val="000000" w:themeColor="text1"/>
          <w14:textFill>
            <w14:solidFill>
              <w14:schemeClr w14:val="tx1"/>
            </w14:solidFill>
          </w14:textFill>
        </w:rPr>
        <w:t>t/a，猪粪经固液分离发酵处理后作为固体有机肥，最终施用于周围农田。</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（3）生态环境效益</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猪粪制成有机肥内含大量N、P、K营养成分。长期施用化肥会对土壤造成重金属、有机副成分、氟、放射性等污染，同时，还会改变土壤理化性质、破坏土壤微生物环境。由于有机肥对改良土壤有重要作用，因此，猪粪发酵制成有机肥对土壤的改良功效明显。</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本项目环保投资</w:t>
      </w:r>
      <w:r>
        <w:rPr>
          <w:rFonts w:hint="eastAsia" w:ascii="Times New Roman" w:hAnsi="Times New Roman" w:cs="Times New Roman"/>
          <w:color w:val="000000" w:themeColor="text1"/>
          <w14:textFill>
            <w14:solidFill>
              <w14:schemeClr w14:val="tx1"/>
            </w14:solidFill>
          </w14:textFill>
        </w:rPr>
        <w:t>308</w:t>
      </w:r>
      <w:r>
        <w:rPr>
          <w:rFonts w:ascii="Times New Roman" w:hAnsi="Times New Roman" w:cs="Times New Roman"/>
          <w:color w:val="000000" w:themeColor="text1"/>
          <w14:textFill>
            <w14:solidFill>
              <w14:schemeClr w14:val="tx1"/>
            </w14:solidFill>
          </w14:textFill>
        </w:rPr>
        <w:t>万元，占全部投资的</w:t>
      </w:r>
      <w:r>
        <w:rPr>
          <w:rFonts w:hint="eastAsia" w:ascii="Times New Roman" w:hAnsi="Times New Roman" w:cs="Times New Roman"/>
          <w:color w:val="000000" w:themeColor="text1"/>
          <w14:textFill>
            <w14:solidFill>
              <w14:schemeClr w14:val="tx1"/>
            </w14:solidFill>
          </w14:textFill>
        </w:rPr>
        <w:t>1.93</w:t>
      </w:r>
      <w:r>
        <w:rPr>
          <w:rFonts w:ascii="Times New Roman" w:hAnsi="Times New Roman" w:cs="Times New Roman"/>
          <w:color w:val="000000" w:themeColor="text1"/>
          <w14:textFill>
            <w14:solidFill>
              <w14:schemeClr w14:val="tx1"/>
            </w14:solidFill>
          </w14:textFill>
        </w:rPr>
        <w:t>%。环保投资的落实可以保证环保设施的投入和正常运行，将带来较大的经济效益。本项目各装置从工艺上选择先进的具有节能和环保效果的技术，采用国内成熟生产工艺，工艺流程设计严谨，设备传动及控制系统设计先进，构造合理，为降低能耗提供了技术保证。</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从总体上看，项目建成后，环境正效益远大于环境负效益。</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综上所述，本项目设计工艺先进，环保设施较完备，具有较好的经济效益、社会效益和环境效益。</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
        <w:jc w:val="center"/>
        <w:rPr>
          <w:rFonts w:ascii="Times New Roman" w:hAnsi="Times New Roman" w:cs="Times New Roman"/>
          <w:color w:val="000000" w:themeColor="text1"/>
          <w14:textFill>
            <w14:solidFill>
              <w14:schemeClr w14:val="tx1"/>
            </w14:solidFill>
          </w14:textFill>
        </w:rPr>
      </w:pPr>
      <w:bookmarkStart w:id="995" w:name="_Toc31252"/>
      <w:bookmarkStart w:id="996" w:name="_Toc2675"/>
      <w:bookmarkStart w:id="997" w:name="_Toc10472"/>
      <w:bookmarkStart w:id="998" w:name="_Toc2962"/>
      <w:bookmarkStart w:id="999" w:name="_Toc1273"/>
      <w:bookmarkStart w:id="1000" w:name="_Toc4624"/>
      <w:bookmarkStart w:id="1001" w:name="_Toc15830"/>
      <w:bookmarkStart w:id="1002" w:name="_Toc12099"/>
      <w:bookmarkStart w:id="1003" w:name="_Toc12950"/>
      <w:bookmarkStart w:id="1004" w:name="_Toc20206"/>
      <w:bookmarkStart w:id="1005" w:name="_Toc18988"/>
      <w:bookmarkStart w:id="1006" w:name="_Toc26500_WPSOffice_Level1"/>
      <w:bookmarkStart w:id="1007" w:name="_Toc11253"/>
      <w:bookmarkStart w:id="1008" w:name="_Toc28459"/>
      <w:bookmarkStart w:id="1009" w:name="_Toc29082_WPSOffice_Level1"/>
      <w:bookmarkStart w:id="1010" w:name="_Toc4155"/>
      <w:r>
        <w:rPr>
          <w:rFonts w:ascii="Times New Roman" w:hAnsi="Times New Roman" w:cs="Times New Roman"/>
          <w:color w:val="000000" w:themeColor="text1"/>
          <w14:textFill>
            <w14:solidFill>
              <w14:schemeClr w14:val="tx1"/>
            </w14:solidFill>
          </w14:textFill>
        </w:rPr>
        <w:t>8 环境管理与监测计划</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widowControl/>
        <w:spacing w:line="520" w:lineRule="exact"/>
        <w:ind w:firstLine="456"/>
        <w:jc w:val="left"/>
        <w:rPr>
          <w:rFonts w:ascii="Times New Roman" w:hAnsi="Times New Roman" w:cs="Times New Roman"/>
          <w:color w:val="000000" w:themeColor="text1"/>
          <w:spacing w:val="-6"/>
          <w14:textFill>
            <w14:solidFill>
              <w14:schemeClr w14:val="tx1"/>
            </w14:solidFill>
          </w14:textFill>
        </w:rPr>
      </w:pPr>
      <w:bookmarkStart w:id="1011" w:name="_Toc28336"/>
      <w:bookmarkStart w:id="1012" w:name="_Toc30929"/>
      <w:bookmarkStart w:id="1013" w:name="_Toc28653"/>
      <w:bookmarkStart w:id="1014" w:name="_Toc29875_WPSOffice_Level2"/>
      <w:bookmarkStart w:id="1015" w:name="_Toc323"/>
      <w:bookmarkStart w:id="1016" w:name="_Toc4324_WPSOffice_Level2"/>
      <w:bookmarkStart w:id="1017" w:name="_Toc31553"/>
      <w:bookmarkStart w:id="1018" w:name="_Toc14530"/>
      <w:bookmarkStart w:id="1019" w:name="_Toc20965"/>
      <w:bookmarkStart w:id="1020" w:name="_Toc6216"/>
      <w:bookmarkStart w:id="1021" w:name="_Toc4256"/>
      <w:bookmarkStart w:id="1022" w:name="_Toc26173"/>
      <w:bookmarkStart w:id="1023" w:name="_Toc16676"/>
      <w:bookmarkStart w:id="1024" w:name="_Toc30074"/>
      <w:bookmarkStart w:id="1025" w:name="_Toc11216"/>
      <w:bookmarkStart w:id="1026" w:name="_Toc3437"/>
      <w:bookmarkStart w:id="1027" w:name="_Toc6550"/>
      <w:bookmarkStart w:id="1028" w:name="_Toc18379"/>
      <w:r>
        <w:rPr>
          <w:rFonts w:ascii="Times New Roman" w:hAnsi="Times New Roman" w:cs="Times New Roman"/>
          <w:color w:val="000000" w:themeColor="text1"/>
          <w:spacing w:val="-6"/>
          <w14:textFill>
            <w14:solidFill>
              <w14:schemeClr w14:val="tx1"/>
            </w14:solidFill>
          </w14:textFill>
        </w:rPr>
        <w:t>环境管理是环境保护工作的重要内容之一，也是企业管理的重要组成部分，它利用行政、经济、技术、法律、教育等手段，对企业生产、经营发展、环境保护的关系进行协调，将其列入企业的议事日程，对生产过程中产生的或可能发生的环境问题进行深入细致的研究，制定合理的污染治理方案，以达到既发展生产、增加经济效益，又保护环境的目的。</w:t>
      </w:r>
    </w:p>
    <w:p>
      <w:pPr>
        <w:pStyle w:val="5"/>
        <w:rPr>
          <w:rFonts w:ascii="Times New Roman" w:hAnsi="Times New Roman" w:cs="Times New Roman"/>
          <w:color w:val="000000" w:themeColor="text1"/>
          <w14:textFill>
            <w14:solidFill>
              <w14:schemeClr w14:val="tx1"/>
            </w14:solidFill>
          </w14:textFill>
        </w:rPr>
      </w:pPr>
      <w:bookmarkStart w:id="1029" w:name="_Toc17331"/>
      <w:bookmarkStart w:id="1030" w:name="_Toc17638"/>
      <w:bookmarkStart w:id="1031" w:name="_Toc1541"/>
      <w:bookmarkStart w:id="1032" w:name="_Toc9570"/>
      <w:r>
        <w:rPr>
          <w:rFonts w:ascii="Times New Roman" w:hAnsi="Times New Roman" w:cs="Times New Roman"/>
          <w:color w:val="000000" w:themeColor="text1"/>
          <w14:textFill>
            <w14:solidFill>
              <w14:schemeClr w14:val="tx1"/>
            </w14:solidFill>
          </w14:textFill>
        </w:rPr>
        <w:t>8.1</w:t>
      </w:r>
      <w:r>
        <w:rPr>
          <w:rFonts w:hint="eastAsia" w:ascii="Times New Roman" w:hAnsi="Times New Roman" w:cs="Times New Roman"/>
          <w:color w:val="000000" w:themeColor="text1"/>
          <w14:textFill>
            <w14:solidFill>
              <w14:schemeClr w14:val="tx1"/>
            </w14:solidFill>
          </w14:textFill>
        </w:rPr>
        <w:t xml:space="preserve"> </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Pr>
          <w:rFonts w:hint="eastAsia" w:ascii="Times New Roman" w:hAnsi="Times New Roman" w:cs="Times New Roman"/>
          <w:color w:val="000000" w:themeColor="text1"/>
          <w14:textFill>
            <w14:solidFill>
              <w14:schemeClr w14:val="tx1"/>
            </w14:solidFill>
          </w14:textFill>
        </w:rPr>
        <w:t>环境管理要求及制度</w:t>
      </w:r>
      <w:bookmarkEnd w:id="1029"/>
      <w:bookmarkEnd w:id="1030"/>
      <w:bookmarkEnd w:id="1031"/>
      <w:bookmarkEnd w:id="1032"/>
    </w:p>
    <w:p>
      <w:pPr>
        <w:pStyle w:val="6"/>
        <w:rPr>
          <w:rFonts w:ascii="Times New Roman" w:hAnsi="Times New Roman" w:cs="Times New Roman"/>
          <w:color w:val="000000" w:themeColor="text1"/>
          <w14:textFill>
            <w14:solidFill>
              <w14:schemeClr w14:val="tx1"/>
            </w14:solidFill>
          </w14:textFill>
        </w:rPr>
      </w:pPr>
      <w:bookmarkStart w:id="1033" w:name="_Toc32106"/>
      <w:bookmarkStart w:id="1034" w:name="_Toc7399"/>
      <w:r>
        <w:rPr>
          <w:rFonts w:ascii="Times New Roman" w:hAnsi="Times New Roman" w:cs="Times New Roman"/>
          <w:color w:val="000000" w:themeColor="text1"/>
          <w14:textFill>
            <w14:solidFill>
              <w14:schemeClr w14:val="tx1"/>
            </w14:solidFill>
          </w14:textFill>
        </w:rPr>
        <w:t>8.1.1 环境管理体系</w:t>
      </w:r>
      <w:bookmarkEnd w:id="1033"/>
      <w:bookmarkEnd w:id="1034"/>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为了将本工程投产后种猪养殖过程中产生的不利环境影响减轻到最低程度，建设单位应针对本项目的特点，建立完善的环境管理体系。</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（1）环境管理机构设置</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在总经理领导下实行分级管理制：一级为公司总经理或主管副总经理；二级</w:t>
      </w:r>
      <w:r>
        <w:rPr>
          <w:rFonts w:ascii="Times New Roman" w:hAnsi="Times New Roman" w:cs="Times New Roman"/>
          <w:color w:val="000000" w:themeColor="text1"/>
          <w:spacing w:val="-6"/>
          <w14:textFill>
            <w14:solidFill>
              <w14:schemeClr w14:val="tx1"/>
            </w14:solidFill>
          </w14:textFill>
        </w:rPr>
        <w:t>为安全环保部；三级为各场场长和后勤负责人，四级为各专、兼职人员和饲养人员。</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（2）各级管理机构职责</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①总经理、主管副总经理职责</w:t>
      </w:r>
    </w:p>
    <w:p>
      <w:pPr>
        <w:widowControl/>
        <w:numPr>
          <w:ilvl w:val="0"/>
          <w:numId w:val="12"/>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负责贯彻执行国家环境保护法、环境保护方针和政策。</w:t>
      </w:r>
    </w:p>
    <w:p>
      <w:pPr>
        <w:widowControl/>
        <w:numPr>
          <w:ilvl w:val="0"/>
          <w:numId w:val="12"/>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负责建立完整的环保机构，保证人员的落实。</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②安全环保部职责</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贯彻上级领导或环保部门有关的环保制度和规定。</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建立环保档案，包括环评报告、环保工程验收报告、污染源监测报告、环保设备运行记录以及其它环境统计资料，并定期向当地环境保护行政主管部门汇报。</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汇总、编报环保年度计划及规划，并监督、检查执行情况。</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制定环保考核制度和有关奖罚规定。</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对污染源进行监督管理，贯彻预防为主的方针，发现问题，及时采取措施，并向上级主管部门汇报。</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负责组织突发性污染事故的善后处理，追查事故原因，杜绝事故隐患，并参照企业管理规章，提出对事故责任人的处理意见，上报集团公司。</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对环境保护的先进经验、先进技术进行推广和应用。</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负责环保设备的统一管理，每月考核一次环保设备的运行情况，并负责对环保设备的大、中修的质量验收。</w:t>
      </w:r>
    </w:p>
    <w:p>
      <w:pPr>
        <w:widowControl/>
        <w:numPr>
          <w:ilvl w:val="0"/>
          <w:numId w:val="13"/>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组织职工进行环保教育，搞好环境宣传及环保技术培训。</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③各场场长和后勤负责人职责</w:t>
      </w:r>
    </w:p>
    <w:p>
      <w:pPr>
        <w:widowControl/>
        <w:numPr>
          <w:ilvl w:val="0"/>
          <w:numId w:val="14"/>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在公司领导下，做好生产区、办公区和生活区的绿化、美化工作。</w:t>
      </w:r>
    </w:p>
    <w:p>
      <w:pPr>
        <w:widowControl/>
        <w:numPr>
          <w:ilvl w:val="0"/>
          <w:numId w:val="14"/>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负责、检查、督促各部门做好卫生、绿化工作。</w:t>
      </w:r>
    </w:p>
    <w:p>
      <w:pPr>
        <w:widowControl/>
        <w:numPr>
          <w:ilvl w:val="0"/>
          <w:numId w:val="14"/>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组织做好垃圾的定点堆放和清运工作，以及道路的清扫工作。</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④各专、兼职人员和饲养人员职责</w:t>
      </w:r>
    </w:p>
    <w:p>
      <w:pPr>
        <w:widowControl/>
        <w:numPr>
          <w:ilvl w:val="0"/>
          <w:numId w:val="15"/>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负责本部门的具体环境保护工作。</w:t>
      </w:r>
    </w:p>
    <w:p>
      <w:pPr>
        <w:widowControl/>
        <w:numPr>
          <w:ilvl w:val="0"/>
          <w:numId w:val="15"/>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按照安全环保部的统一部署，提出本部门环保治理项目计划，报安全环保部及各职能部门。</w:t>
      </w:r>
    </w:p>
    <w:p>
      <w:pPr>
        <w:widowControl/>
        <w:numPr>
          <w:ilvl w:val="0"/>
          <w:numId w:val="15"/>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负责本部门环保设施的使用、管理和检查，保证环保设施处于最佳状态，主管环保的领导和专职环保员至少每半个月应对所辖范围内的环保设备工作情况进行一次巡回检查。</w:t>
      </w:r>
    </w:p>
    <w:p>
      <w:pPr>
        <w:widowControl/>
        <w:numPr>
          <w:ilvl w:val="0"/>
          <w:numId w:val="15"/>
        </w:num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参加公司环保会议和污染事故调查，并上报本部门出现的污染事故报告。</w:t>
      </w:r>
    </w:p>
    <w:p>
      <w:pPr>
        <w:pStyle w:val="6"/>
        <w:rPr>
          <w:rFonts w:ascii="Times New Roman" w:hAnsi="Times New Roman" w:cs="Times New Roman"/>
          <w:color w:val="000000" w:themeColor="text1"/>
          <w14:textFill>
            <w14:solidFill>
              <w14:schemeClr w14:val="tx1"/>
            </w14:solidFill>
          </w14:textFill>
        </w:rPr>
      </w:pPr>
      <w:bookmarkStart w:id="1035" w:name="_Toc1562"/>
      <w:bookmarkStart w:id="1036" w:name="_Toc25786"/>
      <w:r>
        <w:rPr>
          <w:rFonts w:ascii="Times New Roman" w:hAnsi="Times New Roman" w:cs="Times New Roman"/>
          <w:color w:val="000000" w:themeColor="text1"/>
          <w14:textFill>
            <w14:solidFill>
              <w14:schemeClr w14:val="tx1"/>
            </w14:solidFill>
          </w14:textFill>
        </w:rPr>
        <w:t>8.1.2 投产前的环境管理</w:t>
      </w:r>
      <w:bookmarkEnd w:id="1035"/>
      <w:bookmarkEnd w:id="1036"/>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（1）落实环保投资，确保污染治理措施执行“三同时”和各项治理与环保措施达到设计要求；</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（2）向环保部门上报工程竣工试运行报告，组织进行环保设施试运行；</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（3）编制环保设施竣工验收方案报告，向环保部门申报，进行竣工验收监测，办理竣工验收手续；向当地环保部门进行排污申报登记，正式投产运行。</w:t>
      </w:r>
    </w:p>
    <w:p>
      <w:pPr>
        <w:pStyle w:val="6"/>
        <w:rPr>
          <w:rFonts w:ascii="Times New Roman" w:hAnsi="Times New Roman" w:cs="Times New Roman"/>
          <w:color w:val="000000" w:themeColor="text1"/>
          <w14:textFill>
            <w14:solidFill>
              <w14:schemeClr w14:val="tx1"/>
            </w14:solidFill>
          </w14:textFill>
        </w:rPr>
      </w:pPr>
      <w:bookmarkStart w:id="1037" w:name="_Toc16486"/>
      <w:bookmarkStart w:id="1038" w:name="_Toc32155"/>
      <w:r>
        <w:rPr>
          <w:rFonts w:ascii="Times New Roman" w:hAnsi="Times New Roman" w:cs="Times New Roman"/>
          <w:color w:val="000000" w:themeColor="text1"/>
          <w14:textFill>
            <w14:solidFill>
              <w14:schemeClr w14:val="tx1"/>
            </w14:solidFill>
          </w14:textFill>
        </w:rPr>
        <w:t>8.1.3 环境管理制度制定</w:t>
      </w:r>
      <w:bookmarkEnd w:id="1037"/>
      <w:bookmarkEnd w:id="1038"/>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公司环保科室统一组织下，制定相应的企业环境保护制度。如：“三废综合利用方法”、“环保手册”、“清粪工艺、粪便及冲洗水无害处理，废水回用规定”、“排污许可申报管理制度”、“环境保护奖惩条例”等，并建立环保设施的技术档案，使环境管理工作有法可依，有章可循，并逐步纳入法制化、标准化轨道。</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企业应按照《新疆维吾尔自治区排污许可证管理暂行办法》（2015年7月1日起施）申请领取排污许可证并接受相关部门的监督和管理。该暂行办法规定：“第二条 排污单位应当依法取得排污许可证，按照排污许可证的要求排放污染物；应当取得排污许可证而未取得的，不得排放污染物。”、“第四条 排污许可证的许可事项包括允许排污单位排放污染物的种类、浓度和总量，规定其排放方式、排放时间、排放去向，并载明对排污单位的环境管理要求。”、“第十条 建设项目所在单位应当在建设项目环境影响评价批复或备案文件要求配套建设的环境保护设施，按期完成并通过竣工环保验收后十个工作日内，向环境保护主管部门提交申请。”、“第二十六条 州、市）环境保护主管部门应当按照国家和地方信息公开的要求，于每年四月底前向社会公开排污许可证发放、监督管理情况，并向自治区环境保护主管部门报告。自治区环境保护主管部门于每年“六五”世界环境日向社会公开全区排污许可证发放和监督管理情况，并向自治区人民政府和环境保护部报告”。</w:t>
      </w:r>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随着经济体制的转变，动用经济杠杆原理进行管理，也日益成为环境管理的重要手段之一，可以制定一些具体的奖惩制度及环保达标条件的考核办法，使行政干预手段和经济奖惩有机地结合起来，激励生产车间、班组和工人认真操作，使生产设备和环保设备达到最佳工作状况，杜绝乱排、乱放等人为因素造成的污染，从而实现生产全过程污染控制，最终实现清洁生产和控制污染物总量的目的。</w:t>
      </w:r>
    </w:p>
    <w:p>
      <w:pPr>
        <w:widowControl/>
        <w:spacing w:line="520" w:lineRule="exact"/>
        <w:jc w:val="left"/>
        <w:rPr>
          <w:rFonts w:ascii="Times New Roman" w:hAnsi="Times New Roman" w:cs="Times New Roman"/>
          <w:color w:val="000000" w:themeColor="text1"/>
          <w14:textFill>
            <w14:solidFill>
              <w14:schemeClr w14:val="tx1"/>
            </w14:solidFill>
          </w14:textFill>
        </w:rPr>
      </w:pPr>
      <w:bookmarkStart w:id="1039" w:name="_Toc13703"/>
      <w:bookmarkStart w:id="1040" w:name="_Toc26511"/>
      <w:bookmarkStart w:id="1041" w:name="_Toc12992"/>
      <w:bookmarkStart w:id="1042" w:name="_Toc28514"/>
      <w:bookmarkStart w:id="1043" w:name="_Toc24943_WPSOffice_Level2"/>
      <w:bookmarkStart w:id="1044" w:name="_Toc25081"/>
      <w:bookmarkStart w:id="1045" w:name="_Toc16089"/>
      <w:bookmarkStart w:id="1046" w:name="_Toc7459"/>
      <w:bookmarkStart w:id="1047" w:name="_Toc18602_WPSOffice_Level2"/>
      <w:bookmarkStart w:id="1048" w:name="_Toc21157"/>
      <w:bookmarkStart w:id="1049" w:name="_Toc20015"/>
      <w:bookmarkStart w:id="1050" w:name="_Toc26396"/>
      <w:bookmarkStart w:id="1051" w:name="_Toc6540"/>
      <w:bookmarkStart w:id="1052" w:name="_Toc28762"/>
      <w:bookmarkStart w:id="1053" w:name="_Toc29126"/>
      <w:bookmarkStart w:id="1054" w:name="_Toc15724"/>
      <w:bookmarkStart w:id="1055" w:name="_Toc13911"/>
      <w:bookmarkStart w:id="1056" w:name="_Toc3690"/>
      <w:bookmarkStart w:id="1057" w:name="_Toc3202"/>
      <w:bookmarkStart w:id="1058" w:name="_Toc29061"/>
      <w:bookmarkStart w:id="1059" w:name="_Toc22954"/>
      <w:bookmarkStart w:id="1060" w:name="_Toc26814"/>
    </w:p>
    <w:p>
      <w:pPr>
        <w:widowControl/>
        <w:spacing w:line="520" w:lineRule="exact"/>
        <w:jc w:val="left"/>
        <w:rPr>
          <w:rFonts w:ascii="Times New Roman" w:hAnsi="Times New Roman" w:cs="Times New Roman"/>
          <w:color w:val="000000" w:themeColor="text1"/>
          <w14:textFill>
            <w14:solidFill>
              <w14:schemeClr w14:val="tx1"/>
            </w14:solidFill>
          </w14:textFill>
        </w:rPr>
      </w:pPr>
    </w:p>
    <w:p>
      <w:pPr>
        <w:widowControl/>
        <w:spacing w:line="520" w:lineRule="exact"/>
        <w:jc w:val="left"/>
        <w:rPr>
          <w:rFonts w:ascii="Times New Roman" w:hAnsi="Times New Roman" w:cs="Times New Roman"/>
          <w:color w:val="000000" w:themeColor="text1"/>
          <w14:textFill>
            <w14:solidFill>
              <w14:schemeClr w14:val="tx1"/>
            </w14:solidFill>
          </w14:textFill>
        </w:rPr>
      </w:pPr>
    </w:p>
    <w:p>
      <w:pPr>
        <w:pStyle w:val="5"/>
        <w:keepNext w:val="0"/>
        <w:keepLines w:val="0"/>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8.2</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环境监测</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pPr>
        <w:pStyle w:val="6"/>
        <w:keepNext w:val="0"/>
        <w:keepLines w:val="0"/>
        <w:rPr>
          <w:rFonts w:ascii="Times New Roman" w:hAnsi="Times New Roman" w:cs="Times New Roman"/>
          <w:color w:val="000000" w:themeColor="text1"/>
          <w14:textFill>
            <w14:solidFill>
              <w14:schemeClr w14:val="tx1"/>
            </w14:solidFill>
          </w14:textFill>
        </w:rPr>
      </w:pPr>
      <w:bookmarkStart w:id="1061" w:name="_Toc31991"/>
      <w:bookmarkStart w:id="1062" w:name="_Toc5520"/>
      <w:bookmarkStart w:id="1063" w:name="_Toc14611"/>
      <w:bookmarkStart w:id="1064" w:name="_Toc3698"/>
      <w:bookmarkStart w:id="1065" w:name="_Toc18641"/>
      <w:r>
        <w:rPr>
          <w:rFonts w:ascii="Times New Roman" w:hAnsi="Times New Roman" w:cs="Times New Roman"/>
          <w:color w:val="000000" w:themeColor="text1"/>
          <w14:textFill>
            <w14:solidFill>
              <w14:schemeClr w14:val="tx1"/>
            </w14:solidFill>
          </w14:textFill>
        </w:rPr>
        <w:t>8.2.1 环境监测的意义</w:t>
      </w:r>
      <w:bookmarkEnd w:id="1061"/>
      <w:bookmarkEnd w:id="1062"/>
      <w:bookmarkEnd w:id="1063"/>
      <w:bookmarkEnd w:id="1064"/>
      <w:bookmarkEnd w:id="1065"/>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监测（包括污染源监测）是单位环境保护的重要组成部分，也是单位的一项规范化制度。通过环境监测，进行数据整理分析，建立监测档案，可为污染源治理，掌握污染物排放变化规律提供依据，为上级环保部门进行区域环境规划、管理执法提供依据。同时，环境监测也是单位实现污染物总量控制，做到清洁生产的重要保证手段之一。</w:t>
      </w:r>
    </w:p>
    <w:p>
      <w:pPr>
        <w:pStyle w:val="6"/>
        <w:keepNext w:val="0"/>
        <w:keepLines w:val="0"/>
        <w:rPr>
          <w:rFonts w:ascii="Times New Roman" w:hAnsi="Times New Roman" w:cs="Times New Roman"/>
          <w:color w:val="000000" w:themeColor="text1"/>
          <w14:textFill>
            <w14:solidFill>
              <w14:schemeClr w14:val="tx1"/>
            </w14:solidFill>
          </w14:textFill>
        </w:rPr>
      </w:pPr>
      <w:bookmarkStart w:id="1066" w:name="_Toc10592"/>
      <w:bookmarkStart w:id="1067" w:name="_Toc2324"/>
      <w:bookmarkStart w:id="1068" w:name="_Toc3651"/>
      <w:bookmarkStart w:id="1069" w:name="_Toc8411"/>
      <w:bookmarkStart w:id="1070" w:name="_Toc20393"/>
      <w:r>
        <w:rPr>
          <w:rFonts w:ascii="Times New Roman" w:hAnsi="Times New Roman" w:cs="Times New Roman"/>
          <w:color w:val="000000" w:themeColor="text1"/>
          <w14:textFill>
            <w14:solidFill>
              <w14:schemeClr w14:val="tx1"/>
            </w14:solidFill>
          </w14:textFill>
        </w:rPr>
        <w:t>8.2.2 环境监测</w:t>
      </w:r>
      <w:bookmarkEnd w:id="1066"/>
      <w:bookmarkEnd w:id="1067"/>
      <w:r>
        <w:rPr>
          <w:rFonts w:ascii="Times New Roman" w:hAnsi="Times New Roman" w:cs="Times New Roman"/>
          <w:color w:val="000000" w:themeColor="text1"/>
          <w14:textFill>
            <w14:solidFill>
              <w14:schemeClr w14:val="tx1"/>
            </w14:solidFill>
          </w14:textFill>
        </w:rPr>
        <w:t>工作</w:t>
      </w:r>
      <w:bookmarkEnd w:id="1068"/>
      <w:bookmarkEnd w:id="1069"/>
      <w:bookmarkEnd w:id="1070"/>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本项目运行后，应委托当地有资质的环境监测机构对污染源及周围环境质量定期进行监测。受委托的监测单位应协助做好以下工作：</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（1）为本单位建立污染源档案，对排放的污染源及污染物状况进行日常例行监测，如有污染因子超标，书面要求现场单位查找原因并改正，确保单位能够按照国家和地方法规标准达标排放；</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（2）参加单位环保设施竣工验收监测和负责污染事故监测及报告；</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（3）根据国家和地方颁布的环境质量标准、废气排放标准，制定本单位的监测计划和工作方案；</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（4）定期向生态环境行政主管部门及其它有关部门报送环境监测数据。</w:t>
      </w:r>
    </w:p>
    <w:p>
      <w:pPr>
        <w:pStyle w:val="6"/>
        <w:keepNext w:val="0"/>
        <w:keepLines w:val="0"/>
        <w:rPr>
          <w:rFonts w:ascii="Times New Roman" w:hAnsi="Times New Roman" w:cs="Times New Roman"/>
          <w:color w:val="000000" w:themeColor="text1"/>
          <w14:textFill>
            <w14:solidFill>
              <w14:schemeClr w14:val="tx1"/>
            </w14:solidFill>
          </w14:textFill>
        </w:rPr>
      </w:pPr>
      <w:bookmarkStart w:id="1071" w:name="_Toc10126"/>
      <w:bookmarkStart w:id="1072" w:name="_Toc8960"/>
      <w:bookmarkStart w:id="1073" w:name="_Toc32246"/>
      <w:bookmarkStart w:id="1074" w:name="_Toc157"/>
      <w:bookmarkStart w:id="1075" w:name="_Toc18037"/>
      <w:r>
        <w:rPr>
          <w:rFonts w:ascii="Times New Roman" w:hAnsi="Times New Roman" w:cs="Times New Roman"/>
          <w:color w:val="000000" w:themeColor="text1"/>
          <w14:textFill>
            <w14:solidFill>
              <w14:schemeClr w14:val="tx1"/>
            </w14:solidFill>
          </w14:textFill>
        </w:rPr>
        <w:t>8.2.3 环境监测</w:t>
      </w:r>
      <w:bookmarkEnd w:id="1071"/>
      <w:bookmarkEnd w:id="1072"/>
      <w:r>
        <w:rPr>
          <w:rFonts w:ascii="Times New Roman" w:hAnsi="Times New Roman" w:cs="Times New Roman"/>
          <w:color w:val="000000" w:themeColor="text1"/>
          <w14:textFill>
            <w14:solidFill>
              <w14:schemeClr w14:val="tx1"/>
            </w14:solidFill>
          </w14:textFill>
        </w:rPr>
        <w:t>计划</w:t>
      </w:r>
      <w:bookmarkEnd w:id="1073"/>
      <w:bookmarkEnd w:id="1074"/>
      <w:bookmarkEnd w:id="1075"/>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根据《排污许可申请与核发技术规范 畜禽养殖行业》</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HJ1029-2019</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中自行监 测管理要求，自行监测污染源和污染物应包括排放标准中涉及的废气、废水污染源和污染物。畜禽养殖行业排污单位废物污染物监测指标为臭气浓度，废水污染物监测指标包括GB18596中规定的因子以及总氮。</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 xml:space="preserve">企业自行监测 </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企业自行监测应当遵守国家环境监测技术规范和方法。</w:t>
      </w: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①无组织排放监测点位</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无组织排放监测点位为厂界。</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监测项目：臭气浓度、NH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监测频次：每年监测1次。</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②废水监测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废水监测点位为废水总排放口。</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监测项目：总氮、总磷、悬浮物、五日生化需氧量、粪大肠菌群、蛔虫卵、氨氮等。监测频次：每季监测1次。</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监督性监测</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环境监测机构应当根据国家或地方污染物排放</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控制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标准、及本项目环境影</w:t>
      </w:r>
      <w:r>
        <w:rPr>
          <w:rFonts w:ascii="Times New Roman" w:hAnsi="Times New Roman" w:cs="Times New Roman"/>
          <w:color w:val="000000" w:themeColor="text1"/>
          <w:spacing w:val="-6"/>
          <w14:textFill>
            <w14:solidFill>
              <w14:schemeClr w14:val="tx1"/>
            </w14:solidFill>
          </w14:textFill>
        </w:rPr>
        <w:t>响评价报告书及其批复、环境监测技术规范以及环境管理的需要，开展监督监测。</w:t>
      </w:r>
    </w:p>
    <w:p>
      <w:pPr>
        <w:spacing w:line="52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环境监控计划</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①废气污染源监督检查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检查本项目生产运营过程中是否对圈舍的畜禽粪及时清运，冲洗水收集至污水 处理设施、废水储存塘采取防渗措施，臭气防护的效果是否符合有关标准。</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②废水污染源监督检查</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检查企业是否对生产过程中产生的猪尿液、圈舍冲洗水及生活污水通过污水处 理设施进行了无害化处理。监督企业不准将未处理的排放污水乱排乱倒。</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根据《排污单位自行监测技术指南 总则》</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HJ819-2017</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和本项目的环境影响预测和分析，施工期的监测项目为环境空气</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PM10</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和施工期</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噪声；运营期的监测项目为恶臭气体</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臭气浓度、NH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、废水相关监测项目。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本项目污染源监测</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监控</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计划见表8.2-1。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表8.2-1   污染物排放监控计划</w:t>
      </w:r>
    </w:p>
    <w:tbl>
      <w:tblPr>
        <w:tblStyle w:val="27"/>
        <w:tblW w:w="50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2"/>
        <w:gridCol w:w="698"/>
        <w:gridCol w:w="1867"/>
        <w:gridCol w:w="3895"/>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trPr>
        <w:tc>
          <w:tcPr>
            <w:tcW w:w="411" w:type="pct"/>
            <w:vAlign w:val="center"/>
          </w:tcPr>
          <w:p>
            <w:pPr>
              <w:pStyle w:val="40"/>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阶段</w:t>
            </w:r>
          </w:p>
        </w:tc>
        <w:tc>
          <w:tcPr>
            <w:tcW w:w="414"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污染源</w:t>
            </w:r>
          </w:p>
        </w:tc>
        <w:tc>
          <w:tcPr>
            <w:tcW w:w="1108"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监测</w:t>
            </w:r>
            <w:r>
              <w:rPr>
                <w:rFonts w:hint="eastAsia" w:ascii="Times New Roman" w:hAnsi="Times New Roman" w:cs="Times New Roman"/>
                <w:b/>
                <w:bCs/>
                <w:color w:val="000000" w:themeColor="text1"/>
                <w14:textFill>
                  <w14:solidFill>
                    <w14:schemeClr w14:val="tx1"/>
                  </w14:solidFill>
                </w14:textFill>
              </w:rPr>
              <w:t>地点</w:t>
            </w:r>
          </w:p>
        </w:tc>
        <w:tc>
          <w:tcPr>
            <w:tcW w:w="2312"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监测项目</w:t>
            </w:r>
          </w:p>
        </w:tc>
        <w:tc>
          <w:tcPr>
            <w:tcW w:w="753"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1"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施工期</w:t>
            </w:r>
          </w:p>
        </w:tc>
        <w:tc>
          <w:tcPr>
            <w:tcW w:w="41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废气</w:t>
            </w:r>
          </w:p>
        </w:tc>
        <w:tc>
          <w:tcPr>
            <w:tcW w:w="110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主导风下风</w:t>
            </w:r>
            <w:r>
              <w:rPr>
                <w:rFonts w:hint="eastAsia" w:ascii="Times New Roman" w:hAnsi="Times New Roman" w:cs="Times New Roman"/>
                <w:color w:val="000000" w:themeColor="text1"/>
                <w14:textFill>
                  <w14:solidFill>
                    <w14:schemeClr w14:val="tx1"/>
                  </w14:solidFill>
                </w14:textFill>
              </w:rPr>
              <w:t>向</w:t>
            </w:r>
            <w:r>
              <w:rPr>
                <w:rFonts w:ascii="Times New Roman" w:hAnsi="Times New Roman" w:cs="Times New Roman"/>
                <w:color w:val="000000" w:themeColor="text1"/>
                <w14:textFill>
                  <w14:solidFill>
                    <w14:schemeClr w14:val="tx1"/>
                  </w14:solidFill>
                </w14:textFill>
              </w:rPr>
              <w:t>设一点</w:t>
            </w:r>
          </w:p>
        </w:tc>
        <w:tc>
          <w:tcPr>
            <w:tcW w:w="231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p>
        </w:tc>
        <w:tc>
          <w:tcPr>
            <w:tcW w:w="75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随机抽查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1"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41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噪声</w:t>
            </w:r>
          </w:p>
        </w:tc>
        <w:tc>
          <w:tcPr>
            <w:tcW w:w="110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w:t>
            </w:r>
          </w:p>
        </w:tc>
        <w:tc>
          <w:tcPr>
            <w:tcW w:w="231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等效A声级</w:t>
            </w:r>
          </w:p>
        </w:tc>
        <w:tc>
          <w:tcPr>
            <w:tcW w:w="753"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1"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运营期</w:t>
            </w:r>
          </w:p>
        </w:tc>
        <w:tc>
          <w:tcPr>
            <w:tcW w:w="41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w:t>
            </w:r>
          </w:p>
        </w:tc>
        <w:tc>
          <w:tcPr>
            <w:tcW w:w="110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w:t>
            </w:r>
          </w:p>
        </w:tc>
        <w:tc>
          <w:tcPr>
            <w:tcW w:w="231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S、臭气浓度</w:t>
            </w:r>
            <w:r>
              <w:rPr>
                <w:rFonts w:hint="eastAsia" w:ascii="Times New Roman" w:hAnsi="Times New Roman" w:cs="Times New Roman"/>
                <w:color w:val="000000" w:themeColor="text1"/>
                <w14:textFill>
                  <w14:solidFill>
                    <w14:schemeClr w14:val="tx1"/>
                  </w14:solidFill>
                </w14:textFill>
              </w:rPr>
              <w:t>、油烟</w:t>
            </w:r>
          </w:p>
        </w:tc>
        <w:tc>
          <w:tcPr>
            <w:tcW w:w="753"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1"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414"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废水</w:t>
            </w:r>
          </w:p>
        </w:tc>
        <w:tc>
          <w:tcPr>
            <w:tcW w:w="1108"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地下水</w:t>
            </w:r>
          </w:p>
        </w:tc>
        <w:tc>
          <w:tcPr>
            <w:tcW w:w="231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pH、六价铬、总大肠菌群等项目</w:t>
            </w:r>
          </w:p>
        </w:tc>
        <w:tc>
          <w:tcPr>
            <w:tcW w:w="753"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1"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414"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w:t>
            </w:r>
          </w:p>
        </w:tc>
        <w:tc>
          <w:tcPr>
            <w:tcW w:w="1108"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w:t>
            </w:r>
          </w:p>
        </w:tc>
        <w:tc>
          <w:tcPr>
            <w:tcW w:w="231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等效A声级</w:t>
            </w:r>
          </w:p>
        </w:tc>
        <w:tc>
          <w:tcPr>
            <w:tcW w:w="753"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季/</w:t>
            </w:r>
            <w:r>
              <w:rPr>
                <w:rFonts w:ascii="Times New Roman" w:hAnsi="Times New Roman" w:cs="Times New Roman"/>
                <w:color w:val="000000" w:themeColor="text1"/>
                <w14:textFill>
                  <w14:solidFill>
                    <w14:schemeClr w14:val="tx1"/>
                  </w14:solidFill>
                </w14:textFill>
              </w:rPr>
              <w:t>次</w:t>
            </w:r>
          </w:p>
        </w:tc>
      </w:tr>
    </w:tbl>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上述各监测项目的监测计划应严格按照国家有关监测技术规范执行。本项目建成投产验收时污染监测和正常运营期间定期污染监测工作可委托相应环境监测部门定期进行，并将监测结果上报</w:t>
      </w:r>
      <w:r>
        <w:rPr>
          <w:rFonts w:hint="eastAsia" w:ascii="Times New Roman" w:hAnsi="Times New Roman" w:cs="Times New Roman"/>
          <w:color w:val="000000" w:themeColor="text1"/>
          <w14:textFill>
            <w14:solidFill>
              <w14:schemeClr w14:val="tx1"/>
            </w14:solidFill>
          </w14:textFill>
        </w:rPr>
        <w:t>农业园区规划建设环保局</w:t>
      </w:r>
      <w:r>
        <w:rPr>
          <w:rFonts w:ascii="Times New Roman" w:hAnsi="Times New Roman" w:cs="Times New Roman"/>
          <w:color w:val="000000" w:themeColor="text1"/>
          <w14:textFill>
            <w14:solidFill>
              <w14:schemeClr w14:val="tx1"/>
            </w14:solidFill>
          </w14:textFill>
        </w:rPr>
        <w:t>。</w:t>
      </w:r>
    </w:p>
    <w:p>
      <w:pPr>
        <w:pStyle w:val="6"/>
        <w:rPr>
          <w:rFonts w:ascii="Times New Roman" w:hAnsi="Times New Roman" w:cs="Times New Roman"/>
          <w:color w:val="000000" w:themeColor="text1"/>
          <w14:textFill>
            <w14:solidFill>
              <w14:schemeClr w14:val="tx1"/>
            </w14:solidFill>
          </w14:textFill>
        </w:rPr>
      </w:pPr>
      <w:bookmarkStart w:id="1076" w:name="_Toc2996"/>
      <w:bookmarkStart w:id="1077" w:name="_Toc25885"/>
      <w:bookmarkStart w:id="1078" w:name="_Toc5170"/>
      <w:bookmarkStart w:id="1079" w:name="_Toc3400"/>
      <w:bookmarkStart w:id="1080" w:name="_Toc10558"/>
      <w:bookmarkStart w:id="1081" w:name="_Toc20749"/>
      <w:bookmarkStart w:id="1082" w:name="_Toc21778"/>
      <w:bookmarkStart w:id="1083" w:name="_Toc16556"/>
      <w:bookmarkStart w:id="1084" w:name="_Toc11544"/>
      <w:bookmarkStart w:id="1085" w:name="_Toc31152"/>
      <w:bookmarkStart w:id="1086" w:name="_Toc26460"/>
      <w:bookmarkStart w:id="1087" w:name="_Toc30509"/>
      <w:bookmarkStart w:id="1088" w:name="_Toc27707"/>
      <w:bookmarkStart w:id="1089" w:name="_Toc27928"/>
      <w:bookmarkStart w:id="1090" w:name="_Toc10583"/>
      <w:bookmarkStart w:id="1091" w:name="_Toc31364"/>
      <w:bookmarkStart w:id="1092" w:name="_Toc17288"/>
      <w:bookmarkStart w:id="1093" w:name="_Toc6155"/>
      <w:bookmarkStart w:id="1094" w:name="_Toc9564_WPSOffice_Level2"/>
      <w:r>
        <w:rPr>
          <w:rFonts w:ascii="Times New Roman" w:hAnsi="Times New Roman" w:cs="Times New Roman"/>
          <w:color w:val="000000" w:themeColor="text1"/>
          <w14:textFill>
            <w14:solidFill>
              <w14:schemeClr w14:val="tx1"/>
            </w14:solidFill>
          </w14:textFill>
        </w:rPr>
        <w:t>8.2.4 污染物排放口规范化</w:t>
      </w:r>
      <w:bookmarkEnd w:id="1076"/>
      <w:bookmarkEnd w:id="1077"/>
      <w:bookmarkEnd w:id="1078"/>
    </w:p>
    <w:p>
      <w:pPr>
        <w:widowControl/>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本项目应按《环境保护图形标志—排放口（源）》（GB15562.1-1995）规定的图形，在各气、危废、声排污口（源）挂牌标识，做到各排污口（源）的环</w:t>
      </w:r>
      <w:r>
        <w:rPr>
          <w:rFonts w:ascii="Times New Roman" w:hAnsi="Times New Roman" w:cs="Times New Roman"/>
          <w:color w:val="000000" w:themeColor="text1"/>
          <w:spacing w:val="-6"/>
          <w14:textFill>
            <w14:solidFill>
              <w14:schemeClr w14:val="tx1"/>
            </w14:solidFill>
          </w14:textFill>
        </w:rPr>
        <w:t>保标志明显，便于单位管理和公众监督。环境保护图形标志具体设置图形祥见表8.2-2。</w:t>
      </w:r>
    </w:p>
    <w:p>
      <w:pPr>
        <w:pStyle w:val="39"/>
        <w:spacing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表8.2-2   环境保护图形标志设置图形表</w:t>
      </w:r>
    </w:p>
    <w:p>
      <w:pPr>
        <w:widowControl/>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426075" cy="1612900"/>
            <wp:effectExtent l="0" t="0" r="3175" b="6350"/>
            <wp:docPr id="11" name="图片 4" descr="QQ截图2015062922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QQ截图20150629221827"/>
                    <pic:cNvPicPr>
                      <a:picLocks noChangeAspect="1"/>
                    </pic:cNvPicPr>
                  </pic:nvPicPr>
                  <pic:blipFill>
                    <a:blip r:embed="rId31"/>
                    <a:srcRect l="1059" t="1802" r="595"/>
                    <a:stretch>
                      <a:fillRect/>
                    </a:stretch>
                  </pic:blipFill>
                  <pic:spPr>
                    <a:xfrm>
                      <a:off x="0" y="0"/>
                      <a:ext cx="5426075" cy="1612900"/>
                    </a:xfrm>
                    <a:prstGeom prst="rect">
                      <a:avLst/>
                    </a:prstGeom>
                    <a:noFill/>
                    <a:ln>
                      <a:noFill/>
                    </a:ln>
                  </pic:spPr>
                </pic:pic>
              </a:graphicData>
            </a:graphic>
          </wp:inline>
        </w:drawing>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污染物排放口的环保图形标志牌应设置在靠近采样点的醒目位置处，标志牌设置高度为其上缘距地面约2m。</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pPr>
        <w:pStyle w:val="5"/>
        <w:rPr>
          <w:rFonts w:ascii="Times New Roman" w:hAnsi="Times New Roman" w:cs="Times New Roman"/>
          <w:color w:val="000000" w:themeColor="text1"/>
          <w14:textFill>
            <w14:solidFill>
              <w14:schemeClr w14:val="tx1"/>
            </w14:solidFill>
          </w14:textFill>
        </w:rPr>
      </w:pPr>
      <w:bookmarkStart w:id="1095" w:name="_Toc12116_WPSOffice_Level2"/>
      <w:bookmarkStart w:id="1096" w:name="_Toc140"/>
      <w:bookmarkStart w:id="1097" w:name="_Toc10457"/>
      <w:bookmarkStart w:id="1098" w:name="_Toc12829"/>
      <w:bookmarkStart w:id="1099" w:name="_Toc897"/>
      <w:bookmarkStart w:id="1100" w:name="_Toc19770"/>
      <w:r>
        <w:rPr>
          <w:rFonts w:ascii="Times New Roman" w:hAnsi="Times New Roman" w:cs="Times New Roman"/>
          <w:color w:val="000000" w:themeColor="text1"/>
          <w14:textFill>
            <w14:solidFill>
              <w14:schemeClr w14:val="tx1"/>
            </w14:solidFill>
          </w14:textFill>
        </w:rPr>
        <w:t>8.3 竣工验收管理</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pStyle w:val="6"/>
        <w:rPr>
          <w:rFonts w:ascii="Times New Roman" w:hAnsi="Times New Roman" w:cs="Times New Roman"/>
          <w:color w:val="000000" w:themeColor="text1"/>
          <w14:textFill>
            <w14:solidFill>
              <w14:schemeClr w14:val="tx1"/>
            </w14:solidFill>
          </w14:textFill>
        </w:rPr>
      </w:pPr>
      <w:bookmarkStart w:id="1101" w:name="_Toc24730"/>
      <w:bookmarkStart w:id="1102" w:name="_Toc9404"/>
      <w:bookmarkStart w:id="1103" w:name="_Toc7183"/>
      <w:bookmarkStart w:id="1104" w:name="_Toc24121"/>
      <w:bookmarkStart w:id="1105" w:name="_Toc27224"/>
      <w:r>
        <w:rPr>
          <w:rFonts w:ascii="Times New Roman" w:hAnsi="Times New Roman" w:cs="Times New Roman"/>
          <w:color w:val="000000" w:themeColor="text1"/>
          <w14:textFill>
            <w14:solidFill>
              <w14:schemeClr w14:val="tx1"/>
            </w14:solidFill>
          </w14:textFill>
        </w:rPr>
        <w:t>8.3.1 竣工验收管理及要求</w:t>
      </w:r>
      <w:bookmarkEnd w:id="1101"/>
      <w:bookmarkEnd w:id="1102"/>
      <w:bookmarkEnd w:id="1103"/>
      <w:bookmarkEnd w:id="1104"/>
      <w:bookmarkEnd w:id="1105"/>
    </w:p>
    <w:p>
      <w:pPr>
        <w:widowControl/>
        <w:spacing w:line="520" w:lineRule="exact"/>
        <w:ind w:firstLine="45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6"/>
          <w14:textFill>
            <w14:solidFill>
              <w14:schemeClr w14:val="tx1"/>
            </w14:solidFill>
          </w14:textFill>
        </w:rP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pPr>
        <w:pStyle w:val="6"/>
        <w:rPr>
          <w:rFonts w:ascii="Times New Roman" w:hAnsi="Times New Roman" w:cs="Times New Roman"/>
          <w:color w:val="000000" w:themeColor="text1"/>
          <w:sz w:val="24"/>
          <w14:textFill>
            <w14:solidFill>
              <w14:schemeClr w14:val="tx1"/>
            </w14:solidFill>
          </w14:textFill>
        </w:rPr>
      </w:pPr>
      <w:bookmarkStart w:id="1106" w:name="_Toc18460"/>
      <w:bookmarkStart w:id="1107" w:name="_Toc24517"/>
      <w:bookmarkStart w:id="1108" w:name="_Toc20686"/>
      <w:bookmarkStart w:id="1109" w:name="_Toc16632"/>
      <w:bookmarkStart w:id="1110" w:name="_Toc23886"/>
      <w:r>
        <w:rPr>
          <w:rFonts w:ascii="Times New Roman" w:hAnsi="Times New Roman" w:cs="Times New Roman"/>
          <w:color w:val="000000" w:themeColor="text1"/>
          <w14:textFill>
            <w14:solidFill>
              <w14:schemeClr w14:val="tx1"/>
            </w14:solidFill>
          </w14:textFill>
        </w:rPr>
        <w:t>8.3.2 “三同时”验收</w:t>
      </w:r>
      <w:bookmarkEnd w:id="1106"/>
      <w:bookmarkEnd w:id="1107"/>
      <w:bookmarkEnd w:id="1108"/>
      <w:bookmarkEnd w:id="1109"/>
      <w:bookmarkEnd w:id="1110"/>
    </w:p>
    <w:p>
      <w:pPr>
        <w:widowControl/>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本项目验收内容见表8.3-1。</w:t>
      </w:r>
    </w:p>
    <w:p>
      <w:pPr>
        <w:pStyle w:val="39"/>
        <w:spacing w:before="0" w:after="0" w:line="5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表8.3-1   环境保护“三同时”验收一览表</w:t>
      </w:r>
    </w:p>
    <w:tbl>
      <w:tblPr>
        <w:tblStyle w:val="27"/>
        <w:tblW w:w="51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0"/>
        <w:gridCol w:w="1245"/>
        <w:gridCol w:w="1141"/>
        <w:gridCol w:w="2931"/>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342"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类别</w:t>
            </w:r>
          </w:p>
        </w:tc>
        <w:tc>
          <w:tcPr>
            <w:tcW w:w="722"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污染源</w:t>
            </w:r>
          </w:p>
        </w:tc>
        <w:tc>
          <w:tcPr>
            <w:tcW w:w="662"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污染物</w:t>
            </w:r>
          </w:p>
        </w:tc>
        <w:tc>
          <w:tcPr>
            <w:tcW w:w="1700"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主要措施及运行参数</w:t>
            </w:r>
          </w:p>
        </w:tc>
        <w:tc>
          <w:tcPr>
            <w:tcW w:w="1572" w:type="pct"/>
            <w:vAlign w:val="center"/>
          </w:tcPr>
          <w:p>
            <w:pPr>
              <w:pStyle w:val="4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342"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大气治理措施</w:t>
            </w:r>
          </w:p>
        </w:tc>
        <w:tc>
          <w:tcPr>
            <w:tcW w:w="722"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圈舍恶臭</w:t>
            </w:r>
          </w:p>
        </w:tc>
        <w:tc>
          <w:tcPr>
            <w:tcW w:w="662"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S、臭气浓度</w:t>
            </w: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猪舍通风系统、除臭剂、消毒剂</w:t>
            </w:r>
          </w:p>
        </w:tc>
        <w:tc>
          <w:tcPr>
            <w:tcW w:w="1572"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《禽畜养殖业污染物排放标准》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GB18596-2001</w:t>
            </w:r>
            <w:r>
              <w:rPr>
                <w:rFonts w:hint="eastAsia" w:ascii="Times New Roman" w:hAnsi="Times New Roman" w:cs="Times New Roman"/>
                <w:color w:val="000000" w:themeColor="text1"/>
                <w14:textFill>
                  <w14:solidFill>
                    <w14:schemeClr w14:val="tx1"/>
                  </w14:solidFill>
                </w14:textFill>
              </w:rPr>
              <w:t>）中表7排放限值</w:t>
            </w:r>
            <w:r>
              <w:rPr>
                <w:rFonts w:ascii="Times New Roman" w:hAnsi="Times New Roman" w:cs="Times New Roman"/>
                <w:color w:val="000000" w:themeColor="text1"/>
                <w14:textFill>
                  <w14:solidFill>
                    <w14:schemeClr w14:val="tx1"/>
                  </w14:solidFill>
                </w14:textFill>
              </w:rPr>
              <w:t>、《恶臭污染物排放标准》（GB14554-93）表2中污染物排放标准值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342" w:type="pct"/>
            <w:vMerge w:val="continue"/>
            <w:vAlign w:val="center"/>
          </w:tcPr>
          <w:p>
            <w:pPr>
              <w:pStyle w:val="40"/>
              <w:rPr>
                <w:color w:val="000000" w:themeColor="text1"/>
                <w14:textFill>
                  <w14:solidFill>
                    <w14:schemeClr w14:val="tx1"/>
                  </w14:solidFill>
                </w14:textFill>
              </w:rPr>
            </w:pPr>
          </w:p>
        </w:tc>
        <w:tc>
          <w:tcPr>
            <w:tcW w:w="722"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堆肥场恶臭</w:t>
            </w:r>
          </w:p>
        </w:tc>
        <w:tc>
          <w:tcPr>
            <w:tcW w:w="66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覆膜+场区绿化</w:t>
            </w:r>
          </w:p>
        </w:tc>
        <w:tc>
          <w:tcPr>
            <w:tcW w:w="157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34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722"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厌氧储存塘</w:t>
            </w:r>
          </w:p>
        </w:tc>
        <w:tc>
          <w:tcPr>
            <w:tcW w:w="66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复合发酵除臭菌剂、除臭剂</w:t>
            </w:r>
            <w:r>
              <w:rPr>
                <w:rFonts w:hint="eastAsia" w:ascii="Times New Roman" w:hAnsi="Times New Roman" w:cs="Times New Roman"/>
                <w:color w:val="000000" w:themeColor="text1"/>
                <w14:textFill>
                  <w14:solidFill>
                    <w14:schemeClr w14:val="tx1"/>
                  </w14:solidFill>
                </w14:textFill>
              </w:rPr>
              <w:t>+场区绿化</w:t>
            </w:r>
          </w:p>
        </w:tc>
        <w:tc>
          <w:tcPr>
            <w:tcW w:w="157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7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食堂</w:t>
            </w:r>
          </w:p>
        </w:tc>
        <w:tc>
          <w:tcPr>
            <w:tcW w:w="66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食堂油烟</w:t>
            </w: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油烟净化器处理后由烟囱引至屋顶排放</w:t>
            </w:r>
          </w:p>
        </w:tc>
        <w:tc>
          <w:tcPr>
            <w:tcW w:w="157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废水治理措施</w:t>
            </w:r>
          </w:p>
        </w:tc>
        <w:tc>
          <w:tcPr>
            <w:tcW w:w="7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综合废水</w:t>
            </w:r>
          </w:p>
        </w:tc>
        <w:tc>
          <w:tcPr>
            <w:tcW w:w="66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COD、BOD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、SS、NH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w:t>
            </w:r>
            <w:r>
              <w:rPr>
                <w:rFonts w:hint="eastAsia" w:ascii="Times New Roman" w:hAnsi="Times New Roman" w:cs="Times New Roman"/>
                <w:color w:val="000000" w:themeColor="text1"/>
                <w14:textFill>
                  <w14:solidFill>
                    <w14:schemeClr w14:val="tx1"/>
                  </w14:solidFill>
                </w14:textFill>
              </w:rPr>
              <w:t>TP、</w:t>
            </w:r>
            <w:r>
              <w:rPr>
                <w:rFonts w:ascii="Times New Roman" w:hAnsi="Times New Roman" w:cs="Times New Roman"/>
                <w:color w:val="000000" w:themeColor="text1"/>
                <w14:textFill>
                  <w14:solidFill>
                    <w14:schemeClr w14:val="tx1"/>
                  </w14:solidFill>
                </w14:textFill>
              </w:rPr>
              <w:t>粪大肠菌群</w:t>
            </w:r>
            <w:r>
              <w:rPr>
                <w:rFonts w:hint="eastAsia" w:ascii="Times New Roman" w:hAnsi="Times New Roman" w:cs="Times New Roman"/>
                <w:color w:val="000000" w:themeColor="text1"/>
                <w14:textFill>
                  <w14:solidFill>
                    <w14:schemeClr w14:val="tx1"/>
                  </w14:solidFill>
                </w14:textFill>
              </w:rPr>
              <w:t>、蛔虫卵</w:t>
            </w: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“固液分离＋厌氧储存塘发酵”污水处理工程</w:t>
            </w:r>
          </w:p>
        </w:tc>
        <w:tc>
          <w:tcPr>
            <w:tcW w:w="157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《粪便无害化卫生</w:t>
            </w:r>
          </w:p>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要求</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GB7959-2012</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中污染物排放标准、《畜禽养殖业污染物排放标准》（GB18596-2001）表6中畜禽养殖业废渣无害化环境标准要求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噪声防治措施</w:t>
            </w:r>
          </w:p>
        </w:tc>
        <w:tc>
          <w:tcPr>
            <w:tcW w:w="7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生产设备</w:t>
            </w:r>
          </w:p>
        </w:tc>
        <w:tc>
          <w:tcPr>
            <w:tcW w:w="66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噪声</w:t>
            </w: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设备基础安装减震垫、厂房隔声等</w:t>
            </w:r>
          </w:p>
        </w:tc>
        <w:tc>
          <w:tcPr>
            <w:tcW w:w="157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厂界噪声符合《工业企业厂界环境噪声排放标准》（GB12348-2008）</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9" w:hRule="atLeast"/>
        </w:trPr>
        <w:tc>
          <w:tcPr>
            <w:tcW w:w="342"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固废治理措施</w:t>
            </w:r>
          </w:p>
        </w:tc>
        <w:tc>
          <w:tcPr>
            <w:tcW w:w="722"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医疗</w:t>
            </w:r>
            <w:r>
              <w:rPr>
                <w:rFonts w:ascii="Times New Roman" w:hAnsi="Times New Roman" w:cs="Times New Roman"/>
                <w:color w:val="000000" w:themeColor="text1"/>
                <w14:textFill>
                  <w14:solidFill>
                    <w14:schemeClr w14:val="tx1"/>
                  </w14:solidFill>
                </w14:textFill>
              </w:rPr>
              <w:t>废物</w:t>
            </w:r>
          </w:p>
        </w:tc>
        <w:tc>
          <w:tcPr>
            <w:tcW w:w="66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兽用医疗</w:t>
            </w:r>
          </w:p>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废物</w:t>
            </w: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设置一间</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0m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的危废暂存间</w:t>
            </w:r>
          </w:p>
        </w:tc>
        <w:tc>
          <w:tcPr>
            <w:tcW w:w="1572" w:type="pct"/>
            <w:vMerge w:val="restar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临时储存，安全处置、零排放；符合《危险废物贮存污染控制标准》（GB18597-2001）中相关要求及《医疗废物集中处置技术规范（试行）》（环发〔2003〕206号）相关规定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72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662"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病死猪</w:t>
            </w: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1套病死猪尸体高温与生物降解畜禽无害化处理设施</w:t>
            </w:r>
          </w:p>
        </w:tc>
        <w:tc>
          <w:tcPr>
            <w:tcW w:w="157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72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生活垃圾</w:t>
            </w:r>
          </w:p>
        </w:tc>
        <w:tc>
          <w:tcPr>
            <w:tcW w:w="662"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生活垃圾</w:t>
            </w: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厂内设有垃圾收集桶，收集后委托环卫部门清运处理</w:t>
            </w:r>
          </w:p>
        </w:tc>
        <w:tc>
          <w:tcPr>
            <w:tcW w:w="1572"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42" w:type="pct"/>
            <w:vMerge w:val="continue"/>
            <w:vAlign w:val="center"/>
          </w:tcPr>
          <w:p>
            <w:pPr>
              <w:pStyle w:val="40"/>
              <w:rPr>
                <w:rFonts w:ascii="Times New Roman" w:hAnsi="Times New Roman" w:cs="Times New Roman"/>
                <w:color w:val="000000" w:themeColor="text1"/>
                <w14:textFill>
                  <w14:solidFill>
                    <w14:schemeClr w14:val="tx1"/>
                  </w14:solidFill>
                </w14:textFill>
              </w:rPr>
            </w:pPr>
          </w:p>
        </w:tc>
        <w:tc>
          <w:tcPr>
            <w:tcW w:w="722"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堆肥场</w:t>
            </w:r>
          </w:p>
        </w:tc>
        <w:tc>
          <w:tcPr>
            <w:tcW w:w="662"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c>
          <w:tcPr>
            <w:tcW w:w="1700" w:type="pct"/>
            <w:vAlign w:val="center"/>
          </w:tcPr>
          <w:p>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规范化封闭堆肥场</w:t>
            </w:r>
          </w:p>
        </w:tc>
        <w:tc>
          <w:tcPr>
            <w:tcW w:w="1572" w:type="pct"/>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26" w:type="pct"/>
            <w:gridSpan w:val="3"/>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排污口规范化</w:t>
            </w:r>
          </w:p>
        </w:tc>
        <w:tc>
          <w:tcPr>
            <w:tcW w:w="3273" w:type="pct"/>
            <w:gridSpan w:val="2"/>
            <w:vAlign w:val="center"/>
          </w:tcPr>
          <w:p>
            <w:pPr>
              <w:pStyle w:val="4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所有废气、废水排放口设置标准取样口及标志牌</w:t>
            </w:r>
          </w:p>
        </w:tc>
      </w:tr>
    </w:tbl>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pPr>
    </w:p>
    <w:p>
      <w:pPr>
        <w:spacing w:line="520" w:lineRule="exact"/>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
        <w:jc w:val="center"/>
        <w:rPr>
          <w:rFonts w:ascii="Times New Roman" w:hAnsi="Times New Roman" w:cs="Times New Roman"/>
          <w:color w:val="000000" w:themeColor="text1"/>
          <w14:textFill>
            <w14:solidFill>
              <w14:schemeClr w14:val="tx1"/>
            </w14:solidFill>
          </w14:textFill>
        </w:rPr>
      </w:pPr>
      <w:bookmarkStart w:id="1111" w:name="_Toc32181"/>
      <w:bookmarkStart w:id="1112" w:name="_Toc25643_WPSOffice_Level1"/>
      <w:bookmarkStart w:id="1113" w:name="_Toc4110"/>
      <w:bookmarkStart w:id="1114" w:name="_Toc26684"/>
      <w:bookmarkStart w:id="1115" w:name="_Toc24480"/>
      <w:bookmarkStart w:id="1116" w:name="_Toc16617"/>
      <w:bookmarkStart w:id="1117" w:name="_Toc12384"/>
      <w:bookmarkStart w:id="1118" w:name="_Toc21604"/>
      <w:bookmarkStart w:id="1119" w:name="_Toc13250"/>
      <w:bookmarkStart w:id="1120" w:name="_Toc26313_WPSOffice_Level1"/>
      <w:bookmarkStart w:id="1121" w:name="_Toc11352"/>
      <w:bookmarkStart w:id="1122" w:name="_Toc16591"/>
      <w:bookmarkStart w:id="1123" w:name="_Toc4609"/>
      <w:bookmarkStart w:id="1124" w:name="_Toc25942"/>
      <w:bookmarkStart w:id="1125" w:name="_Toc4885"/>
      <w:bookmarkStart w:id="1126" w:name="_Toc31225"/>
      <w:r>
        <w:rPr>
          <w:rFonts w:ascii="Times New Roman" w:hAnsi="Times New Roman" w:cs="Times New Roman"/>
          <w:color w:val="000000" w:themeColor="text1"/>
          <w14:textFill>
            <w14:solidFill>
              <w14:schemeClr w14:val="tx1"/>
            </w14:solidFill>
          </w14:textFill>
        </w:rPr>
        <w:t>9 环境影响评价结论</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pPr>
        <w:pStyle w:val="5"/>
        <w:rPr>
          <w:rFonts w:ascii="Times New Roman" w:hAnsi="Times New Roman" w:cs="Times New Roman"/>
          <w:color w:val="000000" w:themeColor="text1"/>
          <w14:textFill>
            <w14:solidFill>
              <w14:schemeClr w14:val="tx1"/>
            </w14:solidFill>
          </w14:textFill>
        </w:rPr>
      </w:pPr>
      <w:bookmarkStart w:id="1127" w:name="_Toc6990"/>
      <w:bookmarkStart w:id="1128" w:name="_Toc12192"/>
      <w:bookmarkStart w:id="1129" w:name="_Toc836"/>
      <w:bookmarkStart w:id="1130" w:name="_Toc4275"/>
      <w:bookmarkStart w:id="1131" w:name="_Toc620"/>
      <w:bookmarkStart w:id="1132" w:name="_Toc5307"/>
      <w:bookmarkStart w:id="1133" w:name="_Toc8164"/>
      <w:bookmarkStart w:id="1134" w:name="_Toc22460"/>
      <w:bookmarkStart w:id="1135" w:name="_Toc17405"/>
      <w:bookmarkStart w:id="1136" w:name="_Toc19436"/>
      <w:bookmarkStart w:id="1137" w:name="_Toc2835"/>
      <w:bookmarkStart w:id="1138" w:name="_Toc17980_WPSOffice_Level2"/>
      <w:bookmarkStart w:id="1139" w:name="_Toc12969"/>
      <w:bookmarkStart w:id="1140" w:name="_Toc1193_WPSOffice_Level2"/>
      <w:bookmarkStart w:id="1141" w:name="_Toc4113"/>
      <w:bookmarkStart w:id="1142" w:name="_Toc4114"/>
      <w:bookmarkStart w:id="1143" w:name="_Toc31988"/>
      <w:r>
        <w:rPr>
          <w:rFonts w:ascii="Times New Roman" w:hAnsi="Times New Roman" w:cs="Times New Roman"/>
          <w:color w:val="000000" w:themeColor="text1"/>
          <w14:textFill>
            <w14:solidFill>
              <w14:schemeClr w14:val="tx1"/>
            </w14:solidFill>
          </w14:textFill>
        </w:rPr>
        <w:t>9.1 结论</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pPr>
        <w:pStyle w:val="6"/>
        <w:rPr>
          <w:rFonts w:ascii="Times New Roman" w:hAnsi="Times New Roman" w:cs="Times New Roman"/>
          <w:color w:val="000000" w:themeColor="text1"/>
          <w14:textFill>
            <w14:solidFill>
              <w14:schemeClr w14:val="tx1"/>
            </w14:solidFill>
          </w14:textFill>
        </w:rPr>
      </w:pPr>
      <w:bookmarkStart w:id="1144" w:name="_Toc1938"/>
      <w:bookmarkStart w:id="1145" w:name="_Toc25457"/>
      <w:bookmarkStart w:id="1146" w:name="_Toc20492"/>
      <w:r>
        <w:rPr>
          <w:rFonts w:ascii="Times New Roman" w:hAnsi="Times New Roman" w:cs="Times New Roman"/>
          <w:color w:val="000000" w:themeColor="text1"/>
          <w14:textFill>
            <w14:solidFill>
              <w14:schemeClr w14:val="tx1"/>
            </w14:solidFill>
          </w14:textFill>
        </w:rPr>
        <w:t>9.1.1 项目概况</w:t>
      </w:r>
      <w:bookmarkEnd w:id="1142"/>
      <w:bookmarkEnd w:id="1143"/>
      <w:bookmarkEnd w:id="1144"/>
      <w:bookmarkEnd w:id="1145"/>
      <w:bookmarkEnd w:id="1146"/>
    </w:p>
    <w:p>
      <w:pPr>
        <w:spacing w:line="520" w:lineRule="exact"/>
        <w:rPr>
          <w:rFonts w:ascii="Times New Roman" w:hAnsi="Times New Roman" w:cs="Times New Roman"/>
          <w:color w:val="000000" w:themeColor="text1"/>
          <w14:textFill>
            <w14:solidFill>
              <w14:schemeClr w14:val="tx1"/>
            </w14:solidFill>
          </w14:textFill>
        </w:rPr>
      </w:pPr>
      <w:bookmarkStart w:id="1147" w:name="_Toc264817849"/>
      <w:bookmarkStart w:id="1148" w:name="_Toc266117398"/>
      <w:bookmarkStart w:id="1149" w:name="_Toc248875681"/>
      <w:bookmarkStart w:id="1150" w:name="_Toc376168636"/>
      <w:bookmarkStart w:id="1151" w:name="_Toc258592128"/>
      <w:r>
        <w:rPr>
          <w:rFonts w:ascii="Times New Roman" w:hAnsi="Times New Roman" w:cs="Times New Roman"/>
          <w:color w:val="000000" w:themeColor="text1"/>
          <w14:textFill>
            <w14:solidFill>
              <w14:schemeClr w14:val="tx1"/>
            </w14:solidFill>
          </w14:textFill>
        </w:rPr>
        <w:t>项目名称：泰昆农牧年出栏20万头商品猪建设项目；</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建设单位：</w:t>
      </w:r>
      <w:r>
        <w:rPr>
          <w:rFonts w:hint="eastAsia" w:ascii="Times New Roman" w:hAnsi="Times New Roman" w:cs="Times New Roman"/>
          <w:color w:val="000000" w:themeColor="text1"/>
          <w14:textFill>
            <w14:solidFill>
              <w14:schemeClr w14:val="tx1"/>
            </w14:solidFill>
          </w14:textFill>
        </w:rPr>
        <w:t>昌吉州泰昆农牧科技有限公司</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建设性质：新建；</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建设地点：位于昌吉农业园区牛圈子湖示范一区，项目区北、东侧均为空地，项目区南、西侧均为农田，中心坐标：东经87°8′28.70″，北纬44°19′5.85″。项目地理位置见图3.1-1，周边环境关系图详见图3.1-2。</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占地面积：</w:t>
      </w:r>
      <w:r>
        <w:rPr>
          <w:rFonts w:hint="eastAsia" w:ascii="Times New Roman" w:hAnsi="Times New Roman" w:cs="Times New Roman"/>
          <w:color w:val="000000" w:themeColor="text1"/>
          <w:lang w:val="en-US" w:eastAsia="zh-CN"/>
          <w14:textFill>
            <w14:solidFill>
              <w14:schemeClr w14:val="tx1"/>
            </w14:solidFill>
          </w14:textFill>
        </w:rPr>
        <w:t>340.54亩</w:t>
      </w:r>
      <w:r>
        <w:rPr>
          <w:rFonts w:ascii="Times New Roman" w:hAnsi="Times New Roman" w:cs="Times New Roman"/>
          <w:color w:val="000000" w:themeColor="text1"/>
          <w14:textFill>
            <w14:solidFill>
              <w14:schemeClr w14:val="tx1"/>
            </w14:solidFill>
          </w14:textFill>
        </w:rPr>
        <w:t>；</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建设周期：本项目建设期为18个月，从2021年7月起至2022年10月止；</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项目投资：本项目总投资为16000万元，其中环保投资为308万元，环保投资占工程总投资的1.93%。</w:t>
      </w:r>
    </w:p>
    <w:bookmarkEnd w:id="1147"/>
    <w:bookmarkEnd w:id="1148"/>
    <w:bookmarkEnd w:id="1149"/>
    <w:bookmarkEnd w:id="1150"/>
    <w:bookmarkEnd w:id="1151"/>
    <w:p>
      <w:pPr>
        <w:pStyle w:val="6"/>
        <w:rPr>
          <w:rFonts w:ascii="Times New Roman" w:hAnsi="Times New Roman" w:cs="Times New Roman"/>
          <w:color w:val="000000" w:themeColor="text1"/>
          <w14:textFill>
            <w14:solidFill>
              <w14:schemeClr w14:val="tx1"/>
            </w14:solidFill>
          </w14:textFill>
        </w:rPr>
      </w:pPr>
      <w:bookmarkStart w:id="1152" w:name="_Toc18366"/>
      <w:bookmarkStart w:id="1153" w:name="_Toc22260"/>
      <w:bookmarkStart w:id="1154" w:name="_Toc30558"/>
      <w:bookmarkStart w:id="1155" w:name="_Toc20500"/>
      <w:bookmarkStart w:id="1156" w:name="_Toc1864"/>
      <w:r>
        <w:rPr>
          <w:rFonts w:ascii="Times New Roman" w:hAnsi="Times New Roman" w:cs="Times New Roman"/>
          <w:color w:val="000000" w:themeColor="text1"/>
          <w14:textFill>
            <w14:solidFill>
              <w14:schemeClr w14:val="tx1"/>
            </w14:solidFill>
          </w14:textFill>
        </w:rPr>
        <w:t>9.1.2 项目区环境质量现状结论</w:t>
      </w:r>
      <w:bookmarkEnd w:id="1152"/>
      <w:bookmarkEnd w:id="1153"/>
      <w:bookmarkEnd w:id="1154"/>
      <w:bookmarkEnd w:id="1155"/>
      <w:bookmarkEnd w:id="1156"/>
    </w:p>
    <w:p>
      <w:pPr>
        <w:pStyle w:val="7"/>
        <w:rPr>
          <w:rFonts w:cs="Times New Roman"/>
          <w:color w:val="000000" w:themeColor="text1"/>
          <w14:textFill>
            <w14:solidFill>
              <w14:schemeClr w14:val="tx1"/>
            </w14:solidFill>
          </w14:textFill>
        </w:rPr>
      </w:pPr>
      <w:bookmarkStart w:id="1157" w:name="_Toc5741"/>
      <w:bookmarkStart w:id="1158" w:name="_Toc21071"/>
      <w:r>
        <w:rPr>
          <w:rFonts w:cs="Times New Roman"/>
          <w:color w:val="000000" w:themeColor="text1"/>
          <w14:textFill>
            <w14:solidFill>
              <w14:schemeClr w14:val="tx1"/>
            </w14:solidFill>
          </w14:textFill>
        </w:rPr>
        <w:t>9.1.2.1 大气环境质量现状</w:t>
      </w:r>
      <w:bookmarkEnd w:id="1157"/>
      <w:bookmarkEnd w:id="1158"/>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根据2019年昌吉市监测站环境空气质量自动监测子站逐日监测数据</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项目所在区域为非达标区，环境空气满足《环境空气质量标准》（GB3095-2012）二级标准。</w:t>
      </w:r>
    </w:p>
    <w:p>
      <w:pPr>
        <w:pStyle w:val="7"/>
        <w:rPr>
          <w:rFonts w:cs="Times New Roman"/>
          <w:color w:val="000000" w:themeColor="text1"/>
          <w14:textFill>
            <w14:solidFill>
              <w14:schemeClr w14:val="tx1"/>
            </w14:solidFill>
          </w14:textFill>
        </w:rPr>
      </w:pPr>
      <w:bookmarkStart w:id="1159" w:name="_Toc9230"/>
      <w:bookmarkStart w:id="1160" w:name="_Toc26273"/>
      <w:r>
        <w:rPr>
          <w:rFonts w:cs="Times New Roman"/>
          <w:color w:val="000000" w:themeColor="text1"/>
          <w14:textFill>
            <w14:solidFill>
              <w14:schemeClr w14:val="tx1"/>
            </w14:solidFill>
          </w14:textFill>
        </w:rPr>
        <w:t>9.1.2.2 水环境质量现状</w:t>
      </w:r>
      <w:bookmarkEnd w:id="1159"/>
      <w:bookmarkEnd w:id="1160"/>
    </w:p>
    <w:p>
      <w:pPr>
        <w:tabs>
          <w:tab w:val="left" w:pos="6480"/>
        </w:tabs>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项目所在区域地下水监测结果中，各因子均符合《地下水质量标准》（GB/T14848-2017）中</w:t>
      </w:r>
      <w:r>
        <w:rPr>
          <w:rFonts w:ascii="Times New Roman" w:hAnsi="Times New Roman" w:eastAsia="仿宋" w:cs="Times New Roman"/>
          <w:color w:val="000000" w:themeColor="text1"/>
          <w14:textFill>
            <w14:solidFill>
              <w14:schemeClr w14:val="tx1"/>
            </w14:solidFill>
          </w14:textFill>
        </w:rPr>
        <w:t>Ⅲ</w:t>
      </w:r>
      <w:r>
        <w:rPr>
          <w:rFonts w:ascii="Times New Roman" w:hAnsi="Times New Roman" w:cs="Times New Roman"/>
          <w:color w:val="000000" w:themeColor="text1"/>
          <w14:textFill>
            <w14:solidFill>
              <w14:schemeClr w14:val="tx1"/>
            </w14:solidFill>
          </w14:textFill>
        </w:rPr>
        <w:t>类标准要求。</w:t>
      </w:r>
    </w:p>
    <w:p>
      <w:pPr>
        <w:pStyle w:val="7"/>
        <w:rPr>
          <w:rFonts w:cs="Times New Roman"/>
          <w:color w:val="000000" w:themeColor="text1"/>
          <w14:textFill>
            <w14:solidFill>
              <w14:schemeClr w14:val="tx1"/>
            </w14:solidFill>
          </w14:textFill>
        </w:rPr>
      </w:pPr>
      <w:bookmarkStart w:id="1161" w:name="_Toc8814"/>
      <w:bookmarkStart w:id="1162" w:name="_Toc26762"/>
      <w:r>
        <w:rPr>
          <w:rFonts w:cs="Times New Roman"/>
          <w:color w:val="000000" w:themeColor="text1"/>
          <w14:textFill>
            <w14:solidFill>
              <w14:schemeClr w14:val="tx1"/>
            </w14:solidFill>
          </w14:textFill>
        </w:rPr>
        <w:t>9.1.2.3 声环境质量现状</w:t>
      </w:r>
      <w:bookmarkEnd w:id="1161"/>
      <w:bookmarkEnd w:id="1162"/>
    </w:p>
    <w:p>
      <w:pPr>
        <w:topLinePunct/>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厂界四周噪声值均低于《声环境质量标准》（GB3096-2008）中的</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类标准，说明项所在区域声环境质量良好。</w:t>
      </w:r>
    </w:p>
    <w:p>
      <w:pPr>
        <w:pStyle w:val="6"/>
        <w:rPr>
          <w:rFonts w:ascii="Times New Roman" w:hAnsi="Times New Roman" w:cs="Times New Roman"/>
          <w:color w:val="000000" w:themeColor="text1"/>
          <w14:textFill>
            <w14:solidFill>
              <w14:schemeClr w14:val="tx1"/>
            </w14:solidFill>
          </w14:textFill>
        </w:rPr>
      </w:pPr>
      <w:bookmarkStart w:id="1163" w:name="_Toc28748"/>
      <w:bookmarkStart w:id="1164" w:name="_Toc23969"/>
      <w:bookmarkStart w:id="1165" w:name="_Toc2292"/>
      <w:bookmarkStart w:id="1166" w:name="_Toc13481"/>
      <w:bookmarkStart w:id="1167" w:name="_Toc22343"/>
      <w:r>
        <w:rPr>
          <w:rFonts w:ascii="Times New Roman" w:hAnsi="Times New Roman" w:cs="Times New Roman"/>
          <w:color w:val="000000" w:themeColor="text1"/>
          <w14:textFill>
            <w14:solidFill>
              <w14:schemeClr w14:val="tx1"/>
            </w14:solidFill>
          </w14:textFill>
        </w:rPr>
        <w:t>9.1.3 环保措施分析结论</w:t>
      </w:r>
      <w:bookmarkEnd w:id="1163"/>
      <w:bookmarkEnd w:id="1164"/>
      <w:bookmarkEnd w:id="1165"/>
      <w:bookmarkEnd w:id="1166"/>
      <w:bookmarkEnd w:id="1167"/>
    </w:p>
    <w:p>
      <w:pPr>
        <w:pStyle w:val="7"/>
        <w:rPr>
          <w:rFonts w:cs="Times New Roman"/>
          <w:color w:val="000000" w:themeColor="text1"/>
          <w14:textFill>
            <w14:solidFill>
              <w14:schemeClr w14:val="tx1"/>
            </w14:solidFill>
          </w14:textFill>
        </w:rPr>
      </w:pPr>
      <w:bookmarkStart w:id="1168" w:name="_Toc23894"/>
      <w:bookmarkStart w:id="1169" w:name="_Toc31798"/>
      <w:r>
        <w:rPr>
          <w:rFonts w:cs="Times New Roman"/>
          <w:color w:val="000000" w:themeColor="text1"/>
          <w14:textFill>
            <w14:solidFill>
              <w14:schemeClr w14:val="tx1"/>
            </w14:solidFill>
          </w14:textFill>
        </w:rPr>
        <w:t>9.1.3.1 废气治理措施</w:t>
      </w:r>
      <w:bookmarkEnd w:id="1168"/>
      <w:bookmarkEnd w:id="1169"/>
    </w:p>
    <w:p>
      <w:pPr>
        <w:topLinePunct/>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圈舍产生的恶臭采用通风系统、除臭剂、消毒剂处理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堆肥场产生的恶臭采用复合发酵除臭菌剂、除臭剂</w:t>
      </w:r>
      <w:r>
        <w:rPr>
          <w:rFonts w:hint="eastAsia" w:ascii="Times New Roman" w:hAnsi="Times New Roman" w:cs="Times New Roman"/>
          <w:color w:val="000000" w:themeColor="text1"/>
          <w14:textFill>
            <w14:solidFill>
              <w14:schemeClr w14:val="tx1"/>
            </w14:solidFill>
          </w14:textFill>
        </w:rPr>
        <w:t>处理，</w:t>
      </w:r>
      <w:r>
        <w:rPr>
          <w:rFonts w:ascii="Times New Roman" w:hAnsi="Times New Roman" w:cs="Times New Roman"/>
          <w:color w:val="000000" w:themeColor="text1"/>
          <w14:textFill>
            <w14:solidFill>
              <w14:schemeClr w14:val="tx1"/>
            </w14:solidFill>
          </w14:textFill>
        </w:rPr>
        <w:t>厌氧储存塘采用覆膜处理</w:t>
      </w:r>
      <w:r>
        <w:rPr>
          <w:rFonts w:hint="eastAsia" w:ascii="Times New Roman" w:hAnsi="Times New Roman" w:cs="Times New Roman"/>
          <w:color w:val="000000" w:themeColor="text1"/>
          <w14:textFill>
            <w14:solidFill>
              <w14:schemeClr w14:val="tx1"/>
            </w14:solidFill>
          </w14:textFill>
        </w:rPr>
        <w:t>，以上养殖恶臭均满足《禽畜养殖业污染物排放标准》（GB18596-2001）中表7排放限值和《恶臭污染物排放标准》（GB14554-93）表2中污染物排放标准限值后达标排放</w:t>
      </w:r>
      <w:r>
        <w:rPr>
          <w:rFonts w:ascii="Times New Roman" w:hAnsi="Times New Roman" w:cs="Times New Roman"/>
          <w:color w:val="000000" w:themeColor="text1"/>
          <w14:textFill>
            <w14:solidFill>
              <w14:schemeClr w14:val="tx1"/>
            </w14:solidFill>
          </w14:textFill>
        </w:rPr>
        <w:t>；食堂油烟经油烟净化器处理后</w:t>
      </w:r>
      <w:r>
        <w:rPr>
          <w:rFonts w:hint="eastAsia" w:ascii="Times New Roman" w:hAnsi="Times New Roman" w:cs="Times New Roman"/>
          <w:color w:val="000000" w:themeColor="text1"/>
          <w14:textFill>
            <w14:solidFill>
              <w14:schemeClr w14:val="tx1"/>
            </w14:solidFill>
          </w14:textFill>
        </w:rPr>
        <w:t>达到《饮食业油烟排放标准》（GB18483-2001）中相关标准后</w:t>
      </w:r>
      <w:r>
        <w:rPr>
          <w:rFonts w:ascii="Times New Roman" w:hAnsi="Times New Roman" w:cs="Times New Roman"/>
          <w:color w:val="000000" w:themeColor="text1"/>
          <w14:textFill>
            <w14:solidFill>
              <w14:schemeClr w14:val="tx1"/>
            </w14:solidFill>
          </w14:textFill>
        </w:rPr>
        <w:t>由专用烟道引至屋顶排放。</w:t>
      </w:r>
    </w:p>
    <w:p>
      <w:pPr>
        <w:topLinePunct/>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综上，废气采取以上措施是可行的，可使建项目废气排放控制在环保标准要求范围内。</w:t>
      </w:r>
    </w:p>
    <w:p>
      <w:pPr>
        <w:pStyle w:val="7"/>
        <w:rPr>
          <w:rFonts w:cs="Times New Roman"/>
          <w:color w:val="000000" w:themeColor="text1"/>
          <w14:textFill>
            <w14:solidFill>
              <w14:schemeClr w14:val="tx1"/>
            </w14:solidFill>
          </w14:textFill>
        </w:rPr>
      </w:pPr>
      <w:bookmarkStart w:id="1170" w:name="_Toc4124"/>
      <w:bookmarkStart w:id="1171" w:name="_Toc28386"/>
      <w:r>
        <w:rPr>
          <w:rFonts w:cs="Times New Roman"/>
          <w:color w:val="000000" w:themeColor="text1"/>
          <w14:textFill>
            <w14:solidFill>
              <w14:schemeClr w14:val="tx1"/>
            </w14:solidFill>
          </w14:textFill>
        </w:rPr>
        <w:t>9.1.3.2 废水治理措施</w:t>
      </w:r>
      <w:bookmarkEnd w:id="1170"/>
      <w:bookmarkEnd w:id="1171"/>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本项目废水主要包括</w:t>
      </w:r>
      <w:r>
        <w:rPr>
          <w:rFonts w:hint="eastAsia" w:ascii="Times New Roman" w:hAnsi="Times New Roman" w:cs="Times New Roman"/>
          <w:color w:val="000000" w:themeColor="text1"/>
          <w14:textFill>
            <w14:solidFill>
              <w14:schemeClr w14:val="tx1"/>
            </w14:solidFill>
          </w14:textFill>
        </w:rPr>
        <w:t>养殖废水（</w:t>
      </w:r>
      <w:r>
        <w:rPr>
          <w:rFonts w:ascii="Times New Roman" w:hAnsi="Times New Roman" w:cs="Times New Roman"/>
          <w:color w:val="000000" w:themeColor="text1"/>
          <w14:textFill>
            <w14:solidFill>
              <w14:schemeClr w14:val="tx1"/>
            </w14:solidFill>
          </w14:textFill>
        </w:rPr>
        <w:t>猪舍的冲洗废水、猪粪尿</w:t>
      </w:r>
      <w:r>
        <w:rPr>
          <w:rFonts w:hint="eastAsia" w:ascii="Times New Roman" w:hAnsi="Times New Roman" w:cs="Times New Roman"/>
          <w:color w:val="000000" w:themeColor="text1"/>
          <w14:textFill>
            <w14:solidFill>
              <w14:schemeClr w14:val="tx1"/>
            </w14:solidFill>
          </w14:textFill>
        </w:rPr>
        <w:t>、粪污滤液）及员工生活污水</w:t>
      </w:r>
      <w:r>
        <w:rPr>
          <w:rFonts w:ascii="Times New Roman" w:hAnsi="Times New Roman" w:cs="Times New Roman"/>
          <w:color w:val="000000" w:themeColor="text1"/>
          <w14:textFill>
            <w14:solidFill>
              <w14:schemeClr w14:val="tx1"/>
            </w14:solidFill>
          </w14:textFill>
        </w:rPr>
        <w:t>。养殖废水与生活污水采用“固液分离＋厌氧储存塘发酵”污水处理工程 处理后，用于周边农田灌溉，不外排。</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综上，废水采取以上措施处理是可行的，可使建项目废水排放控制在环保标准要求范围内。</w:t>
      </w:r>
    </w:p>
    <w:p>
      <w:pPr>
        <w:pStyle w:val="7"/>
        <w:rPr>
          <w:rFonts w:cs="Times New Roman"/>
          <w:color w:val="000000" w:themeColor="text1"/>
          <w14:textFill>
            <w14:solidFill>
              <w14:schemeClr w14:val="tx1"/>
            </w14:solidFill>
          </w14:textFill>
        </w:rPr>
      </w:pPr>
      <w:bookmarkStart w:id="1172" w:name="_Toc23155"/>
      <w:bookmarkStart w:id="1173" w:name="_Toc2517"/>
      <w:r>
        <w:rPr>
          <w:rFonts w:cs="Times New Roman"/>
          <w:color w:val="000000" w:themeColor="text1"/>
          <w14:textFill>
            <w14:solidFill>
              <w14:schemeClr w14:val="tx1"/>
            </w14:solidFill>
          </w14:textFill>
        </w:rPr>
        <w:t>9.1.3.3 噪声治理措施</w:t>
      </w:r>
      <w:bookmarkEnd w:id="1172"/>
      <w:bookmarkEnd w:id="1173"/>
    </w:p>
    <w:p>
      <w:pPr>
        <w:topLinePunct/>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工程中采取的噪声污染控制措施如下：</w:t>
      </w:r>
    </w:p>
    <w:p>
      <w:pPr>
        <w:topLinePunct/>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①在设备选型上尽可能选用低噪声设备。</w:t>
      </w:r>
    </w:p>
    <w:p>
      <w:pPr>
        <w:topLinePunct/>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②对噪声大的设备安装消声器和隔声罩。</w:t>
      </w:r>
    </w:p>
    <w:p>
      <w:pPr>
        <w:topLinePunct/>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③在建筑设计上采取隔声、吸音等降噪措施。</w:t>
      </w:r>
    </w:p>
    <w:p>
      <w:pPr>
        <w:topLinePunct/>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④在总图布置上，将噪声大的设备尽可能安排在远离厂界的位置，且集中布置于室内。</w:t>
      </w:r>
    </w:p>
    <w:p>
      <w:pPr>
        <w:topLinePunct/>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采取措施后厂界噪声能达《工业单位厂界环境噪声排放标准》（GB12348-2008）中的标准中的</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类标准要求。</w:t>
      </w:r>
    </w:p>
    <w:p>
      <w:pPr>
        <w:topLinePunct/>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综上，噪声采取以上措施处理是可行的，可使建项目噪声排放控制在环保标准要求范围内。</w:t>
      </w:r>
    </w:p>
    <w:p>
      <w:pPr>
        <w:pStyle w:val="7"/>
        <w:rPr>
          <w:rFonts w:cs="Times New Roman"/>
          <w:color w:val="000000" w:themeColor="text1"/>
          <w14:textFill>
            <w14:solidFill>
              <w14:schemeClr w14:val="tx1"/>
            </w14:solidFill>
          </w14:textFill>
        </w:rPr>
      </w:pPr>
      <w:bookmarkStart w:id="1174" w:name="_Toc11859"/>
      <w:bookmarkStart w:id="1175" w:name="_Toc16670"/>
      <w:r>
        <w:rPr>
          <w:rFonts w:cs="Times New Roman"/>
          <w:color w:val="000000" w:themeColor="text1"/>
          <w14:textFill>
            <w14:solidFill>
              <w14:schemeClr w14:val="tx1"/>
            </w14:solidFill>
          </w14:textFill>
        </w:rPr>
        <w:t>9.1.3.4 固体废物治理措施</w:t>
      </w:r>
      <w:bookmarkEnd w:id="1174"/>
      <w:bookmarkEnd w:id="1175"/>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猪粪集中清运至堆肥场发酵处理，经腐熟无害化后做为农肥还田；病死猪尸体采用高温与生物降解畜禽无害化处理技术和设施对病死猪尸体进行处理，经处理后产生的残渣和油脂根据卫生部门和防疫部门的相关要求进行处置；兽用医疗废物暂存于医疗废物储存间，定期交有资质单位处置；污泥与发酵后的猪粪一起作为有机肥还田；生活垃圾集中收集后，定期委托环卫部门统一清运至昌吉市垃圾填埋场。</w:t>
      </w:r>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综上，固废在采取以上措施处理后，可使建项目固废排放控制在环保标准要求范围内。</w:t>
      </w:r>
    </w:p>
    <w:p>
      <w:pPr>
        <w:pStyle w:val="6"/>
        <w:rPr>
          <w:rFonts w:ascii="Times New Roman" w:hAnsi="Times New Roman" w:cs="Times New Roman"/>
          <w:color w:val="000000" w:themeColor="text1"/>
          <w14:textFill>
            <w14:solidFill>
              <w14:schemeClr w14:val="tx1"/>
            </w14:solidFill>
          </w14:textFill>
        </w:rPr>
      </w:pPr>
      <w:bookmarkStart w:id="1176" w:name="_Toc8150"/>
      <w:bookmarkStart w:id="1177" w:name="_Toc5634"/>
      <w:bookmarkStart w:id="1178" w:name="_Toc22270"/>
      <w:bookmarkStart w:id="1179" w:name="_Toc9673"/>
      <w:bookmarkStart w:id="1180" w:name="_Toc18793"/>
      <w:r>
        <w:rPr>
          <w:rFonts w:ascii="Times New Roman" w:hAnsi="Times New Roman" w:cs="Times New Roman"/>
          <w:color w:val="000000" w:themeColor="text1"/>
          <w14:textFill>
            <w14:solidFill>
              <w14:schemeClr w14:val="tx1"/>
            </w14:solidFill>
          </w14:textFill>
        </w:rPr>
        <w:t>9.1.4 环境影响预测结论</w:t>
      </w:r>
      <w:bookmarkEnd w:id="1176"/>
      <w:bookmarkEnd w:id="1177"/>
      <w:bookmarkEnd w:id="1178"/>
      <w:bookmarkEnd w:id="1179"/>
      <w:bookmarkEnd w:id="1180"/>
    </w:p>
    <w:p>
      <w:pPr>
        <w:pStyle w:val="7"/>
        <w:rPr>
          <w:rFonts w:cs="Times New Roman"/>
          <w:color w:val="000000" w:themeColor="text1"/>
          <w14:textFill>
            <w14:solidFill>
              <w14:schemeClr w14:val="tx1"/>
            </w14:solidFill>
          </w14:textFill>
        </w:rPr>
      </w:pPr>
      <w:bookmarkStart w:id="1181" w:name="_Toc25785"/>
      <w:bookmarkStart w:id="1182" w:name="_Toc24608"/>
      <w:r>
        <w:rPr>
          <w:rFonts w:cs="Times New Roman"/>
          <w:color w:val="000000" w:themeColor="text1"/>
          <w14:textFill>
            <w14:solidFill>
              <w14:schemeClr w14:val="tx1"/>
            </w14:solidFill>
          </w14:textFill>
        </w:rPr>
        <w:t>9.1.4.1 大气影响预测与评价</w:t>
      </w:r>
      <w:bookmarkEnd w:id="1181"/>
      <w:bookmarkEnd w:id="1182"/>
    </w:p>
    <w:p>
      <w:pPr>
        <w:topLinePunct/>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养殖场圈舍大气污染物主要是粪便产生的臭气，臭气主要成分为H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，属无组织排放。对于恶臭污染物的无组织排放，在采取将粪便及时清运、科学设计日粮、提高饲料利用率、合理使用饲料添加剂、加强恶臭污染源管理、加强厂区、</w:t>
      </w:r>
      <w:r>
        <w:rPr>
          <w:rFonts w:hint="eastAsia" w:ascii="Times New Roman" w:hAnsi="Times New Roman" w:cs="Times New Roman"/>
          <w:color w:val="000000" w:themeColor="text1"/>
          <w:lang w:eastAsia="zh-CN"/>
          <w14:textFill>
            <w14:solidFill>
              <w14:schemeClr w14:val="tx1"/>
            </w14:solidFill>
          </w14:textFill>
        </w:rPr>
        <w:t>厂界</w:t>
      </w:r>
      <w:r>
        <w:rPr>
          <w:rFonts w:ascii="Times New Roman" w:hAnsi="Times New Roman" w:cs="Times New Roman"/>
          <w:color w:val="000000" w:themeColor="text1"/>
          <w14:textFill>
            <w14:solidFill>
              <w14:schemeClr w14:val="tx1"/>
            </w14:solidFill>
          </w14:textFill>
        </w:rPr>
        <w:t>绿化、设置卫生防护距离、合理布局等措施后，对周围环境的影响不大。</w:t>
      </w:r>
    </w:p>
    <w:p>
      <w:pPr>
        <w:topLinePunct/>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食堂油烟采用效率大于60%的油烟净化装置净化后，排放浓度能够满足《饮食业油烟排放标准（试行）（GB18483-2001）油烟最高允许排放浓度≤2mg/m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标准，对周围环境的影响较小。</w:t>
      </w:r>
    </w:p>
    <w:p>
      <w:pPr>
        <w:pStyle w:val="7"/>
        <w:rPr>
          <w:rFonts w:cs="Times New Roman"/>
          <w:color w:val="000000" w:themeColor="text1"/>
          <w14:textFill>
            <w14:solidFill>
              <w14:schemeClr w14:val="tx1"/>
            </w14:solidFill>
          </w14:textFill>
        </w:rPr>
      </w:pPr>
      <w:bookmarkStart w:id="1183" w:name="_Toc31488"/>
      <w:bookmarkStart w:id="1184" w:name="_Toc2909"/>
      <w:r>
        <w:rPr>
          <w:rFonts w:cs="Times New Roman"/>
          <w:color w:val="000000" w:themeColor="text1"/>
          <w14:textFill>
            <w14:solidFill>
              <w14:schemeClr w14:val="tx1"/>
            </w14:solidFill>
          </w14:textFill>
        </w:rPr>
        <w:t>9.1.4.2 水环境影响预测与评价</w:t>
      </w:r>
      <w:bookmarkEnd w:id="1183"/>
      <w:bookmarkEnd w:id="1184"/>
    </w:p>
    <w:p>
      <w:pPr>
        <w:snapToGrid w:val="0"/>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本工程排水主要为</w:t>
      </w:r>
      <w:r>
        <w:rPr>
          <w:rFonts w:hint="eastAsia" w:ascii="Times New Roman" w:hAnsi="Times New Roman" w:cs="Times New Roman"/>
          <w:color w:val="000000" w:themeColor="text1"/>
          <w14:textFill>
            <w14:solidFill>
              <w14:schemeClr w14:val="tx1"/>
            </w14:solidFill>
          </w14:textFill>
        </w:rPr>
        <w:t>养殖废水（猪尿、猪舍冲洗水、粪污滤液）</w:t>
      </w:r>
      <w:r>
        <w:rPr>
          <w:rFonts w:ascii="Times New Roman" w:hAnsi="Times New Roman" w:cs="Times New Roman"/>
          <w:color w:val="000000" w:themeColor="text1"/>
          <w14:textFill>
            <w14:solidFill>
              <w14:schemeClr w14:val="tx1"/>
            </w14:solidFill>
          </w14:textFill>
        </w:rPr>
        <w:t>及员工生活污水。养殖场产生的粪污经过《畜禽粪污资源化利用行动方案》（2017-2020）推荐的“污水肥料化利用”模式，采用“固液分离+厌氧储存塘”发酵工艺无害化处理后，产生的液肥用于周边农田，可以实现废物综合利用。</w:t>
      </w:r>
    </w:p>
    <w:p>
      <w:pPr>
        <w:pStyle w:val="7"/>
        <w:rPr>
          <w:rFonts w:cs="Times New Roman"/>
          <w:color w:val="000000" w:themeColor="text1"/>
          <w14:textFill>
            <w14:solidFill>
              <w14:schemeClr w14:val="tx1"/>
            </w14:solidFill>
          </w14:textFill>
        </w:rPr>
      </w:pPr>
      <w:bookmarkStart w:id="1185" w:name="_Toc13747"/>
      <w:bookmarkStart w:id="1186" w:name="_Toc261"/>
      <w:r>
        <w:rPr>
          <w:rFonts w:cs="Times New Roman"/>
          <w:color w:val="000000" w:themeColor="text1"/>
          <w14:textFill>
            <w14:solidFill>
              <w14:schemeClr w14:val="tx1"/>
            </w14:solidFill>
          </w14:textFill>
        </w:rPr>
        <w:t>9.1.4.3 声环境影响预测与评价</w:t>
      </w:r>
      <w:bookmarkEnd w:id="1185"/>
      <w:bookmarkEnd w:id="1186"/>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项目高噪声设备数量较少，主要来源于水泵、空调外机、冷却塔等设备运转时产生的噪声，经隔声减震、距离衰减等措施治理后，昼夜间东、南、西、北厂界噪声符合《声环境质量标准》（GB3096-2008）</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类标准的要求。</w:t>
      </w:r>
    </w:p>
    <w:p>
      <w:pPr>
        <w:pStyle w:val="7"/>
        <w:rPr>
          <w:rFonts w:cs="Times New Roman"/>
          <w:color w:val="000000" w:themeColor="text1"/>
          <w14:textFill>
            <w14:solidFill>
              <w14:schemeClr w14:val="tx1"/>
            </w14:solidFill>
          </w14:textFill>
        </w:rPr>
      </w:pPr>
      <w:bookmarkStart w:id="1187" w:name="_Toc18146"/>
      <w:bookmarkStart w:id="1188" w:name="_Toc10864"/>
      <w:r>
        <w:rPr>
          <w:rFonts w:cs="Times New Roman"/>
          <w:color w:val="000000" w:themeColor="text1"/>
          <w14:textFill>
            <w14:solidFill>
              <w14:schemeClr w14:val="tx1"/>
            </w14:solidFill>
          </w14:textFill>
        </w:rPr>
        <w:t>9.1.4.4 固废环境影响预测与评价</w:t>
      </w:r>
      <w:bookmarkEnd w:id="1187"/>
      <w:bookmarkEnd w:id="1188"/>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本项目的固体废物都能得到妥善的处理处置，实现减量化、资源化和无害化，采取相应的措施后，本项目产生的固体废物对环境的影响不大。</w:t>
      </w:r>
    </w:p>
    <w:p>
      <w:pPr>
        <w:pStyle w:val="6"/>
        <w:rPr>
          <w:rFonts w:ascii="Times New Roman" w:hAnsi="Times New Roman" w:cs="Times New Roman"/>
          <w:color w:val="000000" w:themeColor="text1"/>
          <w14:textFill>
            <w14:solidFill>
              <w14:schemeClr w14:val="tx1"/>
            </w14:solidFill>
          </w14:textFill>
        </w:rPr>
      </w:pPr>
      <w:bookmarkStart w:id="1189" w:name="_Toc20364"/>
      <w:bookmarkStart w:id="1190" w:name="_Toc31062"/>
      <w:bookmarkStart w:id="1191" w:name="_Toc27551"/>
      <w:bookmarkStart w:id="1192" w:name="_Toc8294"/>
      <w:bookmarkStart w:id="1193" w:name="_Toc23699"/>
      <w:bookmarkStart w:id="1194" w:name="_Toc3505"/>
      <w:r>
        <w:rPr>
          <w:rFonts w:ascii="Times New Roman" w:hAnsi="Times New Roman" w:cs="Times New Roman"/>
          <w:color w:val="000000" w:themeColor="text1"/>
          <w14:textFill>
            <w14:solidFill>
              <w14:schemeClr w14:val="tx1"/>
            </w14:solidFill>
          </w14:textFill>
        </w:rPr>
        <w:t>9.1.5 总量控制</w:t>
      </w:r>
      <w:bookmarkEnd w:id="1189"/>
      <w:bookmarkEnd w:id="119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本项目养殖废水和生活污水全部进入自建污水处理站处理达标后回用于</w:t>
      </w:r>
      <w:r>
        <w:rPr>
          <w:rFonts w:hint="eastAsia" w:ascii="Times New Roman" w:hAnsi="Times New Roman" w:cs="Times New Roman"/>
          <w:color w:val="000000" w:themeColor="text1"/>
          <w14:textFill>
            <w14:solidFill>
              <w14:schemeClr w14:val="tx1"/>
            </w14:solidFill>
          </w14:textFill>
        </w:rPr>
        <w:t>周边农田</w:t>
      </w:r>
      <w:r>
        <w:rPr>
          <w:rFonts w:ascii="Times New Roman" w:hAnsi="Times New Roman" w:cs="Times New Roman"/>
          <w:color w:val="000000" w:themeColor="text1"/>
          <w14:textFill>
            <w14:solidFill>
              <w14:schemeClr w14:val="tx1"/>
            </w14:solidFill>
          </w14:textFill>
        </w:rPr>
        <w:t>灌溉，不外排，</w:t>
      </w:r>
      <w:r>
        <w:rPr>
          <w:rFonts w:hint="eastAsia" w:ascii="Times New Roman" w:hAnsi="Times New Roman" w:cs="Times New Roman"/>
          <w:color w:val="000000" w:themeColor="text1"/>
          <w14:textFill>
            <w14:solidFill>
              <w14:schemeClr w14:val="tx1"/>
            </w14:solidFill>
          </w14:textFill>
        </w:rPr>
        <w:t>且</w:t>
      </w:r>
      <w:r>
        <w:rPr>
          <w:rFonts w:ascii="Times New Roman" w:hAnsi="Times New Roman" w:cs="Times New Roman"/>
          <w:color w:val="000000" w:themeColor="text1"/>
          <w14:textFill>
            <w14:solidFill>
              <w14:schemeClr w14:val="tx1"/>
            </w14:solidFill>
          </w14:textFill>
        </w:rPr>
        <w:t>不涉及挥发性有机物。本项目生猪养殖及职工生活均采用电能，无燃煤、燃气等设施，不会产生SO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、NOx、颗粒物（烟粉尘），因此不需要SO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、NOx、颗粒物（烟粉尘）总量控制指标。</w:t>
      </w:r>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因此本项目不需要总量控制指标。</w:t>
      </w:r>
    </w:p>
    <w:p>
      <w:pPr>
        <w:pStyle w:val="6"/>
        <w:rPr>
          <w:rFonts w:ascii="Times New Roman" w:hAnsi="Times New Roman" w:cs="Times New Roman"/>
          <w:color w:val="000000" w:themeColor="text1"/>
          <w14:textFill>
            <w14:solidFill>
              <w14:schemeClr w14:val="tx1"/>
            </w14:solidFill>
          </w14:textFill>
        </w:rPr>
      </w:pPr>
      <w:bookmarkStart w:id="1195" w:name="_Toc32510"/>
      <w:bookmarkStart w:id="1196" w:name="_Toc11418"/>
      <w:r>
        <w:rPr>
          <w:rFonts w:ascii="Times New Roman" w:hAnsi="Times New Roman" w:cs="Times New Roman"/>
          <w:color w:val="000000" w:themeColor="text1"/>
          <w14:textFill>
            <w14:solidFill>
              <w14:schemeClr w14:val="tx1"/>
            </w14:solidFill>
          </w14:textFill>
        </w:rPr>
        <w:t>9.1.6 项目建设可行性结论</w:t>
      </w:r>
      <w:bookmarkEnd w:id="1191"/>
      <w:bookmarkEnd w:id="1192"/>
      <w:bookmarkEnd w:id="1193"/>
      <w:bookmarkEnd w:id="1195"/>
      <w:bookmarkEnd w:id="1196"/>
    </w:p>
    <w:p>
      <w:pPr>
        <w:pStyle w:val="7"/>
        <w:rPr>
          <w:rFonts w:cs="Times New Roman"/>
          <w:color w:val="000000" w:themeColor="text1"/>
          <w14:textFill>
            <w14:solidFill>
              <w14:schemeClr w14:val="tx1"/>
            </w14:solidFill>
          </w14:textFill>
        </w:rPr>
      </w:pPr>
      <w:bookmarkStart w:id="1197" w:name="_Toc9460"/>
      <w:bookmarkStart w:id="1198" w:name="_Toc28119"/>
      <w:r>
        <w:rPr>
          <w:rFonts w:cs="Times New Roman"/>
          <w:color w:val="000000" w:themeColor="text1"/>
          <w14:textFill>
            <w14:solidFill>
              <w14:schemeClr w14:val="tx1"/>
            </w14:solidFill>
          </w14:textFill>
        </w:rPr>
        <w:t>9.1.6.1 产业政策符合性</w:t>
      </w:r>
      <w:bookmarkEnd w:id="1197"/>
      <w:bookmarkEnd w:id="1198"/>
    </w:p>
    <w:bookmarkEnd w:id="1194"/>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属于《国民经济行业分类》分类中的“A0320猪的饲养”，根据《产业结构调整指导目录（2019年本）》（2020年1月1日起实施，国家发展和改革委员会第9号令），本项目属于“第一类鼓励类，第一项农林业，第4条畜禽标准化规模养殖技术开发与应用”，场区未使用淘汰设备，符合国家的产业政策。</w:t>
      </w:r>
    </w:p>
    <w:p>
      <w:pPr>
        <w:pStyle w:val="7"/>
        <w:rPr>
          <w:rFonts w:cs="Times New Roman"/>
          <w:color w:val="000000" w:themeColor="text1"/>
          <w14:textFill>
            <w14:solidFill>
              <w14:schemeClr w14:val="tx1"/>
            </w14:solidFill>
          </w14:textFill>
        </w:rPr>
      </w:pPr>
      <w:bookmarkStart w:id="1199" w:name="_Toc302"/>
      <w:bookmarkStart w:id="1200" w:name="_Toc22889"/>
      <w:r>
        <w:rPr>
          <w:rFonts w:cs="Times New Roman"/>
          <w:color w:val="000000" w:themeColor="text1"/>
          <w14:textFill>
            <w14:solidFill>
              <w14:schemeClr w14:val="tx1"/>
            </w14:solidFill>
          </w14:textFill>
        </w:rPr>
        <w:t>9.1.6.2 规划相符性</w:t>
      </w:r>
      <w:bookmarkEnd w:id="1199"/>
      <w:bookmarkEnd w:id="1200"/>
    </w:p>
    <w:p>
      <w:pPr>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本项目位于昌吉农业园区牛圈子湖示范一区，项目符合新疆昌吉国家农业科技园区十三五社会经济发展规划和污染防治规划，用地符合新疆昌吉国家农业科技园区总体规划，用地性质为农业设施用地。</w:t>
      </w:r>
    </w:p>
    <w:p>
      <w:pPr>
        <w:pStyle w:val="7"/>
        <w:rPr>
          <w:rFonts w:cs="Times New Roman"/>
          <w:color w:val="000000" w:themeColor="text1"/>
          <w14:textFill>
            <w14:solidFill>
              <w14:schemeClr w14:val="tx1"/>
            </w14:solidFill>
          </w14:textFill>
        </w:rPr>
      </w:pPr>
      <w:bookmarkStart w:id="1201" w:name="_Toc10160"/>
      <w:bookmarkStart w:id="1202" w:name="_Toc24882"/>
      <w:r>
        <w:rPr>
          <w:rFonts w:cs="Times New Roman"/>
          <w:color w:val="000000" w:themeColor="text1"/>
          <w14:textFill>
            <w14:solidFill>
              <w14:schemeClr w14:val="tx1"/>
            </w14:solidFill>
          </w14:textFill>
        </w:rPr>
        <w:t>9.1.6.3 选址合理性</w:t>
      </w:r>
      <w:bookmarkEnd w:id="1201"/>
      <w:bookmarkEnd w:id="1202"/>
    </w:p>
    <w:p>
      <w:pPr>
        <w:spacing w:line="520" w:lineRule="exact"/>
        <w:jc w:val="left"/>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根据新疆昌吉国家农业科技园区管理委员会办公室印发《关于划分畜禽养殖禁养区和限养区实施方案》的通知（昌农科管办发〔2017〕33号）</w:t>
      </w:r>
      <w:r>
        <w:rPr>
          <w:rFonts w:ascii="Times New Roman" w:hAnsi="Times New Roman" w:cs="Times New Roman"/>
          <w:color w:val="000000" w:themeColor="text1"/>
          <w:highlight w:val="none"/>
          <w14:textFill>
            <w14:solidFill>
              <w14:schemeClr w14:val="tx1"/>
            </w14:solidFill>
          </w14:textFill>
        </w:rPr>
        <w:t>，本项目不属于禁养区及限养区范围内。项目不涉及饮用水水源保护区、风景名胜区、自然保护区、森林、文物古迹、基本农田、基本草原等环境敏感区，项目场址离居民区及村庄较远，不影响当地居民的生活环境，所涉及的污染物达标排放及环境问题可通过采取一定的措施予以解决，从环保角度看项目选址是合理的。</w:t>
      </w:r>
    </w:p>
    <w:p>
      <w:pPr>
        <w:pStyle w:val="6"/>
        <w:rPr>
          <w:rFonts w:ascii="Times New Roman" w:hAnsi="Times New Roman" w:cs="Times New Roman"/>
          <w:color w:val="000000" w:themeColor="text1"/>
          <w14:textFill>
            <w14:solidFill>
              <w14:schemeClr w14:val="tx1"/>
            </w14:solidFill>
          </w14:textFill>
        </w:rPr>
      </w:pPr>
      <w:bookmarkStart w:id="1203" w:name="_Toc32335"/>
      <w:bookmarkStart w:id="1204" w:name="_Toc27993"/>
      <w:bookmarkStart w:id="1205" w:name="_Toc31474"/>
      <w:bookmarkStart w:id="1206" w:name="_Toc1533"/>
      <w:bookmarkStart w:id="1207" w:name="_Toc11511"/>
      <w:bookmarkStart w:id="1208" w:name="_Toc21705"/>
      <w:r>
        <w:rPr>
          <w:rFonts w:ascii="Times New Roman" w:hAnsi="Times New Roman" w:cs="Times New Roman"/>
          <w:color w:val="000000" w:themeColor="text1"/>
          <w14:textFill>
            <w14:solidFill>
              <w14:schemeClr w14:val="tx1"/>
            </w14:solidFill>
          </w14:textFill>
        </w:rPr>
        <w:t>9.1.7 环境影响经济损益结论</w:t>
      </w:r>
      <w:bookmarkEnd w:id="1203"/>
      <w:bookmarkEnd w:id="1204"/>
      <w:bookmarkEnd w:id="1205"/>
      <w:bookmarkEnd w:id="1206"/>
      <w:bookmarkEnd w:id="1207"/>
      <w:bookmarkEnd w:id="1208"/>
    </w:p>
    <w:p>
      <w:pPr>
        <w:spacing w:line="520" w:lineRule="exact"/>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本项目环保投资估算为</w:t>
      </w:r>
      <w:r>
        <w:rPr>
          <w:rFonts w:hint="eastAsia" w:ascii="Times New Roman" w:hAnsi="Times New Roman" w:cs="Times New Roman"/>
          <w:color w:val="000000" w:themeColor="text1"/>
          <w14:textFill>
            <w14:solidFill>
              <w14:schemeClr w14:val="tx1"/>
            </w14:solidFill>
          </w14:textFill>
        </w:rPr>
        <w:t>308</w:t>
      </w:r>
      <w:r>
        <w:rPr>
          <w:rFonts w:ascii="Times New Roman" w:hAnsi="Times New Roman" w:cs="Times New Roman"/>
          <w:color w:val="000000" w:themeColor="text1"/>
          <w14:textFill>
            <w14:solidFill>
              <w14:schemeClr w14:val="tx1"/>
            </w14:solidFill>
          </w14:textFill>
        </w:rPr>
        <w:t>万元，用于对项目所产生污染物的治理，环保投资占总投资的</w:t>
      </w:r>
      <w:r>
        <w:rPr>
          <w:rFonts w:hint="eastAsia" w:ascii="Times New Roman" w:hAnsi="Times New Roman" w:cs="Times New Roman"/>
          <w:color w:val="000000" w:themeColor="text1"/>
          <w14:textFill>
            <w14:solidFill>
              <w14:schemeClr w14:val="tx1"/>
            </w14:solidFill>
          </w14:textFill>
        </w:rPr>
        <w:t>1.93</w:t>
      </w:r>
      <w:r>
        <w:rPr>
          <w:rFonts w:ascii="Times New Roman" w:hAnsi="Times New Roman" w:cs="Times New Roman"/>
          <w:color w:val="000000" w:themeColor="text1"/>
          <w14:textFill>
            <w14:solidFill>
              <w14:schemeClr w14:val="tx1"/>
            </w14:solidFill>
          </w14:textFill>
        </w:rPr>
        <w:t>%。在采取各项合理的环保措施后可在很大程度上减免项目建设、运营对环境造成的不利影响。项目环境保护费用可视为恢复环境质量所花费的费用，实现了环境效益和经济效益的统一。</w:t>
      </w:r>
    </w:p>
    <w:p>
      <w:pPr>
        <w:pStyle w:val="6"/>
        <w:rPr>
          <w:rFonts w:ascii="Times New Roman" w:hAnsi="Times New Roman" w:cs="Times New Roman"/>
          <w:color w:val="000000" w:themeColor="text1"/>
          <w14:textFill>
            <w14:solidFill>
              <w14:schemeClr w14:val="tx1"/>
            </w14:solidFill>
          </w14:textFill>
        </w:rPr>
      </w:pPr>
      <w:bookmarkStart w:id="1209" w:name="_Toc24611"/>
      <w:bookmarkStart w:id="1210" w:name="_Toc15887"/>
      <w:bookmarkStart w:id="1211" w:name="_Toc5279"/>
      <w:bookmarkStart w:id="1212" w:name="_Toc28820"/>
      <w:bookmarkStart w:id="1213" w:name="_Toc20548"/>
      <w:bookmarkStart w:id="1214" w:name="_Toc31638"/>
      <w:r>
        <w:rPr>
          <w:rFonts w:ascii="Times New Roman" w:hAnsi="Times New Roman" w:cs="Times New Roman"/>
          <w:color w:val="000000" w:themeColor="text1"/>
          <w14:textFill>
            <w14:solidFill>
              <w14:schemeClr w14:val="tx1"/>
            </w14:solidFill>
          </w14:textFill>
        </w:rPr>
        <w:t>9.1.8 公众参与</w:t>
      </w:r>
      <w:bookmarkEnd w:id="1209"/>
      <w:bookmarkEnd w:id="1210"/>
      <w:bookmarkEnd w:id="1211"/>
      <w:r>
        <w:rPr>
          <w:rFonts w:ascii="Times New Roman" w:hAnsi="Times New Roman" w:cs="Times New Roman"/>
          <w:color w:val="000000" w:themeColor="text1"/>
          <w14:textFill>
            <w14:solidFill>
              <w14:schemeClr w14:val="tx1"/>
            </w14:solidFill>
          </w14:textFill>
        </w:rPr>
        <w:t>结论</w:t>
      </w:r>
      <w:bookmarkEnd w:id="1212"/>
      <w:bookmarkEnd w:id="1213"/>
      <w:bookmarkEnd w:id="1214"/>
    </w:p>
    <w:p>
      <w:pPr>
        <w:autoSpaceDE w:val="0"/>
        <w:autoSpaceDN w:val="0"/>
        <w:adjustRightInd w:val="0"/>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在项目环境影响评价期间，建设单位于202</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年</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日在</w:t>
      </w:r>
      <w:r>
        <w:rPr>
          <w:rFonts w:hint="eastAsia" w:ascii="Times New Roman" w:hAnsi="Times New Roman" w:cs="Times New Roman"/>
          <w:color w:val="000000" w:themeColor="text1"/>
          <w14:textFill>
            <w14:solidFill>
              <w14:schemeClr w14:val="tx1"/>
            </w14:solidFill>
          </w14:textFill>
        </w:rPr>
        <w:t>昌吉国家农业科技园区</w:t>
      </w:r>
      <w:r>
        <w:rPr>
          <w:rFonts w:ascii="Times New Roman" w:hAnsi="Times New Roman" w:cs="Times New Roman"/>
          <w:color w:val="000000" w:themeColor="text1"/>
          <w14:textFill>
            <w14:solidFill>
              <w14:schemeClr w14:val="tx1"/>
            </w14:solidFill>
          </w14:textFill>
        </w:rPr>
        <w:t>政府网（网址</w:t>
      </w:r>
      <w:r>
        <w:rPr>
          <w:rFonts w:hint="eastAsia" w:ascii="Times New Roman" w:hAnsi="Times New Roman" w:cs="Times New Roman"/>
          <w:color w:val="000000" w:themeColor="text1"/>
          <w14:textFill>
            <w14:solidFill>
              <w14:schemeClr w14:val="tx1"/>
            </w14:solidFill>
          </w14:textFill>
        </w:rPr>
        <w:t>链接</w:t>
      </w:r>
      <w:r>
        <w:rPr>
          <w:rFonts w:ascii="Times New Roman" w:hAnsi="Times New Roman" w:cs="Times New Roman"/>
          <w:color w:val="000000" w:themeColor="text1"/>
          <w14:textFill>
            <w14:solidFill>
              <w14:schemeClr w14:val="tx1"/>
            </w14:solidFill>
          </w14:textFill>
        </w:rPr>
        <w:t>：http://kjy.cj.cn/tzgg/42529.htm）上对项目环保信息进行了第一次公示，没有人对项目建设提出意见。项目环境影响报告书征求意见稿完成后，于2021年</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月</w:t>
      </w:r>
      <w:r>
        <w:rPr>
          <w:rFonts w:hint="eastAsia" w:ascii="Times New Roman" w:hAnsi="Times New Roman" w:cs="Times New Roman"/>
          <w:color w:val="000000" w:themeColor="text1"/>
          <w14:textFill>
            <w14:solidFill>
              <w14:schemeClr w14:val="tx1"/>
            </w14:solidFill>
          </w14:textFill>
        </w:rPr>
        <w:t>15</w:t>
      </w:r>
      <w:r>
        <w:rPr>
          <w:rFonts w:ascii="Times New Roman" w:hAnsi="Times New Roman" w:cs="Times New Roman"/>
          <w:color w:val="000000" w:themeColor="text1"/>
          <w14:textFill>
            <w14:solidFill>
              <w14:schemeClr w14:val="tx1"/>
            </w14:solidFill>
          </w14:textFill>
        </w:rPr>
        <w:t>日在</w:t>
      </w:r>
      <w:r>
        <w:rPr>
          <w:rFonts w:hint="eastAsia" w:ascii="Times New Roman" w:hAnsi="Times New Roman" w:cs="Times New Roman"/>
          <w:color w:val="000000" w:themeColor="text1"/>
          <w14:textFill>
            <w14:solidFill>
              <w14:schemeClr w14:val="tx1"/>
            </w14:solidFill>
          </w14:textFill>
        </w:rPr>
        <w:t>昌吉国家农业科技园区</w:t>
      </w:r>
      <w:r>
        <w:rPr>
          <w:rFonts w:ascii="Times New Roman" w:hAnsi="Times New Roman" w:cs="Times New Roman"/>
          <w:color w:val="000000" w:themeColor="text1"/>
          <w14:textFill>
            <w14:solidFill>
              <w14:schemeClr w14:val="tx1"/>
            </w14:solidFill>
          </w14:textFill>
        </w:rPr>
        <w:t>政府网（网址</w:t>
      </w:r>
      <w:r>
        <w:rPr>
          <w:rFonts w:hint="eastAsia" w:ascii="Times New Roman" w:hAnsi="Times New Roman" w:cs="Times New Roman"/>
          <w:color w:val="000000" w:themeColor="text1"/>
          <w14:textFill>
            <w14:solidFill>
              <w14:schemeClr w14:val="tx1"/>
            </w14:solidFill>
          </w14:textFill>
        </w:rPr>
        <w:t>链接</w:t>
      </w:r>
      <w:r>
        <w:rPr>
          <w:rFonts w:ascii="Times New Roman" w:hAnsi="Times New Roman" w:cs="Times New Roman"/>
          <w:color w:val="000000" w:themeColor="text1"/>
          <w14:textFill>
            <w14:solidFill>
              <w14:schemeClr w14:val="tx1"/>
            </w14:solidFill>
          </w14:textFill>
        </w:rPr>
        <w:t>：http://kjy.cj.cn/tzgg/42618.htm）对项目环境影响报告书征求意见稿进行了公开，并且同步进行了以报纸、公告等形式的公示等，在公示期间未收到公众反馈。</w:t>
      </w:r>
    </w:p>
    <w:p>
      <w:pPr>
        <w:pStyle w:val="6"/>
        <w:rPr>
          <w:rFonts w:ascii="Times New Roman" w:hAnsi="Times New Roman" w:cs="Times New Roman"/>
          <w:color w:val="000000" w:themeColor="text1"/>
          <w14:textFill>
            <w14:solidFill>
              <w14:schemeClr w14:val="tx1"/>
            </w14:solidFill>
          </w14:textFill>
        </w:rPr>
      </w:pPr>
      <w:bookmarkStart w:id="1215" w:name="_Toc29160"/>
      <w:bookmarkStart w:id="1216" w:name="_Toc13882"/>
      <w:bookmarkStart w:id="1217" w:name="_Toc16525"/>
      <w:bookmarkStart w:id="1218" w:name="_Toc20237"/>
      <w:bookmarkStart w:id="1219" w:name="_Toc29217"/>
      <w:bookmarkStart w:id="1220" w:name="_Toc31932"/>
      <w:bookmarkStart w:id="1221" w:name="_Toc31022"/>
      <w:bookmarkStart w:id="1222" w:name="_Toc21674"/>
      <w:bookmarkStart w:id="1223" w:name="_Toc21424"/>
      <w:bookmarkStart w:id="1224" w:name="_Toc32258"/>
      <w:r>
        <w:rPr>
          <w:rFonts w:ascii="Times New Roman" w:hAnsi="Times New Roman" w:cs="Times New Roman"/>
          <w:color w:val="000000" w:themeColor="text1"/>
          <w14:textFill>
            <w14:solidFill>
              <w14:schemeClr w14:val="tx1"/>
            </w14:solidFill>
          </w14:textFill>
        </w:rPr>
        <w:t>9.1.9 总体评价结论</w:t>
      </w:r>
      <w:bookmarkEnd w:id="1215"/>
      <w:bookmarkEnd w:id="1216"/>
      <w:bookmarkEnd w:id="1217"/>
      <w:bookmarkEnd w:id="1218"/>
      <w:bookmarkEnd w:id="1219"/>
      <w:bookmarkEnd w:id="1220"/>
      <w:bookmarkEnd w:id="1221"/>
      <w:bookmarkEnd w:id="1222"/>
      <w:bookmarkEnd w:id="1223"/>
      <w:bookmarkEnd w:id="1224"/>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本项目符合国家和地方相关产业政策。本项目选址于</w:t>
      </w:r>
      <w:r>
        <w:rPr>
          <w:rFonts w:hint="eastAsia" w:ascii="Times New Roman" w:hAnsi="Times New Roman" w:cs="Times New Roman"/>
          <w:bCs/>
          <w:color w:val="000000" w:themeColor="text1"/>
          <w14:textFill>
            <w14:solidFill>
              <w14:schemeClr w14:val="tx1"/>
            </w14:solidFill>
          </w14:textFill>
        </w:rPr>
        <w:t>昌吉农业园区牛圈子湖示范一区</w:t>
      </w:r>
      <w:r>
        <w:rPr>
          <w:rFonts w:ascii="Times New Roman" w:hAnsi="Times New Roman" w:cs="Times New Roman"/>
          <w:color w:val="000000" w:themeColor="text1"/>
          <w14:textFill>
            <w14:solidFill>
              <w14:schemeClr w14:val="tx1"/>
            </w14:solidFill>
          </w14:textFill>
        </w:rPr>
        <w:t>，选址符合区域规划；建设项目工艺成熟，设备先进，物耗、能耗及污染物排放量较低；项目建设和运行过程中要切实落实环评中提出的有关环境保护对策， 同时严格执行“三同时”制度，做到各污染物的达标排放，对周围环境影响较小，不会降低区域环境功能；本项目在采取有效的事故防范，减缓措施后项目的环境风险水平是可接受的；同时项目社会效益、经济效益较好，得到了区域公众的广泛支持。</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总之，建设单位落实好相应的污染治理措施，保证污染源达标排放的情况下，从环境保护的角度看，项目的建设是可行的。</w:t>
      </w:r>
    </w:p>
    <w:p>
      <w:pPr>
        <w:pStyle w:val="5"/>
        <w:snapToGrid w:val="0"/>
        <w:spacing w:line="360" w:lineRule="auto"/>
        <w:rPr>
          <w:rFonts w:ascii="Times New Roman" w:hAnsi="Times New Roman" w:cs="Times New Roman"/>
          <w:color w:val="000000" w:themeColor="text1"/>
          <w14:textFill>
            <w14:solidFill>
              <w14:schemeClr w14:val="tx1"/>
            </w14:solidFill>
          </w14:textFill>
        </w:rPr>
      </w:pPr>
      <w:bookmarkStart w:id="1225" w:name="_Toc19471"/>
      <w:bookmarkStart w:id="1226" w:name="_Toc21389"/>
      <w:bookmarkStart w:id="1227" w:name="_Toc4025"/>
      <w:bookmarkStart w:id="1228" w:name="_Toc10049_WPSOffice_Level2"/>
      <w:bookmarkStart w:id="1229" w:name="_Toc16533"/>
      <w:bookmarkStart w:id="1230" w:name="_Toc32074"/>
      <w:bookmarkStart w:id="1231" w:name="_Toc14200"/>
      <w:bookmarkStart w:id="1232" w:name="_Toc16404"/>
      <w:bookmarkStart w:id="1233" w:name="_Toc16246"/>
      <w:bookmarkStart w:id="1234" w:name="_Toc30172"/>
      <w:bookmarkStart w:id="1235" w:name="_Toc19075"/>
      <w:bookmarkStart w:id="1236" w:name="_Toc5936"/>
      <w:bookmarkStart w:id="1237" w:name="_Toc11515_WPSOffice_Level2"/>
      <w:bookmarkStart w:id="1238" w:name="_Toc20133"/>
      <w:bookmarkStart w:id="1239" w:name="_Toc15280"/>
      <w:bookmarkStart w:id="1240" w:name="_Toc9537"/>
      <w:bookmarkStart w:id="1241" w:name="_Toc361"/>
      <w:bookmarkStart w:id="1242" w:name="_Toc25829"/>
      <w:bookmarkStart w:id="1243" w:name="_Toc5418"/>
      <w:bookmarkStart w:id="1244" w:name="_Toc10447"/>
      <w:bookmarkStart w:id="1245" w:name="_Toc11256"/>
      <w:bookmarkStart w:id="1246" w:name="_Toc8907"/>
      <w:r>
        <w:rPr>
          <w:rFonts w:ascii="Times New Roman" w:hAnsi="Times New Roman" w:cs="Times New Roman"/>
          <w:color w:val="000000" w:themeColor="text1"/>
          <w14:textFill>
            <w14:solidFill>
              <w14:schemeClr w14:val="tx1"/>
            </w14:solidFill>
          </w14:textFill>
        </w:rPr>
        <w:t>9.2建议</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（1）严格落实各项环保措施，确保项目生产过程中产生的污染物达标排放。</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（2）建全并完善环境管理体系、规章制度，把污染预防、节能降耗贯彻到生产全过程中。</w:t>
      </w:r>
    </w:p>
    <w:p>
      <w:pPr>
        <w:snapToGrid w:val="0"/>
        <w:spacing w:line="52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（3）加强管理，强化单位职工自身的环保意识和事故风险意识。</w:t>
      </w:r>
    </w:p>
    <w:p>
      <w:pPr>
        <w:spacing w:line="520" w:lineRule="exact"/>
        <w:rPr>
          <w:rFonts w:ascii="Times New Roman" w:hAnsi="Times New Roman"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400"/>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163</w:t>
                          </w:r>
                          <w:r>
                            <w:rPr>
                              <w:rFonts w:ascii="Times New Roman" w:hAnsi="Times New Roman" w:cs="Times New Roman"/>
                              <w:sz w:val="20"/>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YPmgu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mD5oLgIAAFkEAAAOAAAAAAAAAAEAIAAAAB8BAABkcnMvZTJvRG9jLnhtbFBLBQYAAAAA&#10;BgAGAFkBAAC/BQAAAAA=&#10;">
              <v:fill on="f" focussize="0,0"/>
              <v:stroke on="f" weight="0.5pt"/>
              <v:imagedata o:title=""/>
              <o:lock v:ext="edit" aspectratio="f"/>
              <v:textbox inset="0mm,0mm,0mm,0mm" style="mso-fit-shape-to-text:t;">
                <w:txbxContent>
                  <w:p>
                    <w:pPr>
                      <w:pStyle w:val="19"/>
                      <w:ind w:firstLine="400"/>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163</w:t>
                    </w:r>
                    <w:r>
                      <w:rPr>
                        <w:rFonts w:ascii="Times New Roman" w:hAnsi="Times New Roman" w:cs="Times New Roman"/>
                        <w:sz w:val="20"/>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400"/>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108</w:t>
                          </w:r>
                          <w:r>
                            <w:rPr>
                              <w:rFonts w:ascii="Times New Roman" w:hAnsi="Times New Roman" w:cs="Times New Roman"/>
                              <w:sz w:val="20"/>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BiiAuAgAAW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1AYogLgIAAFkEAAAOAAAAAAAAAAEAIAAAAB8BAABkcnMvZTJvRG9jLnhtbFBLBQYAAAAA&#10;BgAGAFkBAAC/BQAAAAA=&#10;">
              <v:fill on="f" focussize="0,0"/>
              <v:stroke on="f" weight="0.5pt"/>
              <v:imagedata o:title=""/>
              <o:lock v:ext="edit" aspectratio="f"/>
              <v:textbox inset="0mm,0mm,0mm,0mm" style="mso-fit-shape-to-text:t;">
                <w:txbxContent>
                  <w:p>
                    <w:pPr>
                      <w:pStyle w:val="19"/>
                      <w:ind w:firstLine="400"/>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108</w:t>
                    </w:r>
                    <w:r>
                      <w:rPr>
                        <w:rFonts w:ascii="Times New Roman" w:hAnsi="Times New Roman" w:cs="Times New Roman"/>
                        <w:sz w:val="20"/>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8" w:space="1"/>
      </w:pBdr>
      <w:ind w:firstLine="0" w:firstLineChars="0"/>
      <w:jc w:val="right"/>
    </w:pPr>
    <w:r>
      <w:rPr>
        <w:rFonts w:hint="eastAsia" w:ascii="Times New Roman" w:hAnsi="Times New Roman" w:cs="Times New Roman"/>
        <w:sz w:val="21"/>
        <w:szCs w:val="21"/>
      </w:rPr>
      <w:t>泰昆农牧年出栏20万头商品猪建设项目环境影响报告书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auto" w:sz="8" w:space="1"/>
      </w:pBdr>
      <w:ind w:firstLine="0" w:firstLineChars="0"/>
      <w:rPr>
        <w:rFonts w:ascii="Times New Roman" w:hAnsi="Times New Roman" w:cs="Times New Roman"/>
        <w:sz w:val="21"/>
        <w:szCs w:val="21"/>
      </w:rPr>
    </w:pPr>
    <w:r>
      <w:rPr>
        <w:rFonts w:hint="eastAsia" w:ascii="Times New Roman" w:hAnsi="Times New Roman" w:cs="Times New Roman"/>
        <w:sz w:val="21"/>
        <w:szCs w:val="21"/>
      </w:rPr>
      <w:t>泰昆农牧年出栏20万头商品猪建设项目环境影响报告书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2F4B0"/>
    <w:multiLevelType w:val="singleLevel"/>
    <w:tmpl w:val="9112F4B0"/>
    <w:lvl w:ilvl="0" w:tentative="0">
      <w:start w:val="1"/>
      <w:numFmt w:val="upperLetter"/>
      <w:suff w:val="space"/>
      <w:lvlText w:val="%1."/>
      <w:lvlJc w:val="left"/>
    </w:lvl>
  </w:abstractNum>
  <w:abstractNum w:abstractNumId="1">
    <w:nsid w:val="99452273"/>
    <w:multiLevelType w:val="singleLevel"/>
    <w:tmpl w:val="99452273"/>
    <w:lvl w:ilvl="0" w:tentative="0">
      <w:start w:val="1"/>
      <w:numFmt w:val="decimal"/>
      <w:suff w:val="nothing"/>
      <w:lvlText w:val="%1）"/>
      <w:lvlJc w:val="left"/>
    </w:lvl>
  </w:abstractNum>
  <w:abstractNum w:abstractNumId="2">
    <w:nsid w:val="9CF25899"/>
    <w:multiLevelType w:val="singleLevel"/>
    <w:tmpl w:val="9CF25899"/>
    <w:lvl w:ilvl="0" w:tentative="0">
      <w:start w:val="1"/>
      <w:numFmt w:val="upperLetter"/>
      <w:suff w:val="space"/>
      <w:lvlText w:val="%1."/>
      <w:lvlJc w:val="left"/>
    </w:lvl>
  </w:abstractNum>
  <w:abstractNum w:abstractNumId="3">
    <w:nsid w:val="9D29E69D"/>
    <w:multiLevelType w:val="singleLevel"/>
    <w:tmpl w:val="9D29E69D"/>
    <w:lvl w:ilvl="0" w:tentative="0">
      <w:start w:val="1"/>
      <w:numFmt w:val="upperLetter"/>
      <w:suff w:val="space"/>
      <w:lvlText w:val="%1."/>
      <w:lvlJc w:val="left"/>
    </w:lvl>
  </w:abstractNum>
  <w:abstractNum w:abstractNumId="4">
    <w:nsid w:val="9FE26CB0"/>
    <w:multiLevelType w:val="singleLevel"/>
    <w:tmpl w:val="9FE26CB0"/>
    <w:lvl w:ilvl="0" w:tentative="0">
      <w:start w:val="1"/>
      <w:numFmt w:val="decimal"/>
      <w:suff w:val="nothing"/>
      <w:lvlText w:val="（%1）"/>
      <w:lvlJc w:val="left"/>
    </w:lvl>
  </w:abstractNum>
  <w:abstractNum w:abstractNumId="5">
    <w:nsid w:val="A41C5275"/>
    <w:multiLevelType w:val="singleLevel"/>
    <w:tmpl w:val="A41C5275"/>
    <w:lvl w:ilvl="0" w:tentative="0">
      <w:start w:val="1"/>
      <w:numFmt w:val="decimal"/>
      <w:suff w:val="nothing"/>
      <w:lvlText w:val="%1）"/>
      <w:lvlJc w:val="left"/>
    </w:lvl>
  </w:abstractNum>
  <w:abstractNum w:abstractNumId="6">
    <w:nsid w:val="B3E7DC39"/>
    <w:multiLevelType w:val="singleLevel"/>
    <w:tmpl w:val="B3E7DC39"/>
    <w:lvl w:ilvl="0" w:tentative="0">
      <w:start w:val="1"/>
      <w:numFmt w:val="decimal"/>
      <w:suff w:val="nothing"/>
      <w:lvlText w:val="（%1）"/>
      <w:lvlJc w:val="left"/>
    </w:lvl>
  </w:abstractNum>
  <w:abstractNum w:abstractNumId="7">
    <w:nsid w:val="C6B2E08B"/>
    <w:multiLevelType w:val="singleLevel"/>
    <w:tmpl w:val="C6B2E08B"/>
    <w:lvl w:ilvl="0" w:tentative="0">
      <w:start w:val="1"/>
      <w:numFmt w:val="decimal"/>
      <w:suff w:val="nothing"/>
      <w:lvlText w:val="（%1）"/>
      <w:lvlJc w:val="left"/>
    </w:lvl>
  </w:abstractNum>
  <w:abstractNum w:abstractNumId="8">
    <w:nsid w:val="CF929541"/>
    <w:multiLevelType w:val="singleLevel"/>
    <w:tmpl w:val="CF929541"/>
    <w:lvl w:ilvl="0" w:tentative="0">
      <w:start w:val="1"/>
      <w:numFmt w:val="decimal"/>
      <w:suff w:val="nothing"/>
      <w:lvlText w:val="（%1）"/>
      <w:lvlJc w:val="left"/>
    </w:lvl>
  </w:abstractNum>
  <w:abstractNum w:abstractNumId="9">
    <w:nsid w:val="F5C3EE1C"/>
    <w:multiLevelType w:val="singleLevel"/>
    <w:tmpl w:val="F5C3EE1C"/>
    <w:lvl w:ilvl="0" w:tentative="0">
      <w:start w:val="1"/>
      <w:numFmt w:val="upperLetter"/>
      <w:suff w:val="space"/>
      <w:lvlText w:val="%1."/>
      <w:lvlJc w:val="left"/>
    </w:lvl>
  </w:abstractNum>
  <w:abstractNum w:abstractNumId="10">
    <w:nsid w:val="15AA7247"/>
    <w:multiLevelType w:val="singleLevel"/>
    <w:tmpl w:val="15AA7247"/>
    <w:lvl w:ilvl="0" w:tentative="0">
      <w:start w:val="1"/>
      <w:numFmt w:val="upperLetter"/>
      <w:suff w:val="space"/>
      <w:lvlText w:val="%1."/>
      <w:lvlJc w:val="left"/>
    </w:lvl>
  </w:abstractNum>
  <w:abstractNum w:abstractNumId="11">
    <w:nsid w:val="1B66A0E3"/>
    <w:multiLevelType w:val="singleLevel"/>
    <w:tmpl w:val="1B66A0E3"/>
    <w:lvl w:ilvl="0" w:tentative="0">
      <w:start w:val="1"/>
      <w:numFmt w:val="upperLetter"/>
      <w:suff w:val="space"/>
      <w:lvlText w:val="%1."/>
      <w:lvlJc w:val="left"/>
    </w:lvl>
  </w:abstractNum>
  <w:abstractNum w:abstractNumId="12">
    <w:nsid w:val="4F328946"/>
    <w:multiLevelType w:val="singleLevel"/>
    <w:tmpl w:val="4F328946"/>
    <w:lvl w:ilvl="0" w:tentative="0">
      <w:start w:val="2"/>
      <w:numFmt w:val="decimal"/>
      <w:suff w:val="nothing"/>
      <w:lvlText w:val="（%1）"/>
      <w:lvlJc w:val="left"/>
    </w:lvl>
  </w:abstractNum>
  <w:abstractNum w:abstractNumId="13">
    <w:nsid w:val="58168F4B"/>
    <w:multiLevelType w:val="singleLevel"/>
    <w:tmpl w:val="58168F4B"/>
    <w:lvl w:ilvl="0" w:tentative="0">
      <w:start w:val="1"/>
      <w:numFmt w:val="upperLetter"/>
      <w:suff w:val="space"/>
      <w:lvlText w:val="%1."/>
      <w:lvlJc w:val="left"/>
    </w:lvl>
  </w:abstractNum>
  <w:abstractNum w:abstractNumId="14">
    <w:nsid w:val="7B2857D6"/>
    <w:multiLevelType w:val="singleLevel"/>
    <w:tmpl w:val="7B2857D6"/>
    <w:lvl w:ilvl="0" w:tentative="0">
      <w:start w:val="1"/>
      <w:numFmt w:val="upperLetter"/>
      <w:suff w:val="space"/>
      <w:lvlText w:val="%1."/>
      <w:lvlJc w:val="left"/>
    </w:lvl>
  </w:abstractNum>
  <w:num w:numId="1">
    <w:abstractNumId w:val="6"/>
  </w:num>
  <w:num w:numId="2">
    <w:abstractNumId w:val="10"/>
  </w:num>
  <w:num w:numId="3">
    <w:abstractNumId w:val="4"/>
  </w:num>
  <w:num w:numId="4">
    <w:abstractNumId w:val="5"/>
  </w:num>
  <w:num w:numId="5">
    <w:abstractNumId w:val="1"/>
  </w:num>
  <w:num w:numId="6">
    <w:abstractNumId w:val="14"/>
  </w:num>
  <w:num w:numId="7">
    <w:abstractNumId w:val="8"/>
  </w:num>
  <w:num w:numId="8">
    <w:abstractNumId w:val="2"/>
  </w:num>
  <w:num w:numId="9">
    <w:abstractNumId w:val="0"/>
  </w:num>
  <w:num w:numId="10">
    <w:abstractNumId w:val="7"/>
  </w:num>
  <w:num w:numId="11">
    <w:abstractNumId w:val="12"/>
  </w:num>
  <w:num w:numId="12">
    <w:abstractNumId w:val="11"/>
  </w:num>
  <w:num w:numId="13">
    <w:abstractNumId w:val="13"/>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4F1"/>
    <w:rsid w:val="000218C8"/>
    <w:rsid w:val="000A3A99"/>
    <w:rsid w:val="000C2B77"/>
    <w:rsid w:val="001E0B0F"/>
    <w:rsid w:val="001E1ACF"/>
    <w:rsid w:val="002F3A68"/>
    <w:rsid w:val="003571C3"/>
    <w:rsid w:val="004358BC"/>
    <w:rsid w:val="00461652"/>
    <w:rsid w:val="00481507"/>
    <w:rsid w:val="004A4877"/>
    <w:rsid w:val="004A6029"/>
    <w:rsid w:val="004B32AB"/>
    <w:rsid w:val="00524617"/>
    <w:rsid w:val="005554F1"/>
    <w:rsid w:val="005869D4"/>
    <w:rsid w:val="007E1FA7"/>
    <w:rsid w:val="00833775"/>
    <w:rsid w:val="00855FC1"/>
    <w:rsid w:val="008607C3"/>
    <w:rsid w:val="008C3724"/>
    <w:rsid w:val="00954579"/>
    <w:rsid w:val="00971A89"/>
    <w:rsid w:val="00A20D1E"/>
    <w:rsid w:val="00A942F6"/>
    <w:rsid w:val="00B25871"/>
    <w:rsid w:val="00B56FD2"/>
    <w:rsid w:val="00B73EC5"/>
    <w:rsid w:val="00C13362"/>
    <w:rsid w:val="00C159F7"/>
    <w:rsid w:val="00C51847"/>
    <w:rsid w:val="00C96DAB"/>
    <w:rsid w:val="00CB4688"/>
    <w:rsid w:val="00D03431"/>
    <w:rsid w:val="00E42CE2"/>
    <w:rsid w:val="00F026C9"/>
    <w:rsid w:val="00F05C3A"/>
    <w:rsid w:val="00F855AD"/>
    <w:rsid w:val="010A65E6"/>
    <w:rsid w:val="011163CA"/>
    <w:rsid w:val="013950C6"/>
    <w:rsid w:val="016915B5"/>
    <w:rsid w:val="017020AA"/>
    <w:rsid w:val="01832249"/>
    <w:rsid w:val="01A1321C"/>
    <w:rsid w:val="01A972CD"/>
    <w:rsid w:val="01BE0D03"/>
    <w:rsid w:val="01D25E64"/>
    <w:rsid w:val="01D57E6B"/>
    <w:rsid w:val="01DF2DC5"/>
    <w:rsid w:val="01E17D85"/>
    <w:rsid w:val="01F1495B"/>
    <w:rsid w:val="01F27C1A"/>
    <w:rsid w:val="01F33296"/>
    <w:rsid w:val="0208450D"/>
    <w:rsid w:val="021D4CD7"/>
    <w:rsid w:val="022B5965"/>
    <w:rsid w:val="02342675"/>
    <w:rsid w:val="0243511A"/>
    <w:rsid w:val="028C5FAF"/>
    <w:rsid w:val="030C728E"/>
    <w:rsid w:val="031F4C13"/>
    <w:rsid w:val="0323795F"/>
    <w:rsid w:val="033400F7"/>
    <w:rsid w:val="03A2324B"/>
    <w:rsid w:val="03B428F0"/>
    <w:rsid w:val="03B84C7F"/>
    <w:rsid w:val="03B9101D"/>
    <w:rsid w:val="040370BA"/>
    <w:rsid w:val="040C13A8"/>
    <w:rsid w:val="04382538"/>
    <w:rsid w:val="04894366"/>
    <w:rsid w:val="048D1C43"/>
    <w:rsid w:val="049D0DF3"/>
    <w:rsid w:val="04D32EF3"/>
    <w:rsid w:val="059953D3"/>
    <w:rsid w:val="05BB640A"/>
    <w:rsid w:val="05C80A70"/>
    <w:rsid w:val="05D43CB9"/>
    <w:rsid w:val="05E968A9"/>
    <w:rsid w:val="05FA17E9"/>
    <w:rsid w:val="06115F64"/>
    <w:rsid w:val="06373491"/>
    <w:rsid w:val="063A6DD5"/>
    <w:rsid w:val="06717417"/>
    <w:rsid w:val="06AD0C03"/>
    <w:rsid w:val="06CF527E"/>
    <w:rsid w:val="072E6E61"/>
    <w:rsid w:val="072F4C11"/>
    <w:rsid w:val="073D4614"/>
    <w:rsid w:val="073F786B"/>
    <w:rsid w:val="075A1196"/>
    <w:rsid w:val="075C0B54"/>
    <w:rsid w:val="076C5D5D"/>
    <w:rsid w:val="077B08AC"/>
    <w:rsid w:val="078B6E69"/>
    <w:rsid w:val="078D461A"/>
    <w:rsid w:val="079173DA"/>
    <w:rsid w:val="07A16344"/>
    <w:rsid w:val="07D21F48"/>
    <w:rsid w:val="080478E2"/>
    <w:rsid w:val="080A0D4E"/>
    <w:rsid w:val="083901A2"/>
    <w:rsid w:val="083F29F7"/>
    <w:rsid w:val="08424084"/>
    <w:rsid w:val="08492AA2"/>
    <w:rsid w:val="085170B9"/>
    <w:rsid w:val="08636CA5"/>
    <w:rsid w:val="086C3E5B"/>
    <w:rsid w:val="0878748E"/>
    <w:rsid w:val="087B1737"/>
    <w:rsid w:val="08B36AEC"/>
    <w:rsid w:val="08CB28A3"/>
    <w:rsid w:val="08D47F82"/>
    <w:rsid w:val="08DD5674"/>
    <w:rsid w:val="08F96F1A"/>
    <w:rsid w:val="092E4D4D"/>
    <w:rsid w:val="09407292"/>
    <w:rsid w:val="095E5602"/>
    <w:rsid w:val="09827BE0"/>
    <w:rsid w:val="09A64158"/>
    <w:rsid w:val="09B01BA1"/>
    <w:rsid w:val="09CE0C6D"/>
    <w:rsid w:val="09DA3102"/>
    <w:rsid w:val="09E24F53"/>
    <w:rsid w:val="0A331A04"/>
    <w:rsid w:val="0A6042C6"/>
    <w:rsid w:val="0A740458"/>
    <w:rsid w:val="0A751856"/>
    <w:rsid w:val="0A86146E"/>
    <w:rsid w:val="0AB544C8"/>
    <w:rsid w:val="0ACB787D"/>
    <w:rsid w:val="0B2A7F3D"/>
    <w:rsid w:val="0B2F4AC0"/>
    <w:rsid w:val="0B362DCE"/>
    <w:rsid w:val="0B476022"/>
    <w:rsid w:val="0B651FBD"/>
    <w:rsid w:val="0B6C1D0C"/>
    <w:rsid w:val="0B6D4B8F"/>
    <w:rsid w:val="0B704C02"/>
    <w:rsid w:val="0B91639C"/>
    <w:rsid w:val="0B9F5A76"/>
    <w:rsid w:val="0BB97DF0"/>
    <w:rsid w:val="0BC1707E"/>
    <w:rsid w:val="0BC9028D"/>
    <w:rsid w:val="0BD91B79"/>
    <w:rsid w:val="0BEC3963"/>
    <w:rsid w:val="0C081932"/>
    <w:rsid w:val="0C1941F1"/>
    <w:rsid w:val="0C1A2EBF"/>
    <w:rsid w:val="0C256F25"/>
    <w:rsid w:val="0C7A72E9"/>
    <w:rsid w:val="0CD32C6D"/>
    <w:rsid w:val="0CF77FB7"/>
    <w:rsid w:val="0D10267C"/>
    <w:rsid w:val="0D377221"/>
    <w:rsid w:val="0D39443F"/>
    <w:rsid w:val="0D4453E7"/>
    <w:rsid w:val="0D551502"/>
    <w:rsid w:val="0DAC333C"/>
    <w:rsid w:val="0DB277BF"/>
    <w:rsid w:val="0DB456FE"/>
    <w:rsid w:val="0DF470AB"/>
    <w:rsid w:val="0E030971"/>
    <w:rsid w:val="0E0B1B46"/>
    <w:rsid w:val="0E0C6B9C"/>
    <w:rsid w:val="0E34067E"/>
    <w:rsid w:val="0E450819"/>
    <w:rsid w:val="0E506E31"/>
    <w:rsid w:val="0E775C1F"/>
    <w:rsid w:val="0E794387"/>
    <w:rsid w:val="0E8B0793"/>
    <w:rsid w:val="0E8F419E"/>
    <w:rsid w:val="0EB65DED"/>
    <w:rsid w:val="0EBA5F8B"/>
    <w:rsid w:val="0ED75DDF"/>
    <w:rsid w:val="0EE43E3A"/>
    <w:rsid w:val="0F0267BA"/>
    <w:rsid w:val="0F1065B3"/>
    <w:rsid w:val="0F4C6E22"/>
    <w:rsid w:val="0F643D44"/>
    <w:rsid w:val="0F6F5FF0"/>
    <w:rsid w:val="0F9D3C48"/>
    <w:rsid w:val="0FAF5661"/>
    <w:rsid w:val="0FDA0C8C"/>
    <w:rsid w:val="0FE55EFF"/>
    <w:rsid w:val="0FF02E93"/>
    <w:rsid w:val="0FF4042D"/>
    <w:rsid w:val="10025ADD"/>
    <w:rsid w:val="101A603D"/>
    <w:rsid w:val="102E1B73"/>
    <w:rsid w:val="103867F5"/>
    <w:rsid w:val="103E3983"/>
    <w:rsid w:val="10522183"/>
    <w:rsid w:val="107649FB"/>
    <w:rsid w:val="1099741D"/>
    <w:rsid w:val="10A42755"/>
    <w:rsid w:val="10A43525"/>
    <w:rsid w:val="10BC5886"/>
    <w:rsid w:val="10BC7310"/>
    <w:rsid w:val="10DC689E"/>
    <w:rsid w:val="10F02449"/>
    <w:rsid w:val="11003BB9"/>
    <w:rsid w:val="111E4BC7"/>
    <w:rsid w:val="111E7A55"/>
    <w:rsid w:val="11223A4A"/>
    <w:rsid w:val="117B5240"/>
    <w:rsid w:val="11AC29B3"/>
    <w:rsid w:val="11F56273"/>
    <w:rsid w:val="121F31F6"/>
    <w:rsid w:val="12517450"/>
    <w:rsid w:val="126D69D5"/>
    <w:rsid w:val="127F3693"/>
    <w:rsid w:val="128157D7"/>
    <w:rsid w:val="12820E94"/>
    <w:rsid w:val="129D33FC"/>
    <w:rsid w:val="12A00C2E"/>
    <w:rsid w:val="12BD5251"/>
    <w:rsid w:val="12E6214C"/>
    <w:rsid w:val="12E81191"/>
    <w:rsid w:val="12F363F7"/>
    <w:rsid w:val="12FF0052"/>
    <w:rsid w:val="13131DB0"/>
    <w:rsid w:val="1335679A"/>
    <w:rsid w:val="13370C04"/>
    <w:rsid w:val="13592A70"/>
    <w:rsid w:val="13670F01"/>
    <w:rsid w:val="13764C98"/>
    <w:rsid w:val="13904B3F"/>
    <w:rsid w:val="13A41B55"/>
    <w:rsid w:val="13CF6A72"/>
    <w:rsid w:val="13E47B0A"/>
    <w:rsid w:val="14026695"/>
    <w:rsid w:val="14093AE5"/>
    <w:rsid w:val="14133B02"/>
    <w:rsid w:val="141D33F4"/>
    <w:rsid w:val="141E38D2"/>
    <w:rsid w:val="14262300"/>
    <w:rsid w:val="145D0733"/>
    <w:rsid w:val="1464580D"/>
    <w:rsid w:val="1479020B"/>
    <w:rsid w:val="147B4379"/>
    <w:rsid w:val="14B17B2F"/>
    <w:rsid w:val="14B85D18"/>
    <w:rsid w:val="14C76D5D"/>
    <w:rsid w:val="14E37D58"/>
    <w:rsid w:val="14F6530F"/>
    <w:rsid w:val="151D2B9B"/>
    <w:rsid w:val="15507282"/>
    <w:rsid w:val="155601FA"/>
    <w:rsid w:val="159267E2"/>
    <w:rsid w:val="159635B8"/>
    <w:rsid w:val="15981473"/>
    <w:rsid w:val="15B54D88"/>
    <w:rsid w:val="15C60A44"/>
    <w:rsid w:val="160F081A"/>
    <w:rsid w:val="16111A76"/>
    <w:rsid w:val="16230762"/>
    <w:rsid w:val="16904A4C"/>
    <w:rsid w:val="169C5867"/>
    <w:rsid w:val="16A753A3"/>
    <w:rsid w:val="16B405B9"/>
    <w:rsid w:val="16D823FA"/>
    <w:rsid w:val="17065E16"/>
    <w:rsid w:val="175F4103"/>
    <w:rsid w:val="17A253CB"/>
    <w:rsid w:val="17A3775B"/>
    <w:rsid w:val="17D7695B"/>
    <w:rsid w:val="17E76FDF"/>
    <w:rsid w:val="181650DA"/>
    <w:rsid w:val="181720EF"/>
    <w:rsid w:val="182C3E09"/>
    <w:rsid w:val="184B0B7B"/>
    <w:rsid w:val="184C7F0A"/>
    <w:rsid w:val="18656E8C"/>
    <w:rsid w:val="187A63B0"/>
    <w:rsid w:val="18DA0E59"/>
    <w:rsid w:val="18DC5B68"/>
    <w:rsid w:val="18ED001C"/>
    <w:rsid w:val="190B208C"/>
    <w:rsid w:val="19102E79"/>
    <w:rsid w:val="191B0BDB"/>
    <w:rsid w:val="191D1A88"/>
    <w:rsid w:val="1926739A"/>
    <w:rsid w:val="193C3093"/>
    <w:rsid w:val="19444BC2"/>
    <w:rsid w:val="195B16D9"/>
    <w:rsid w:val="1988373B"/>
    <w:rsid w:val="199B5473"/>
    <w:rsid w:val="19A3055D"/>
    <w:rsid w:val="19AF5046"/>
    <w:rsid w:val="19E03B22"/>
    <w:rsid w:val="19EF043B"/>
    <w:rsid w:val="19F20075"/>
    <w:rsid w:val="1A041957"/>
    <w:rsid w:val="1A06489D"/>
    <w:rsid w:val="1A070214"/>
    <w:rsid w:val="1A304BD1"/>
    <w:rsid w:val="1A473D6E"/>
    <w:rsid w:val="1A7B7CFB"/>
    <w:rsid w:val="1A9E0470"/>
    <w:rsid w:val="1A9F4672"/>
    <w:rsid w:val="1AA34177"/>
    <w:rsid w:val="1ACF22C7"/>
    <w:rsid w:val="1AD9198B"/>
    <w:rsid w:val="1AD94C70"/>
    <w:rsid w:val="1ADF0C96"/>
    <w:rsid w:val="1AE93335"/>
    <w:rsid w:val="1AFB0CB8"/>
    <w:rsid w:val="1B0E3042"/>
    <w:rsid w:val="1B594E6D"/>
    <w:rsid w:val="1B6C2FA2"/>
    <w:rsid w:val="1B8A56F1"/>
    <w:rsid w:val="1BA7195D"/>
    <w:rsid w:val="1BAD2EA8"/>
    <w:rsid w:val="1BBE77A6"/>
    <w:rsid w:val="1BE2059E"/>
    <w:rsid w:val="1BFE3835"/>
    <w:rsid w:val="1BFF2688"/>
    <w:rsid w:val="1C1159FC"/>
    <w:rsid w:val="1C6D7058"/>
    <w:rsid w:val="1CB81DB6"/>
    <w:rsid w:val="1CBB2211"/>
    <w:rsid w:val="1CF27B47"/>
    <w:rsid w:val="1CF859E5"/>
    <w:rsid w:val="1D1B5274"/>
    <w:rsid w:val="1D5A09CB"/>
    <w:rsid w:val="1D630C2C"/>
    <w:rsid w:val="1D9255D9"/>
    <w:rsid w:val="1D991FF1"/>
    <w:rsid w:val="1DB15290"/>
    <w:rsid w:val="1DB67A1A"/>
    <w:rsid w:val="1DB97D68"/>
    <w:rsid w:val="1E1519D3"/>
    <w:rsid w:val="1E2217CB"/>
    <w:rsid w:val="1E781E1A"/>
    <w:rsid w:val="1E9914DD"/>
    <w:rsid w:val="1E994B9D"/>
    <w:rsid w:val="1EB25B51"/>
    <w:rsid w:val="1ECD422E"/>
    <w:rsid w:val="1EE37AA2"/>
    <w:rsid w:val="1EFD2684"/>
    <w:rsid w:val="1EFF0CF5"/>
    <w:rsid w:val="1F5620EF"/>
    <w:rsid w:val="1F656B64"/>
    <w:rsid w:val="1F663672"/>
    <w:rsid w:val="1F6A7719"/>
    <w:rsid w:val="1F784D1D"/>
    <w:rsid w:val="1F9076F6"/>
    <w:rsid w:val="1F917A60"/>
    <w:rsid w:val="1FA37175"/>
    <w:rsid w:val="1FA522FC"/>
    <w:rsid w:val="1FD679AB"/>
    <w:rsid w:val="1FDB28CA"/>
    <w:rsid w:val="1FE81C70"/>
    <w:rsid w:val="1FF4580D"/>
    <w:rsid w:val="1FF72165"/>
    <w:rsid w:val="201D08A6"/>
    <w:rsid w:val="204B7F2D"/>
    <w:rsid w:val="20744061"/>
    <w:rsid w:val="207F461D"/>
    <w:rsid w:val="208677C6"/>
    <w:rsid w:val="20A566F0"/>
    <w:rsid w:val="20BE39DC"/>
    <w:rsid w:val="20F75B6F"/>
    <w:rsid w:val="20FC4E2D"/>
    <w:rsid w:val="20FE215E"/>
    <w:rsid w:val="21026031"/>
    <w:rsid w:val="211E4774"/>
    <w:rsid w:val="21203E39"/>
    <w:rsid w:val="21207B4A"/>
    <w:rsid w:val="212408D1"/>
    <w:rsid w:val="212E6431"/>
    <w:rsid w:val="21416251"/>
    <w:rsid w:val="21440B27"/>
    <w:rsid w:val="21503102"/>
    <w:rsid w:val="2158166E"/>
    <w:rsid w:val="218E06CD"/>
    <w:rsid w:val="21B74870"/>
    <w:rsid w:val="21E26BE1"/>
    <w:rsid w:val="21E9712A"/>
    <w:rsid w:val="21F44D13"/>
    <w:rsid w:val="21F81DB9"/>
    <w:rsid w:val="22023E13"/>
    <w:rsid w:val="220F0C9F"/>
    <w:rsid w:val="222A04EA"/>
    <w:rsid w:val="222E3615"/>
    <w:rsid w:val="22325C3E"/>
    <w:rsid w:val="224F3944"/>
    <w:rsid w:val="2252200D"/>
    <w:rsid w:val="227A555F"/>
    <w:rsid w:val="2285064A"/>
    <w:rsid w:val="228A0CB5"/>
    <w:rsid w:val="228B0F77"/>
    <w:rsid w:val="22A07BBB"/>
    <w:rsid w:val="22D0407F"/>
    <w:rsid w:val="22E1671B"/>
    <w:rsid w:val="22E7656D"/>
    <w:rsid w:val="22F7678C"/>
    <w:rsid w:val="231501FE"/>
    <w:rsid w:val="23421CAF"/>
    <w:rsid w:val="23423C75"/>
    <w:rsid w:val="234B61DB"/>
    <w:rsid w:val="23533F5D"/>
    <w:rsid w:val="235A01A3"/>
    <w:rsid w:val="236E0E08"/>
    <w:rsid w:val="23A346D5"/>
    <w:rsid w:val="23BA226B"/>
    <w:rsid w:val="23CC246D"/>
    <w:rsid w:val="23E42AF9"/>
    <w:rsid w:val="243A2C8F"/>
    <w:rsid w:val="246129BB"/>
    <w:rsid w:val="24730489"/>
    <w:rsid w:val="24824B00"/>
    <w:rsid w:val="249D3960"/>
    <w:rsid w:val="24CE5708"/>
    <w:rsid w:val="24EB7A61"/>
    <w:rsid w:val="24F97FD6"/>
    <w:rsid w:val="250B0B9F"/>
    <w:rsid w:val="252F7152"/>
    <w:rsid w:val="25322CB6"/>
    <w:rsid w:val="256663EC"/>
    <w:rsid w:val="259E261C"/>
    <w:rsid w:val="25B11DFD"/>
    <w:rsid w:val="25B513CE"/>
    <w:rsid w:val="25D21C0B"/>
    <w:rsid w:val="25D646B7"/>
    <w:rsid w:val="260A3998"/>
    <w:rsid w:val="26250BF0"/>
    <w:rsid w:val="262D6454"/>
    <w:rsid w:val="264B218F"/>
    <w:rsid w:val="264E1A24"/>
    <w:rsid w:val="267727D7"/>
    <w:rsid w:val="269E220B"/>
    <w:rsid w:val="26AC11DD"/>
    <w:rsid w:val="26B55E58"/>
    <w:rsid w:val="26D64707"/>
    <w:rsid w:val="26D7144A"/>
    <w:rsid w:val="27181107"/>
    <w:rsid w:val="27475DBF"/>
    <w:rsid w:val="274D5D7B"/>
    <w:rsid w:val="278A2D81"/>
    <w:rsid w:val="27B1062C"/>
    <w:rsid w:val="27B40F35"/>
    <w:rsid w:val="27B62075"/>
    <w:rsid w:val="27C73301"/>
    <w:rsid w:val="27F37FB6"/>
    <w:rsid w:val="28076CDE"/>
    <w:rsid w:val="282673A6"/>
    <w:rsid w:val="286A0708"/>
    <w:rsid w:val="288B1DB2"/>
    <w:rsid w:val="289570FE"/>
    <w:rsid w:val="28DB1675"/>
    <w:rsid w:val="28E83B1F"/>
    <w:rsid w:val="29147E63"/>
    <w:rsid w:val="292A0864"/>
    <w:rsid w:val="293D30F8"/>
    <w:rsid w:val="294A41AE"/>
    <w:rsid w:val="295D2F7A"/>
    <w:rsid w:val="297D3065"/>
    <w:rsid w:val="29A90B10"/>
    <w:rsid w:val="29C7476D"/>
    <w:rsid w:val="29DF2CA3"/>
    <w:rsid w:val="29EE46C6"/>
    <w:rsid w:val="29F30F12"/>
    <w:rsid w:val="29F44802"/>
    <w:rsid w:val="29F51148"/>
    <w:rsid w:val="29FC149F"/>
    <w:rsid w:val="2A5B2C94"/>
    <w:rsid w:val="2A810FF9"/>
    <w:rsid w:val="2A823283"/>
    <w:rsid w:val="2A935712"/>
    <w:rsid w:val="2AB8037F"/>
    <w:rsid w:val="2ABA0C1E"/>
    <w:rsid w:val="2ABC7C0A"/>
    <w:rsid w:val="2ACF2E05"/>
    <w:rsid w:val="2AD74890"/>
    <w:rsid w:val="2B0640A2"/>
    <w:rsid w:val="2B0E26DE"/>
    <w:rsid w:val="2B3A2644"/>
    <w:rsid w:val="2B3B57E0"/>
    <w:rsid w:val="2B557057"/>
    <w:rsid w:val="2B7A0D3D"/>
    <w:rsid w:val="2B7D0AED"/>
    <w:rsid w:val="2B93557A"/>
    <w:rsid w:val="2B940DAA"/>
    <w:rsid w:val="2BA1010E"/>
    <w:rsid w:val="2BBB2B4F"/>
    <w:rsid w:val="2BCC461E"/>
    <w:rsid w:val="2BD7340C"/>
    <w:rsid w:val="2BE753CE"/>
    <w:rsid w:val="2BED187C"/>
    <w:rsid w:val="2C011167"/>
    <w:rsid w:val="2C012215"/>
    <w:rsid w:val="2C1401BE"/>
    <w:rsid w:val="2C636B46"/>
    <w:rsid w:val="2C6B01D6"/>
    <w:rsid w:val="2C6D0EBD"/>
    <w:rsid w:val="2C8B7D05"/>
    <w:rsid w:val="2C8C3E5F"/>
    <w:rsid w:val="2C962458"/>
    <w:rsid w:val="2C9D1FF4"/>
    <w:rsid w:val="2CBA373A"/>
    <w:rsid w:val="2CBD5A0E"/>
    <w:rsid w:val="2CCA5FC3"/>
    <w:rsid w:val="2CD860A7"/>
    <w:rsid w:val="2CE06A3C"/>
    <w:rsid w:val="2CE57E09"/>
    <w:rsid w:val="2CF92F2E"/>
    <w:rsid w:val="2D293D4E"/>
    <w:rsid w:val="2D2D6BF6"/>
    <w:rsid w:val="2D415DC7"/>
    <w:rsid w:val="2D417CA5"/>
    <w:rsid w:val="2D4341A6"/>
    <w:rsid w:val="2D7D6B87"/>
    <w:rsid w:val="2D877205"/>
    <w:rsid w:val="2D8873F9"/>
    <w:rsid w:val="2D9D6122"/>
    <w:rsid w:val="2DB7227D"/>
    <w:rsid w:val="2DD376AD"/>
    <w:rsid w:val="2DDA3886"/>
    <w:rsid w:val="2DF44A0F"/>
    <w:rsid w:val="2DFD4584"/>
    <w:rsid w:val="2E00060D"/>
    <w:rsid w:val="2E017F0F"/>
    <w:rsid w:val="2E13758A"/>
    <w:rsid w:val="2E497B05"/>
    <w:rsid w:val="2E5C23B3"/>
    <w:rsid w:val="2E6A2066"/>
    <w:rsid w:val="2E9B1723"/>
    <w:rsid w:val="2EBD5B1F"/>
    <w:rsid w:val="2EC63CD7"/>
    <w:rsid w:val="2ED03AF0"/>
    <w:rsid w:val="2ED71B76"/>
    <w:rsid w:val="2EE42433"/>
    <w:rsid w:val="2F04649E"/>
    <w:rsid w:val="2F1F4E74"/>
    <w:rsid w:val="2F4C421B"/>
    <w:rsid w:val="2F640D5C"/>
    <w:rsid w:val="2FB37EFB"/>
    <w:rsid w:val="2FE23764"/>
    <w:rsid w:val="2FE33482"/>
    <w:rsid w:val="3022364C"/>
    <w:rsid w:val="303C0846"/>
    <w:rsid w:val="30433F60"/>
    <w:rsid w:val="304561A7"/>
    <w:rsid w:val="307413AC"/>
    <w:rsid w:val="30785B99"/>
    <w:rsid w:val="307F7C9F"/>
    <w:rsid w:val="308501A0"/>
    <w:rsid w:val="30941AC5"/>
    <w:rsid w:val="30B86F13"/>
    <w:rsid w:val="30E95A2D"/>
    <w:rsid w:val="31080B3F"/>
    <w:rsid w:val="3130523A"/>
    <w:rsid w:val="3140768E"/>
    <w:rsid w:val="316C14AC"/>
    <w:rsid w:val="31755FE7"/>
    <w:rsid w:val="318C51D8"/>
    <w:rsid w:val="31A57F99"/>
    <w:rsid w:val="31B65715"/>
    <w:rsid w:val="31BA47F2"/>
    <w:rsid w:val="31BC63E7"/>
    <w:rsid w:val="31C53E7D"/>
    <w:rsid w:val="31D55C11"/>
    <w:rsid w:val="31D71C1C"/>
    <w:rsid w:val="31E252E8"/>
    <w:rsid w:val="32387997"/>
    <w:rsid w:val="32653D6D"/>
    <w:rsid w:val="327807BF"/>
    <w:rsid w:val="32851AF3"/>
    <w:rsid w:val="32A50FBF"/>
    <w:rsid w:val="32AE7989"/>
    <w:rsid w:val="32CB6A5C"/>
    <w:rsid w:val="33040EB7"/>
    <w:rsid w:val="33427146"/>
    <w:rsid w:val="33965D0D"/>
    <w:rsid w:val="33B644B4"/>
    <w:rsid w:val="33C67282"/>
    <w:rsid w:val="33D14138"/>
    <w:rsid w:val="33E10A1A"/>
    <w:rsid w:val="341730A6"/>
    <w:rsid w:val="34197F3D"/>
    <w:rsid w:val="3450566D"/>
    <w:rsid w:val="345973AE"/>
    <w:rsid w:val="348C25CE"/>
    <w:rsid w:val="349B457D"/>
    <w:rsid w:val="34C649A3"/>
    <w:rsid w:val="34DD43A8"/>
    <w:rsid w:val="34F90529"/>
    <w:rsid w:val="34FC4A0C"/>
    <w:rsid w:val="35224E7C"/>
    <w:rsid w:val="35495941"/>
    <w:rsid w:val="35611D87"/>
    <w:rsid w:val="35656CF8"/>
    <w:rsid w:val="35A524C9"/>
    <w:rsid w:val="35B47B10"/>
    <w:rsid w:val="35FF5F81"/>
    <w:rsid w:val="361113B6"/>
    <w:rsid w:val="361C16D1"/>
    <w:rsid w:val="362C7E9B"/>
    <w:rsid w:val="36476D35"/>
    <w:rsid w:val="3655111B"/>
    <w:rsid w:val="367E6AA2"/>
    <w:rsid w:val="369C0786"/>
    <w:rsid w:val="36E3386E"/>
    <w:rsid w:val="36E568E5"/>
    <w:rsid w:val="36EB5F9B"/>
    <w:rsid w:val="36EC16F5"/>
    <w:rsid w:val="36F21ABF"/>
    <w:rsid w:val="36F34B66"/>
    <w:rsid w:val="36F43679"/>
    <w:rsid w:val="36FD1C1C"/>
    <w:rsid w:val="370D6026"/>
    <w:rsid w:val="37142808"/>
    <w:rsid w:val="371A1F2C"/>
    <w:rsid w:val="37292DD9"/>
    <w:rsid w:val="37324EF0"/>
    <w:rsid w:val="373F4E63"/>
    <w:rsid w:val="37681C5C"/>
    <w:rsid w:val="37757441"/>
    <w:rsid w:val="377F3518"/>
    <w:rsid w:val="37896FC5"/>
    <w:rsid w:val="37AA09C3"/>
    <w:rsid w:val="37C044EE"/>
    <w:rsid w:val="37E8177E"/>
    <w:rsid w:val="37F20A6E"/>
    <w:rsid w:val="37FF2944"/>
    <w:rsid w:val="3813174F"/>
    <w:rsid w:val="381A030E"/>
    <w:rsid w:val="384A00AB"/>
    <w:rsid w:val="3850345D"/>
    <w:rsid w:val="38581FC0"/>
    <w:rsid w:val="386C6BBA"/>
    <w:rsid w:val="38715AAF"/>
    <w:rsid w:val="388A1B3C"/>
    <w:rsid w:val="38937BDC"/>
    <w:rsid w:val="38C65EB6"/>
    <w:rsid w:val="38D16A3E"/>
    <w:rsid w:val="38DB68DB"/>
    <w:rsid w:val="38DE7229"/>
    <w:rsid w:val="391D4B57"/>
    <w:rsid w:val="392C5F7E"/>
    <w:rsid w:val="395A3E0E"/>
    <w:rsid w:val="395A61DF"/>
    <w:rsid w:val="395B0A44"/>
    <w:rsid w:val="396C3C33"/>
    <w:rsid w:val="39BD799C"/>
    <w:rsid w:val="39CF1B08"/>
    <w:rsid w:val="39DD01D4"/>
    <w:rsid w:val="39FC03E1"/>
    <w:rsid w:val="3A230BEB"/>
    <w:rsid w:val="3A542A87"/>
    <w:rsid w:val="3A5A5F92"/>
    <w:rsid w:val="3A6C36D0"/>
    <w:rsid w:val="3A7B3B26"/>
    <w:rsid w:val="3A7C5D9F"/>
    <w:rsid w:val="3A8036FA"/>
    <w:rsid w:val="3A8242D5"/>
    <w:rsid w:val="3A8E5A15"/>
    <w:rsid w:val="3AA7667E"/>
    <w:rsid w:val="3AB010F2"/>
    <w:rsid w:val="3AF154CC"/>
    <w:rsid w:val="3B5F1AB9"/>
    <w:rsid w:val="3B61706F"/>
    <w:rsid w:val="3B6D2ED5"/>
    <w:rsid w:val="3B70708C"/>
    <w:rsid w:val="3BAC0B2A"/>
    <w:rsid w:val="3BBA5330"/>
    <w:rsid w:val="3BBD31F3"/>
    <w:rsid w:val="3BD848D9"/>
    <w:rsid w:val="3BDF33E7"/>
    <w:rsid w:val="3BE20C7B"/>
    <w:rsid w:val="3BFB5A03"/>
    <w:rsid w:val="3C3B3955"/>
    <w:rsid w:val="3C4B4657"/>
    <w:rsid w:val="3C502BFD"/>
    <w:rsid w:val="3CA01900"/>
    <w:rsid w:val="3CA403AA"/>
    <w:rsid w:val="3CAD2A54"/>
    <w:rsid w:val="3CAD585A"/>
    <w:rsid w:val="3CAF5743"/>
    <w:rsid w:val="3CB37C1C"/>
    <w:rsid w:val="3CC03884"/>
    <w:rsid w:val="3CE50459"/>
    <w:rsid w:val="3CF14A2E"/>
    <w:rsid w:val="3D1D5CAB"/>
    <w:rsid w:val="3D213E94"/>
    <w:rsid w:val="3D307FD3"/>
    <w:rsid w:val="3D406E74"/>
    <w:rsid w:val="3D412ED7"/>
    <w:rsid w:val="3D4A0FD1"/>
    <w:rsid w:val="3D922210"/>
    <w:rsid w:val="3D962586"/>
    <w:rsid w:val="3DA0521E"/>
    <w:rsid w:val="3DAA4A8F"/>
    <w:rsid w:val="3DDD4C1A"/>
    <w:rsid w:val="3DF3577F"/>
    <w:rsid w:val="3DFB60E4"/>
    <w:rsid w:val="3E1776BA"/>
    <w:rsid w:val="3E1F2FE3"/>
    <w:rsid w:val="3E3D41DB"/>
    <w:rsid w:val="3E3D4696"/>
    <w:rsid w:val="3E566BE9"/>
    <w:rsid w:val="3E6559D2"/>
    <w:rsid w:val="3E6812A0"/>
    <w:rsid w:val="3E763212"/>
    <w:rsid w:val="3E997672"/>
    <w:rsid w:val="3EB432E8"/>
    <w:rsid w:val="3EBD7EB0"/>
    <w:rsid w:val="3F1B070F"/>
    <w:rsid w:val="3F336E4D"/>
    <w:rsid w:val="3F517B86"/>
    <w:rsid w:val="3F7019C9"/>
    <w:rsid w:val="3F787E74"/>
    <w:rsid w:val="3F8516DF"/>
    <w:rsid w:val="3F9338D5"/>
    <w:rsid w:val="3F950417"/>
    <w:rsid w:val="3FE36824"/>
    <w:rsid w:val="3FEE68EC"/>
    <w:rsid w:val="3FF46E0E"/>
    <w:rsid w:val="401B2451"/>
    <w:rsid w:val="40295155"/>
    <w:rsid w:val="406E205F"/>
    <w:rsid w:val="407643A5"/>
    <w:rsid w:val="409377B4"/>
    <w:rsid w:val="409C0621"/>
    <w:rsid w:val="40AE4871"/>
    <w:rsid w:val="40B60E36"/>
    <w:rsid w:val="40CF07B6"/>
    <w:rsid w:val="40D33B7D"/>
    <w:rsid w:val="411D26E5"/>
    <w:rsid w:val="41850C4E"/>
    <w:rsid w:val="419865E9"/>
    <w:rsid w:val="41B04068"/>
    <w:rsid w:val="41B60684"/>
    <w:rsid w:val="41C50EC0"/>
    <w:rsid w:val="41C81AFF"/>
    <w:rsid w:val="41EC32B0"/>
    <w:rsid w:val="41EF19BD"/>
    <w:rsid w:val="42062AFF"/>
    <w:rsid w:val="420815E5"/>
    <w:rsid w:val="420F09A9"/>
    <w:rsid w:val="421405B7"/>
    <w:rsid w:val="422239B7"/>
    <w:rsid w:val="422B5805"/>
    <w:rsid w:val="423C6A0C"/>
    <w:rsid w:val="42405425"/>
    <w:rsid w:val="424D41D5"/>
    <w:rsid w:val="42AA005C"/>
    <w:rsid w:val="42AF16C5"/>
    <w:rsid w:val="42DD5D30"/>
    <w:rsid w:val="43077197"/>
    <w:rsid w:val="432E209C"/>
    <w:rsid w:val="43363BDF"/>
    <w:rsid w:val="433C105B"/>
    <w:rsid w:val="4342783C"/>
    <w:rsid w:val="435269A5"/>
    <w:rsid w:val="43542181"/>
    <w:rsid w:val="435C4043"/>
    <w:rsid w:val="43BB4866"/>
    <w:rsid w:val="43ED4B70"/>
    <w:rsid w:val="44044B77"/>
    <w:rsid w:val="44134D22"/>
    <w:rsid w:val="442532BF"/>
    <w:rsid w:val="442B727D"/>
    <w:rsid w:val="44387832"/>
    <w:rsid w:val="444461BF"/>
    <w:rsid w:val="445E0E32"/>
    <w:rsid w:val="448338B4"/>
    <w:rsid w:val="448B634A"/>
    <w:rsid w:val="44912AD9"/>
    <w:rsid w:val="44C85802"/>
    <w:rsid w:val="44CB60AC"/>
    <w:rsid w:val="44F27CBD"/>
    <w:rsid w:val="44FB0A5A"/>
    <w:rsid w:val="452B7C51"/>
    <w:rsid w:val="453F0F85"/>
    <w:rsid w:val="454544FC"/>
    <w:rsid w:val="454E17E0"/>
    <w:rsid w:val="45753274"/>
    <w:rsid w:val="45834114"/>
    <w:rsid w:val="45941F2F"/>
    <w:rsid w:val="45AB2749"/>
    <w:rsid w:val="45B54EC3"/>
    <w:rsid w:val="45C546B7"/>
    <w:rsid w:val="45CF2405"/>
    <w:rsid w:val="45E5172C"/>
    <w:rsid w:val="45F77AD4"/>
    <w:rsid w:val="46131C4D"/>
    <w:rsid w:val="46260EC6"/>
    <w:rsid w:val="46406E68"/>
    <w:rsid w:val="46410D4E"/>
    <w:rsid w:val="46531BE9"/>
    <w:rsid w:val="46637934"/>
    <w:rsid w:val="466A1FEF"/>
    <w:rsid w:val="467B6AD9"/>
    <w:rsid w:val="46895093"/>
    <w:rsid w:val="46A9034E"/>
    <w:rsid w:val="46B42294"/>
    <w:rsid w:val="46B7407D"/>
    <w:rsid w:val="47210F0A"/>
    <w:rsid w:val="472E175F"/>
    <w:rsid w:val="473869E5"/>
    <w:rsid w:val="475477EC"/>
    <w:rsid w:val="476C4C6C"/>
    <w:rsid w:val="477501CC"/>
    <w:rsid w:val="47753429"/>
    <w:rsid w:val="477C1581"/>
    <w:rsid w:val="477F09B6"/>
    <w:rsid w:val="478A3894"/>
    <w:rsid w:val="47CC1394"/>
    <w:rsid w:val="47DA5206"/>
    <w:rsid w:val="47E23F00"/>
    <w:rsid w:val="48765A1A"/>
    <w:rsid w:val="48841A2D"/>
    <w:rsid w:val="48917E9B"/>
    <w:rsid w:val="48925C35"/>
    <w:rsid w:val="48A3598A"/>
    <w:rsid w:val="48BD4B09"/>
    <w:rsid w:val="48C43C55"/>
    <w:rsid w:val="48DD2F24"/>
    <w:rsid w:val="48DF4279"/>
    <w:rsid w:val="491C168C"/>
    <w:rsid w:val="491F5292"/>
    <w:rsid w:val="49415AAE"/>
    <w:rsid w:val="496A5A15"/>
    <w:rsid w:val="499203AB"/>
    <w:rsid w:val="49E5624D"/>
    <w:rsid w:val="49E66525"/>
    <w:rsid w:val="4A0727EE"/>
    <w:rsid w:val="4A266852"/>
    <w:rsid w:val="4A2A6DCB"/>
    <w:rsid w:val="4A3A168C"/>
    <w:rsid w:val="4A3A2B4C"/>
    <w:rsid w:val="4A467EC1"/>
    <w:rsid w:val="4A5F44F2"/>
    <w:rsid w:val="4A816587"/>
    <w:rsid w:val="4A9F115E"/>
    <w:rsid w:val="4ADD0EEB"/>
    <w:rsid w:val="4AE6153D"/>
    <w:rsid w:val="4AE85E51"/>
    <w:rsid w:val="4AEB1039"/>
    <w:rsid w:val="4B537A88"/>
    <w:rsid w:val="4B6B35F4"/>
    <w:rsid w:val="4B875E18"/>
    <w:rsid w:val="4B9B395D"/>
    <w:rsid w:val="4B9D2691"/>
    <w:rsid w:val="4BC6128D"/>
    <w:rsid w:val="4BCF70EB"/>
    <w:rsid w:val="4BE044CB"/>
    <w:rsid w:val="4BF116E2"/>
    <w:rsid w:val="4BF9720B"/>
    <w:rsid w:val="4C01713B"/>
    <w:rsid w:val="4C147FD2"/>
    <w:rsid w:val="4C170BCA"/>
    <w:rsid w:val="4C295898"/>
    <w:rsid w:val="4C35257A"/>
    <w:rsid w:val="4C572BE6"/>
    <w:rsid w:val="4C636532"/>
    <w:rsid w:val="4C6722C0"/>
    <w:rsid w:val="4C777710"/>
    <w:rsid w:val="4C823349"/>
    <w:rsid w:val="4C87755F"/>
    <w:rsid w:val="4C995AC8"/>
    <w:rsid w:val="4CA112BE"/>
    <w:rsid w:val="4CB42433"/>
    <w:rsid w:val="4CBD1DA1"/>
    <w:rsid w:val="4CD446E6"/>
    <w:rsid w:val="4CDB17B9"/>
    <w:rsid w:val="4CDD0FEE"/>
    <w:rsid w:val="4CE80F46"/>
    <w:rsid w:val="4D0C343A"/>
    <w:rsid w:val="4D22102E"/>
    <w:rsid w:val="4D380D5A"/>
    <w:rsid w:val="4D6D17F8"/>
    <w:rsid w:val="4D772D0F"/>
    <w:rsid w:val="4D9A059B"/>
    <w:rsid w:val="4D9A6E41"/>
    <w:rsid w:val="4DA234F0"/>
    <w:rsid w:val="4DF1018D"/>
    <w:rsid w:val="4DF23220"/>
    <w:rsid w:val="4DF25B94"/>
    <w:rsid w:val="4E02313F"/>
    <w:rsid w:val="4E0337F8"/>
    <w:rsid w:val="4E046655"/>
    <w:rsid w:val="4E2115DB"/>
    <w:rsid w:val="4E360A92"/>
    <w:rsid w:val="4E4D364F"/>
    <w:rsid w:val="4E7C2E9C"/>
    <w:rsid w:val="4E7E7493"/>
    <w:rsid w:val="4E884B54"/>
    <w:rsid w:val="4E9B1374"/>
    <w:rsid w:val="4EB224BC"/>
    <w:rsid w:val="4EBC3E45"/>
    <w:rsid w:val="4F3847FB"/>
    <w:rsid w:val="4F3C533B"/>
    <w:rsid w:val="4F3F2A1C"/>
    <w:rsid w:val="4F456F87"/>
    <w:rsid w:val="4F6F22E0"/>
    <w:rsid w:val="4F7063C9"/>
    <w:rsid w:val="4F82566F"/>
    <w:rsid w:val="4F9B5AA8"/>
    <w:rsid w:val="4FA97C56"/>
    <w:rsid w:val="4FB530F3"/>
    <w:rsid w:val="4FB75B92"/>
    <w:rsid w:val="4FC732AC"/>
    <w:rsid w:val="4FD02D8A"/>
    <w:rsid w:val="4FDD12D8"/>
    <w:rsid w:val="4FE22CA0"/>
    <w:rsid w:val="4FF86052"/>
    <w:rsid w:val="4FFE7EAE"/>
    <w:rsid w:val="501A70BD"/>
    <w:rsid w:val="50257F71"/>
    <w:rsid w:val="505F5F04"/>
    <w:rsid w:val="50716BD1"/>
    <w:rsid w:val="509D1751"/>
    <w:rsid w:val="50BE1CCA"/>
    <w:rsid w:val="50CF2995"/>
    <w:rsid w:val="511144AF"/>
    <w:rsid w:val="511E3C43"/>
    <w:rsid w:val="5121648F"/>
    <w:rsid w:val="514D3170"/>
    <w:rsid w:val="514F7808"/>
    <w:rsid w:val="51552AD1"/>
    <w:rsid w:val="515A169C"/>
    <w:rsid w:val="515F10E8"/>
    <w:rsid w:val="51673E6C"/>
    <w:rsid w:val="51AD5B66"/>
    <w:rsid w:val="51C737D2"/>
    <w:rsid w:val="51E36840"/>
    <w:rsid w:val="51EA0630"/>
    <w:rsid w:val="52234D60"/>
    <w:rsid w:val="52657EEF"/>
    <w:rsid w:val="528F2268"/>
    <w:rsid w:val="52AF77AD"/>
    <w:rsid w:val="52BB337E"/>
    <w:rsid w:val="52EA3EB5"/>
    <w:rsid w:val="52F44CF3"/>
    <w:rsid w:val="52FA40F9"/>
    <w:rsid w:val="531822AE"/>
    <w:rsid w:val="53194210"/>
    <w:rsid w:val="53275F29"/>
    <w:rsid w:val="536D4468"/>
    <w:rsid w:val="53885E52"/>
    <w:rsid w:val="53A6449C"/>
    <w:rsid w:val="53A803D4"/>
    <w:rsid w:val="53B135DC"/>
    <w:rsid w:val="53B16443"/>
    <w:rsid w:val="53B458E9"/>
    <w:rsid w:val="53B55DB9"/>
    <w:rsid w:val="53BA0C87"/>
    <w:rsid w:val="53BF67E0"/>
    <w:rsid w:val="53C87AC5"/>
    <w:rsid w:val="53DE499C"/>
    <w:rsid w:val="53F31EC4"/>
    <w:rsid w:val="540B6C6B"/>
    <w:rsid w:val="541A3910"/>
    <w:rsid w:val="542960F3"/>
    <w:rsid w:val="542F13B9"/>
    <w:rsid w:val="543103CB"/>
    <w:rsid w:val="54C4345C"/>
    <w:rsid w:val="54CC2DD6"/>
    <w:rsid w:val="54CD5D30"/>
    <w:rsid w:val="54D3587C"/>
    <w:rsid w:val="54E253A6"/>
    <w:rsid w:val="54E56C93"/>
    <w:rsid w:val="54EC690C"/>
    <w:rsid w:val="550F55E6"/>
    <w:rsid w:val="552279F4"/>
    <w:rsid w:val="55415475"/>
    <w:rsid w:val="555E4A81"/>
    <w:rsid w:val="55DE1D9E"/>
    <w:rsid w:val="55DF55BD"/>
    <w:rsid w:val="55E55B2D"/>
    <w:rsid w:val="55EF2D6B"/>
    <w:rsid w:val="562466D6"/>
    <w:rsid w:val="56277544"/>
    <w:rsid w:val="56334F25"/>
    <w:rsid w:val="56350D4D"/>
    <w:rsid w:val="56655CD0"/>
    <w:rsid w:val="567D0064"/>
    <w:rsid w:val="568D00A9"/>
    <w:rsid w:val="569047C1"/>
    <w:rsid w:val="56A078A4"/>
    <w:rsid w:val="56B03BE9"/>
    <w:rsid w:val="56D62A39"/>
    <w:rsid w:val="56E37D95"/>
    <w:rsid w:val="56EA7FD9"/>
    <w:rsid w:val="56F03D91"/>
    <w:rsid w:val="56F303B0"/>
    <w:rsid w:val="56FF51C4"/>
    <w:rsid w:val="571B50EE"/>
    <w:rsid w:val="571F6B40"/>
    <w:rsid w:val="57207802"/>
    <w:rsid w:val="5722036F"/>
    <w:rsid w:val="572C1E40"/>
    <w:rsid w:val="57323DED"/>
    <w:rsid w:val="57495699"/>
    <w:rsid w:val="57770831"/>
    <w:rsid w:val="579E6A51"/>
    <w:rsid w:val="57B568F2"/>
    <w:rsid w:val="57F12CB8"/>
    <w:rsid w:val="57F84FBF"/>
    <w:rsid w:val="58061668"/>
    <w:rsid w:val="58193D9B"/>
    <w:rsid w:val="581C7E36"/>
    <w:rsid w:val="58252CA2"/>
    <w:rsid w:val="582F409C"/>
    <w:rsid w:val="587D6422"/>
    <w:rsid w:val="589644D1"/>
    <w:rsid w:val="58B540E8"/>
    <w:rsid w:val="58BD4D96"/>
    <w:rsid w:val="58CE7DF4"/>
    <w:rsid w:val="58E44A92"/>
    <w:rsid w:val="58E63B65"/>
    <w:rsid w:val="595043E1"/>
    <w:rsid w:val="59533420"/>
    <w:rsid w:val="5972217C"/>
    <w:rsid w:val="59737BD0"/>
    <w:rsid w:val="59BB20E9"/>
    <w:rsid w:val="59C27DA2"/>
    <w:rsid w:val="59D011FA"/>
    <w:rsid w:val="59D42DDA"/>
    <w:rsid w:val="59D43159"/>
    <w:rsid w:val="59FD1CDC"/>
    <w:rsid w:val="5A3C4E76"/>
    <w:rsid w:val="5A4417C5"/>
    <w:rsid w:val="5A464268"/>
    <w:rsid w:val="5A4A1AA7"/>
    <w:rsid w:val="5A5F7B55"/>
    <w:rsid w:val="5A61339E"/>
    <w:rsid w:val="5A642FFD"/>
    <w:rsid w:val="5A7B2DC2"/>
    <w:rsid w:val="5A886459"/>
    <w:rsid w:val="5A927E04"/>
    <w:rsid w:val="5A990CB2"/>
    <w:rsid w:val="5AA138A7"/>
    <w:rsid w:val="5AC03A11"/>
    <w:rsid w:val="5AC06F66"/>
    <w:rsid w:val="5AC35284"/>
    <w:rsid w:val="5AFC0D1F"/>
    <w:rsid w:val="5B1A4329"/>
    <w:rsid w:val="5B3D435A"/>
    <w:rsid w:val="5B55516C"/>
    <w:rsid w:val="5B674707"/>
    <w:rsid w:val="5B8F1E2C"/>
    <w:rsid w:val="5BAD1636"/>
    <w:rsid w:val="5C0906C7"/>
    <w:rsid w:val="5C427A65"/>
    <w:rsid w:val="5C5C50B1"/>
    <w:rsid w:val="5C5E5B49"/>
    <w:rsid w:val="5CA17210"/>
    <w:rsid w:val="5CBB1B66"/>
    <w:rsid w:val="5CD35C76"/>
    <w:rsid w:val="5CED196A"/>
    <w:rsid w:val="5CF120EE"/>
    <w:rsid w:val="5CF23697"/>
    <w:rsid w:val="5D202EC3"/>
    <w:rsid w:val="5D217E3C"/>
    <w:rsid w:val="5D4331BC"/>
    <w:rsid w:val="5D767375"/>
    <w:rsid w:val="5D912CB7"/>
    <w:rsid w:val="5D9472C3"/>
    <w:rsid w:val="5D972992"/>
    <w:rsid w:val="5D9A48EF"/>
    <w:rsid w:val="5D9C797E"/>
    <w:rsid w:val="5DA13A7D"/>
    <w:rsid w:val="5DC56C40"/>
    <w:rsid w:val="5DCA79B2"/>
    <w:rsid w:val="5DD257FB"/>
    <w:rsid w:val="5DE53578"/>
    <w:rsid w:val="5E012D39"/>
    <w:rsid w:val="5E036981"/>
    <w:rsid w:val="5E0C58B3"/>
    <w:rsid w:val="5E176C11"/>
    <w:rsid w:val="5E236301"/>
    <w:rsid w:val="5E2D4A33"/>
    <w:rsid w:val="5E3273C9"/>
    <w:rsid w:val="5E66478F"/>
    <w:rsid w:val="5EAC5379"/>
    <w:rsid w:val="5EC244BD"/>
    <w:rsid w:val="5ED1077C"/>
    <w:rsid w:val="5F0D0C51"/>
    <w:rsid w:val="5F2042AD"/>
    <w:rsid w:val="5F2C4406"/>
    <w:rsid w:val="5F98079F"/>
    <w:rsid w:val="5FB24571"/>
    <w:rsid w:val="5FC236B9"/>
    <w:rsid w:val="5FC52F17"/>
    <w:rsid w:val="5FCD61E8"/>
    <w:rsid w:val="5FD0478F"/>
    <w:rsid w:val="5FD04CEF"/>
    <w:rsid w:val="5FE53141"/>
    <w:rsid w:val="600C7942"/>
    <w:rsid w:val="6011228A"/>
    <w:rsid w:val="60160B2B"/>
    <w:rsid w:val="602E247F"/>
    <w:rsid w:val="603B3942"/>
    <w:rsid w:val="603F373A"/>
    <w:rsid w:val="605E391B"/>
    <w:rsid w:val="60650B80"/>
    <w:rsid w:val="607470A3"/>
    <w:rsid w:val="60833F6E"/>
    <w:rsid w:val="60DF6BB3"/>
    <w:rsid w:val="60E856E0"/>
    <w:rsid w:val="60EA250A"/>
    <w:rsid w:val="614A09D1"/>
    <w:rsid w:val="618202C3"/>
    <w:rsid w:val="6185532F"/>
    <w:rsid w:val="619D6263"/>
    <w:rsid w:val="61A26C35"/>
    <w:rsid w:val="61D63BB1"/>
    <w:rsid w:val="61EE5B18"/>
    <w:rsid w:val="61F22FDC"/>
    <w:rsid w:val="624A3C56"/>
    <w:rsid w:val="624F5805"/>
    <w:rsid w:val="626C539A"/>
    <w:rsid w:val="626F0CEA"/>
    <w:rsid w:val="627467C7"/>
    <w:rsid w:val="628D49A6"/>
    <w:rsid w:val="62BC7BD2"/>
    <w:rsid w:val="62BF799C"/>
    <w:rsid w:val="62E96583"/>
    <w:rsid w:val="632232D2"/>
    <w:rsid w:val="63483803"/>
    <w:rsid w:val="635167A3"/>
    <w:rsid w:val="635D45FA"/>
    <w:rsid w:val="63732660"/>
    <w:rsid w:val="63776488"/>
    <w:rsid w:val="639E2B27"/>
    <w:rsid w:val="639F17EF"/>
    <w:rsid w:val="63A84E55"/>
    <w:rsid w:val="63CC5A33"/>
    <w:rsid w:val="640D2A98"/>
    <w:rsid w:val="64181892"/>
    <w:rsid w:val="641F7520"/>
    <w:rsid w:val="64581AF4"/>
    <w:rsid w:val="645C4C6B"/>
    <w:rsid w:val="6461755A"/>
    <w:rsid w:val="6482580F"/>
    <w:rsid w:val="64B0308E"/>
    <w:rsid w:val="64B3317F"/>
    <w:rsid w:val="64C935AD"/>
    <w:rsid w:val="64CC3C2C"/>
    <w:rsid w:val="64E80A56"/>
    <w:rsid w:val="64EE31F0"/>
    <w:rsid w:val="651320EB"/>
    <w:rsid w:val="65327FFE"/>
    <w:rsid w:val="65657869"/>
    <w:rsid w:val="656B460F"/>
    <w:rsid w:val="65766776"/>
    <w:rsid w:val="65795599"/>
    <w:rsid w:val="657D1937"/>
    <w:rsid w:val="65885C43"/>
    <w:rsid w:val="65A32A88"/>
    <w:rsid w:val="65A83AD6"/>
    <w:rsid w:val="65B309A1"/>
    <w:rsid w:val="65BF28BE"/>
    <w:rsid w:val="65C44D25"/>
    <w:rsid w:val="65CA6A03"/>
    <w:rsid w:val="65DC1A50"/>
    <w:rsid w:val="65FF55D7"/>
    <w:rsid w:val="661D1DB6"/>
    <w:rsid w:val="66267DE3"/>
    <w:rsid w:val="66363F76"/>
    <w:rsid w:val="664E4A19"/>
    <w:rsid w:val="665C3CEB"/>
    <w:rsid w:val="66611CFD"/>
    <w:rsid w:val="667413D9"/>
    <w:rsid w:val="667B4B72"/>
    <w:rsid w:val="66BE234E"/>
    <w:rsid w:val="66CE7961"/>
    <w:rsid w:val="672D2BA3"/>
    <w:rsid w:val="674168E5"/>
    <w:rsid w:val="67A90FBE"/>
    <w:rsid w:val="67D675C5"/>
    <w:rsid w:val="67ED6533"/>
    <w:rsid w:val="68034F77"/>
    <w:rsid w:val="68316150"/>
    <w:rsid w:val="683A450A"/>
    <w:rsid w:val="683E2475"/>
    <w:rsid w:val="684A5ECF"/>
    <w:rsid w:val="686B79B4"/>
    <w:rsid w:val="68A67B1B"/>
    <w:rsid w:val="68B23D7D"/>
    <w:rsid w:val="68CB28FA"/>
    <w:rsid w:val="68D25CA8"/>
    <w:rsid w:val="68E64208"/>
    <w:rsid w:val="68EB1EAD"/>
    <w:rsid w:val="6901574C"/>
    <w:rsid w:val="69277D74"/>
    <w:rsid w:val="6937344B"/>
    <w:rsid w:val="69500C3F"/>
    <w:rsid w:val="695057E0"/>
    <w:rsid w:val="69566C54"/>
    <w:rsid w:val="695F2534"/>
    <w:rsid w:val="699B5C17"/>
    <w:rsid w:val="69AD2877"/>
    <w:rsid w:val="69D62775"/>
    <w:rsid w:val="69E939B2"/>
    <w:rsid w:val="69FE165F"/>
    <w:rsid w:val="6A025E59"/>
    <w:rsid w:val="6A725FCF"/>
    <w:rsid w:val="6A927D78"/>
    <w:rsid w:val="6A9E030B"/>
    <w:rsid w:val="6AB75C1A"/>
    <w:rsid w:val="6ACE191A"/>
    <w:rsid w:val="6B306F13"/>
    <w:rsid w:val="6B586F05"/>
    <w:rsid w:val="6B821E9B"/>
    <w:rsid w:val="6B86590F"/>
    <w:rsid w:val="6B9A3D1E"/>
    <w:rsid w:val="6BCD06C1"/>
    <w:rsid w:val="6BCF2093"/>
    <w:rsid w:val="6BF97BD7"/>
    <w:rsid w:val="6BFD1DCB"/>
    <w:rsid w:val="6C1258BF"/>
    <w:rsid w:val="6C1B7EF0"/>
    <w:rsid w:val="6C3A3C37"/>
    <w:rsid w:val="6C6B53DB"/>
    <w:rsid w:val="6C761022"/>
    <w:rsid w:val="6C7E6832"/>
    <w:rsid w:val="6C8B59F0"/>
    <w:rsid w:val="6C9560E7"/>
    <w:rsid w:val="6CED7DB6"/>
    <w:rsid w:val="6CF0207E"/>
    <w:rsid w:val="6CFD419D"/>
    <w:rsid w:val="6D305C3E"/>
    <w:rsid w:val="6D4860D5"/>
    <w:rsid w:val="6D6C711D"/>
    <w:rsid w:val="6DB90A49"/>
    <w:rsid w:val="6DC76EA2"/>
    <w:rsid w:val="6E0B6655"/>
    <w:rsid w:val="6E400C78"/>
    <w:rsid w:val="6E410343"/>
    <w:rsid w:val="6E542041"/>
    <w:rsid w:val="6E8A5F92"/>
    <w:rsid w:val="6EAF0537"/>
    <w:rsid w:val="6EFC0945"/>
    <w:rsid w:val="6F0E2CBE"/>
    <w:rsid w:val="6F5A2D45"/>
    <w:rsid w:val="6F926F82"/>
    <w:rsid w:val="6FA41BE4"/>
    <w:rsid w:val="6FAC7006"/>
    <w:rsid w:val="6FB23D44"/>
    <w:rsid w:val="6FD275AE"/>
    <w:rsid w:val="6FF07CAA"/>
    <w:rsid w:val="70083650"/>
    <w:rsid w:val="700D45DE"/>
    <w:rsid w:val="701F1B2C"/>
    <w:rsid w:val="702B54A8"/>
    <w:rsid w:val="703575BF"/>
    <w:rsid w:val="703D565C"/>
    <w:rsid w:val="70443276"/>
    <w:rsid w:val="70452F3C"/>
    <w:rsid w:val="7050161D"/>
    <w:rsid w:val="706171BA"/>
    <w:rsid w:val="70757AD5"/>
    <w:rsid w:val="707A3BE1"/>
    <w:rsid w:val="70953CE4"/>
    <w:rsid w:val="709C705C"/>
    <w:rsid w:val="709D5BA5"/>
    <w:rsid w:val="70A4393E"/>
    <w:rsid w:val="70A54B41"/>
    <w:rsid w:val="70C6252D"/>
    <w:rsid w:val="70E76C2C"/>
    <w:rsid w:val="71254485"/>
    <w:rsid w:val="71516E6E"/>
    <w:rsid w:val="71561BE7"/>
    <w:rsid w:val="71A4684F"/>
    <w:rsid w:val="71B248E7"/>
    <w:rsid w:val="71BC1236"/>
    <w:rsid w:val="71F07F5C"/>
    <w:rsid w:val="71FB2856"/>
    <w:rsid w:val="7201398C"/>
    <w:rsid w:val="72077AC5"/>
    <w:rsid w:val="72517D73"/>
    <w:rsid w:val="72546A20"/>
    <w:rsid w:val="725E0E75"/>
    <w:rsid w:val="725E573A"/>
    <w:rsid w:val="72776D8C"/>
    <w:rsid w:val="72861C67"/>
    <w:rsid w:val="72C35B8C"/>
    <w:rsid w:val="733F0F65"/>
    <w:rsid w:val="737471F2"/>
    <w:rsid w:val="737E737A"/>
    <w:rsid w:val="73833A61"/>
    <w:rsid w:val="7389477A"/>
    <w:rsid w:val="73922AF7"/>
    <w:rsid w:val="73A94AA8"/>
    <w:rsid w:val="73AE59F1"/>
    <w:rsid w:val="73C05A87"/>
    <w:rsid w:val="73C6418F"/>
    <w:rsid w:val="73DB762D"/>
    <w:rsid w:val="73E16FC6"/>
    <w:rsid w:val="73F62703"/>
    <w:rsid w:val="73FD4C68"/>
    <w:rsid w:val="74115F96"/>
    <w:rsid w:val="74577CE1"/>
    <w:rsid w:val="74583D76"/>
    <w:rsid w:val="747A79C8"/>
    <w:rsid w:val="749939D4"/>
    <w:rsid w:val="74B728D0"/>
    <w:rsid w:val="74BB564E"/>
    <w:rsid w:val="74D07AC1"/>
    <w:rsid w:val="74D6305E"/>
    <w:rsid w:val="74E51F28"/>
    <w:rsid w:val="74FD6F0B"/>
    <w:rsid w:val="74FE3A3D"/>
    <w:rsid w:val="753146B6"/>
    <w:rsid w:val="755A2958"/>
    <w:rsid w:val="75911CE8"/>
    <w:rsid w:val="75AF30D5"/>
    <w:rsid w:val="75CE5415"/>
    <w:rsid w:val="75D0479A"/>
    <w:rsid w:val="75D906A7"/>
    <w:rsid w:val="760049B7"/>
    <w:rsid w:val="762E47AC"/>
    <w:rsid w:val="76437323"/>
    <w:rsid w:val="764D0F3C"/>
    <w:rsid w:val="76617ADF"/>
    <w:rsid w:val="76632490"/>
    <w:rsid w:val="766B000D"/>
    <w:rsid w:val="76793EF9"/>
    <w:rsid w:val="768E3A51"/>
    <w:rsid w:val="76A73FE4"/>
    <w:rsid w:val="76D5332C"/>
    <w:rsid w:val="76E01D77"/>
    <w:rsid w:val="7702428C"/>
    <w:rsid w:val="7714078E"/>
    <w:rsid w:val="774E6CF8"/>
    <w:rsid w:val="778A27B6"/>
    <w:rsid w:val="77955D0A"/>
    <w:rsid w:val="77AB35E0"/>
    <w:rsid w:val="77C6682F"/>
    <w:rsid w:val="77C737B0"/>
    <w:rsid w:val="780441B0"/>
    <w:rsid w:val="78311019"/>
    <w:rsid w:val="786C4D7E"/>
    <w:rsid w:val="786C50A0"/>
    <w:rsid w:val="786D39C6"/>
    <w:rsid w:val="78726D4E"/>
    <w:rsid w:val="78787072"/>
    <w:rsid w:val="78872CB2"/>
    <w:rsid w:val="788E6056"/>
    <w:rsid w:val="788F05A4"/>
    <w:rsid w:val="78A43520"/>
    <w:rsid w:val="78C3591B"/>
    <w:rsid w:val="78DF240F"/>
    <w:rsid w:val="78F13125"/>
    <w:rsid w:val="78F2405F"/>
    <w:rsid w:val="78FB261E"/>
    <w:rsid w:val="79051EF7"/>
    <w:rsid w:val="79073D95"/>
    <w:rsid w:val="79163997"/>
    <w:rsid w:val="793142F4"/>
    <w:rsid w:val="79374AB8"/>
    <w:rsid w:val="79411CBC"/>
    <w:rsid w:val="794B0028"/>
    <w:rsid w:val="797715F9"/>
    <w:rsid w:val="79845E45"/>
    <w:rsid w:val="798E00C9"/>
    <w:rsid w:val="79A406BE"/>
    <w:rsid w:val="79BC4CCA"/>
    <w:rsid w:val="79BF573A"/>
    <w:rsid w:val="79E26FFA"/>
    <w:rsid w:val="79EB2986"/>
    <w:rsid w:val="79EF7D66"/>
    <w:rsid w:val="79F02097"/>
    <w:rsid w:val="79F22540"/>
    <w:rsid w:val="7A0C7704"/>
    <w:rsid w:val="7A0F1F4E"/>
    <w:rsid w:val="7A217714"/>
    <w:rsid w:val="7A2A54C8"/>
    <w:rsid w:val="7A331958"/>
    <w:rsid w:val="7A3720D4"/>
    <w:rsid w:val="7A5136BB"/>
    <w:rsid w:val="7A983B8E"/>
    <w:rsid w:val="7ADE3374"/>
    <w:rsid w:val="7B331475"/>
    <w:rsid w:val="7B510BD3"/>
    <w:rsid w:val="7B612444"/>
    <w:rsid w:val="7B912422"/>
    <w:rsid w:val="7BB77243"/>
    <w:rsid w:val="7BCA2BDF"/>
    <w:rsid w:val="7BDB6881"/>
    <w:rsid w:val="7BFF73BD"/>
    <w:rsid w:val="7C151E6F"/>
    <w:rsid w:val="7C237CA2"/>
    <w:rsid w:val="7C274CF4"/>
    <w:rsid w:val="7C5776E5"/>
    <w:rsid w:val="7C8A4789"/>
    <w:rsid w:val="7C9F6B93"/>
    <w:rsid w:val="7CAE084F"/>
    <w:rsid w:val="7CAF5F36"/>
    <w:rsid w:val="7CB12347"/>
    <w:rsid w:val="7CB877F8"/>
    <w:rsid w:val="7CC557F5"/>
    <w:rsid w:val="7CE331B7"/>
    <w:rsid w:val="7D081D5B"/>
    <w:rsid w:val="7D1975B5"/>
    <w:rsid w:val="7D274509"/>
    <w:rsid w:val="7D532C33"/>
    <w:rsid w:val="7D6E6CED"/>
    <w:rsid w:val="7D836E63"/>
    <w:rsid w:val="7D967C95"/>
    <w:rsid w:val="7DAD39C2"/>
    <w:rsid w:val="7DB25E62"/>
    <w:rsid w:val="7DD30164"/>
    <w:rsid w:val="7DE575C7"/>
    <w:rsid w:val="7E2E0EAF"/>
    <w:rsid w:val="7E3D6188"/>
    <w:rsid w:val="7E443B20"/>
    <w:rsid w:val="7E6E71B3"/>
    <w:rsid w:val="7E745168"/>
    <w:rsid w:val="7EA74B9D"/>
    <w:rsid w:val="7EAC7455"/>
    <w:rsid w:val="7EBE611A"/>
    <w:rsid w:val="7EEB718E"/>
    <w:rsid w:val="7F00698D"/>
    <w:rsid w:val="7F132664"/>
    <w:rsid w:val="7F1848AF"/>
    <w:rsid w:val="7F1C7075"/>
    <w:rsid w:val="7F2123CA"/>
    <w:rsid w:val="7F40415D"/>
    <w:rsid w:val="7F8E6837"/>
    <w:rsid w:val="7FC64BC8"/>
    <w:rsid w:val="7FCE6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eastAsia="宋体" w:asciiTheme="minorHAnsi" w:hAnsiTheme="minorHAnsi" w:cstheme="minorBidi"/>
      <w:kern w:val="2"/>
      <w:sz w:val="24"/>
      <w:szCs w:val="24"/>
      <w:lang w:val="en-US" w:eastAsia="zh-CN" w:bidi="ar-SA"/>
    </w:rPr>
  </w:style>
  <w:style w:type="paragraph" w:styleId="4">
    <w:name w:val="heading 1"/>
    <w:basedOn w:val="1"/>
    <w:next w:val="1"/>
    <w:qFormat/>
    <w:uiPriority w:val="0"/>
    <w:pPr>
      <w:keepNext/>
      <w:keepLines/>
      <w:spacing w:before="100" w:after="100" w:line="576" w:lineRule="auto"/>
      <w:ind w:firstLine="0" w:firstLineChars="0"/>
      <w:outlineLvl w:val="0"/>
    </w:pPr>
    <w:rPr>
      <w:b/>
      <w:kern w:val="44"/>
      <w:sz w:val="32"/>
    </w:rPr>
  </w:style>
  <w:style w:type="paragraph" w:styleId="5">
    <w:name w:val="heading 2"/>
    <w:basedOn w:val="1"/>
    <w:next w:val="1"/>
    <w:unhideWhenUsed/>
    <w:qFormat/>
    <w:uiPriority w:val="0"/>
    <w:pPr>
      <w:keepNext/>
      <w:keepLines/>
      <w:spacing w:before="100" w:after="100" w:line="413" w:lineRule="auto"/>
      <w:ind w:firstLine="0" w:firstLineChars="0"/>
      <w:outlineLvl w:val="1"/>
    </w:pPr>
    <w:rPr>
      <w:rFonts w:ascii="Arial" w:hAnsi="Arial"/>
      <w:b/>
      <w:sz w:val="30"/>
    </w:rPr>
  </w:style>
  <w:style w:type="paragraph" w:styleId="6">
    <w:name w:val="heading 3"/>
    <w:basedOn w:val="1"/>
    <w:next w:val="1"/>
    <w:unhideWhenUsed/>
    <w:qFormat/>
    <w:uiPriority w:val="0"/>
    <w:pPr>
      <w:keepNext/>
      <w:keepLines/>
      <w:spacing w:before="60" w:after="60"/>
      <w:ind w:firstLine="0" w:firstLineChars="0"/>
      <w:outlineLvl w:val="2"/>
    </w:pPr>
    <w:rPr>
      <w:b/>
      <w:sz w:val="28"/>
    </w:rPr>
  </w:style>
  <w:style w:type="paragraph" w:styleId="7">
    <w:name w:val="heading 4"/>
    <w:basedOn w:val="1"/>
    <w:next w:val="1"/>
    <w:unhideWhenUsed/>
    <w:qFormat/>
    <w:uiPriority w:val="0"/>
    <w:pPr>
      <w:spacing w:before="40" w:after="40" w:line="372" w:lineRule="auto"/>
      <w:ind w:firstLine="0" w:firstLineChars="0"/>
      <w:outlineLvl w:val="3"/>
    </w:pPr>
    <w:rPr>
      <w:rFonts w:ascii="Times New Roman" w:hAnsi="Times New Roman"/>
      <w:b/>
    </w:rPr>
  </w:style>
  <w:style w:type="paragraph" w:styleId="8">
    <w:name w:val="heading 6"/>
    <w:basedOn w:val="1"/>
    <w:next w:val="1"/>
    <w:qFormat/>
    <w:uiPriority w:val="1"/>
    <w:pPr>
      <w:outlineLvl w:val="5"/>
    </w:pPr>
    <w:rPr>
      <w:rFonts w:ascii="宋体" w:hAnsi="宋体" w:cs="宋体"/>
      <w:b/>
      <w:bCs/>
      <w:lang w:val="zh-CN" w:bidi="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sz w:val="18"/>
      <w:szCs w:val="18"/>
    </w:rPr>
  </w:style>
  <w:style w:type="paragraph" w:styleId="9">
    <w:name w:val="Normal Indent"/>
    <w:basedOn w:val="1"/>
    <w:next w:val="10"/>
    <w:qFormat/>
    <w:uiPriority w:val="99"/>
    <w:pPr>
      <w:tabs>
        <w:tab w:val="left" w:pos="0"/>
      </w:tabs>
      <w:ind w:firstLine="420"/>
    </w:pPr>
  </w:style>
  <w:style w:type="paragraph" w:styleId="10">
    <w:name w:val="Body Text First Indent 2"/>
    <w:basedOn w:val="11"/>
    <w:next w:val="1"/>
    <w:qFormat/>
    <w:uiPriority w:val="0"/>
    <w:pPr>
      <w:ind w:firstLine="420"/>
    </w:pPr>
    <w:rPr>
      <w:rFonts w:ascii="Calibri" w:hAnsi="Calibri"/>
      <w:sz w:val="28"/>
      <w:szCs w:val="22"/>
    </w:rPr>
  </w:style>
  <w:style w:type="paragraph" w:styleId="11">
    <w:name w:val="Body Text Indent"/>
    <w:basedOn w:val="1"/>
    <w:next w:val="12"/>
    <w:qFormat/>
    <w:uiPriority w:val="0"/>
    <w:pPr>
      <w:spacing w:line="560" w:lineRule="exact"/>
    </w:pPr>
    <w:rPr>
      <w:rFonts w:ascii="Arial" w:hAnsi="Arial" w:eastAsia="楷体_GB2312"/>
      <w:snapToGrid w:val="0"/>
      <w:kern w:val="0"/>
    </w:rPr>
  </w:style>
  <w:style w:type="paragraph" w:styleId="12">
    <w:name w:val="Body Text Indent 2"/>
    <w:basedOn w:val="1"/>
    <w:next w:val="10"/>
    <w:qFormat/>
    <w:uiPriority w:val="0"/>
    <w:pPr>
      <w:spacing w:line="540" w:lineRule="exact"/>
    </w:pPr>
    <w:rPr>
      <w:sz w:val="21"/>
    </w:rPr>
  </w:style>
  <w:style w:type="paragraph" w:styleId="13">
    <w:name w:val="caption"/>
    <w:basedOn w:val="1"/>
    <w:next w:val="1"/>
    <w:unhideWhenUsed/>
    <w:qFormat/>
    <w:uiPriority w:val="99"/>
    <w:rPr>
      <w:rFonts w:ascii="等线 Light" w:hAnsi="等线 Light" w:eastAsia="黑体"/>
      <w:sz w:val="20"/>
      <w:szCs w:val="20"/>
    </w:rPr>
  </w:style>
  <w:style w:type="paragraph" w:styleId="14">
    <w:name w:val="annotation text"/>
    <w:basedOn w:val="1"/>
    <w:link w:val="52"/>
    <w:qFormat/>
    <w:uiPriority w:val="0"/>
    <w:pPr>
      <w:jc w:val="left"/>
    </w:pPr>
  </w:style>
  <w:style w:type="paragraph" w:styleId="15">
    <w:name w:val="Block Text"/>
    <w:basedOn w:val="1"/>
    <w:qFormat/>
    <w:uiPriority w:val="99"/>
    <w:pPr>
      <w:ind w:left="1440" w:leftChars="700" w:right="700" w:rightChars="700"/>
    </w:pPr>
  </w:style>
  <w:style w:type="paragraph" w:styleId="16">
    <w:name w:val="toc 3"/>
    <w:basedOn w:val="1"/>
    <w:next w:val="1"/>
    <w:qFormat/>
    <w:uiPriority w:val="0"/>
    <w:pPr>
      <w:ind w:left="840" w:leftChars="400"/>
    </w:pPr>
  </w:style>
  <w:style w:type="paragraph" w:styleId="17">
    <w:name w:val="Plain Text"/>
    <w:basedOn w:val="1"/>
    <w:qFormat/>
    <w:uiPriority w:val="0"/>
    <w:rPr>
      <w:rFonts w:ascii="宋体" w:hAnsi="Courier New"/>
      <w:szCs w:val="21"/>
    </w:rPr>
  </w:style>
  <w:style w:type="paragraph" w:styleId="18">
    <w:name w:val="Balloon Text"/>
    <w:basedOn w:val="1"/>
    <w:qFormat/>
    <w:uiPriority w:val="0"/>
    <w:rPr>
      <w:kern w:val="0"/>
      <w:sz w:val="18"/>
    </w:r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1">
    <w:name w:val="toc 1"/>
    <w:basedOn w:val="1"/>
    <w:next w:val="1"/>
    <w:qFormat/>
    <w:uiPriority w:val="0"/>
  </w:style>
  <w:style w:type="paragraph" w:styleId="22">
    <w:name w:val="toc 4"/>
    <w:basedOn w:val="1"/>
    <w:next w:val="1"/>
    <w:qFormat/>
    <w:uiPriority w:val="0"/>
    <w:pPr>
      <w:ind w:left="1260" w:leftChars="600"/>
    </w:pPr>
  </w:style>
  <w:style w:type="paragraph" w:styleId="23">
    <w:name w:val="toc 2"/>
    <w:basedOn w:val="1"/>
    <w:next w:val="1"/>
    <w:qFormat/>
    <w:uiPriority w:val="0"/>
    <w:pPr>
      <w:ind w:left="420" w:leftChars="200"/>
    </w:pPr>
  </w:style>
  <w:style w:type="paragraph" w:styleId="24">
    <w:name w:val="Body Text 2"/>
    <w:basedOn w:val="1"/>
    <w:qFormat/>
    <w:uiPriority w:val="0"/>
    <w:pPr>
      <w:spacing w:beforeLines="25" w:afterLines="25" w:line="1000" w:lineRule="exact"/>
      <w:jc w:val="center"/>
    </w:pPr>
    <w:rPr>
      <w:rFonts w:ascii="华文中宋" w:hAnsi="华文中宋" w:eastAsia="华文中宋" w:cs="Times New Roman"/>
      <w:sz w:val="72"/>
    </w:rPr>
  </w:style>
  <w:style w:type="paragraph" w:styleId="25">
    <w:name w:val="Normal (Web)"/>
    <w:basedOn w:val="1"/>
    <w:qFormat/>
    <w:uiPriority w:val="0"/>
    <w:pPr>
      <w:spacing w:beforeAutospacing="1" w:afterAutospacing="1"/>
      <w:jc w:val="left"/>
    </w:pPr>
    <w:rPr>
      <w:rFonts w:cs="Times New Roman"/>
      <w:kern w:val="0"/>
    </w:rPr>
  </w:style>
  <w:style w:type="paragraph" w:styleId="26">
    <w:name w:val="annotation subject"/>
    <w:basedOn w:val="14"/>
    <w:next w:val="14"/>
    <w:link w:val="53"/>
    <w:qFormat/>
    <w:uiPriority w:val="0"/>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FollowedHyperlink"/>
    <w:basedOn w:val="29"/>
    <w:qFormat/>
    <w:uiPriority w:val="0"/>
    <w:rPr>
      <w:color w:val="800080"/>
      <w:u w:val="none"/>
    </w:rPr>
  </w:style>
  <w:style w:type="character" w:styleId="32">
    <w:name w:val="Hyperlink"/>
    <w:basedOn w:val="29"/>
    <w:qFormat/>
    <w:uiPriority w:val="0"/>
    <w:rPr>
      <w:color w:val="0000FF"/>
      <w:u w:val="single"/>
    </w:rPr>
  </w:style>
  <w:style w:type="character" w:styleId="33">
    <w:name w:val="annotation reference"/>
    <w:basedOn w:val="29"/>
    <w:qFormat/>
    <w:uiPriority w:val="0"/>
    <w:rPr>
      <w:sz w:val="21"/>
      <w:szCs w:val="21"/>
    </w:rPr>
  </w:style>
  <w:style w:type="paragraph" w:customStyle="1" w:styleId="34">
    <w:name w:val="表格内"/>
    <w:basedOn w:val="1"/>
    <w:qFormat/>
    <w:uiPriority w:val="0"/>
    <w:pPr>
      <w:adjustRightInd w:val="0"/>
      <w:snapToGrid w:val="0"/>
      <w:spacing w:line="360" w:lineRule="exact"/>
      <w:jc w:val="center"/>
    </w:pPr>
    <w:rPr>
      <w:rFonts w:eastAsia="Times New Roman"/>
      <w:snapToGrid w:val="0"/>
      <w:kern w:val="0"/>
      <w:sz w:val="21"/>
      <w:szCs w:val="21"/>
      <w:lang w:val="zh-CN"/>
    </w:rPr>
  </w:style>
  <w:style w:type="paragraph" w:customStyle="1" w:styleId="35">
    <w:name w:val="正文首行缩进 21"/>
    <w:basedOn w:val="36"/>
    <w:next w:val="2"/>
    <w:qFormat/>
    <w:uiPriority w:val="0"/>
    <w:pPr>
      <w:spacing w:after="120"/>
      <w:ind w:left="420" w:leftChars="200" w:firstLine="420" w:firstLineChars="200"/>
    </w:pPr>
    <w:rPr>
      <w:sz w:val="21"/>
    </w:rPr>
  </w:style>
  <w:style w:type="paragraph" w:customStyle="1" w:styleId="36">
    <w:name w:val="正文文本缩进1"/>
    <w:basedOn w:val="1"/>
    <w:qFormat/>
    <w:uiPriority w:val="0"/>
    <w:pPr>
      <w:ind w:firstLine="538" w:firstLineChars="192"/>
    </w:pPr>
    <w:rPr>
      <w:kern w:val="0"/>
      <w:sz w:val="28"/>
    </w:rPr>
  </w:style>
  <w:style w:type="paragraph" w:customStyle="1" w:styleId="37">
    <w:name w:val="样式 正文缩进正文缩进2正文缩进 Char Char正文缩进 Char Char Char Char正文缩进 Char ..."/>
    <w:basedOn w:val="9"/>
    <w:qFormat/>
    <w:uiPriority w:val="0"/>
    <w:pPr>
      <w:ind w:firstLine="200"/>
    </w:pPr>
    <w:rPr>
      <w:rFonts w:cs="宋体"/>
    </w:rPr>
  </w:style>
  <w:style w:type="paragraph" w:customStyle="1" w:styleId="38">
    <w:name w:val="Z正文"/>
    <w:basedOn w:val="1"/>
    <w:next w:val="1"/>
    <w:semiHidden/>
    <w:qFormat/>
    <w:uiPriority w:val="0"/>
    <w:rPr>
      <w:rFonts w:ascii="Calibri" w:hAnsi="Calibri"/>
      <w:szCs w:val="22"/>
    </w:rPr>
  </w:style>
  <w:style w:type="paragraph" w:customStyle="1" w:styleId="39">
    <w:name w:val="表头"/>
    <w:basedOn w:val="1"/>
    <w:link w:val="43"/>
    <w:qFormat/>
    <w:uiPriority w:val="0"/>
    <w:pPr>
      <w:spacing w:before="120" w:after="120" w:line="240" w:lineRule="auto"/>
      <w:ind w:firstLine="0" w:firstLineChars="0"/>
      <w:jc w:val="center"/>
    </w:pPr>
    <w:rPr>
      <w:rFonts w:ascii="Times New Roman" w:hAnsi="Times New Roman"/>
      <w:b/>
      <w:sz w:val="21"/>
    </w:rPr>
  </w:style>
  <w:style w:type="paragraph" w:customStyle="1" w:styleId="40">
    <w:name w:val="表格"/>
    <w:basedOn w:val="1"/>
    <w:qFormat/>
    <w:uiPriority w:val="0"/>
    <w:pPr>
      <w:spacing w:line="240" w:lineRule="auto"/>
      <w:ind w:firstLine="0" w:firstLineChars="0"/>
      <w:jc w:val="center"/>
    </w:pPr>
    <w:rPr>
      <w:sz w:val="21"/>
    </w:rPr>
  </w:style>
  <w:style w:type="paragraph" w:customStyle="1" w:styleId="41">
    <w:name w:val="正文(首行缩进)"/>
    <w:basedOn w:val="1"/>
    <w:next w:val="1"/>
    <w:qFormat/>
    <w:uiPriority w:val="99"/>
    <w:pPr>
      <w:ind w:firstLine="540" w:firstLineChars="225"/>
    </w:pPr>
    <w:rPr>
      <w:rFonts w:ascii="等线" w:hAnsi="等线" w:eastAsia="等线"/>
      <w:snapToGrid w:val="0"/>
      <w:color w:val="000000"/>
    </w:rPr>
  </w:style>
  <w:style w:type="paragraph" w:customStyle="1" w:styleId="42">
    <w:name w:val="1.2"/>
    <w:basedOn w:val="1"/>
    <w:qFormat/>
    <w:uiPriority w:val="0"/>
    <w:pPr>
      <w:adjustRightInd w:val="0"/>
    </w:pPr>
    <w:rPr>
      <w:rFonts w:ascii="黑体" w:hAnsi="黑体" w:eastAsia="黑体"/>
      <w:b/>
    </w:rPr>
  </w:style>
  <w:style w:type="character" w:customStyle="1" w:styleId="43">
    <w:name w:val="表头 Char"/>
    <w:link w:val="39"/>
    <w:qFormat/>
    <w:uiPriority w:val="0"/>
    <w:rPr>
      <w:rFonts w:ascii="Times New Roman" w:hAnsi="Times New Roman"/>
      <w:b/>
      <w:sz w:val="21"/>
    </w:rPr>
  </w:style>
  <w:style w:type="paragraph" w:customStyle="1" w:styleId="44">
    <w:name w:val="正文 楷体"/>
    <w:basedOn w:val="1"/>
    <w:qFormat/>
    <w:uiPriority w:val="0"/>
    <w:pPr>
      <w:spacing w:line="500" w:lineRule="exact"/>
      <w:ind w:firstLine="200"/>
    </w:pPr>
    <w:rPr>
      <w:rFonts w:ascii="楷体_GB2312" w:hAnsi="楷体_GB2312" w:eastAsia="楷体_GB2312" w:cs="宋体"/>
    </w:rPr>
  </w:style>
  <w:style w:type="paragraph" w:customStyle="1" w:styleId="45">
    <w:name w:val="！正文"/>
    <w:basedOn w:val="1"/>
    <w:qFormat/>
    <w:uiPriority w:val="0"/>
    <w:pPr>
      <w:ind w:firstLine="200"/>
    </w:pPr>
    <w:rPr>
      <w:rFonts w:ascii="Calibri" w:hAnsi="Calibri" w:cs="Times New Roman"/>
    </w:rPr>
  </w:style>
  <w:style w:type="paragraph" w:customStyle="1" w:styleId="46">
    <w:name w:val="Table Paragraph"/>
    <w:basedOn w:val="1"/>
    <w:qFormat/>
    <w:uiPriority w:val="1"/>
    <w:pPr>
      <w:spacing w:before="43"/>
      <w:jc w:val="center"/>
    </w:pPr>
    <w:rPr>
      <w:rFonts w:ascii="宋体" w:hAnsi="宋体" w:cs="宋体"/>
      <w:lang w:val="zh-CN" w:bidi="zh-CN"/>
    </w:rPr>
  </w:style>
  <w:style w:type="paragraph" w:styleId="47">
    <w:name w:val="List Paragraph"/>
    <w:basedOn w:val="1"/>
    <w:qFormat/>
    <w:uiPriority w:val="99"/>
    <w:pPr>
      <w:ind w:firstLine="420"/>
    </w:pPr>
  </w:style>
  <w:style w:type="paragraph" w:customStyle="1" w:styleId="48">
    <w:name w:val="样式5"/>
    <w:basedOn w:val="1"/>
    <w:qFormat/>
    <w:uiPriority w:val="0"/>
    <w:pPr>
      <w:jc w:val="center"/>
    </w:pPr>
    <w:rPr>
      <w:b/>
      <w:kern w:val="0"/>
      <w:sz w:val="20"/>
    </w:rPr>
  </w:style>
  <w:style w:type="paragraph" w:customStyle="1" w:styleId="49">
    <w:name w:val="表格表头"/>
    <w:basedOn w:val="1"/>
    <w:qFormat/>
    <w:uiPriority w:val="0"/>
    <w:pPr>
      <w:spacing w:beforeLines="50"/>
      <w:jc w:val="center"/>
    </w:pPr>
    <w:rPr>
      <w:b/>
      <w:kern w:val="0"/>
      <w:szCs w:val="21"/>
    </w:rPr>
  </w:style>
  <w:style w:type="paragraph" w:styleId="50">
    <w:name w:val="No Spacing"/>
    <w:qFormat/>
    <w:uiPriority w:val="1"/>
    <w:pPr>
      <w:jc w:val="center"/>
    </w:pPr>
    <w:rPr>
      <w:rFonts w:ascii="Arial" w:hAnsi="Arial" w:eastAsia="宋体" w:cs="Times New Roman"/>
      <w:sz w:val="21"/>
      <w:szCs w:val="22"/>
      <w:lang w:val="en-US" w:eastAsia="en-US" w:bidi="en-US"/>
    </w:rPr>
  </w:style>
  <w:style w:type="paragraph" w:customStyle="1" w:styleId="51">
    <w:name w:val="农人正文"/>
    <w:basedOn w:val="1"/>
    <w:qFormat/>
    <w:uiPriority w:val="0"/>
    <w:pPr>
      <w:topLinePunct/>
      <w:adjustRightInd w:val="0"/>
      <w:snapToGrid w:val="0"/>
      <w:textAlignment w:val="baseline"/>
    </w:pPr>
    <w:rPr>
      <w:rFonts w:hAnsi="宋体"/>
      <w:kern w:val="0"/>
    </w:rPr>
  </w:style>
  <w:style w:type="character" w:customStyle="1" w:styleId="52">
    <w:name w:val="批注文字 Char"/>
    <w:basedOn w:val="29"/>
    <w:link w:val="14"/>
    <w:qFormat/>
    <w:uiPriority w:val="0"/>
    <w:rPr>
      <w:rFonts w:asciiTheme="minorHAnsi" w:hAnsiTheme="minorHAnsi" w:cstheme="minorBidi"/>
      <w:kern w:val="2"/>
      <w:sz w:val="24"/>
      <w:szCs w:val="24"/>
    </w:rPr>
  </w:style>
  <w:style w:type="character" w:customStyle="1" w:styleId="53">
    <w:name w:val="批注主题 Char"/>
    <w:basedOn w:val="52"/>
    <w:link w:val="26"/>
    <w:qFormat/>
    <w:uiPriority w:val="0"/>
    <w:rPr>
      <w:rFonts w:asciiTheme="minorHAnsi" w:hAnsiTheme="minorHAnsi" w:cstheme="minorBidi"/>
      <w:b/>
      <w:bCs/>
      <w:kern w:val="2"/>
      <w:sz w:val="24"/>
      <w:szCs w:val="24"/>
    </w:rPr>
  </w:style>
  <w:style w:type="paragraph" w:customStyle="1" w:styleId="54">
    <w:name w:val="报告书表格"/>
    <w:basedOn w:val="1"/>
    <w:qFormat/>
    <w:uiPriority w:val="0"/>
    <w:pPr>
      <w:adjustRightInd w:val="0"/>
      <w:spacing w:before="60" w:after="60" w:line="240" w:lineRule="atLeast"/>
      <w:ind w:firstLine="200"/>
      <w:jc w:val="center"/>
      <w:textAlignment w:val="baseline"/>
    </w:pPr>
    <w:rPr>
      <w:rFonts w:hAnsi="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wmf"/><Relationship Id="rId27" Type="http://schemas.openxmlformats.org/officeDocument/2006/relationships/oleObject" Target="embeddings/oleObject7.bin"/><Relationship Id="rId26" Type="http://schemas.openxmlformats.org/officeDocument/2006/relationships/image" Target="media/image11.png"/><Relationship Id="rId25" Type="http://schemas.openxmlformats.org/officeDocument/2006/relationships/oleObject" Target="embeddings/oleObject6.bin"/><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282D20-3496-462B-962A-262D539A34BA}">
  <ds:schemaRefs/>
</ds:datastoreItem>
</file>

<file path=docProps/app.xml><?xml version="1.0" encoding="utf-8"?>
<Properties xmlns="http://schemas.openxmlformats.org/officeDocument/2006/extended-properties" xmlns:vt="http://schemas.openxmlformats.org/officeDocument/2006/docPropsVTypes">
  <Template>Normal</Template>
  <Pages>166</Pages>
  <Words>17996</Words>
  <Characters>102579</Characters>
  <Lines>854</Lines>
  <Paragraphs>240</Paragraphs>
  <TotalTime>50</TotalTime>
  <ScaleCrop>false</ScaleCrop>
  <LinksUpToDate>false</LinksUpToDate>
  <CharactersWithSpaces>120335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欧阳雨艾</cp:lastModifiedBy>
  <cp:lastPrinted>2021-07-12T04:26:00Z</cp:lastPrinted>
  <dcterms:modified xsi:type="dcterms:W3CDTF">2021-07-12T07:34:26Z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D022F0BFE5E749B18571D693BA6D52C5</vt:lpwstr>
  </property>
</Properties>
</file>