
<file path=[Content_Types].xml><?xml version="1.0" encoding="utf-8"?>
<Types xmlns="http://schemas.openxmlformats.org/package/2006/content-types">
  <Default Extension="xml" ContentType="application/xml"/>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sz w:val="36"/>
          <w:szCs w:val="36"/>
          <w:highlight w:val="yellow"/>
          <w:lang w:eastAsia="zh-CN"/>
        </w:rPr>
      </w:pPr>
      <w:bookmarkStart w:id="0" w:name="_Hlk57883707"/>
      <w:r>
        <w:rPr>
          <w:rFonts w:ascii="仿宋_GB2312" w:hAnsi="仿宋_GB2312" w:eastAsia="仿宋_GB2312" w:cs="仿宋_GB2312"/>
          <w:sz w:val="36"/>
          <w:szCs w:val="36"/>
          <w:highlight w:val="yellow"/>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仿宋_GB2312" w:hAnsi="仿宋_GB2312" w:eastAsia="仿宋_GB2312" w:cs="仿宋_GB2312"/>
          <w:sz w:val="36"/>
          <w:szCs w:val="36"/>
          <w:highlight w:val="yellow"/>
          <w:lang w:eastAsia="zh-CN"/>
        </w:rPr>
        <w:instrText xml:space="preserve">ADDIN CNKISM.UserStyle</w:instrText>
      </w:r>
      <w:r>
        <w:rPr>
          <w:rFonts w:ascii="仿宋_GB2312" w:hAnsi="仿宋_GB2312" w:eastAsia="仿宋_GB2312" w:cs="仿宋_GB2312"/>
          <w:sz w:val="36"/>
          <w:szCs w:val="36"/>
          <w:highlight w:val="yellow"/>
        </w:rPr>
        <w:fldChar w:fldCharType="separate"/>
      </w:r>
      <w:r>
        <w:rPr>
          <w:rFonts w:ascii="仿宋_GB2312" w:hAnsi="仿宋_GB2312" w:eastAsia="仿宋_GB2312" w:cs="仿宋_GB2312"/>
          <w:sz w:val="36"/>
          <w:szCs w:val="36"/>
          <w:highlight w:val="yellow"/>
        </w:rPr>
        <w:fldChar w:fldCharType="end"/>
      </w:r>
    </w:p>
    <w:p>
      <w:pPr>
        <w:rPr>
          <w:rFonts w:ascii="仿宋_GB2312" w:hAnsi="仿宋_GB2312" w:eastAsia="仿宋_GB2312" w:cs="仿宋_GB2312"/>
          <w:sz w:val="36"/>
          <w:szCs w:val="36"/>
          <w:highlight w:val="none"/>
        </w:rPr>
      </w:pPr>
    </w:p>
    <w:p>
      <w:pPr>
        <w:rPr>
          <w:rFonts w:ascii="仿宋_GB2312" w:hAnsi="仿宋_GB2312" w:eastAsia="仿宋_GB2312" w:cs="仿宋_GB2312"/>
          <w:sz w:val="36"/>
          <w:szCs w:val="36"/>
          <w:highlight w:val="none"/>
        </w:rPr>
      </w:pPr>
    </w:p>
    <w:p>
      <w:pPr>
        <w:rPr>
          <w:rFonts w:ascii="仿宋_GB2312" w:hAnsi="仿宋_GB2312" w:eastAsia="仿宋_GB2312" w:cs="仿宋_GB2312"/>
          <w:sz w:val="36"/>
          <w:szCs w:val="36"/>
          <w:highlight w:val="none"/>
        </w:rPr>
      </w:pPr>
    </w:p>
    <w:bookmarkEnd w:id="0"/>
    <w:p>
      <w:pPr>
        <w:adjustRightInd w:val="0"/>
        <w:snapToGrid w:val="0"/>
        <w:jc w:val="center"/>
        <w:outlineLvl w:val="0"/>
        <w:rPr>
          <w:rFonts w:hint="eastAsia" w:ascii="方正小标宋_GBK" w:eastAsia="方正小标宋_GBK"/>
          <w:bCs/>
          <w:sz w:val="72"/>
          <w:szCs w:val="72"/>
          <w:highlight w:val="none"/>
        </w:rPr>
      </w:pPr>
      <w:bookmarkStart w:id="1" w:name="_Toc10308"/>
      <w:r>
        <w:rPr>
          <w:rFonts w:hint="eastAsia" w:ascii="方正小标宋简体" w:hAnsi="方正小标宋简体" w:eastAsia="方正小标宋简体" w:cs="方正小标宋简体"/>
          <w:bCs/>
          <w:sz w:val="72"/>
          <w:szCs w:val="72"/>
          <w:highlight w:val="none"/>
        </w:rPr>
        <w:t>建设项目环境影响报告表</w:t>
      </w:r>
      <w:bookmarkEnd w:id="1"/>
    </w:p>
    <w:p>
      <w:pPr>
        <w:adjustRightInd w:val="0"/>
        <w:snapToGrid w:val="0"/>
        <w:spacing w:before="192" w:beforeLines="80"/>
        <w:jc w:val="center"/>
        <w:rPr>
          <w:rFonts w:ascii="华文仿宋" w:hAnsi="华文仿宋" w:eastAsia="华文仿宋" w:cs="华文仿宋"/>
          <w:color w:val="000000"/>
          <w:kern w:val="44"/>
          <w:sz w:val="44"/>
          <w:szCs w:val="44"/>
          <w:highlight w:val="none"/>
        </w:rPr>
      </w:pPr>
      <w:r>
        <w:rPr>
          <w:rFonts w:hint="eastAsia" w:ascii="楷体_GB2312" w:eastAsia="楷体_GB2312"/>
          <w:bCs/>
          <w:sz w:val="48"/>
          <w:szCs w:val="48"/>
          <w:highlight w:val="none"/>
        </w:rPr>
        <w:t>（生态影响类）</w:t>
      </w:r>
      <w:bookmarkStart w:id="2" w:name="_Hlk57883728"/>
    </w:p>
    <w:p>
      <w:pPr>
        <w:jc w:val="center"/>
        <w:rPr>
          <w:rFonts w:eastAsia="仿宋"/>
          <w:sz w:val="52"/>
          <w:szCs w:val="52"/>
          <w:highlight w:val="none"/>
        </w:rPr>
      </w:pPr>
    </w:p>
    <w:p>
      <w:pPr>
        <w:jc w:val="center"/>
        <w:rPr>
          <w:rFonts w:eastAsia="仿宋"/>
          <w:sz w:val="52"/>
          <w:szCs w:val="52"/>
          <w:highlight w:val="none"/>
        </w:rPr>
      </w:pPr>
    </w:p>
    <w:p>
      <w:pPr>
        <w:ind w:firstLine="1040"/>
        <w:rPr>
          <w:rFonts w:eastAsia="仿宋"/>
          <w:sz w:val="44"/>
          <w:szCs w:val="44"/>
          <w:highlight w:val="none"/>
        </w:rPr>
      </w:pPr>
    </w:p>
    <w:p>
      <w:pPr>
        <w:ind w:firstLine="1040"/>
        <w:rPr>
          <w:rFonts w:eastAsia="仿宋"/>
          <w:sz w:val="44"/>
          <w:szCs w:val="44"/>
          <w:highlight w:val="none"/>
        </w:rPr>
      </w:pPr>
    </w:p>
    <w:p>
      <w:pPr>
        <w:ind w:firstLine="1040"/>
        <w:rPr>
          <w:rFonts w:eastAsia="仿宋"/>
          <w:sz w:val="44"/>
          <w:szCs w:val="44"/>
          <w:highlight w:val="none"/>
        </w:rPr>
      </w:pPr>
    </w:p>
    <w:bookmarkEnd w:id="2"/>
    <w:p>
      <w:pPr>
        <w:adjustRightInd w:val="0"/>
        <w:snapToGrid w:val="0"/>
        <w:spacing w:line="288" w:lineRule="auto"/>
        <w:ind w:firstLine="1040"/>
        <w:rPr>
          <w:rFonts w:hint="eastAsia" w:ascii="仿宋_GB2312" w:eastAsia="仿宋_GB2312"/>
          <w:sz w:val="36"/>
          <w:szCs w:val="36"/>
          <w:highlight w:val="none"/>
          <w:u w:val="single"/>
          <w:lang w:val="en-US" w:eastAsia="zh-CN"/>
        </w:rPr>
      </w:pPr>
      <w:r>
        <w:rPr>
          <w:rFonts w:hint="eastAsia" w:ascii="仿宋_GB2312" w:eastAsia="仿宋_GB2312"/>
          <w:sz w:val="36"/>
          <w:szCs w:val="36"/>
          <w:highlight w:val="none"/>
        </w:rPr>
        <w:t>项目名称：</w:t>
      </w:r>
      <w:r>
        <w:rPr>
          <w:rFonts w:hint="eastAsia" w:ascii="仿宋_GB2312" w:eastAsia="仿宋_GB2312"/>
          <w:sz w:val="36"/>
          <w:szCs w:val="36"/>
          <w:highlight w:val="none"/>
          <w:u w:val="single"/>
        </w:rPr>
        <w:t xml:space="preserve"> </w:t>
      </w:r>
      <w:r>
        <w:rPr>
          <w:rFonts w:hint="eastAsia" w:ascii="仿宋_GB2312" w:eastAsia="仿宋_GB2312"/>
          <w:sz w:val="36"/>
          <w:szCs w:val="36"/>
          <w:highlight w:val="none"/>
          <w:u w:val="single"/>
          <w:lang w:eastAsia="zh-CN"/>
        </w:rPr>
        <w:t>永进3-平16等6口探井项目</w:t>
      </w:r>
      <w:r>
        <w:rPr>
          <w:rFonts w:hint="eastAsia" w:ascii="仿宋_GB2312" w:eastAsia="仿宋_GB2312"/>
          <w:sz w:val="36"/>
          <w:szCs w:val="36"/>
          <w:highlight w:val="none"/>
          <w:u w:val="single"/>
          <w:lang w:val="en-US" w:eastAsia="zh-CN"/>
        </w:rPr>
        <w:t xml:space="preserve"> </w:t>
      </w:r>
    </w:p>
    <w:p>
      <w:pPr>
        <w:adjustRightInd w:val="0"/>
        <w:snapToGrid w:val="0"/>
        <w:spacing w:line="288" w:lineRule="auto"/>
        <w:ind w:firstLine="1040"/>
        <w:rPr>
          <w:rFonts w:hint="default" w:ascii="仿宋_GB2312" w:eastAsia="仿宋_GB2312"/>
          <w:spacing w:val="34"/>
          <w:sz w:val="36"/>
          <w:szCs w:val="36"/>
          <w:highlight w:val="none"/>
          <w:u w:val="single"/>
          <w:lang w:val="en-US" w:eastAsia="zh-CN"/>
        </w:rPr>
      </w:pPr>
      <w:r>
        <w:rPr>
          <w:rFonts w:hint="eastAsia" w:ascii="仿宋_GB2312" w:eastAsia="仿宋_GB2312"/>
          <w:sz w:val="36"/>
          <w:szCs w:val="36"/>
          <w:highlight w:val="none"/>
        </w:rPr>
        <w:t>建设单位（盖章）：</w:t>
      </w:r>
      <w:r>
        <w:rPr>
          <w:rFonts w:hint="eastAsia" w:ascii="仿宋_GB2312" w:eastAsia="仿宋_GB2312"/>
          <w:sz w:val="36"/>
          <w:szCs w:val="36"/>
          <w:highlight w:val="none"/>
          <w:u w:val="single"/>
          <w:lang w:val="en-US" w:eastAsia="zh-CN"/>
        </w:rPr>
        <w:t xml:space="preserve"> 中石化新疆新春石油</w:t>
      </w:r>
      <w:r>
        <w:rPr>
          <w:rFonts w:hint="eastAsia" w:ascii="仿宋_GB2312" w:eastAsia="仿宋_GB2312"/>
          <w:spacing w:val="34"/>
          <w:sz w:val="36"/>
          <w:szCs w:val="36"/>
          <w:highlight w:val="none"/>
          <w:u w:val="single"/>
          <w:lang w:val="en-US" w:eastAsia="zh-CN"/>
        </w:rPr>
        <w:t xml:space="preserve"> </w:t>
      </w:r>
    </w:p>
    <w:p>
      <w:pPr>
        <w:adjustRightInd w:val="0"/>
        <w:snapToGrid w:val="0"/>
        <w:spacing w:line="288" w:lineRule="auto"/>
        <w:ind w:left="0" w:leftChars="0" w:firstLine="2740" w:firstLineChars="0"/>
        <w:rPr>
          <w:rFonts w:hint="default" w:ascii="仿宋_GB2312" w:eastAsia="仿宋_GB2312"/>
          <w:sz w:val="36"/>
          <w:szCs w:val="36"/>
          <w:highlight w:val="none"/>
          <w:u w:val="single"/>
          <w:lang w:val="en-US" w:eastAsia="zh-CN"/>
        </w:rPr>
      </w:pPr>
      <w:r>
        <w:rPr>
          <w:rFonts w:hint="eastAsia" w:ascii="仿宋_GB2312" w:eastAsia="仿宋_GB2312"/>
          <w:spacing w:val="34"/>
          <w:sz w:val="36"/>
          <w:szCs w:val="36"/>
          <w:highlight w:val="none"/>
          <w:u w:val="single"/>
        </w:rPr>
        <w:t>开发有限责任公司</w:t>
      </w:r>
      <w:r>
        <w:rPr>
          <w:rFonts w:hint="eastAsia" w:ascii="仿宋_GB2312" w:eastAsia="仿宋_GB2312"/>
          <w:spacing w:val="34"/>
          <w:sz w:val="36"/>
          <w:szCs w:val="36"/>
          <w:highlight w:val="none"/>
          <w:u w:val="single"/>
          <w:lang w:val="en-US" w:eastAsia="zh-CN"/>
        </w:rPr>
        <w:t xml:space="preserve">      </w:t>
      </w:r>
      <w:r>
        <w:rPr>
          <w:rFonts w:hint="eastAsia" w:ascii="仿宋_GB2312" w:eastAsia="仿宋_GB2312"/>
          <w:spacing w:val="0"/>
          <w:sz w:val="36"/>
          <w:szCs w:val="36"/>
          <w:highlight w:val="none"/>
          <w:u w:val="single"/>
          <w:lang w:val="en-US" w:eastAsia="zh-CN"/>
        </w:rPr>
        <w:t xml:space="preserve"> </w:t>
      </w:r>
    </w:p>
    <w:p>
      <w:pPr>
        <w:adjustRightInd w:val="0"/>
        <w:snapToGrid w:val="0"/>
        <w:spacing w:line="288" w:lineRule="auto"/>
        <w:ind w:firstLine="1040"/>
        <w:rPr>
          <w:rFonts w:hint="eastAsia" w:ascii="仿宋_GB2312" w:eastAsia="仿宋_GB2312"/>
          <w:sz w:val="36"/>
          <w:szCs w:val="36"/>
          <w:highlight w:val="none"/>
          <w:u w:val="single"/>
        </w:rPr>
      </w:pPr>
      <w:r>
        <w:rPr>
          <w:rFonts w:hint="eastAsia" w:ascii="仿宋_GB2312" w:eastAsia="仿宋_GB2312"/>
          <w:sz w:val="36"/>
          <w:szCs w:val="36"/>
          <w:highlight w:val="none"/>
        </w:rPr>
        <w:t>编制日期：</w:t>
      </w:r>
      <w:r>
        <w:rPr>
          <w:rFonts w:hint="eastAsia" w:ascii="仿宋_GB2312" w:eastAsia="仿宋_GB2312"/>
          <w:sz w:val="36"/>
          <w:szCs w:val="36"/>
          <w:highlight w:val="none"/>
          <w:u w:val="single"/>
        </w:rPr>
        <w:t xml:space="preserve"> </w:t>
      </w:r>
      <w:r>
        <w:rPr>
          <w:rFonts w:ascii="仿宋_GB2312" w:eastAsia="仿宋_GB2312"/>
          <w:sz w:val="36"/>
          <w:szCs w:val="36"/>
          <w:highlight w:val="none"/>
          <w:u w:val="single"/>
        </w:rPr>
        <w:t xml:space="preserve">        </w:t>
      </w:r>
      <w:r>
        <w:rPr>
          <w:rFonts w:hint="eastAsia" w:ascii="仿宋_GB2312" w:eastAsia="仿宋_GB2312"/>
          <w:sz w:val="36"/>
          <w:szCs w:val="36"/>
          <w:highlight w:val="none"/>
          <w:u w:val="single"/>
          <w:lang w:val="en-US" w:eastAsia="zh-CN"/>
        </w:rPr>
        <w:t>2021年6月</w:t>
      </w:r>
      <w:r>
        <w:rPr>
          <w:rFonts w:ascii="仿宋_GB2312" w:eastAsia="仿宋_GB2312"/>
          <w:sz w:val="36"/>
          <w:szCs w:val="36"/>
          <w:highlight w:val="none"/>
          <w:u w:val="single"/>
        </w:rPr>
        <w:t xml:space="preserve">  </w:t>
      </w:r>
      <w:r>
        <w:rPr>
          <w:rFonts w:hint="eastAsia" w:ascii="仿宋_GB2312" w:eastAsia="仿宋_GB2312"/>
          <w:sz w:val="36"/>
          <w:szCs w:val="36"/>
          <w:highlight w:val="none"/>
          <w:u w:val="single"/>
          <w:lang w:val="en-US" w:eastAsia="zh-CN"/>
        </w:rPr>
        <w:t xml:space="preserve">  </w:t>
      </w:r>
      <w:r>
        <w:rPr>
          <w:rFonts w:ascii="仿宋_GB2312" w:eastAsia="仿宋_GB2312"/>
          <w:sz w:val="36"/>
          <w:szCs w:val="36"/>
          <w:highlight w:val="none"/>
          <w:u w:val="single"/>
        </w:rPr>
        <w:t xml:space="preserve">   </w:t>
      </w:r>
      <w:r>
        <w:rPr>
          <w:rFonts w:hint="eastAsia" w:ascii="仿宋_GB2312" w:eastAsia="仿宋_GB2312"/>
          <w:sz w:val="36"/>
          <w:szCs w:val="36"/>
          <w:highlight w:val="none"/>
          <w:u w:val="single"/>
        </w:rPr>
        <w:t xml:space="preserve"> </w:t>
      </w:r>
    </w:p>
    <w:p>
      <w:pPr>
        <w:adjustRightInd w:val="0"/>
        <w:snapToGrid w:val="0"/>
        <w:spacing w:line="288" w:lineRule="auto"/>
        <w:ind w:firstLine="1040"/>
        <w:rPr>
          <w:rFonts w:ascii="仿宋_GB2312" w:eastAsia="仿宋_GB2312"/>
          <w:sz w:val="36"/>
          <w:szCs w:val="36"/>
          <w:highlight w:val="none"/>
        </w:rPr>
      </w:pPr>
    </w:p>
    <w:p>
      <w:pPr>
        <w:adjustRightInd w:val="0"/>
        <w:snapToGrid w:val="0"/>
        <w:spacing w:line="288" w:lineRule="auto"/>
        <w:ind w:firstLine="1040"/>
        <w:rPr>
          <w:rFonts w:ascii="仿宋_GB2312" w:eastAsia="仿宋_GB2312"/>
          <w:sz w:val="36"/>
          <w:szCs w:val="36"/>
          <w:highlight w:val="none"/>
        </w:rPr>
      </w:pPr>
    </w:p>
    <w:p>
      <w:pPr>
        <w:adjustRightInd w:val="0"/>
        <w:snapToGrid w:val="0"/>
        <w:spacing w:line="288" w:lineRule="auto"/>
        <w:ind w:firstLine="1040"/>
        <w:rPr>
          <w:rFonts w:hint="eastAsia" w:ascii="仿宋_GB2312" w:eastAsia="仿宋_GB2312"/>
          <w:sz w:val="36"/>
          <w:szCs w:val="36"/>
          <w:highlight w:val="none"/>
        </w:rPr>
      </w:pPr>
    </w:p>
    <w:p>
      <w:pPr>
        <w:adjustRightInd w:val="0"/>
        <w:snapToGrid w:val="0"/>
        <w:spacing w:line="288" w:lineRule="auto"/>
        <w:ind w:firstLine="1040"/>
        <w:rPr>
          <w:rFonts w:hint="eastAsia" w:ascii="仿宋_GB2312" w:eastAsia="仿宋_GB2312"/>
          <w:sz w:val="36"/>
          <w:szCs w:val="36"/>
          <w:highlight w:val="none"/>
        </w:rPr>
      </w:pPr>
    </w:p>
    <w:p>
      <w:pPr>
        <w:adjustRightInd w:val="0"/>
        <w:snapToGrid w:val="0"/>
        <w:spacing w:line="288" w:lineRule="auto"/>
        <w:ind w:firstLine="1040"/>
        <w:rPr>
          <w:rFonts w:hint="eastAsia" w:ascii="仿宋_GB2312" w:eastAsia="仿宋_GB2312"/>
          <w:sz w:val="36"/>
          <w:szCs w:val="36"/>
          <w:highlight w:val="none"/>
        </w:rPr>
      </w:pPr>
    </w:p>
    <w:p>
      <w:pPr>
        <w:adjustRightInd w:val="0"/>
        <w:snapToGrid w:val="0"/>
        <w:spacing w:line="288" w:lineRule="auto"/>
        <w:jc w:val="center"/>
        <w:rPr>
          <w:rFonts w:ascii="楷体_GB2312" w:eastAsia="楷体_GB2312"/>
          <w:sz w:val="36"/>
          <w:szCs w:val="36"/>
          <w:highlight w:val="none"/>
        </w:rPr>
      </w:pPr>
      <w:r>
        <w:rPr>
          <w:rFonts w:hint="eastAsia" w:ascii="楷体_GB2312" w:eastAsia="楷体_GB2312"/>
          <w:sz w:val="36"/>
          <w:szCs w:val="36"/>
          <w:highlight w:val="none"/>
        </w:rPr>
        <w:t>中华人民共和国生态环境部制</w:t>
      </w:r>
    </w:p>
    <w:p>
      <w:pPr>
        <w:adjustRightInd w:val="0"/>
        <w:snapToGrid w:val="0"/>
        <w:spacing w:line="288" w:lineRule="auto"/>
        <w:ind w:firstLine="1040"/>
        <w:rPr>
          <w:rFonts w:ascii="仿宋_GB2312" w:eastAsia="仿宋_GB2312"/>
          <w:sz w:val="36"/>
          <w:szCs w:val="36"/>
          <w:highlight w:val="yellow"/>
        </w:rPr>
        <w:sectPr>
          <w:footerReference r:id="rId3" w:type="default"/>
          <w:footerReference r:id="rId4" w:type="even"/>
          <w:pgSz w:w="11906" w:h="16838"/>
          <w:pgMar w:top="1701" w:right="1531" w:bottom="1701" w:left="1531" w:header="851" w:footer="1077" w:gutter="0"/>
          <w:pgNumType w:fmt="decimal" w:start="0"/>
          <w:cols w:space="720" w:num="1"/>
          <w:docGrid w:linePitch="312" w:charSpace="0"/>
        </w:sectPr>
      </w:pPr>
    </w:p>
    <w:p>
      <w:pPr>
        <w:spacing w:before="0" w:beforeLines="0" w:after="0" w:afterLines="0" w:line="240" w:lineRule="auto"/>
        <w:ind w:left="0" w:leftChars="0" w:right="0" w:rightChars="0" w:firstLine="0" w:firstLineChars="0"/>
        <w:jc w:val="center"/>
        <w:rPr>
          <w:rFonts w:ascii="宋体" w:hAnsi="宋体" w:eastAsia="宋体"/>
          <w:sz w:val="44"/>
          <w:szCs w:val="52"/>
          <w:highlight w:val="yellow"/>
        </w:rPr>
      </w:pPr>
    </w:p>
    <w:p>
      <w:pPr>
        <w:spacing w:before="0" w:beforeLines="0" w:after="0" w:afterLines="0" w:line="240" w:lineRule="auto"/>
        <w:ind w:left="0" w:leftChars="0" w:right="0" w:rightChars="0" w:firstLine="0" w:firstLineChars="0"/>
        <w:jc w:val="center"/>
        <w:rPr>
          <w:rFonts w:ascii="宋体" w:hAnsi="宋体" w:eastAsia="宋体"/>
          <w:sz w:val="44"/>
          <w:szCs w:val="52"/>
          <w:highlight w:val="none"/>
        </w:rPr>
      </w:pPr>
      <w:r>
        <w:rPr>
          <w:rFonts w:ascii="宋体" w:hAnsi="宋体" w:eastAsia="宋体"/>
          <w:sz w:val="44"/>
          <w:szCs w:val="52"/>
          <w:highlight w:val="none"/>
        </w:rPr>
        <w:t>目</w:t>
      </w:r>
      <w:r>
        <w:rPr>
          <w:rFonts w:hint="eastAsia" w:ascii="宋体" w:hAnsi="宋体" w:eastAsia="宋体"/>
          <w:sz w:val="44"/>
          <w:szCs w:val="52"/>
          <w:highlight w:val="none"/>
          <w:lang w:val="en-US" w:eastAsia="zh-CN"/>
        </w:rPr>
        <w:t xml:space="preserve"> </w:t>
      </w:r>
      <w:r>
        <w:rPr>
          <w:rFonts w:ascii="宋体" w:hAnsi="宋体" w:eastAsia="宋体"/>
          <w:sz w:val="44"/>
          <w:szCs w:val="52"/>
          <w:highlight w:val="none"/>
        </w:rPr>
        <w:t>录</w:t>
      </w:r>
    </w:p>
    <w:p>
      <w:pPr>
        <w:spacing w:before="0" w:beforeLines="0" w:after="0" w:afterLines="0" w:line="240" w:lineRule="auto"/>
        <w:ind w:left="0" w:leftChars="0" w:right="0" w:rightChars="0" w:firstLine="0" w:firstLineChars="0"/>
        <w:jc w:val="center"/>
        <w:rPr>
          <w:rFonts w:ascii="宋体" w:hAnsi="宋体" w:eastAsia="宋体"/>
          <w:sz w:val="44"/>
          <w:szCs w:val="52"/>
          <w:highlight w:val="none"/>
        </w:rPr>
      </w:pPr>
    </w:p>
    <w:p>
      <w:pPr>
        <w:pStyle w:val="30"/>
        <w:tabs>
          <w:tab w:val="right" w:leader="dot" w:pos="8200"/>
        </w:tabs>
        <w:spacing w:line="360" w:lineRule="auto"/>
        <w:ind w:left="420" w:leftChars="200" w:right="218" w:rightChars="104" w:firstLine="0" w:firstLineChars="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rPr>
        <w:fldChar w:fldCharType="begin"/>
      </w:r>
      <w:r>
        <w:rPr>
          <w:rFonts w:hint="default" w:ascii="Times New Roman" w:hAnsi="Times New Roman" w:eastAsia="宋体" w:cs="Times New Roman"/>
          <w:sz w:val="32"/>
          <w:szCs w:val="32"/>
          <w:highlight w:val="none"/>
        </w:rPr>
        <w:instrText xml:space="preserve">TOC \o "1-1" \h \u </w:instrText>
      </w:r>
      <w:r>
        <w:rPr>
          <w:rFonts w:hint="default" w:ascii="Times New Roman" w:hAnsi="Times New Roman" w:eastAsia="宋体" w:cs="Times New Roman"/>
          <w:sz w:val="32"/>
          <w:szCs w:val="32"/>
          <w:highlight w:val="none"/>
        </w:rPr>
        <w:fldChar w:fldCharType="separate"/>
      </w:r>
      <w:r>
        <w:rPr>
          <w:rFonts w:hint="default" w:ascii="Times New Roman" w:hAnsi="Times New Roman" w:eastAsia="宋体" w:cs="Times New Roman"/>
          <w:sz w:val="32"/>
          <w:szCs w:val="32"/>
          <w:highlight w:val="none"/>
        </w:rPr>
        <w:fldChar w:fldCharType="begin"/>
      </w:r>
      <w:r>
        <w:rPr>
          <w:rFonts w:hint="default" w:ascii="Times New Roman" w:hAnsi="Times New Roman" w:eastAsia="宋体" w:cs="Times New Roman"/>
          <w:sz w:val="32"/>
          <w:szCs w:val="32"/>
          <w:highlight w:val="none"/>
        </w:rPr>
        <w:instrText xml:space="preserve"> HYPERLINK \l _Toc13225 </w:instrText>
      </w:r>
      <w:r>
        <w:rPr>
          <w:rFonts w:hint="default" w:ascii="Times New Roman" w:hAnsi="Times New Roman" w:eastAsia="宋体" w:cs="Times New Roman"/>
          <w:sz w:val="32"/>
          <w:szCs w:val="32"/>
          <w:highlight w:val="none"/>
        </w:rPr>
        <w:fldChar w:fldCharType="separate"/>
      </w:r>
      <w:r>
        <w:rPr>
          <w:rFonts w:hint="default" w:ascii="Times New Roman" w:hAnsi="Times New Roman" w:eastAsia="宋体" w:cs="Times New Roman"/>
          <w:snapToGrid w:val="0"/>
          <w:sz w:val="32"/>
          <w:szCs w:val="32"/>
          <w:highlight w:val="none"/>
        </w:rPr>
        <w:t>一、建设项目基本情况</w:t>
      </w:r>
      <w:r>
        <w:rPr>
          <w:rFonts w:hint="default" w:ascii="Times New Roman" w:hAnsi="Times New Roman" w:eastAsia="宋体" w:cs="Times New Roman"/>
          <w:sz w:val="32"/>
          <w:szCs w:val="32"/>
          <w:highlight w:val="none"/>
        </w:rPr>
        <w:tab/>
      </w:r>
      <w:r>
        <w:rPr>
          <w:rFonts w:hint="default" w:ascii="Times New Roman" w:hAnsi="Times New Roman" w:eastAsia="宋体" w:cs="Times New Roman"/>
          <w:sz w:val="32"/>
          <w:szCs w:val="32"/>
          <w:highlight w:val="none"/>
        </w:rPr>
        <w:fldChar w:fldCharType="begin"/>
      </w:r>
      <w:r>
        <w:rPr>
          <w:rFonts w:hint="default" w:ascii="Times New Roman" w:hAnsi="Times New Roman" w:eastAsia="宋体" w:cs="Times New Roman"/>
          <w:sz w:val="32"/>
          <w:szCs w:val="32"/>
          <w:highlight w:val="none"/>
        </w:rPr>
        <w:instrText xml:space="preserve"> PAGEREF _Toc13225 </w:instrText>
      </w:r>
      <w:r>
        <w:rPr>
          <w:rFonts w:hint="default" w:ascii="Times New Roman" w:hAnsi="Times New Roman" w:eastAsia="宋体" w:cs="Times New Roman"/>
          <w:sz w:val="32"/>
          <w:szCs w:val="32"/>
          <w:highlight w:val="none"/>
        </w:rPr>
        <w:fldChar w:fldCharType="separate"/>
      </w:r>
      <w:r>
        <w:rPr>
          <w:rFonts w:hint="default" w:ascii="Times New Roman" w:hAnsi="Times New Roman" w:eastAsia="宋体" w:cs="Times New Roman"/>
          <w:sz w:val="32"/>
          <w:szCs w:val="32"/>
          <w:highlight w:val="none"/>
        </w:rPr>
        <w:t>1</w:t>
      </w:r>
      <w:r>
        <w:rPr>
          <w:rFonts w:hint="default" w:ascii="Times New Roman" w:hAnsi="Times New Roman" w:eastAsia="宋体" w:cs="Times New Roman"/>
          <w:sz w:val="32"/>
          <w:szCs w:val="32"/>
          <w:highlight w:val="none"/>
        </w:rPr>
        <w:fldChar w:fldCharType="end"/>
      </w:r>
      <w:r>
        <w:rPr>
          <w:rFonts w:hint="default" w:ascii="Times New Roman" w:hAnsi="Times New Roman" w:eastAsia="宋体" w:cs="Times New Roman"/>
          <w:sz w:val="32"/>
          <w:szCs w:val="32"/>
          <w:highlight w:val="none"/>
        </w:rPr>
        <w:fldChar w:fldCharType="end"/>
      </w:r>
    </w:p>
    <w:p>
      <w:pPr>
        <w:pStyle w:val="30"/>
        <w:tabs>
          <w:tab w:val="right" w:leader="dot" w:pos="8200"/>
        </w:tabs>
        <w:spacing w:line="360" w:lineRule="auto"/>
        <w:ind w:left="420" w:leftChars="200" w:right="218" w:rightChars="104" w:firstLine="0" w:firstLineChars="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rPr>
        <w:fldChar w:fldCharType="begin"/>
      </w:r>
      <w:r>
        <w:rPr>
          <w:rFonts w:hint="default" w:ascii="Times New Roman" w:hAnsi="Times New Roman" w:eastAsia="宋体" w:cs="Times New Roman"/>
          <w:sz w:val="32"/>
          <w:szCs w:val="32"/>
          <w:highlight w:val="none"/>
        </w:rPr>
        <w:instrText xml:space="preserve"> HYPERLINK \l _Toc12058 </w:instrText>
      </w:r>
      <w:r>
        <w:rPr>
          <w:rFonts w:hint="default" w:ascii="Times New Roman" w:hAnsi="Times New Roman" w:eastAsia="宋体" w:cs="Times New Roman"/>
          <w:sz w:val="32"/>
          <w:szCs w:val="32"/>
          <w:highlight w:val="none"/>
        </w:rPr>
        <w:fldChar w:fldCharType="separate"/>
      </w:r>
      <w:r>
        <w:rPr>
          <w:rFonts w:hint="default" w:ascii="Times New Roman" w:hAnsi="Times New Roman" w:eastAsia="宋体" w:cs="Times New Roman"/>
          <w:snapToGrid w:val="0"/>
          <w:sz w:val="32"/>
          <w:szCs w:val="32"/>
          <w:highlight w:val="none"/>
        </w:rPr>
        <w:t>二、建设内容</w:t>
      </w:r>
      <w:r>
        <w:rPr>
          <w:rFonts w:hint="default" w:ascii="Times New Roman" w:hAnsi="Times New Roman" w:eastAsia="宋体" w:cs="Times New Roman"/>
          <w:sz w:val="32"/>
          <w:szCs w:val="32"/>
          <w:highlight w:val="none"/>
        </w:rPr>
        <w:tab/>
      </w:r>
      <w:r>
        <w:rPr>
          <w:rFonts w:hint="default" w:ascii="Times New Roman" w:hAnsi="Times New Roman" w:eastAsia="宋体" w:cs="Times New Roman"/>
          <w:sz w:val="32"/>
          <w:szCs w:val="32"/>
          <w:highlight w:val="none"/>
        </w:rPr>
        <w:fldChar w:fldCharType="begin"/>
      </w:r>
      <w:r>
        <w:rPr>
          <w:rFonts w:hint="default" w:ascii="Times New Roman" w:hAnsi="Times New Roman" w:eastAsia="宋体" w:cs="Times New Roman"/>
          <w:sz w:val="32"/>
          <w:szCs w:val="32"/>
          <w:highlight w:val="none"/>
        </w:rPr>
        <w:instrText xml:space="preserve"> PAGEREF _Toc12058 </w:instrText>
      </w:r>
      <w:r>
        <w:rPr>
          <w:rFonts w:hint="default" w:ascii="Times New Roman" w:hAnsi="Times New Roman" w:eastAsia="宋体" w:cs="Times New Roman"/>
          <w:sz w:val="32"/>
          <w:szCs w:val="32"/>
          <w:highlight w:val="none"/>
        </w:rPr>
        <w:fldChar w:fldCharType="separate"/>
      </w:r>
      <w:r>
        <w:rPr>
          <w:rFonts w:hint="default" w:ascii="Times New Roman" w:hAnsi="Times New Roman" w:eastAsia="宋体" w:cs="Times New Roman"/>
          <w:sz w:val="32"/>
          <w:szCs w:val="32"/>
          <w:highlight w:val="none"/>
        </w:rPr>
        <w:t>6</w:t>
      </w:r>
      <w:r>
        <w:rPr>
          <w:rFonts w:hint="default" w:ascii="Times New Roman" w:hAnsi="Times New Roman" w:eastAsia="宋体" w:cs="Times New Roman"/>
          <w:sz w:val="32"/>
          <w:szCs w:val="32"/>
          <w:highlight w:val="none"/>
        </w:rPr>
        <w:fldChar w:fldCharType="end"/>
      </w:r>
      <w:r>
        <w:rPr>
          <w:rFonts w:hint="default" w:ascii="Times New Roman" w:hAnsi="Times New Roman" w:eastAsia="宋体" w:cs="Times New Roman"/>
          <w:sz w:val="32"/>
          <w:szCs w:val="32"/>
          <w:highlight w:val="none"/>
        </w:rPr>
        <w:fldChar w:fldCharType="end"/>
      </w:r>
    </w:p>
    <w:p>
      <w:pPr>
        <w:pStyle w:val="30"/>
        <w:tabs>
          <w:tab w:val="right" w:leader="dot" w:pos="8200"/>
        </w:tabs>
        <w:spacing w:line="360" w:lineRule="auto"/>
        <w:ind w:left="420" w:leftChars="200" w:right="218" w:rightChars="104" w:firstLine="0" w:firstLineChars="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rPr>
        <w:fldChar w:fldCharType="begin"/>
      </w:r>
      <w:r>
        <w:rPr>
          <w:rFonts w:hint="default" w:ascii="Times New Roman" w:hAnsi="Times New Roman" w:eastAsia="宋体" w:cs="Times New Roman"/>
          <w:sz w:val="32"/>
          <w:szCs w:val="32"/>
          <w:highlight w:val="none"/>
        </w:rPr>
        <w:instrText xml:space="preserve"> HYPERLINK \l _Toc19545 </w:instrText>
      </w:r>
      <w:r>
        <w:rPr>
          <w:rFonts w:hint="default" w:ascii="Times New Roman" w:hAnsi="Times New Roman" w:eastAsia="宋体" w:cs="Times New Roman"/>
          <w:sz w:val="32"/>
          <w:szCs w:val="32"/>
          <w:highlight w:val="none"/>
        </w:rPr>
        <w:fldChar w:fldCharType="separate"/>
      </w:r>
      <w:r>
        <w:rPr>
          <w:rFonts w:hint="default" w:ascii="Times New Roman" w:hAnsi="Times New Roman" w:eastAsia="宋体" w:cs="Times New Roman"/>
          <w:snapToGrid w:val="0"/>
          <w:sz w:val="32"/>
          <w:szCs w:val="32"/>
          <w:highlight w:val="none"/>
        </w:rPr>
        <w:t>三、生态环境现状、保护目标及评价标准</w:t>
      </w:r>
      <w:r>
        <w:rPr>
          <w:rFonts w:hint="default" w:ascii="Times New Roman" w:hAnsi="Times New Roman" w:eastAsia="宋体" w:cs="Times New Roman"/>
          <w:sz w:val="32"/>
          <w:szCs w:val="32"/>
          <w:highlight w:val="none"/>
        </w:rPr>
        <w:tab/>
      </w:r>
      <w:r>
        <w:rPr>
          <w:rFonts w:hint="default" w:ascii="Times New Roman" w:hAnsi="Times New Roman" w:eastAsia="宋体" w:cs="Times New Roman"/>
          <w:sz w:val="32"/>
          <w:szCs w:val="32"/>
          <w:highlight w:val="none"/>
        </w:rPr>
        <w:fldChar w:fldCharType="begin"/>
      </w:r>
      <w:r>
        <w:rPr>
          <w:rFonts w:hint="default" w:ascii="Times New Roman" w:hAnsi="Times New Roman" w:eastAsia="宋体" w:cs="Times New Roman"/>
          <w:sz w:val="32"/>
          <w:szCs w:val="32"/>
          <w:highlight w:val="none"/>
        </w:rPr>
        <w:instrText xml:space="preserve"> PAGEREF _Toc19545 </w:instrText>
      </w:r>
      <w:r>
        <w:rPr>
          <w:rFonts w:hint="default" w:ascii="Times New Roman" w:hAnsi="Times New Roman" w:eastAsia="宋体" w:cs="Times New Roman"/>
          <w:sz w:val="32"/>
          <w:szCs w:val="32"/>
          <w:highlight w:val="none"/>
        </w:rPr>
        <w:fldChar w:fldCharType="separate"/>
      </w:r>
      <w:r>
        <w:rPr>
          <w:rFonts w:hint="default" w:ascii="Times New Roman" w:hAnsi="Times New Roman" w:eastAsia="宋体" w:cs="Times New Roman"/>
          <w:sz w:val="32"/>
          <w:szCs w:val="32"/>
          <w:highlight w:val="none"/>
        </w:rPr>
        <w:t>26</w:t>
      </w:r>
      <w:r>
        <w:rPr>
          <w:rFonts w:hint="default" w:ascii="Times New Roman" w:hAnsi="Times New Roman" w:eastAsia="宋体" w:cs="Times New Roman"/>
          <w:sz w:val="32"/>
          <w:szCs w:val="32"/>
          <w:highlight w:val="none"/>
        </w:rPr>
        <w:fldChar w:fldCharType="end"/>
      </w:r>
      <w:r>
        <w:rPr>
          <w:rFonts w:hint="default" w:ascii="Times New Roman" w:hAnsi="Times New Roman" w:eastAsia="宋体" w:cs="Times New Roman"/>
          <w:sz w:val="32"/>
          <w:szCs w:val="32"/>
          <w:highlight w:val="none"/>
        </w:rPr>
        <w:fldChar w:fldCharType="end"/>
      </w:r>
    </w:p>
    <w:p>
      <w:pPr>
        <w:pStyle w:val="30"/>
        <w:tabs>
          <w:tab w:val="right" w:leader="dot" w:pos="8200"/>
        </w:tabs>
        <w:spacing w:line="360" w:lineRule="auto"/>
        <w:ind w:left="420" w:leftChars="200" w:right="218" w:rightChars="104" w:firstLine="0" w:firstLineChars="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rPr>
        <w:fldChar w:fldCharType="begin"/>
      </w:r>
      <w:r>
        <w:rPr>
          <w:rFonts w:hint="default" w:ascii="Times New Roman" w:hAnsi="Times New Roman" w:eastAsia="宋体" w:cs="Times New Roman"/>
          <w:sz w:val="32"/>
          <w:szCs w:val="32"/>
          <w:highlight w:val="none"/>
        </w:rPr>
        <w:instrText xml:space="preserve"> HYPERLINK \l _Toc19607 </w:instrText>
      </w:r>
      <w:r>
        <w:rPr>
          <w:rFonts w:hint="default" w:ascii="Times New Roman" w:hAnsi="Times New Roman" w:eastAsia="宋体" w:cs="Times New Roman"/>
          <w:sz w:val="32"/>
          <w:szCs w:val="32"/>
          <w:highlight w:val="none"/>
        </w:rPr>
        <w:fldChar w:fldCharType="separate"/>
      </w:r>
      <w:r>
        <w:rPr>
          <w:rFonts w:hint="default" w:ascii="Times New Roman" w:hAnsi="Times New Roman" w:eastAsia="宋体" w:cs="Times New Roman"/>
          <w:snapToGrid w:val="0"/>
          <w:sz w:val="32"/>
          <w:szCs w:val="32"/>
          <w:highlight w:val="none"/>
        </w:rPr>
        <w:t>四、生态环境影响分析</w:t>
      </w:r>
      <w:r>
        <w:rPr>
          <w:rFonts w:hint="default" w:ascii="Times New Roman" w:hAnsi="Times New Roman" w:eastAsia="宋体" w:cs="Times New Roman"/>
          <w:sz w:val="32"/>
          <w:szCs w:val="32"/>
          <w:highlight w:val="none"/>
        </w:rPr>
        <w:tab/>
      </w:r>
      <w:r>
        <w:rPr>
          <w:rFonts w:hint="default" w:ascii="Times New Roman" w:hAnsi="Times New Roman" w:eastAsia="宋体" w:cs="Times New Roman"/>
          <w:sz w:val="32"/>
          <w:szCs w:val="32"/>
          <w:highlight w:val="none"/>
        </w:rPr>
        <w:fldChar w:fldCharType="begin"/>
      </w:r>
      <w:r>
        <w:rPr>
          <w:rFonts w:hint="default" w:ascii="Times New Roman" w:hAnsi="Times New Roman" w:eastAsia="宋体" w:cs="Times New Roman"/>
          <w:sz w:val="32"/>
          <w:szCs w:val="32"/>
          <w:highlight w:val="none"/>
        </w:rPr>
        <w:instrText xml:space="preserve"> PAGEREF _Toc19607 </w:instrText>
      </w:r>
      <w:r>
        <w:rPr>
          <w:rFonts w:hint="default" w:ascii="Times New Roman" w:hAnsi="Times New Roman" w:eastAsia="宋体" w:cs="Times New Roman"/>
          <w:sz w:val="32"/>
          <w:szCs w:val="32"/>
          <w:highlight w:val="none"/>
        </w:rPr>
        <w:fldChar w:fldCharType="separate"/>
      </w:r>
      <w:r>
        <w:rPr>
          <w:rFonts w:hint="default" w:ascii="Times New Roman" w:hAnsi="Times New Roman" w:eastAsia="宋体" w:cs="Times New Roman"/>
          <w:sz w:val="32"/>
          <w:szCs w:val="32"/>
          <w:highlight w:val="none"/>
        </w:rPr>
        <w:t>34</w:t>
      </w:r>
      <w:r>
        <w:rPr>
          <w:rFonts w:hint="default" w:ascii="Times New Roman" w:hAnsi="Times New Roman" w:eastAsia="宋体" w:cs="Times New Roman"/>
          <w:sz w:val="32"/>
          <w:szCs w:val="32"/>
          <w:highlight w:val="none"/>
        </w:rPr>
        <w:fldChar w:fldCharType="end"/>
      </w:r>
      <w:r>
        <w:rPr>
          <w:rFonts w:hint="default" w:ascii="Times New Roman" w:hAnsi="Times New Roman" w:eastAsia="宋体" w:cs="Times New Roman"/>
          <w:sz w:val="32"/>
          <w:szCs w:val="32"/>
          <w:highlight w:val="none"/>
        </w:rPr>
        <w:fldChar w:fldCharType="end"/>
      </w:r>
    </w:p>
    <w:p>
      <w:pPr>
        <w:pStyle w:val="30"/>
        <w:tabs>
          <w:tab w:val="right" w:leader="dot" w:pos="8200"/>
        </w:tabs>
        <w:spacing w:line="360" w:lineRule="auto"/>
        <w:ind w:left="420" w:leftChars="200" w:right="218" w:rightChars="104" w:firstLine="0" w:firstLineChars="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rPr>
        <w:fldChar w:fldCharType="begin"/>
      </w:r>
      <w:r>
        <w:rPr>
          <w:rFonts w:hint="default" w:ascii="Times New Roman" w:hAnsi="Times New Roman" w:eastAsia="宋体" w:cs="Times New Roman"/>
          <w:sz w:val="32"/>
          <w:szCs w:val="32"/>
          <w:highlight w:val="none"/>
        </w:rPr>
        <w:instrText xml:space="preserve"> HYPERLINK \l _Toc28639 </w:instrText>
      </w:r>
      <w:r>
        <w:rPr>
          <w:rFonts w:hint="default" w:ascii="Times New Roman" w:hAnsi="Times New Roman" w:eastAsia="宋体" w:cs="Times New Roman"/>
          <w:sz w:val="32"/>
          <w:szCs w:val="32"/>
          <w:highlight w:val="none"/>
        </w:rPr>
        <w:fldChar w:fldCharType="separate"/>
      </w:r>
      <w:r>
        <w:rPr>
          <w:rFonts w:hint="default" w:ascii="Times New Roman" w:hAnsi="Times New Roman" w:eastAsia="宋体" w:cs="Times New Roman"/>
          <w:snapToGrid w:val="0"/>
          <w:sz w:val="32"/>
          <w:szCs w:val="32"/>
          <w:highlight w:val="none"/>
        </w:rPr>
        <w:t>五、主要生态环境保护措施</w:t>
      </w:r>
      <w:r>
        <w:rPr>
          <w:rFonts w:hint="default" w:ascii="Times New Roman" w:hAnsi="Times New Roman" w:eastAsia="宋体" w:cs="Times New Roman"/>
          <w:sz w:val="32"/>
          <w:szCs w:val="32"/>
          <w:highlight w:val="none"/>
        </w:rPr>
        <w:tab/>
      </w:r>
      <w:r>
        <w:rPr>
          <w:rFonts w:hint="default" w:ascii="Times New Roman" w:hAnsi="Times New Roman" w:eastAsia="宋体" w:cs="Times New Roman"/>
          <w:sz w:val="32"/>
          <w:szCs w:val="32"/>
          <w:highlight w:val="none"/>
        </w:rPr>
        <w:fldChar w:fldCharType="begin"/>
      </w:r>
      <w:r>
        <w:rPr>
          <w:rFonts w:hint="default" w:ascii="Times New Roman" w:hAnsi="Times New Roman" w:eastAsia="宋体" w:cs="Times New Roman"/>
          <w:sz w:val="32"/>
          <w:szCs w:val="32"/>
          <w:highlight w:val="none"/>
        </w:rPr>
        <w:instrText xml:space="preserve"> PAGEREF _Toc28639 </w:instrText>
      </w:r>
      <w:r>
        <w:rPr>
          <w:rFonts w:hint="default" w:ascii="Times New Roman" w:hAnsi="Times New Roman" w:eastAsia="宋体" w:cs="Times New Roman"/>
          <w:sz w:val="32"/>
          <w:szCs w:val="32"/>
          <w:highlight w:val="none"/>
        </w:rPr>
        <w:fldChar w:fldCharType="separate"/>
      </w:r>
      <w:r>
        <w:rPr>
          <w:rFonts w:hint="default" w:ascii="Times New Roman" w:hAnsi="Times New Roman" w:eastAsia="宋体" w:cs="Times New Roman"/>
          <w:sz w:val="32"/>
          <w:szCs w:val="32"/>
          <w:highlight w:val="none"/>
        </w:rPr>
        <w:t>44</w:t>
      </w:r>
      <w:r>
        <w:rPr>
          <w:rFonts w:hint="default" w:ascii="Times New Roman" w:hAnsi="Times New Roman" w:eastAsia="宋体" w:cs="Times New Roman"/>
          <w:sz w:val="32"/>
          <w:szCs w:val="32"/>
          <w:highlight w:val="none"/>
        </w:rPr>
        <w:fldChar w:fldCharType="end"/>
      </w:r>
      <w:r>
        <w:rPr>
          <w:rFonts w:hint="default" w:ascii="Times New Roman" w:hAnsi="Times New Roman" w:eastAsia="宋体" w:cs="Times New Roman"/>
          <w:sz w:val="32"/>
          <w:szCs w:val="32"/>
          <w:highlight w:val="none"/>
        </w:rPr>
        <w:fldChar w:fldCharType="end"/>
      </w:r>
    </w:p>
    <w:p>
      <w:pPr>
        <w:pStyle w:val="30"/>
        <w:tabs>
          <w:tab w:val="right" w:leader="dot" w:pos="8200"/>
        </w:tabs>
        <w:spacing w:line="360" w:lineRule="auto"/>
        <w:ind w:left="420" w:leftChars="200" w:right="218" w:rightChars="104" w:firstLine="0" w:firstLineChars="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rPr>
        <w:fldChar w:fldCharType="begin"/>
      </w:r>
      <w:r>
        <w:rPr>
          <w:rFonts w:hint="default" w:ascii="Times New Roman" w:hAnsi="Times New Roman" w:eastAsia="宋体" w:cs="Times New Roman"/>
          <w:sz w:val="32"/>
          <w:szCs w:val="32"/>
          <w:highlight w:val="none"/>
        </w:rPr>
        <w:instrText xml:space="preserve"> HYPERLINK \l _Toc22066 </w:instrText>
      </w:r>
      <w:r>
        <w:rPr>
          <w:rFonts w:hint="default" w:ascii="Times New Roman" w:hAnsi="Times New Roman" w:eastAsia="宋体" w:cs="Times New Roman"/>
          <w:sz w:val="32"/>
          <w:szCs w:val="32"/>
          <w:highlight w:val="none"/>
        </w:rPr>
        <w:fldChar w:fldCharType="separate"/>
      </w:r>
      <w:r>
        <w:rPr>
          <w:rFonts w:hint="default" w:ascii="Times New Roman" w:hAnsi="Times New Roman" w:eastAsia="宋体" w:cs="Times New Roman"/>
          <w:snapToGrid w:val="0"/>
          <w:sz w:val="32"/>
          <w:szCs w:val="32"/>
          <w:highlight w:val="none"/>
        </w:rPr>
        <w:t>六、生态环境保护措施监督检查清单</w:t>
      </w:r>
      <w:r>
        <w:rPr>
          <w:rFonts w:hint="default" w:ascii="Times New Roman" w:hAnsi="Times New Roman" w:eastAsia="宋体" w:cs="Times New Roman"/>
          <w:sz w:val="32"/>
          <w:szCs w:val="32"/>
          <w:highlight w:val="none"/>
        </w:rPr>
        <w:tab/>
      </w:r>
      <w:r>
        <w:rPr>
          <w:rFonts w:hint="default" w:ascii="Times New Roman" w:hAnsi="Times New Roman" w:eastAsia="宋体" w:cs="Times New Roman"/>
          <w:sz w:val="32"/>
          <w:szCs w:val="32"/>
          <w:highlight w:val="none"/>
        </w:rPr>
        <w:fldChar w:fldCharType="begin"/>
      </w:r>
      <w:r>
        <w:rPr>
          <w:rFonts w:hint="default" w:ascii="Times New Roman" w:hAnsi="Times New Roman" w:eastAsia="宋体" w:cs="Times New Roman"/>
          <w:sz w:val="32"/>
          <w:szCs w:val="32"/>
          <w:highlight w:val="none"/>
        </w:rPr>
        <w:instrText xml:space="preserve"> PAGEREF _Toc22066 </w:instrText>
      </w:r>
      <w:r>
        <w:rPr>
          <w:rFonts w:hint="default" w:ascii="Times New Roman" w:hAnsi="Times New Roman" w:eastAsia="宋体" w:cs="Times New Roman"/>
          <w:sz w:val="32"/>
          <w:szCs w:val="32"/>
          <w:highlight w:val="none"/>
        </w:rPr>
        <w:fldChar w:fldCharType="separate"/>
      </w:r>
      <w:r>
        <w:rPr>
          <w:rFonts w:hint="default" w:ascii="Times New Roman" w:hAnsi="Times New Roman" w:eastAsia="宋体" w:cs="Times New Roman"/>
          <w:sz w:val="32"/>
          <w:szCs w:val="32"/>
          <w:highlight w:val="none"/>
        </w:rPr>
        <w:t>59</w:t>
      </w:r>
      <w:r>
        <w:rPr>
          <w:rFonts w:hint="default" w:ascii="Times New Roman" w:hAnsi="Times New Roman" w:eastAsia="宋体" w:cs="Times New Roman"/>
          <w:sz w:val="32"/>
          <w:szCs w:val="32"/>
          <w:highlight w:val="none"/>
        </w:rPr>
        <w:fldChar w:fldCharType="end"/>
      </w:r>
      <w:r>
        <w:rPr>
          <w:rFonts w:hint="default" w:ascii="Times New Roman" w:hAnsi="Times New Roman" w:eastAsia="宋体" w:cs="Times New Roman"/>
          <w:sz w:val="32"/>
          <w:szCs w:val="32"/>
          <w:highlight w:val="none"/>
        </w:rPr>
        <w:fldChar w:fldCharType="end"/>
      </w:r>
    </w:p>
    <w:p>
      <w:pPr>
        <w:pStyle w:val="30"/>
        <w:tabs>
          <w:tab w:val="right" w:leader="dot" w:pos="8200"/>
        </w:tabs>
        <w:spacing w:line="360" w:lineRule="auto"/>
        <w:ind w:left="420" w:leftChars="200" w:right="218" w:rightChars="104" w:firstLine="0" w:firstLineChars="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rPr>
        <w:fldChar w:fldCharType="begin"/>
      </w:r>
      <w:r>
        <w:rPr>
          <w:rFonts w:hint="default" w:ascii="Times New Roman" w:hAnsi="Times New Roman" w:eastAsia="宋体" w:cs="Times New Roman"/>
          <w:sz w:val="32"/>
          <w:szCs w:val="32"/>
          <w:highlight w:val="none"/>
        </w:rPr>
        <w:instrText xml:space="preserve"> HYPERLINK \l _Toc4571 </w:instrText>
      </w:r>
      <w:r>
        <w:rPr>
          <w:rFonts w:hint="default" w:ascii="Times New Roman" w:hAnsi="Times New Roman" w:eastAsia="宋体" w:cs="Times New Roman"/>
          <w:sz w:val="32"/>
          <w:szCs w:val="32"/>
          <w:highlight w:val="none"/>
        </w:rPr>
        <w:fldChar w:fldCharType="separate"/>
      </w:r>
      <w:r>
        <w:rPr>
          <w:rFonts w:hint="default" w:ascii="Times New Roman" w:hAnsi="Times New Roman" w:eastAsia="宋体" w:cs="Times New Roman"/>
          <w:snapToGrid w:val="0"/>
          <w:sz w:val="32"/>
          <w:szCs w:val="32"/>
          <w:highlight w:val="none"/>
        </w:rPr>
        <w:t>七、结论</w:t>
      </w:r>
      <w:r>
        <w:rPr>
          <w:rFonts w:hint="default" w:ascii="Times New Roman" w:hAnsi="Times New Roman" w:eastAsia="宋体" w:cs="Times New Roman"/>
          <w:sz w:val="32"/>
          <w:szCs w:val="32"/>
          <w:highlight w:val="none"/>
        </w:rPr>
        <w:tab/>
      </w:r>
      <w:r>
        <w:rPr>
          <w:rFonts w:hint="default" w:ascii="Times New Roman" w:hAnsi="Times New Roman" w:eastAsia="宋体" w:cs="Times New Roman"/>
          <w:sz w:val="32"/>
          <w:szCs w:val="32"/>
          <w:highlight w:val="none"/>
        </w:rPr>
        <w:fldChar w:fldCharType="begin"/>
      </w:r>
      <w:r>
        <w:rPr>
          <w:rFonts w:hint="default" w:ascii="Times New Roman" w:hAnsi="Times New Roman" w:eastAsia="宋体" w:cs="Times New Roman"/>
          <w:sz w:val="32"/>
          <w:szCs w:val="32"/>
          <w:highlight w:val="none"/>
        </w:rPr>
        <w:instrText xml:space="preserve"> PAGEREF _Toc4571 </w:instrText>
      </w:r>
      <w:r>
        <w:rPr>
          <w:rFonts w:hint="default" w:ascii="Times New Roman" w:hAnsi="Times New Roman" w:eastAsia="宋体" w:cs="Times New Roman"/>
          <w:sz w:val="32"/>
          <w:szCs w:val="32"/>
          <w:highlight w:val="none"/>
        </w:rPr>
        <w:fldChar w:fldCharType="separate"/>
      </w:r>
      <w:r>
        <w:rPr>
          <w:rFonts w:hint="default" w:ascii="Times New Roman" w:hAnsi="Times New Roman" w:eastAsia="宋体" w:cs="Times New Roman"/>
          <w:sz w:val="32"/>
          <w:szCs w:val="32"/>
          <w:highlight w:val="none"/>
        </w:rPr>
        <w:t>60</w:t>
      </w:r>
      <w:r>
        <w:rPr>
          <w:rFonts w:hint="default" w:ascii="Times New Roman" w:hAnsi="Times New Roman" w:eastAsia="宋体" w:cs="Times New Roman"/>
          <w:sz w:val="32"/>
          <w:szCs w:val="32"/>
          <w:highlight w:val="none"/>
        </w:rPr>
        <w:fldChar w:fldCharType="end"/>
      </w:r>
      <w:r>
        <w:rPr>
          <w:rFonts w:hint="default" w:ascii="Times New Roman" w:hAnsi="Times New Roman" w:eastAsia="宋体" w:cs="Times New Roman"/>
          <w:sz w:val="32"/>
          <w:szCs w:val="32"/>
          <w:highlight w:val="none"/>
        </w:rPr>
        <w:fldChar w:fldCharType="end"/>
      </w:r>
    </w:p>
    <w:p>
      <w:pPr>
        <w:adjustRightInd w:val="0"/>
        <w:snapToGrid w:val="0"/>
        <w:spacing w:line="360" w:lineRule="auto"/>
        <w:ind w:left="838" w:leftChars="399" w:right="0" w:rightChars="0" w:firstLine="0" w:firstLineChars="0"/>
        <w:jc w:val="left"/>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rPr>
        <w:fldChar w:fldCharType="end"/>
      </w:r>
    </w:p>
    <w:p>
      <w:pPr>
        <w:adjustRightInd w:val="0"/>
        <w:snapToGrid w:val="0"/>
        <w:spacing w:line="360" w:lineRule="auto"/>
        <w:ind w:left="838" w:leftChars="399" w:right="0" w:rightChars="0" w:firstLine="0" w:firstLineChars="0"/>
        <w:jc w:val="left"/>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附件：</w:t>
      </w:r>
    </w:p>
    <w:p>
      <w:pPr>
        <w:adjustRightInd w:val="0"/>
        <w:snapToGrid w:val="0"/>
        <w:spacing w:line="360" w:lineRule="auto"/>
        <w:ind w:left="838" w:leftChars="399" w:right="0" w:rightChars="0" w:firstLine="0" w:firstLineChars="0"/>
        <w:jc w:val="both"/>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附件1</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环评任务委托书</w:t>
      </w:r>
      <w:r>
        <w:rPr>
          <w:rFonts w:hint="eastAsia" w:ascii="Times New Roman" w:hAnsi="Times New Roman" w:eastAsia="宋体" w:cs="Times New Roman"/>
          <w:sz w:val="24"/>
          <w:szCs w:val="24"/>
          <w:highlight w:val="none"/>
          <w:lang w:val="en-US" w:eastAsia="zh-CN"/>
        </w:rPr>
        <w:t>；</w:t>
      </w:r>
    </w:p>
    <w:p>
      <w:pPr>
        <w:adjustRightInd w:val="0"/>
        <w:snapToGrid w:val="0"/>
        <w:spacing w:line="360" w:lineRule="auto"/>
        <w:ind w:left="838" w:leftChars="399" w:right="0" w:rightChars="0" w:firstLine="0" w:firstLineChars="0"/>
        <w:jc w:val="both"/>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附件2</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春风油田排601块南区产能建设工程验收批复</w:t>
      </w:r>
      <w:r>
        <w:rPr>
          <w:rFonts w:hint="eastAsia" w:ascii="Times New Roman" w:hAnsi="Times New Roman" w:eastAsia="宋体" w:cs="Times New Roman"/>
          <w:sz w:val="24"/>
          <w:szCs w:val="24"/>
          <w:highlight w:val="none"/>
          <w:lang w:val="en-US" w:eastAsia="zh-CN"/>
        </w:rPr>
        <w:t>；</w:t>
      </w:r>
    </w:p>
    <w:p>
      <w:pPr>
        <w:adjustRightInd w:val="0"/>
        <w:snapToGrid w:val="0"/>
        <w:spacing w:line="360" w:lineRule="auto"/>
        <w:ind w:left="838" w:leftChars="399" w:right="0" w:rightChars="0" w:firstLine="0" w:firstLineChars="0"/>
        <w:jc w:val="both"/>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附件3</w:t>
      </w:r>
      <w:r>
        <w:rPr>
          <w:rFonts w:hint="eastAsia"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玛纳斯县城污水处理厂提标改造（一级A）工程项目评审会验收意见；</w:t>
      </w:r>
    </w:p>
    <w:p>
      <w:pPr>
        <w:adjustRightInd w:val="0"/>
        <w:snapToGrid w:val="0"/>
        <w:spacing w:line="360" w:lineRule="auto"/>
        <w:ind w:left="838" w:leftChars="399" w:right="0" w:rightChars="0" w:firstLine="0" w:firstLineChars="0"/>
        <w:jc w:val="both"/>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附件</w:t>
      </w:r>
      <w:r>
        <w:rPr>
          <w:rFonts w:hint="eastAsia" w:cs="Times New Roman"/>
          <w:sz w:val="24"/>
          <w:szCs w:val="24"/>
          <w:highlight w:val="none"/>
          <w:lang w:val="en-US" w:eastAsia="zh-CN"/>
        </w:rPr>
        <w:t>4</w:t>
      </w:r>
      <w:r>
        <w:rPr>
          <w:rFonts w:hint="eastAsia" w:ascii="Times New Roman" w:hAnsi="Times New Roman" w:eastAsia="宋体" w:cs="Times New Roman"/>
          <w:sz w:val="24"/>
          <w:szCs w:val="24"/>
          <w:highlight w:val="none"/>
          <w:lang w:val="en-US" w:eastAsia="zh-CN"/>
        </w:rPr>
        <w:t>.关于玛纳斯县城生活垃圾处理工程(二期）竣工环境保护验收意见；</w:t>
      </w:r>
    </w:p>
    <w:p>
      <w:pPr>
        <w:adjustRightInd w:val="0"/>
        <w:snapToGrid w:val="0"/>
        <w:spacing w:line="360" w:lineRule="auto"/>
        <w:ind w:left="838" w:leftChars="399" w:right="0" w:rightChars="0" w:firstLine="0" w:firstLineChars="0"/>
        <w:jc w:val="both"/>
        <w:rPr>
          <w:rFonts w:hint="eastAsia"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附件</w:t>
      </w:r>
      <w:r>
        <w:rPr>
          <w:rFonts w:hint="eastAsia" w:cs="Times New Roman"/>
          <w:sz w:val="24"/>
          <w:szCs w:val="24"/>
          <w:highlight w:val="none"/>
          <w:lang w:val="en-US" w:eastAsia="zh-CN"/>
        </w:rPr>
        <w:t>5.临时用地土地勘测定界图</w:t>
      </w:r>
    </w:p>
    <w:p>
      <w:pPr>
        <w:adjustRightInd w:val="0"/>
        <w:snapToGrid w:val="0"/>
        <w:spacing w:line="360" w:lineRule="auto"/>
        <w:ind w:left="838" w:leftChars="399" w:right="0" w:rightChars="0" w:firstLine="0" w:firstLineChars="0"/>
        <w:jc w:val="both"/>
        <w:rPr>
          <w:rFonts w:hint="eastAsia"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附件6.环境质量检测报告；</w:t>
      </w:r>
    </w:p>
    <w:p>
      <w:pPr>
        <w:adjustRightInd w:val="0"/>
        <w:snapToGrid w:val="0"/>
        <w:spacing w:line="360" w:lineRule="auto"/>
        <w:ind w:left="0" w:leftChars="0" w:right="0" w:rightChars="0" w:firstLine="0" w:firstLineChars="0"/>
        <w:jc w:val="center"/>
        <w:rPr>
          <w:rFonts w:hint="default" w:ascii="Times New Roman" w:hAnsi="Times New Roman" w:eastAsia="宋体" w:cs="Times New Roman"/>
          <w:sz w:val="32"/>
          <w:szCs w:val="32"/>
          <w:highlight w:val="yellow"/>
        </w:rPr>
      </w:pPr>
    </w:p>
    <w:p>
      <w:pPr>
        <w:adjustRightInd w:val="0"/>
        <w:snapToGrid w:val="0"/>
        <w:spacing w:line="360" w:lineRule="auto"/>
        <w:ind w:left="0" w:leftChars="0" w:right="0" w:rightChars="0" w:firstLine="0" w:firstLineChars="0"/>
        <w:jc w:val="center"/>
        <w:rPr>
          <w:rFonts w:hint="default" w:ascii="Times New Roman" w:hAnsi="Times New Roman" w:eastAsia="宋体" w:cs="Times New Roman"/>
          <w:sz w:val="32"/>
          <w:szCs w:val="32"/>
          <w:highlight w:val="yellow"/>
        </w:rPr>
        <w:sectPr>
          <w:footerReference r:id="rId5" w:type="default"/>
          <w:pgSz w:w="11906" w:h="16838"/>
          <w:pgMar w:top="1701" w:right="2175" w:bottom="1701" w:left="1531" w:header="851" w:footer="1077" w:gutter="0"/>
          <w:pgNumType w:fmt="decimal" w:start="1"/>
          <w:cols w:space="720" w:num="1"/>
          <w:docGrid w:linePitch="312" w:charSpace="0"/>
        </w:sectPr>
      </w:pPr>
    </w:p>
    <w:p>
      <w:pPr>
        <w:pStyle w:val="17"/>
        <w:jc w:val="center"/>
        <w:outlineLvl w:val="0"/>
        <w:rPr>
          <w:rFonts w:ascii="黑体" w:hAnsi="黑体" w:eastAsia="黑体"/>
          <w:snapToGrid w:val="0"/>
          <w:sz w:val="30"/>
          <w:szCs w:val="30"/>
          <w:highlight w:val="none"/>
        </w:rPr>
      </w:pPr>
      <w:bookmarkStart w:id="3" w:name="_Toc13225"/>
      <w:r>
        <w:rPr>
          <w:rFonts w:hint="eastAsia" w:ascii="黑体" w:hAnsi="黑体" w:eastAsia="黑体"/>
          <w:snapToGrid w:val="0"/>
          <w:sz w:val="30"/>
          <w:szCs w:val="30"/>
          <w:highlight w:val="none"/>
        </w:rPr>
        <w:t>一、建设项目基本情况</w:t>
      </w:r>
      <w:bookmarkEnd w:id="3"/>
    </w:p>
    <w:tbl>
      <w:tblPr>
        <w:tblStyle w:val="20"/>
        <w:tblW w:w="86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26"/>
        <w:gridCol w:w="2043"/>
        <w:gridCol w:w="2218"/>
        <w:gridCol w:w="10"/>
        <w:gridCol w:w="21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222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建设项目名称</w:t>
            </w:r>
          </w:p>
        </w:tc>
        <w:tc>
          <w:tcPr>
            <w:tcW w:w="6464"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Cs w:val="21"/>
                <w:highlight w:val="none"/>
                <w:lang w:eastAsia="zh-CN"/>
              </w:rPr>
            </w:pPr>
            <w:r>
              <w:rPr>
                <w:rFonts w:hint="eastAsia" w:cs="Times New Roman"/>
                <w:szCs w:val="21"/>
                <w:highlight w:val="none"/>
                <w:lang w:eastAsia="zh-CN"/>
              </w:rPr>
              <w:t>永进3-平16等6口探井项目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222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项目代码</w:t>
            </w:r>
          </w:p>
        </w:tc>
        <w:tc>
          <w:tcPr>
            <w:tcW w:w="6464"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222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建设单位联系人</w:t>
            </w:r>
          </w:p>
        </w:tc>
        <w:tc>
          <w:tcPr>
            <w:tcW w:w="204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金云鹏</w:t>
            </w:r>
          </w:p>
        </w:tc>
        <w:tc>
          <w:tcPr>
            <w:tcW w:w="222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联系方式</w:t>
            </w:r>
          </w:p>
        </w:tc>
        <w:tc>
          <w:tcPr>
            <w:tcW w:w="219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0546-8810581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222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建设地点</w:t>
            </w:r>
          </w:p>
        </w:tc>
        <w:tc>
          <w:tcPr>
            <w:tcW w:w="6464"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lang w:val="en-US"/>
              </w:rPr>
            </w:pPr>
            <w:r>
              <w:rPr>
                <w:rFonts w:hint="default" w:ascii="Times New Roman" w:hAnsi="Times New Roman" w:eastAsia="宋体" w:cs="Times New Roman"/>
                <w:szCs w:val="21"/>
                <w:highlight w:val="none"/>
                <w:u w:val="none"/>
                <w:lang w:val="en-US" w:eastAsia="zh-CN"/>
              </w:rPr>
              <w:t>新疆</w:t>
            </w:r>
            <w:r>
              <w:rPr>
                <w:rFonts w:hint="eastAsia" w:ascii="Times New Roman" w:hAnsi="Times New Roman" w:eastAsia="宋体" w:cs="Times New Roman"/>
                <w:szCs w:val="21"/>
                <w:highlight w:val="none"/>
                <w:u w:val="none"/>
                <w:lang w:val="en-US" w:eastAsia="zh-CN"/>
              </w:rPr>
              <w:t>昌吉州玛纳斯县北五岔镇永进油田永1</w:t>
            </w:r>
            <w:r>
              <w:rPr>
                <w:rFonts w:hint="eastAsia" w:cs="Times New Roman"/>
                <w:szCs w:val="21"/>
                <w:highlight w:val="none"/>
                <w:u w:val="none"/>
                <w:lang w:val="en-US" w:eastAsia="zh-CN"/>
              </w:rPr>
              <w:t>、永3</w:t>
            </w:r>
            <w:r>
              <w:rPr>
                <w:rFonts w:hint="eastAsia" w:ascii="Times New Roman" w:hAnsi="Times New Roman" w:eastAsia="宋体" w:cs="Times New Roman"/>
                <w:szCs w:val="21"/>
                <w:highlight w:val="none"/>
                <w:u w:val="none"/>
                <w:lang w:val="en-US" w:eastAsia="zh-CN"/>
              </w:rPr>
              <w:t>区块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222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地理坐标</w:t>
            </w:r>
          </w:p>
        </w:tc>
        <w:tc>
          <w:tcPr>
            <w:tcW w:w="6464" w:type="dxa"/>
            <w:gridSpan w:val="4"/>
            <w:noWrap w:val="0"/>
            <w:vAlign w:val="center"/>
          </w:tcPr>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永进1-5：东经86度21分05.602秒，北纬44度35分52.880秒</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永进3-平16：东经86度24分55.989秒，北纬44度38分09.986秒</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永进3-斜11：东经86度22分55.032秒，北纬44度38分03.169秒</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永进3-斜12：东经86度22分57.977秒，北纬44度38分03.188秒</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永进3-斜14：东经86度23分57.936秒，北纬44度38分28.211秒</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szCs w:val="21"/>
                <w:highlight w:val="none"/>
                <w:u w:val="none"/>
                <w:lang w:val="en-US" w:eastAsia="zh-CN"/>
              </w:rPr>
            </w:pPr>
            <w:r>
              <w:rPr>
                <w:rFonts w:hint="eastAsia" w:ascii="Times New Roman" w:hAnsi="Times New Roman" w:eastAsia="宋体" w:cs="Times New Roman"/>
                <w:szCs w:val="21"/>
                <w:highlight w:val="none"/>
                <w:u w:val="none"/>
                <w:lang w:val="en-US" w:eastAsia="zh-CN"/>
              </w:rPr>
              <w:t>永进3-斜17：东经86度25分05.049秒，北纬44度38分59.040秒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222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建设项目</w:t>
            </w:r>
          </w:p>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行业类别</w:t>
            </w:r>
          </w:p>
        </w:tc>
        <w:tc>
          <w:tcPr>
            <w:tcW w:w="204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四十六</w:t>
            </w: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专业技术服务业99</w:t>
            </w:r>
            <w:r>
              <w:rPr>
                <w:rFonts w:hint="default" w:ascii="Times New Roman" w:hAnsi="Times New Roman" w:eastAsia="宋体" w:cs="Times New Roman"/>
                <w:szCs w:val="21"/>
                <w:highlight w:val="none"/>
              </w:rPr>
              <w:t>_陆地矿产资源地质勘查</w:t>
            </w:r>
            <w:r>
              <w:rPr>
                <w:rFonts w:hint="eastAsia" w:ascii="Times New Roman" w:hAnsi="Times New Roman" w:eastAsia="宋体" w:cs="Times New Roman"/>
                <w:szCs w:val="21"/>
                <w:highlight w:val="none"/>
                <w:lang w:eastAsia="zh-CN"/>
              </w:rPr>
              <w:t>（</w:t>
            </w:r>
            <w:r>
              <w:rPr>
                <w:rFonts w:hint="default" w:ascii="Times New Roman" w:hAnsi="Times New Roman" w:eastAsia="宋体" w:cs="Times New Roman"/>
                <w:szCs w:val="21"/>
                <w:highlight w:val="none"/>
              </w:rPr>
              <w:t>含油气资源勘探</w:t>
            </w:r>
            <w:r>
              <w:rPr>
                <w:rFonts w:hint="eastAsia" w:ascii="Times New Roman" w:hAnsi="Times New Roman" w:eastAsia="宋体" w:cs="Times New Roman"/>
                <w:szCs w:val="21"/>
                <w:highlight w:val="none"/>
                <w:lang w:eastAsia="zh-CN"/>
              </w:rPr>
              <w:t>）</w:t>
            </w:r>
          </w:p>
        </w:tc>
        <w:tc>
          <w:tcPr>
            <w:tcW w:w="22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用地（用海）面积（m</w:t>
            </w:r>
            <w:r>
              <w:rPr>
                <w:rFonts w:hint="default" w:ascii="Times New Roman" w:hAnsi="Times New Roman" w:eastAsia="宋体" w:cs="Times New Roman"/>
                <w:szCs w:val="21"/>
                <w:highlight w:val="none"/>
                <w:vertAlign w:val="superscript"/>
              </w:rPr>
              <w:t>2</w:t>
            </w:r>
            <w:r>
              <w:rPr>
                <w:rFonts w:hint="default" w:ascii="Times New Roman" w:hAnsi="Times New Roman" w:eastAsia="宋体" w:cs="Times New Roman"/>
                <w:szCs w:val="21"/>
                <w:highlight w:val="none"/>
              </w:rPr>
              <w:t>）/长度（km）</w:t>
            </w:r>
          </w:p>
        </w:tc>
        <w:tc>
          <w:tcPr>
            <w:tcW w:w="220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yellow"/>
                <w:vertAlign w:val="superscript"/>
                <w:lang w:val="en-US" w:eastAsia="zh-CN"/>
              </w:rPr>
            </w:pPr>
            <w:r>
              <w:rPr>
                <w:rFonts w:hint="eastAsia" w:ascii="Times New Roman" w:hAnsi="Times New Roman" w:eastAsia="宋体" w:cs="Times New Roman"/>
                <w:szCs w:val="21"/>
                <w:highlight w:val="none"/>
                <w:vertAlign w:val="baseline"/>
                <w:lang w:val="en-US" w:eastAsia="zh-CN"/>
              </w:rPr>
              <w:t>临时占地：143617</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222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建设性质</w:t>
            </w:r>
          </w:p>
        </w:tc>
        <w:tc>
          <w:tcPr>
            <w:tcW w:w="2043"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宋体" w:hAnsi="宋体" w:eastAsia="宋体" w:cs="宋体"/>
                <w:szCs w:val="21"/>
                <w:highlight w:val="none"/>
              </w:rPr>
            </w:pPr>
            <w:r>
              <w:rPr>
                <w:rFonts w:hint="eastAsia" w:ascii="宋体" w:hAnsi="宋体" w:eastAsia="宋体" w:cs="宋体"/>
                <w:szCs w:val="21"/>
                <w:highlight w:val="none"/>
              </w:rPr>
              <w:sym w:font="Wingdings 2" w:char="0052"/>
            </w:r>
            <w:r>
              <w:rPr>
                <w:rFonts w:hint="eastAsia" w:ascii="宋体" w:hAnsi="宋体" w:eastAsia="宋体" w:cs="宋体"/>
                <w:szCs w:val="21"/>
                <w:highlight w:val="none"/>
              </w:rPr>
              <w:t>新建（迁建）</w:t>
            </w:r>
          </w:p>
          <w:p>
            <w:pPr>
              <w:keepNext w:val="0"/>
              <w:keepLines w:val="0"/>
              <w:suppressLineNumbers w:val="0"/>
              <w:adjustRightInd w:val="0"/>
              <w:snapToGrid w:val="0"/>
              <w:spacing w:before="0" w:beforeAutospacing="0" w:after="0" w:afterAutospacing="0"/>
              <w:ind w:left="0" w:right="0"/>
              <w:jc w:val="left"/>
              <w:rPr>
                <w:rFonts w:hint="default" w:ascii="宋体" w:hAnsi="宋体" w:eastAsia="宋体" w:cs="宋体"/>
                <w:szCs w:val="21"/>
                <w:highlight w:val="none"/>
              </w:rPr>
            </w:pPr>
            <w:r>
              <w:rPr>
                <w:rFonts w:hint="eastAsia" w:ascii="宋体" w:hAnsi="宋体" w:eastAsia="宋体" w:cs="宋体"/>
                <w:szCs w:val="21"/>
                <w:highlight w:val="none"/>
              </w:rPr>
              <w:t>□改建</w:t>
            </w:r>
          </w:p>
          <w:p>
            <w:pPr>
              <w:keepNext w:val="0"/>
              <w:keepLines w:val="0"/>
              <w:suppressLineNumbers w:val="0"/>
              <w:adjustRightInd w:val="0"/>
              <w:snapToGrid w:val="0"/>
              <w:spacing w:before="0" w:beforeAutospacing="0" w:after="0" w:afterAutospacing="0"/>
              <w:ind w:left="0" w:right="0"/>
              <w:jc w:val="left"/>
              <w:rPr>
                <w:rFonts w:hint="default" w:ascii="宋体" w:hAnsi="宋体" w:eastAsia="宋体" w:cs="宋体"/>
                <w:szCs w:val="21"/>
                <w:highlight w:val="none"/>
              </w:rPr>
            </w:pPr>
            <w:r>
              <w:rPr>
                <w:rFonts w:hint="eastAsia" w:ascii="宋体" w:hAnsi="宋体" w:eastAsia="宋体" w:cs="宋体"/>
                <w:szCs w:val="21"/>
                <w:highlight w:val="none"/>
              </w:rPr>
              <w:t>□扩建</w:t>
            </w:r>
          </w:p>
          <w:p>
            <w:pPr>
              <w:keepNext w:val="0"/>
              <w:keepLines w:val="0"/>
              <w:suppressLineNumbers w:val="0"/>
              <w:adjustRightInd w:val="0"/>
              <w:snapToGrid w:val="0"/>
              <w:spacing w:before="0" w:beforeAutospacing="0" w:after="0" w:afterAutospacing="0"/>
              <w:ind w:left="0" w:right="0"/>
              <w:jc w:val="left"/>
              <w:rPr>
                <w:rFonts w:hint="default" w:ascii="宋体" w:hAnsi="宋体" w:eastAsia="宋体" w:cs="宋体"/>
                <w:szCs w:val="21"/>
                <w:highlight w:val="none"/>
              </w:rPr>
            </w:pPr>
            <w:r>
              <w:rPr>
                <w:rFonts w:hint="eastAsia" w:ascii="宋体" w:hAnsi="宋体" w:eastAsia="宋体" w:cs="宋体"/>
                <w:szCs w:val="21"/>
                <w:highlight w:val="none"/>
              </w:rPr>
              <w:t>□技术改造</w:t>
            </w:r>
          </w:p>
        </w:tc>
        <w:tc>
          <w:tcPr>
            <w:tcW w:w="22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建设项目</w:t>
            </w:r>
          </w:p>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申报情形</w:t>
            </w:r>
          </w:p>
        </w:tc>
        <w:tc>
          <w:tcPr>
            <w:tcW w:w="2203" w:type="dxa"/>
            <w:gridSpan w:val="2"/>
            <w:noWrap w:val="0"/>
            <w:vAlign w:val="center"/>
          </w:tcPr>
          <w:p>
            <w:pPr>
              <w:keepNext w:val="0"/>
              <w:keepLines w:val="0"/>
              <w:suppressLineNumbers w:val="0"/>
              <w:adjustRightInd w:val="0"/>
              <w:snapToGrid w:val="0"/>
              <w:spacing w:before="0" w:beforeAutospacing="0" w:after="0" w:afterAutospacing="0"/>
              <w:ind w:left="0" w:right="0"/>
              <w:jc w:val="left"/>
              <w:rPr>
                <w:rFonts w:hint="default" w:ascii="宋体" w:hAnsi="宋体" w:eastAsia="宋体" w:cs="宋体"/>
                <w:szCs w:val="21"/>
                <w:highlight w:val="none"/>
              </w:rPr>
            </w:pPr>
            <w:r>
              <w:rPr>
                <w:rFonts w:hint="eastAsia" w:ascii="宋体" w:hAnsi="宋体" w:eastAsia="宋体" w:cs="宋体"/>
                <w:szCs w:val="21"/>
                <w:highlight w:val="none"/>
              </w:rPr>
              <w:sym w:font="Wingdings 2" w:char="0052"/>
            </w:r>
            <w:r>
              <w:rPr>
                <w:rFonts w:hint="eastAsia" w:ascii="宋体" w:hAnsi="宋体" w:eastAsia="宋体" w:cs="宋体"/>
                <w:szCs w:val="21"/>
                <w:highlight w:val="none"/>
              </w:rPr>
              <w:t>首次申报项目</w:t>
            </w:r>
          </w:p>
          <w:p>
            <w:pPr>
              <w:keepNext w:val="0"/>
              <w:keepLines w:val="0"/>
              <w:suppressLineNumbers w:val="0"/>
              <w:adjustRightInd w:val="0"/>
              <w:snapToGrid w:val="0"/>
              <w:spacing w:before="0" w:beforeAutospacing="0" w:after="0" w:afterAutospacing="0"/>
              <w:ind w:left="0" w:right="0"/>
              <w:jc w:val="left"/>
              <w:rPr>
                <w:rFonts w:hint="default"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pacing w:val="-17"/>
                <w:szCs w:val="21"/>
                <w:highlight w:val="none"/>
              </w:rPr>
              <w:t>不予批准后再次申报项目</w:t>
            </w:r>
          </w:p>
          <w:p>
            <w:pPr>
              <w:keepNext w:val="0"/>
              <w:keepLines w:val="0"/>
              <w:suppressLineNumbers w:val="0"/>
              <w:adjustRightInd w:val="0"/>
              <w:snapToGrid w:val="0"/>
              <w:spacing w:before="0" w:beforeAutospacing="0" w:after="0" w:afterAutospacing="0"/>
              <w:ind w:left="0" w:right="0"/>
              <w:jc w:val="left"/>
              <w:rPr>
                <w:rFonts w:hint="default" w:ascii="宋体" w:hAnsi="宋体" w:eastAsia="宋体" w:cs="宋体"/>
                <w:szCs w:val="21"/>
                <w:highlight w:val="none"/>
              </w:rPr>
            </w:pPr>
            <w:r>
              <w:rPr>
                <w:rFonts w:hint="eastAsia" w:ascii="宋体" w:hAnsi="宋体" w:eastAsia="宋体" w:cs="宋体"/>
                <w:szCs w:val="21"/>
                <w:highlight w:val="none"/>
              </w:rPr>
              <w:t>□超五年重新审核项目</w:t>
            </w:r>
          </w:p>
          <w:p>
            <w:pPr>
              <w:keepNext w:val="0"/>
              <w:keepLines w:val="0"/>
              <w:suppressLineNumbers w:val="0"/>
              <w:adjustRightInd w:val="0"/>
              <w:snapToGrid w:val="0"/>
              <w:spacing w:before="0" w:beforeAutospacing="0" w:after="0" w:afterAutospacing="0"/>
              <w:ind w:left="0" w:right="0"/>
              <w:rPr>
                <w:rFonts w:hint="default"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pacing w:val="-11"/>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0" w:hRule="exact"/>
          <w:jc w:val="center"/>
        </w:trPr>
        <w:tc>
          <w:tcPr>
            <w:tcW w:w="222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项目审批（核准</w:t>
            </w:r>
            <w:r>
              <w:rPr>
                <w:rFonts w:hint="default" w:ascii="宋体" w:hAnsi="宋体" w:eastAsia="宋体" w:cs="宋体"/>
                <w:szCs w:val="21"/>
                <w:highlight w:val="none"/>
              </w:rPr>
              <w:t>/</w:t>
            </w:r>
          </w:p>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备案）部门（选填）</w:t>
            </w:r>
          </w:p>
        </w:tc>
        <w:tc>
          <w:tcPr>
            <w:tcW w:w="204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w:t>
            </w:r>
          </w:p>
        </w:tc>
        <w:tc>
          <w:tcPr>
            <w:tcW w:w="22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项目审批（核准</w:t>
            </w:r>
            <w:r>
              <w:rPr>
                <w:rFonts w:hint="default" w:ascii="宋体" w:hAnsi="宋体" w:eastAsia="宋体" w:cs="宋体"/>
                <w:szCs w:val="21"/>
                <w:highlight w:val="none"/>
              </w:rPr>
              <w:t>/</w:t>
            </w:r>
          </w:p>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备案）文号（选填）</w:t>
            </w:r>
          </w:p>
        </w:tc>
        <w:tc>
          <w:tcPr>
            <w:tcW w:w="220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0" w:hRule="exact"/>
          <w:jc w:val="center"/>
        </w:trPr>
        <w:tc>
          <w:tcPr>
            <w:tcW w:w="222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总投资（万元）</w:t>
            </w:r>
          </w:p>
        </w:tc>
        <w:tc>
          <w:tcPr>
            <w:tcW w:w="204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29208.5</w:t>
            </w:r>
          </w:p>
        </w:tc>
        <w:tc>
          <w:tcPr>
            <w:tcW w:w="2218"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环保投资（万元）</w:t>
            </w:r>
          </w:p>
        </w:tc>
        <w:tc>
          <w:tcPr>
            <w:tcW w:w="220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1707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0" w:hRule="exact"/>
          <w:jc w:val="center"/>
        </w:trPr>
        <w:tc>
          <w:tcPr>
            <w:tcW w:w="222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环保投资占比（</w:t>
            </w:r>
            <w:r>
              <w:rPr>
                <w:rFonts w:hint="default" w:ascii="宋体" w:hAnsi="宋体" w:eastAsia="宋体" w:cs="宋体"/>
                <w:szCs w:val="21"/>
                <w:highlight w:val="none"/>
              </w:rPr>
              <w:t>%</w:t>
            </w:r>
            <w:r>
              <w:rPr>
                <w:rFonts w:hint="eastAsia" w:ascii="宋体" w:hAnsi="宋体" w:eastAsia="宋体" w:cs="宋体"/>
                <w:szCs w:val="21"/>
                <w:highlight w:val="none"/>
              </w:rPr>
              <w:t>）</w:t>
            </w:r>
          </w:p>
        </w:tc>
        <w:tc>
          <w:tcPr>
            <w:tcW w:w="204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5.84</w:t>
            </w:r>
          </w:p>
        </w:tc>
        <w:tc>
          <w:tcPr>
            <w:tcW w:w="2218"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rPr>
              <w:t>施工工期</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lang w:val="en-US" w:eastAsia="zh-CN"/>
              </w:rPr>
              <w:t>月</w:t>
            </w:r>
            <w:r>
              <w:rPr>
                <w:rFonts w:hint="eastAsia" w:ascii="Times New Roman" w:hAnsi="Times New Roman" w:eastAsia="宋体" w:cs="Times New Roman"/>
                <w:szCs w:val="21"/>
                <w:highlight w:val="none"/>
                <w:lang w:eastAsia="zh-CN"/>
              </w:rPr>
              <w:t>）</w:t>
            </w:r>
          </w:p>
        </w:tc>
        <w:tc>
          <w:tcPr>
            <w:tcW w:w="220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3/井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0" w:hRule="exact"/>
          <w:jc w:val="center"/>
        </w:trPr>
        <w:tc>
          <w:tcPr>
            <w:tcW w:w="222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highlight w:val="none"/>
              </w:rPr>
            </w:pPr>
            <w:r>
              <w:rPr>
                <w:rFonts w:hint="eastAsia" w:ascii="宋体" w:hAnsi="宋体" w:eastAsia="宋体" w:cs="宋体"/>
                <w:szCs w:val="21"/>
                <w:highlight w:val="none"/>
              </w:rPr>
              <w:t>是否开工建设</w:t>
            </w:r>
          </w:p>
        </w:tc>
        <w:tc>
          <w:tcPr>
            <w:tcW w:w="6464" w:type="dxa"/>
            <w:gridSpan w:val="4"/>
            <w:noWrap w:val="0"/>
            <w:vAlign w:val="center"/>
          </w:tcPr>
          <w:p>
            <w:pPr>
              <w:keepNext w:val="0"/>
              <w:keepLines w:val="0"/>
              <w:suppressLineNumbers w:val="0"/>
              <w:adjustRightInd w:val="0"/>
              <w:snapToGrid w:val="0"/>
              <w:spacing w:before="0" w:beforeAutospacing="0" w:after="0" w:afterAutospacing="0"/>
              <w:ind w:left="0" w:right="0" w:firstLine="105"/>
              <w:jc w:val="left"/>
              <w:rPr>
                <w:rFonts w:hint="default" w:ascii="宋体" w:hAnsi="宋体" w:eastAsia="宋体" w:cs="宋体"/>
                <w:szCs w:val="21"/>
                <w:highlight w:val="none"/>
              </w:rPr>
            </w:pPr>
            <w:r>
              <w:rPr>
                <w:rFonts w:hint="eastAsia" w:ascii="宋体" w:hAnsi="宋体" w:eastAsia="宋体" w:cs="宋体"/>
                <w:szCs w:val="21"/>
                <w:highlight w:val="none"/>
              </w:rPr>
              <w:sym w:font="Wingdings 2" w:char="0052"/>
            </w:r>
            <w:r>
              <w:rPr>
                <w:rFonts w:hint="eastAsia" w:ascii="宋体" w:hAnsi="宋体" w:eastAsia="宋体" w:cs="宋体"/>
                <w:szCs w:val="21"/>
                <w:highlight w:val="none"/>
              </w:rPr>
              <w:t>否</w:t>
            </w:r>
          </w:p>
          <w:p>
            <w:pPr>
              <w:keepNext w:val="0"/>
              <w:keepLines w:val="0"/>
              <w:suppressLineNumbers w:val="0"/>
              <w:adjustRightInd w:val="0"/>
              <w:snapToGrid w:val="0"/>
              <w:spacing w:before="0" w:beforeAutospacing="0" w:after="0" w:afterAutospacing="0"/>
              <w:ind w:left="0" w:right="0" w:firstLine="92"/>
              <w:jc w:val="left"/>
              <w:rPr>
                <w:rFonts w:hint="default" w:ascii="宋体" w:hAnsi="宋体" w:eastAsia="宋体" w:cs="宋体"/>
                <w:szCs w:val="21"/>
                <w:highlight w:val="none"/>
              </w:rPr>
            </w:pPr>
            <w:r>
              <w:rPr>
                <w:rFonts w:hint="eastAsia" w:ascii="宋体" w:hAnsi="宋体" w:eastAsia="宋体" w:cs="宋体"/>
                <w:szCs w:val="21"/>
                <w:highlight w:val="none"/>
              </w:rPr>
              <w:t>□是：</w:t>
            </w:r>
            <w:r>
              <w:rPr>
                <w:rFonts w:hint="default" w:ascii="宋体" w:hAnsi="宋体" w:eastAsia="宋体" w:cs="宋体"/>
                <w:szCs w:val="21"/>
                <w:highlight w:val="none"/>
                <w:u w:val="single"/>
              </w:rPr>
              <w:t xml:space="preserve"> </w:t>
            </w:r>
            <w:r>
              <w:rPr>
                <w:rFonts w:hint="eastAsia" w:ascii="宋体" w:hAnsi="宋体" w:eastAsia="宋体" w:cs="宋体"/>
                <w:szCs w:val="21"/>
                <w:highlight w:val="none"/>
                <w:u w:val="single"/>
              </w:rPr>
              <w:t xml:space="preserve">                     </w:t>
            </w:r>
            <w:r>
              <w:rPr>
                <w:rFonts w:hint="default" w:ascii="宋体" w:hAnsi="宋体" w:eastAsia="宋体" w:cs="宋体"/>
                <w:szCs w:val="21"/>
                <w:highlight w:val="none"/>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0" w:hRule="exact"/>
          <w:jc w:val="center"/>
        </w:trPr>
        <w:tc>
          <w:tcPr>
            <w:tcW w:w="2226" w:type="dxa"/>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专项评价设置情况</w:t>
            </w:r>
          </w:p>
        </w:tc>
        <w:tc>
          <w:tcPr>
            <w:tcW w:w="6464" w:type="dxa"/>
            <w:gridSpan w:val="4"/>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0" w:hRule="exact"/>
          <w:jc w:val="center"/>
        </w:trPr>
        <w:tc>
          <w:tcPr>
            <w:tcW w:w="2226" w:type="dxa"/>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szCs w:val="21"/>
                <w:highlight w:val="none"/>
              </w:rPr>
              <w:t>规划情况</w:t>
            </w:r>
          </w:p>
        </w:tc>
        <w:tc>
          <w:tcPr>
            <w:tcW w:w="6464" w:type="dxa"/>
            <w:gridSpan w:val="4"/>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0" w:hRule="exact"/>
          <w:jc w:val="center"/>
        </w:trPr>
        <w:tc>
          <w:tcPr>
            <w:tcW w:w="2226" w:type="dxa"/>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szCs w:val="21"/>
                <w:highlight w:val="none"/>
              </w:rPr>
              <w:t>规划环境影响评价情况</w:t>
            </w:r>
          </w:p>
        </w:tc>
        <w:tc>
          <w:tcPr>
            <w:tcW w:w="6464" w:type="dxa"/>
            <w:gridSpan w:val="4"/>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0" w:hRule="exact"/>
          <w:jc w:val="center"/>
        </w:trPr>
        <w:tc>
          <w:tcPr>
            <w:tcW w:w="2226" w:type="dxa"/>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规划及</w:t>
            </w:r>
            <w:r>
              <w:rPr>
                <w:rFonts w:hint="default" w:ascii="Times New Roman" w:hAnsi="Times New Roman" w:eastAsia="宋体" w:cs="Times New Roman"/>
                <w:szCs w:val="21"/>
                <w:highlight w:val="none"/>
              </w:rPr>
              <w:t>规划环境影响评价</w:t>
            </w:r>
            <w:r>
              <w:rPr>
                <w:rFonts w:hint="default" w:ascii="Times New Roman" w:hAnsi="Times New Roman" w:eastAsia="宋体" w:cs="Times New Roman"/>
                <w:kern w:val="0"/>
                <w:szCs w:val="21"/>
                <w:highlight w:val="none"/>
              </w:rPr>
              <w:t>符合性分析</w:t>
            </w:r>
          </w:p>
        </w:tc>
        <w:tc>
          <w:tcPr>
            <w:tcW w:w="6464" w:type="dxa"/>
            <w:gridSpan w:val="4"/>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2226" w:type="dxa"/>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yellow"/>
              </w:rPr>
            </w:pPr>
            <w:bookmarkStart w:id="4" w:name="_Hlk56690880"/>
            <w:r>
              <w:rPr>
                <w:rFonts w:hint="default" w:ascii="Times New Roman" w:hAnsi="Times New Roman" w:eastAsia="宋体" w:cs="Times New Roman"/>
                <w:kern w:val="0"/>
                <w:szCs w:val="21"/>
                <w:highlight w:val="none"/>
              </w:rPr>
              <w:t>其他符合性分析</w:t>
            </w:r>
            <w:bookmarkEnd w:id="4"/>
          </w:p>
        </w:tc>
        <w:tc>
          <w:tcPr>
            <w:tcW w:w="6464" w:type="dxa"/>
            <w:gridSpan w:val="4"/>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rPr>
              <w:t>1.产业政策符合性分析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kern w:val="0"/>
                <w:szCs w:val="21"/>
                <w:highlight w:val="none"/>
                <w:lang w:eastAsia="zh-CN"/>
              </w:rPr>
            </w:pPr>
            <w:r>
              <w:rPr>
                <w:rFonts w:hint="eastAsia" w:cs="Times New Roman"/>
                <w:kern w:val="0"/>
                <w:szCs w:val="21"/>
                <w:highlight w:val="none"/>
                <w:lang w:eastAsia="zh-CN"/>
              </w:rPr>
              <w:t>本项目</w:t>
            </w:r>
            <w:r>
              <w:rPr>
                <w:rFonts w:hint="eastAsia" w:ascii="Times New Roman" w:hAnsi="Times New Roman" w:eastAsia="宋体" w:cs="Times New Roman"/>
                <w:kern w:val="0"/>
                <w:szCs w:val="21"/>
                <w:highlight w:val="none"/>
                <w:lang w:eastAsia="zh-CN"/>
              </w:rPr>
              <w:t>为石油勘探项目。根据国务院发布实施《促进产业结构调整暂行规定》，以及《产业结构调整指导目录（2019年本）》的有关规定，石油开采钻井工程属于第一类“鼓励类”第7条“石油、天然气”第一款“常</w:t>
            </w:r>
            <w:r>
              <w:rPr>
                <w:rFonts w:hint="default" w:ascii="Times New Roman" w:hAnsi="Times New Roman" w:eastAsia="宋体" w:cs="Times New Roman"/>
                <w:kern w:val="0"/>
                <w:szCs w:val="21"/>
                <w:highlight w:val="none"/>
                <w:lang w:eastAsia="zh-CN"/>
              </w:rPr>
              <w:t>规石油、天然气勘探及开采”。故</w:t>
            </w:r>
            <w:r>
              <w:rPr>
                <w:rFonts w:hint="default" w:ascii="Times New Roman" w:hAnsi="Times New Roman" w:cs="Times New Roman"/>
                <w:kern w:val="0"/>
                <w:szCs w:val="21"/>
                <w:highlight w:val="none"/>
                <w:lang w:eastAsia="zh-CN"/>
              </w:rPr>
              <w:t>本项目</w:t>
            </w:r>
            <w:r>
              <w:rPr>
                <w:rFonts w:hint="default" w:ascii="Times New Roman" w:hAnsi="Times New Roman" w:eastAsia="宋体" w:cs="Times New Roman"/>
                <w:kern w:val="0"/>
                <w:szCs w:val="21"/>
                <w:highlight w:val="none"/>
                <w:lang w:eastAsia="zh-CN"/>
              </w:rPr>
              <w:t>属于国家产业政策鼓励类项目，符合国家产业政策。</w:t>
            </w:r>
          </w:p>
          <w:p>
            <w:pPr>
              <w:pStyle w:val="26"/>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422" w:firstLineChars="200"/>
              <w:jc w:val="both"/>
              <w:textAlignment w:val="auto"/>
              <w:rPr>
                <w:rFonts w:hint="default"/>
                <w:b/>
                <w:bCs/>
                <w:color w:val="auto"/>
                <w:sz w:val="21"/>
                <w:szCs w:val="21"/>
                <w:lang w:val="en-US" w:eastAsia="zh-CN"/>
              </w:rPr>
            </w:pPr>
            <w:r>
              <w:rPr>
                <w:rFonts w:hint="default" w:ascii="Times New Roman" w:hAnsi="Times New Roman" w:cs="Times New Roman"/>
                <w:b/>
                <w:bCs/>
                <w:color w:val="auto"/>
                <w:sz w:val="21"/>
                <w:szCs w:val="21"/>
                <w:lang w:val="en-US" w:eastAsia="zh-CN"/>
              </w:rPr>
              <w:t>2.与《新疆</w:t>
            </w:r>
            <w:r>
              <w:rPr>
                <w:rFonts w:hint="default"/>
                <w:b/>
                <w:bCs/>
                <w:color w:val="auto"/>
                <w:sz w:val="21"/>
                <w:szCs w:val="21"/>
                <w:lang w:val="en-US" w:eastAsia="zh-CN"/>
              </w:rPr>
              <w:t>维吾尔自治区煤炭石油天然气开发环境保护条例》的符合性分析</w:t>
            </w:r>
          </w:p>
          <w:p>
            <w:pPr>
              <w:pStyle w:val="26"/>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color w:val="auto"/>
                <w:sz w:val="21"/>
                <w:szCs w:val="21"/>
              </w:rPr>
            </w:pPr>
            <w:r>
              <w:rPr>
                <w:rFonts w:hint="default"/>
                <w:color w:val="auto"/>
                <w:sz w:val="21"/>
                <w:szCs w:val="21"/>
              </w:rPr>
              <w:t>《新疆维吾尔自治区煤炭石油天然气开发环境保护条例》</w:t>
            </w:r>
            <w:r>
              <w:rPr>
                <w:rFonts w:hint="default"/>
                <w:color w:val="auto"/>
                <w:sz w:val="21"/>
                <w:szCs w:val="21"/>
                <w:lang w:eastAsia="zh-CN"/>
              </w:rPr>
              <w:t>中规定本</w:t>
            </w:r>
            <w:r>
              <w:rPr>
                <w:rFonts w:hint="default"/>
                <w:color w:val="auto"/>
                <w:sz w:val="21"/>
                <w:szCs w:val="21"/>
              </w:rPr>
              <w:t>条例所称煤炭、石油、天然气开发，包括煤炭、石油、天然气的勘探、开采、储存、运输。</w:t>
            </w:r>
            <w:r>
              <w:rPr>
                <w:rFonts w:hint="default"/>
                <w:color w:val="auto"/>
                <w:sz w:val="21"/>
                <w:szCs w:val="21"/>
                <w:lang w:eastAsia="zh-CN"/>
              </w:rPr>
              <w:t>本项目属于石油勘探项目，根据</w:t>
            </w:r>
            <w:r>
              <w:rPr>
                <w:rFonts w:hint="default"/>
                <w:color w:val="auto"/>
                <w:sz w:val="21"/>
                <w:szCs w:val="21"/>
              </w:rPr>
              <w:t>第八条规定：禁止在水源涵养区、地下水源、饮用水源、自然保护区、风景名胜区、森林公园、重要湿地及人群密集区等生态敏感区域内进行煤炭、石油、天然气开发；第十条规定煤炭、石油、天然气开发项目实行环境监理，其大气、水体、固体废物等污染防治设施与主体工程同时设计、同时施工、同时投产使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kern w:val="0"/>
                <w:szCs w:val="21"/>
                <w:highlight w:val="none"/>
              </w:rPr>
            </w:pPr>
            <w:r>
              <w:rPr>
                <w:rFonts w:hint="default" w:ascii="Times New Roman" w:hAnsi="Times New Roman" w:eastAsia="宋体" w:cs="Times New Roman"/>
                <w:color w:val="auto"/>
                <w:sz w:val="21"/>
                <w:szCs w:val="21"/>
                <w:lang w:val="en-US" w:eastAsia="zh-CN"/>
              </w:rPr>
              <w:t>本</w:t>
            </w:r>
            <w:r>
              <w:rPr>
                <w:rFonts w:hint="eastAsia"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lang w:val="en-US" w:eastAsia="zh-CN"/>
              </w:rPr>
              <w:t>位于</w:t>
            </w:r>
            <w:r>
              <w:rPr>
                <w:rFonts w:hint="eastAsia" w:ascii="Times New Roman" w:hAnsi="Times New Roman" w:eastAsia="宋体" w:cs="Times New Roman"/>
                <w:color w:val="auto"/>
                <w:sz w:val="21"/>
                <w:szCs w:val="21"/>
                <w:lang w:val="en-US" w:eastAsia="zh-CN"/>
              </w:rPr>
              <w:t>永进油田永1</w:t>
            </w:r>
            <w:r>
              <w:rPr>
                <w:rFonts w:hint="eastAsia" w:cs="Times New Roman"/>
                <w:color w:val="auto"/>
                <w:sz w:val="21"/>
                <w:szCs w:val="21"/>
                <w:lang w:val="en-US" w:eastAsia="zh-CN"/>
              </w:rPr>
              <w:t>、永3</w:t>
            </w:r>
            <w:r>
              <w:rPr>
                <w:rFonts w:hint="eastAsia" w:ascii="Times New Roman" w:hAnsi="Times New Roman" w:eastAsia="宋体" w:cs="Times New Roman"/>
                <w:color w:val="auto"/>
                <w:sz w:val="21"/>
                <w:szCs w:val="21"/>
                <w:lang w:val="en-US" w:eastAsia="zh-CN"/>
              </w:rPr>
              <w:t>区块</w:t>
            </w:r>
            <w:r>
              <w:rPr>
                <w:rFonts w:hint="default" w:ascii="Times New Roman" w:hAnsi="Times New Roman" w:eastAsia="宋体" w:cs="Times New Roman"/>
                <w:color w:val="auto"/>
                <w:sz w:val="21"/>
                <w:szCs w:val="21"/>
                <w:lang w:val="en-US" w:eastAsia="zh-CN"/>
              </w:rPr>
              <w:t>，行政隶属</w:t>
            </w:r>
            <w:r>
              <w:rPr>
                <w:rFonts w:hint="eastAsia" w:ascii="Times New Roman" w:hAnsi="Times New Roman" w:eastAsia="宋体" w:cs="Times New Roman"/>
                <w:color w:val="auto"/>
                <w:sz w:val="21"/>
                <w:szCs w:val="21"/>
                <w:lang w:val="en-US" w:eastAsia="zh-CN"/>
              </w:rPr>
              <w:t>昌吉州玛纳斯县</w:t>
            </w:r>
            <w:r>
              <w:rPr>
                <w:rFonts w:hint="default" w:ascii="Times New Roman" w:hAnsi="Times New Roman" w:eastAsia="宋体" w:cs="Times New Roman"/>
                <w:color w:val="auto"/>
                <w:sz w:val="21"/>
                <w:szCs w:val="21"/>
                <w:lang w:val="en-US" w:eastAsia="zh-CN"/>
              </w:rPr>
              <w:t>，评价范围内没有水源涵养区、地下水源、饮用水源、自然保护区、风景名胜区、森林公园、重要湿地及人群密集区等生态敏感区域；</w:t>
            </w:r>
            <w:r>
              <w:rPr>
                <w:rFonts w:hint="eastAsia" w:ascii="Times New Roman" w:hAnsi="Times New Roman" w:eastAsia="宋体" w:cs="Times New Roman"/>
                <w:color w:val="auto"/>
                <w:sz w:val="21"/>
                <w:szCs w:val="21"/>
                <w:lang w:val="en-US" w:eastAsia="zh-CN"/>
              </w:rPr>
              <w:t>工程</w:t>
            </w:r>
            <w:r>
              <w:rPr>
                <w:rFonts w:hint="default" w:ascii="Times New Roman" w:hAnsi="Times New Roman" w:eastAsia="宋体" w:cs="Times New Roman"/>
                <w:color w:val="auto"/>
                <w:sz w:val="21"/>
                <w:szCs w:val="21"/>
                <w:lang w:val="en-US" w:eastAsia="zh-CN"/>
              </w:rPr>
              <w:t>设计阶段已经对大气、水体、固体废物等污染防治进行了设计，环评要求项目按照“三同时”，要求探勘期间大气、水体、固体废物等污染防治设施与主体工程同时设计、同时施工</w:t>
            </w:r>
            <w:r>
              <w:rPr>
                <w:rFonts w:hint="default" w:ascii="Times New Roman" w:hAnsi="Times New Roman" w:eastAsia="宋体" w:cs="Times New Roman"/>
                <w:color w:val="auto"/>
                <w:sz w:val="21"/>
                <w:szCs w:val="21"/>
                <w:highlight w:val="none"/>
                <w:lang w:val="en-US" w:eastAsia="zh-CN"/>
              </w:rPr>
              <w:t>、同时投产使用。项目建设符合《新疆维吾尔自治区煤炭石油天然气开发环境保护条例》的要求</w:t>
            </w:r>
            <w:r>
              <w:rPr>
                <w:rFonts w:hint="default" w:ascii="Times New Roman" w:hAnsi="Times New Roman" w:eastAsia="宋体" w:cs="Times New Roman"/>
                <w:kern w:val="0"/>
                <w:szCs w:val="21"/>
                <w:highlight w:val="none"/>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kern w:val="0"/>
                <w:szCs w:val="21"/>
                <w:highlight w:val="none"/>
              </w:rPr>
            </w:pPr>
            <w:r>
              <w:rPr>
                <w:rFonts w:hint="eastAsia" w:ascii="Times New Roman" w:hAnsi="Times New Roman" w:eastAsia="宋体" w:cs="Times New Roman"/>
                <w:b/>
                <w:bCs/>
                <w:kern w:val="0"/>
                <w:szCs w:val="21"/>
                <w:highlight w:val="none"/>
                <w:lang w:val="en-US" w:eastAsia="zh-CN"/>
              </w:rPr>
              <w:t>3</w:t>
            </w:r>
            <w:r>
              <w:rPr>
                <w:rFonts w:hint="default" w:ascii="Times New Roman" w:hAnsi="Times New Roman" w:eastAsia="宋体" w:cs="Times New Roman"/>
                <w:b/>
                <w:bCs/>
                <w:kern w:val="0"/>
                <w:szCs w:val="21"/>
                <w:highlight w:val="none"/>
              </w:rPr>
              <w:t>.</w:t>
            </w:r>
            <w:r>
              <w:rPr>
                <w:rFonts w:hint="eastAsia" w:ascii="Times New Roman" w:hAnsi="Times New Roman" w:eastAsia="宋体" w:cs="Times New Roman"/>
                <w:b/>
                <w:bCs/>
                <w:kern w:val="0"/>
                <w:szCs w:val="21"/>
                <w:highlight w:val="none"/>
                <w:lang w:eastAsia="zh-CN"/>
              </w:rPr>
              <w:t>本项目</w:t>
            </w:r>
            <w:r>
              <w:rPr>
                <w:rFonts w:hint="default" w:ascii="Times New Roman" w:hAnsi="Times New Roman" w:eastAsia="宋体" w:cs="Times New Roman"/>
                <w:b/>
                <w:bCs/>
                <w:kern w:val="0"/>
                <w:szCs w:val="21"/>
                <w:highlight w:val="none"/>
              </w:rPr>
              <w:t>建设与“三线一单”的符合性分析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（1）生态保护红线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kern w:val="0"/>
                <w:szCs w:val="21"/>
                <w:highlight w:val="yellow"/>
                <w:lang w:eastAsia="zh-CN"/>
              </w:rPr>
            </w:pPr>
            <w:r>
              <w:rPr>
                <w:rFonts w:hint="default" w:ascii="Times New Roman" w:hAnsi="Times New Roman" w:eastAsia="宋体" w:cs="Times New Roman"/>
                <w:kern w:val="0"/>
                <w:szCs w:val="21"/>
                <w:highlight w:val="none"/>
              </w:rPr>
              <w:t>根据《新疆维吾尔自治区</w:t>
            </w:r>
            <w:r>
              <w:rPr>
                <w:rFonts w:hint="eastAsia" w:ascii="Times New Roman" w:hAnsi="Times New Roman" w:eastAsia="宋体" w:cs="Times New Roman"/>
                <w:kern w:val="0"/>
                <w:szCs w:val="21"/>
                <w:highlight w:val="none"/>
                <w:lang w:eastAsia="zh-CN"/>
              </w:rPr>
              <w:t>“三线一单”</w:t>
            </w:r>
            <w:r>
              <w:rPr>
                <w:rFonts w:hint="default" w:ascii="Times New Roman" w:hAnsi="Times New Roman" w:eastAsia="宋体" w:cs="Times New Roman"/>
                <w:kern w:val="0"/>
                <w:szCs w:val="21"/>
                <w:highlight w:val="none"/>
              </w:rPr>
              <w:t>生态环境分区管控方案》</w:t>
            </w:r>
            <w:r>
              <w:rPr>
                <w:rFonts w:hint="eastAsia" w:ascii="Times New Roman" w:hAnsi="Times New Roman" w:eastAsia="宋体" w:cs="Times New Roman"/>
                <w:kern w:val="0"/>
                <w:szCs w:val="21"/>
                <w:highlight w:val="none"/>
                <w:lang w:eastAsia="zh-CN"/>
              </w:rPr>
              <w:t>（</w:t>
            </w:r>
            <w:r>
              <w:rPr>
                <w:rFonts w:hint="eastAsia" w:ascii="Times New Roman" w:hAnsi="Times New Roman" w:eastAsia="宋体" w:cs="Times New Roman"/>
                <w:kern w:val="0"/>
                <w:szCs w:val="21"/>
                <w:highlight w:val="none"/>
                <w:lang w:val="en-US" w:eastAsia="zh-CN"/>
              </w:rPr>
              <w:t>新政发〔2021〕18号</w:t>
            </w:r>
            <w:r>
              <w:rPr>
                <w:rFonts w:hint="eastAsia" w:ascii="Times New Roman" w:hAnsi="Times New Roman" w:eastAsia="宋体" w:cs="Times New Roman"/>
                <w:kern w:val="0"/>
                <w:szCs w:val="21"/>
                <w:highlight w:val="none"/>
                <w:lang w:eastAsia="zh-CN"/>
              </w:rPr>
              <w:t>）</w:t>
            </w:r>
            <w:r>
              <w:rPr>
                <w:rFonts w:hint="eastAsia" w:ascii="Times New Roman" w:hAnsi="Times New Roman" w:eastAsia="宋体" w:cs="Times New Roman"/>
                <w:kern w:val="0"/>
                <w:szCs w:val="21"/>
                <w:highlight w:val="none"/>
                <w:lang w:val="en-US" w:eastAsia="zh-CN"/>
              </w:rPr>
              <w:t>要求</w:t>
            </w:r>
            <w:r>
              <w:rPr>
                <w:rFonts w:hint="default" w:ascii="Times New Roman" w:hAnsi="Times New Roman" w:eastAsia="宋体" w:cs="Times New Roman"/>
                <w:kern w:val="0"/>
                <w:szCs w:val="21"/>
                <w:highlight w:val="none"/>
              </w:rPr>
              <w:t>，生态保护红线按照“生态功能不降低、面积不减少、性质不改变”的基本要求</w:t>
            </w:r>
            <w:r>
              <w:rPr>
                <w:rFonts w:hint="eastAsia" w:ascii="Times New Roman" w:hAnsi="Times New Roman" w:eastAsia="宋体" w:cs="Times New Roman"/>
                <w:kern w:val="0"/>
                <w:szCs w:val="21"/>
                <w:highlight w:val="none"/>
                <w:lang w:eastAsia="zh-CN"/>
              </w:rPr>
              <w:t>，</w:t>
            </w:r>
            <w:r>
              <w:rPr>
                <w:rFonts w:hint="default" w:ascii="Times New Roman" w:hAnsi="Times New Roman" w:eastAsia="宋体" w:cs="Times New Roman"/>
                <w:kern w:val="0"/>
                <w:szCs w:val="21"/>
                <w:highlight w:val="none"/>
              </w:rPr>
              <w:t>对划定的生态保护红线实施严格管控</w:t>
            </w:r>
            <w:r>
              <w:rPr>
                <w:rFonts w:hint="eastAsia" w:ascii="Times New Roman" w:hAnsi="Times New Roman" w:eastAsia="宋体" w:cs="Times New Roman"/>
                <w:kern w:val="0"/>
                <w:szCs w:val="21"/>
                <w:highlight w:val="none"/>
                <w:lang w:eastAsia="zh-CN"/>
              </w:rPr>
              <w:t>，</w:t>
            </w:r>
            <w:r>
              <w:rPr>
                <w:rFonts w:hint="default" w:ascii="Times New Roman" w:hAnsi="Times New Roman" w:eastAsia="宋体" w:cs="Times New Roman"/>
                <w:kern w:val="0"/>
                <w:szCs w:val="21"/>
                <w:highlight w:val="none"/>
              </w:rPr>
              <w:t>保障和维护国家生态安全的底线和生命线。</w:t>
            </w:r>
            <w:r>
              <w:rPr>
                <w:rFonts w:hint="eastAsia" w:ascii="Times New Roman" w:hAnsi="Times New Roman" w:eastAsia="宋体" w:cs="Times New Roman"/>
                <w:kern w:val="0"/>
                <w:szCs w:val="21"/>
                <w:highlight w:val="none"/>
                <w:lang w:val="en-US" w:eastAsia="zh-CN"/>
              </w:rPr>
              <w:t>经核查，本项目6口井均</w:t>
            </w:r>
            <w:r>
              <w:rPr>
                <w:rFonts w:hint="default" w:ascii="Times New Roman" w:hAnsi="Times New Roman" w:eastAsia="宋体" w:cs="Times New Roman"/>
                <w:kern w:val="0"/>
                <w:szCs w:val="21"/>
                <w:highlight w:val="none"/>
              </w:rPr>
              <w:t>不在生态保护红线</w:t>
            </w:r>
            <w:r>
              <w:rPr>
                <w:rFonts w:hint="eastAsia" w:ascii="Times New Roman" w:hAnsi="Times New Roman" w:eastAsia="宋体" w:cs="Times New Roman"/>
                <w:kern w:val="0"/>
                <w:szCs w:val="21"/>
                <w:highlight w:val="none"/>
                <w:lang w:val="en-US" w:eastAsia="zh-CN"/>
              </w:rPr>
              <w:t>范围</w:t>
            </w:r>
            <w:r>
              <w:rPr>
                <w:rFonts w:hint="default" w:ascii="Times New Roman" w:hAnsi="Times New Roman" w:eastAsia="宋体" w:cs="Times New Roman"/>
                <w:kern w:val="0"/>
                <w:szCs w:val="21"/>
                <w:highlight w:val="none"/>
              </w:rPr>
              <w:t>内</w:t>
            </w:r>
            <w:r>
              <w:rPr>
                <w:rFonts w:hint="eastAsia" w:ascii="Times New Roman" w:hAnsi="Times New Roman" w:eastAsia="宋体" w:cs="Times New Roman"/>
                <w:kern w:val="0"/>
                <w:szCs w:val="21"/>
                <w:highlight w:val="none"/>
                <w:lang w:eastAsia="zh-CN"/>
              </w:rPr>
              <w:t>，</w:t>
            </w:r>
            <w:r>
              <w:rPr>
                <w:rFonts w:hint="eastAsia" w:ascii="Times New Roman" w:hAnsi="Times New Roman" w:eastAsia="宋体" w:cs="Times New Roman"/>
                <w:kern w:val="0"/>
                <w:szCs w:val="21"/>
                <w:highlight w:val="none"/>
                <w:lang w:val="en-US" w:eastAsia="zh-CN"/>
              </w:rPr>
              <w:t>距离均在18km以上</w:t>
            </w:r>
            <w:r>
              <w:rPr>
                <w:rFonts w:hint="eastAsia" w:ascii="Times New Roman" w:hAnsi="Times New Roman" w:eastAsia="宋体" w:cs="Times New Roman"/>
                <w:kern w:val="0"/>
                <w:szCs w:val="21"/>
                <w:highlight w:val="none"/>
                <w:lang w:eastAsia="zh-CN"/>
              </w:rPr>
              <w:t>。</w:t>
            </w:r>
            <w:r>
              <w:rPr>
                <w:rFonts w:hint="eastAsia" w:ascii="Times New Roman" w:hAnsi="Times New Roman" w:eastAsia="宋体" w:cs="Times New Roman"/>
                <w:kern w:val="0"/>
                <w:szCs w:val="21"/>
                <w:highlight w:val="none"/>
                <w:lang w:val="en-US" w:eastAsia="zh-CN"/>
              </w:rPr>
              <w:t>本项目与生态保护红线位置关系图见图1.1</w:t>
            </w:r>
            <w:r>
              <w:rPr>
                <w:rFonts w:hint="eastAsia" w:ascii="Times New Roman" w:hAnsi="Times New Roman" w:eastAsia="宋体" w:cs="Times New Roman"/>
                <w:kern w:val="0"/>
                <w:szCs w:val="21"/>
                <w:highlight w:val="none"/>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kern w:val="0"/>
                <w:szCs w:val="21"/>
                <w:highlight w:val="none"/>
                <w:lang w:eastAsia="zh-CN"/>
              </w:rPr>
            </w:pPr>
            <w:r>
              <w:rPr>
                <w:rFonts w:hint="eastAsia" w:ascii="Times New Roman" w:hAnsi="Times New Roman" w:eastAsia="宋体" w:cs="Times New Roman"/>
                <w:kern w:val="0"/>
                <w:szCs w:val="21"/>
                <w:highlight w:val="none"/>
                <w:lang w:eastAsia="zh-CN"/>
              </w:rPr>
              <w:drawing>
                <wp:inline distT="0" distB="0" distL="114300" distR="114300">
                  <wp:extent cx="3975735" cy="5641340"/>
                  <wp:effectExtent l="0" t="0" r="5715" b="16510"/>
                  <wp:docPr id="7" name="图片 34" descr="D:\汪东\【2021】\1-报告表\【2021】永进3-平16等6口探井项目\shp\amp\红线图.jpg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descr="D:\汪东\【2021】\1-报告表\【2021】永进3-平16等6口探井项目\shp\amp\红线图.jpg红线图"/>
                          <pic:cNvPicPr>
                            <a:picLocks noChangeAspect="1"/>
                          </pic:cNvPicPr>
                        </pic:nvPicPr>
                        <pic:blipFill>
                          <a:blip r:embed="rId8"/>
                          <a:srcRect l="2725" t="1579" r="4229" b="5085"/>
                          <a:stretch>
                            <a:fillRect/>
                          </a:stretch>
                        </pic:blipFill>
                        <pic:spPr>
                          <a:xfrm>
                            <a:off x="0" y="0"/>
                            <a:ext cx="3975735" cy="564134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Times New Roman" w:hAnsi="Times New Roman" w:eastAsia="宋体" w:cs="Times New Roman"/>
                <w:kern w:val="0"/>
                <w:szCs w:val="21"/>
                <w:highlight w:val="none"/>
                <w:lang w:eastAsia="zh-CN"/>
              </w:rPr>
            </w:pPr>
            <w:r>
              <w:rPr>
                <w:rFonts w:hint="eastAsia" w:ascii="黑体" w:hAnsi="黑体" w:eastAsia="黑体" w:cs="黑体"/>
                <w:kern w:val="0"/>
                <w:sz w:val="21"/>
                <w:szCs w:val="21"/>
                <w:highlight w:val="none"/>
                <w:lang w:val="en-US" w:eastAsia="zh-CN"/>
              </w:rPr>
              <w:t>图1.1生态保护红线位置关系图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（2）环境质量底线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本次评价调查显示，项目所在区域的环境空气、声环境、地下水、土壤的环境质量均较好，均可达到相应的环境功能区划要求。同时，本项目的实施执行《环境空气质量标准》（GB3095-2012）中的二级标准，声环境质量执行《声环境质量标准》（GB3096-2008）</w:t>
            </w:r>
            <w:r>
              <w:rPr>
                <w:rFonts w:hint="eastAsia" w:ascii="Times New Roman" w:hAnsi="Times New Roman" w:eastAsia="宋体" w:cs="Times New Roman"/>
                <w:kern w:val="0"/>
                <w:szCs w:val="21"/>
                <w:highlight w:val="none"/>
                <w:lang w:val="en-US" w:eastAsia="zh-CN"/>
              </w:rPr>
              <w:t>2</w:t>
            </w:r>
            <w:r>
              <w:rPr>
                <w:rFonts w:hint="default" w:ascii="Times New Roman" w:hAnsi="Times New Roman" w:eastAsia="宋体" w:cs="Times New Roman"/>
                <w:kern w:val="0"/>
                <w:szCs w:val="21"/>
                <w:highlight w:val="none"/>
              </w:rPr>
              <w:t>类区标准。</w:t>
            </w:r>
            <w:r>
              <w:rPr>
                <w:rFonts w:hint="eastAsia" w:ascii="Times New Roman" w:hAnsi="Times New Roman" w:eastAsia="宋体" w:cs="Times New Roman"/>
                <w:kern w:val="0"/>
                <w:szCs w:val="21"/>
                <w:highlight w:val="none"/>
                <w:lang w:val="en-US" w:eastAsia="zh-CN"/>
              </w:rPr>
              <w:t>因此，</w:t>
            </w:r>
            <w:r>
              <w:rPr>
                <w:rFonts w:hint="default" w:ascii="Times New Roman" w:hAnsi="Times New Roman" w:eastAsia="宋体" w:cs="Times New Roman"/>
                <w:kern w:val="0"/>
                <w:szCs w:val="21"/>
                <w:highlight w:val="none"/>
              </w:rPr>
              <w:t>本项目的建设符合环境质量底线要求。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（3）资源利用上线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kern w:val="0"/>
                <w:szCs w:val="21"/>
                <w:highlight w:val="none"/>
              </w:rPr>
            </w:pPr>
            <w:r>
              <w:rPr>
                <w:rFonts w:hint="eastAsia" w:ascii="Times New Roman" w:hAnsi="Times New Roman" w:eastAsia="宋体" w:cs="Times New Roman"/>
                <w:kern w:val="0"/>
                <w:szCs w:val="21"/>
                <w:highlight w:val="none"/>
                <w:lang w:val="en-US" w:eastAsia="zh-CN"/>
              </w:rPr>
              <w:t>项目</w:t>
            </w:r>
            <w:r>
              <w:rPr>
                <w:rFonts w:hint="default" w:ascii="Times New Roman" w:hAnsi="Times New Roman" w:eastAsia="宋体" w:cs="Times New Roman"/>
                <w:kern w:val="0"/>
                <w:szCs w:val="21"/>
                <w:highlight w:val="none"/>
              </w:rPr>
              <w:t>的建设占用土地资源相对区域资源利用较少。本</w:t>
            </w:r>
            <w:r>
              <w:rPr>
                <w:rFonts w:hint="eastAsia" w:ascii="Times New Roman" w:hAnsi="Times New Roman" w:eastAsia="宋体" w:cs="Times New Roman"/>
                <w:kern w:val="0"/>
                <w:szCs w:val="21"/>
                <w:highlight w:val="none"/>
                <w:lang w:val="en-US" w:eastAsia="zh-CN"/>
              </w:rPr>
              <w:t>项目</w:t>
            </w:r>
            <w:r>
              <w:rPr>
                <w:rFonts w:hint="default" w:ascii="Times New Roman" w:hAnsi="Times New Roman" w:eastAsia="宋体" w:cs="Times New Roman"/>
                <w:kern w:val="0"/>
                <w:szCs w:val="21"/>
                <w:highlight w:val="none"/>
              </w:rPr>
              <w:t>建设过程中会消耗一定量的柴油及少量新鲜水，资源消耗量总体相对区域资源利用总量较少；本</w:t>
            </w:r>
            <w:r>
              <w:rPr>
                <w:rFonts w:hint="eastAsia" w:ascii="Times New Roman" w:hAnsi="Times New Roman" w:eastAsia="宋体" w:cs="Times New Roman"/>
                <w:kern w:val="0"/>
                <w:szCs w:val="21"/>
                <w:highlight w:val="none"/>
                <w:lang w:val="en-US" w:eastAsia="zh-CN"/>
              </w:rPr>
              <w:t>项目</w:t>
            </w:r>
            <w:r>
              <w:rPr>
                <w:rFonts w:hint="default" w:ascii="Times New Roman" w:hAnsi="Times New Roman" w:eastAsia="宋体" w:cs="Times New Roman"/>
                <w:kern w:val="0"/>
                <w:szCs w:val="21"/>
                <w:highlight w:val="none"/>
              </w:rPr>
              <w:t>为油气资源勘探项目，具有良好的经济效益和社会效益。符合资源利用上线的要求</w:t>
            </w:r>
            <w:r>
              <w:rPr>
                <w:rFonts w:hint="eastAsia" w:ascii="Times New Roman" w:hAnsi="Times New Roman" w:eastAsia="宋体" w:cs="Times New Roman"/>
                <w:kern w:val="0"/>
                <w:szCs w:val="21"/>
                <w:highlight w:val="none"/>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（4）生态环境准入清单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根据《关于印发新疆维吾尔自治区28个国家重点生态功能区县（市）产业准入负面清单（试行）的通知》（新发改规划[2017]89号）和《关于印发新疆维吾尔自治区17个新增纳入国家重点生态功能区县（市）产业准入负面清单（试行）的通知》（新发改规划〔2017〕1796号）文规定，本项目不在国家重点生态功能区县（市）产业准入负面清单之列。</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cs="Times New Roman"/>
                <w:kern w:val="0"/>
                <w:szCs w:val="21"/>
                <w:highlight w:val="none"/>
                <w:lang w:eastAsia="zh-CN"/>
              </w:rPr>
            </w:pPr>
            <w:r>
              <w:rPr>
                <w:rFonts w:hint="default" w:ascii="Times New Roman" w:hAnsi="Times New Roman" w:eastAsia="宋体" w:cs="Times New Roman"/>
                <w:kern w:val="0"/>
                <w:szCs w:val="21"/>
                <w:highlight w:val="none"/>
              </w:rPr>
              <w:t>综上，本项目建设符合“三线一单”要求</w:t>
            </w:r>
            <w:r>
              <w:rPr>
                <w:rFonts w:hint="eastAsia" w:cs="Times New Roman"/>
                <w:kern w:val="0"/>
                <w:szCs w:val="21"/>
                <w:highlight w:val="none"/>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b/>
                <w:bCs/>
                <w:kern w:val="0"/>
                <w:szCs w:val="21"/>
                <w:highlight w:val="none"/>
              </w:rPr>
            </w:pPr>
            <w:r>
              <w:rPr>
                <w:rFonts w:hint="eastAsia" w:cs="Times New Roman"/>
                <w:b/>
                <w:bCs/>
                <w:kern w:val="0"/>
                <w:szCs w:val="21"/>
                <w:highlight w:val="none"/>
                <w:lang w:val="en-US" w:eastAsia="zh-CN"/>
              </w:rPr>
              <w:t>4</w:t>
            </w:r>
            <w:r>
              <w:rPr>
                <w:rFonts w:hint="default" w:ascii="Times New Roman" w:hAnsi="Times New Roman" w:eastAsia="宋体" w:cs="Times New Roman"/>
                <w:b/>
                <w:bCs/>
                <w:kern w:val="0"/>
                <w:szCs w:val="21"/>
                <w:highlight w:val="none"/>
              </w:rPr>
              <w:t>.与《陆上石油天然气开采业绿色矿山建设规范》（DZ/T 0317-2018）的符合性分析</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黑体" w:hAnsi="黑体" w:eastAsia="黑体" w:cs="黑体"/>
                <w:b w:val="0"/>
                <w:bCs w:val="0"/>
                <w:kern w:val="0"/>
                <w:szCs w:val="21"/>
                <w:highlight w:val="none"/>
                <w:lang w:eastAsia="zh-CN"/>
              </w:rPr>
            </w:pPr>
            <w:r>
              <w:rPr>
                <w:rFonts w:hint="eastAsia" w:ascii="黑体" w:hAnsi="黑体" w:eastAsia="黑体" w:cs="黑体"/>
                <w:b w:val="0"/>
                <w:bCs w:val="0"/>
                <w:kern w:val="0"/>
                <w:szCs w:val="21"/>
                <w:highlight w:val="none"/>
                <w:lang w:eastAsia="zh-CN"/>
              </w:rPr>
              <w:t>表</w:t>
            </w:r>
            <w:r>
              <w:rPr>
                <w:rFonts w:hint="eastAsia" w:ascii="黑体" w:hAnsi="黑体" w:eastAsia="黑体" w:cs="黑体"/>
                <w:b w:val="0"/>
                <w:bCs w:val="0"/>
                <w:kern w:val="0"/>
                <w:szCs w:val="21"/>
                <w:highlight w:val="none"/>
                <w:lang w:val="en-US" w:eastAsia="zh-CN"/>
              </w:rPr>
              <w:t>1.1</w:t>
            </w:r>
            <w:r>
              <w:rPr>
                <w:rFonts w:hint="eastAsia" w:ascii="黑体" w:hAnsi="黑体" w:eastAsia="黑体" w:cs="黑体"/>
                <w:b w:val="0"/>
                <w:bCs w:val="0"/>
                <w:kern w:val="0"/>
                <w:szCs w:val="21"/>
                <w:highlight w:val="none"/>
                <w:lang w:eastAsia="zh-CN"/>
              </w:rPr>
              <w:t xml:space="preserve">    本项目与DZ/T 0317-2018符合性分析一览表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2747"/>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2379"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kern w:val="0"/>
                      <w:szCs w:val="21"/>
                      <w:highlight w:val="none"/>
                      <w:vertAlign w:val="baseline"/>
                      <w:lang w:val="en-US" w:eastAsia="zh-CN"/>
                    </w:rPr>
                  </w:pPr>
                  <w:r>
                    <w:rPr>
                      <w:rFonts w:hint="eastAsia" w:cs="Times New Roman"/>
                      <w:kern w:val="0"/>
                      <w:szCs w:val="21"/>
                      <w:highlight w:val="none"/>
                      <w:vertAlign w:val="baseline"/>
                      <w:lang w:val="en-US" w:eastAsia="zh-CN"/>
                    </w:rPr>
                    <w:t>文件要求</w:t>
                  </w:r>
                </w:p>
              </w:tc>
              <w:tc>
                <w:tcPr>
                  <w:tcW w:w="2747"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kern w:val="0"/>
                      <w:szCs w:val="21"/>
                      <w:highlight w:val="none"/>
                      <w:vertAlign w:val="baseline"/>
                      <w:lang w:eastAsia="zh-CN"/>
                    </w:rPr>
                  </w:pPr>
                  <w:r>
                    <w:rPr>
                      <w:rFonts w:hint="eastAsia" w:cs="Times New Roman"/>
                      <w:kern w:val="0"/>
                      <w:szCs w:val="21"/>
                      <w:highlight w:val="none"/>
                      <w:vertAlign w:val="baseline"/>
                      <w:lang w:eastAsia="zh-CN"/>
                    </w:rPr>
                    <w:t>实际建设情况</w:t>
                  </w:r>
                </w:p>
              </w:tc>
              <w:tc>
                <w:tcPr>
                  <w:tcW w:w="886"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kern w:val="0"/>
                      <w:szCs w:val="21"/>
                      <w:highlight w:val="none"/>
                      <w:vertAlign w:val="baseline"/>
                      <w:lang w:eastAsia="zh-CN"/>
                    </w:rPr>
                  </w:pPr>
                  <w:r>
                    <w:rPr>
                      <w:rFonts w:hint="eastAsia" w:cs="Times New Roman"/>
                      <w:kern w:val="0"/>
                      <w:szCs w:val="21"/>
                      <w:highlight w:val="none"/>
                      <w:vertAlign w:val="baseline"/>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2379"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eastAsia" w:cs="Times New Roman"/>
                      <w:kern w:val="0"/>
                      <w:szCs w:val="21"/>
                      <w:highlight w:val="none"/>
                      <w:vertAlign w:val="baseline"/>
                      <w:lang w:eastAsia="zh-CN"/>
                    </w:rPr>
                  </w:pPr>
                  <w:r>
                    <w:rPr>
                      <w:rFonts w:hint="eastAsia" w:cs="Times New Roman"/>
                      <w:kern w:val="0"/>
                      <w:szCs w:val="21"/>
                      <w:highlight w:val="none"/>
                      <w:vertAlign w:val="baseline"/>
                      <w:lang w:eastAsia="zh-CN"/>
                    </w:rPr>
                    <w:t>因矿制宜选择开采工艺和装备，符合清洁生产要求。应贯彻“边开采，边治理，边恢复”的原则，及时治理恢复矿区地质环境，复垦矿区压占和损毁土地</w:t>
                  </w:r>
                </w:p>
              </w:tc>
              <w:tc>
                <w:tcPr>
                  <w:tcW w:w="2747"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eastAsia" w:cs="Times New Roman"/>
                      <w:kern w:val="0"/>
                      <w:szCs w:val="21"/>
                      <w:highlight w:val="none"/>
                      <w:vertAlign w:val="baseline"/>
                      <w:lang w:eastAsia="zh-CN"/>
                    </w:rPr>
                  </w:pPr>
                  <w:r>
                    <w:rPr>
                      <w:rFonts w:hint="eastAsia" w:cs="Times New Roman"/>
                      <w:kern w:val="0"/>
                      <w:szCs w:val="21"/>
                      <w:highlight w:val="none"/>
                      <w:vertAlign w:val="baseline"/>
                      <w:lang w:eastAsia="zh-CN"/>
                    </w:rPr>
                    <w:t>项目钻采方案的设计技术先进、实用成熟，符合清洁生产要求；项目钻井完成后，按要求恢复井场周边临时占地，符合“边开采，边治理，边恢复”的原则</w:t>
                  </w:r>
                </w:p>
              </w:tc>
              <w:tc>
                <w:tcPr>
                  <w:tcW w:w="886"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kern w:val="0"/>
                      <w:szCs w:val="21"/>
                      <w:highlight w:val="none"/>
                      <w:vertAlign w:val="baseline"/>
                      <w:lang w:eastAsia="zh-CN"/>
                    </w:rPr>
                  </w:pPr>
                  <w:r>
                    <w:rPr>
                      <w:rFonts w:hint="eastAsia" w:cs="Times New Roman"/>
                      <w:kern w:val="0"/>
                      <w:szCs w:val="21"/>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2379"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eastAsia" w:cs="Times New Roman"/>
                      <w:kern w:val="0"/>
                      <w:szCs w:val="21"/>
                      <w:highlight w:val="none"/>
                      <w:vertAlign w:val="baseline"/>
                      <w:lang w:eastAsia="zh-CN"/>
                    </w:rPr>
                  </w:pPr>
                  <w:r>
                    <w:rPr>
                      <w:rFonts w:hint="eastAsia" w:cs="Times New Roman"/>
                      <w:kern w:val="0"/>
                      <w:szCs w:val="21"/>
                      <w:highlight w:val="none"/>
                      <w:vertAlign w:val="baseline"/>
                      <w:lang w:eastAsia="zh-CN"/>
                    </w:rPr>
                    <w:t>应遵循矿区油气资源赋存状况、生态环境特征等条件，科学合理地确定开发方案，选择与油气藏类型相适应的先进开采技术和工艺，推广使用成熟、先进的技术装备，严禁使用国家明文规定的限制和淘汰的技术工艺及装备</w:t>
                  </w:r>
                </w:p>
              </w:tc>
              <w:tc>
                <w:tcPr>
                  <w:tcW w:w="2747"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eastAsia" w:cs="Times New Roman"/>
                      <w:kern w:val="0"/>
                      <w:szCs w:val="21"/>
                      <w:highlight w:val="none"/>
                      <w:vertAlign w:val="baseline"/>
                      <w:lang w:eastAsia="zh-CN"/>
                    </w:rPr>
                  </w:pPr>
                  <w:r>
                    <w:rPr>
                      <w:rFonts w:hint="eastAsia" w:cs="Times New Roman"/>
                      <w:kern w:val="0"/>
                      <w:szCs w:val="21"/>
                      <w:highlight w:val="none"/>
                      <w:vertAlign w:val="baseline"/>
                      <w:lang w:eastAsia="zh-CN"/>
                    </w:rPr>
                    <w:t>本项目开发方案设计考虑了</w:t>
                  </w:r>
                  <w:r>
                    <w:rPr>
                      <w:rFonts w:hint="eastAsia" w:cs="Times New Roman"/>
                      <w:kern w:val="0"/>
                      <w:szCs w:val="21"/>
                      <w:highlight w:val="none"/>
                      <w:vertAlign w:val="baseline"/>
                      <w:lang w:val="en-US" w:eastAsia="zh-CN"/>
                    </w:rPr>
                    <w:t>春风</w:t>
                  </w:r>
                  <w:r>
                    <w:rPr>
                      <w:rFonts w:hint="eastAsia" w:cs="Times New Roman"/>
                      <w:kern w:val="0"/>
                      <w:szCs w:val="21"/>
                      <w:highlight w:val="none"/>
                      <w:vertAlign w:val="baseline"/>
                      <w:lang w:eastAsia="zh-CN"/>
                    </w:rPr>
                    <w:t>油田</w:t>
                  </w:r>
                  <w:r>
                    <w:rPr>
                      <w:rFonts w:hint="eastAsia" w:cs="Times New Roman"/>
                      <w:kern w:val="0"/>
                      <w:szCs w:val="21"/>
                      <w:highlight w:val="none"/>
                      <w:vertAlign w:val="baseline"/>
                      <w:lang w:val="en-US" w:eastAsia="zh-CN"/>
                    </w:rPr>
                    <w:t>永进区块</w:t>
                  </w:r>
                  <w:r>
                    <w:rPr>
                      <w:rFonts w:hint="eastAsia" w:cs="Times New Roman"/>
                      <w:kern w:val="0"/>
                      <w:szCs w:val="21"/>
                      <w:highlight w:val="none"/>
                      <w:vertAlign w:val="baseline"/>
                      <w:lang w:eastAsia="zh-CN"/>
                    </w:rPr>
                    <w:t>油气资源赋存状况、生态环境特征等条件，所选用的开采技术和工艺均属于成熟、先进的技术装备</w:t>
                  </w:r>
                </w:p>
              </w:tc>
              <w:tc>
                <w:tcPr>
                  <w:tcW w:w="886"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kern w:val="0"/>
                      <w:szCs w:val="21"/>
                      <w:highlight w:val="none"/>
                      <w:vertAlign w:val="baseline"/>
                      <w:lang w:eastAsia="zh-CN"/>
                    </w:rPr>
                  </w:pPr>
                  <w:r>
                    <w:rPr>
                      <w:rFonts w:hint="eastAsia" w:cs="Times New Roman"/>
                      <w:kern w:val="0"/>
                      <w:szCs w:val="21"/>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2379"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eastAsia" w:cs="Times New Roman"/>
                      <w:kern w:val="0"/>
                      <w:szCs w:val="21"/>
                      <w:highlight w:val="none"/>
                      <w:vertAlign w:val="baseline"/>
                      <w:lang w:eastAsia="zh-CN"/>
                    </w:rPr>
                  </w:pPr>
                  <w:r>
                    <w:rPr>
                      <w:rFonts w:hint="eastAsia" w:cs="Times New Roman"/>
                      <w:kern w:val="0"/>
                      <w:szCs w:val="21"/>
                      <w:highlight w:val="none"/>
                      <w:vertAlign w:val="baseline"/>
                      <w:lang w:eastAsia="zh-CN"/>
                    </w:rPr>
                    <w:t>集约节约利用土地资源，土地利用符合用地指标政策。合理确定站址、场址、管网、路网建设占地规模。应实施绿色钻井技术体系，科学选择钻井方式、环境友好型钻井液及井控措施，配备完善的固控系统，及时妥善处置钻井泥浆</w:t>
                  </w:r>
                </w:p>
              </w:tc>
              <w:tc>
                <w:tcPr>
                  <w:tcW w:w="2747"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cs="Times New Roman"/>
                      <w:kern w:val="0"/>
                      <w:szCs w:val="21"/>
                      <w:highlight w:val="none"/>
                      <w:vertAlign w:val="baseline"/>
                      <w:lang w:val="en-US" w:eastAsia="zh-CN"/>
                    </w:rPr>
                  </w:pPr>
                  <w:r>
                    <w:rPr>
                      <w:rFonts w:hint="eastAsia" w:cs="Times New Roman"/>
                      <w:kern w:val="0"/>
                      <w:szCs w:val="21"/>
                      <w:highlight w:val="none"/>
                      <w:vertAlign w:val="baseline"/>
                      <w:lang w:val="en-US" w:eastAsia="zh-CN"/>
                    </w:rPr>
                    <w:t>本</w:t>
                  </w:r>
                  <w:r>
                    <w:rPr>
                      <w:rFonts w:hint="eastAsia" w:cs="Times New Roman"/>
                      <w:kern w:val="0"/>
                      <w:szCs w:val="21"/>
                      <w:highlight w:val="none"/>
                      <w:vertAlign w:val="baseline"/>
                      <w:lang w:eastAsia="zh-CN"/>
                    </w:rPr>
                    <w:t>项目永进1-5井、永进3-平16井、永进3-斜11井、永进3-斜12井、永进3-斜14井、永进3-斜17井</w:t>
                  </w:r>
                  <w:r>
                    <w:rPr>
                      <w:rFonts w:hint="eastAsia" w:cs="Times New Roman"/>
                      <w:kern w:val="0"/>
                      <w:szCs w:val="21"/>
                      <w:highlight w:val="none"/>
                      <w:vertAlign w:val="baseline"/>
                      <w:lang w:val="en-US" w:eastAsia="zh-CN"/>
                    </w:rPr>
                    <w:t>等6口井</w:t>
                  </w:r>
                  <w:r>
                    <w:rPr>
                      <w:rFonts w:hint="eastAsia" w:cs="Times New Roman"/>
                      <w:kern w:val="0"/>
                      <w:szCs w:val="21"/>
                      <w:highlight w:val="none"/>
                      <w:vertAlign w:val="baseline"/>
                      <w:lang w:eastAsia="zh-CN"/>
                    </w:rPr>
                    <w:t>临时占地规模均从土地资源节约方面考虑，尽可能缩小占地面积。项目钻井过程中，配备先进完善的固控设备，采用低固相优质钻井液，设置井控装置。泥浆分离岩屑后重复使用，钻井完成后，用于</w:t>
                  </w:r>
                  <w:r>
                    <w:rPr>
                      <w:rFonts w:hint="eastAsia" w:cs="Times New Roman"/>
                      <w:kern w:val="0"/>
                      <w:szCs w:val="21"/>
                      <w:highlight w:val="none"/>
                      <w:vertAlign w:val="baseline"/>
                      <w:lang w:val="en-US" w:eastAsia="zh-CN"/>
                    </w:rPr>
                    <w:t>后续钻井</w:t>
                  </w:r>
                </w:p>
              </w:tc>
              <w:tc>
                <w:tcPr>
                  <w:tcW w:w="886"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kern w:val="0"/>
                      <w:szCs w:val="21"/>
                      <w:highlight w:val="none"/>
                      <w:vertAlign w:val="baseline"/>
                      <w:lang w:eastAsia="zh-CN"/>
                    </w:rPr>
                  </w:pPr>
                  <w:r>
                    <w:rPr>
                      <w:rFonts w:hint="eastAsia" w:cs="Times New Roman"/>
                      <w:kern w:val="0"/>
                      <w:szCs w:val="21"/>
                      <w:highlight w:val="none"/>
                      <w:vertAlign w:val="baseline"/>
                      <w:lang w:eastAsia="zh-CN"/>
                    </w:rPr>
                    <w:t>符合</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cs="Times New Roman"/>
                <w:kern w:val="0"/>
                <w:szCs w:val="21"/>
                <w:highlight w:val="none"/>
                <w:lang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2" w:firstLineChars="200"/>
              <w:textAlignment w:val="auto"/>
              <w:rPr>
                <w:rFonts w:hint="default" w:ascii="Times New Roman" w:hAnsi="Times New Roman" w:eastAsia="宋体" w:cs="Times New Roman"/>
                <w:kern w:val="0"/>
                <w:szCs w:val="21"/>
                <w:highlight w:val="none"/>
              </w:rPr>
            </w:pPr>
            <w:r>
              <w:rPr>
                <w:rFonts w:hint="eastAsia" w:cs="Times New Roman"/>
                <w:b/>
                <w:bCs/>
                <w:kern w:val="0"/>
                <w:szCs w:val="21"/>
                <w:highlight w:val="none"/>
                <w:lang w:val="en-US" w:eastAsia="zh-CN"/>
              </w:rPr>
              <w:t>5</w:t>
            </w:r>
            <w:r>
              <w:rPr>
                <w:rFonts w:hint="default" w:ascii="Times New Roman" w:hAnsi="Times New Roman" w:eastAsia="宋体" w:cs="Times New Roman"/>
                <w:b/>
                <w:bCs/>
                <w:kern w:val="0"/>
                <w:szCs w:val="21"/>
                <w:highlight w:val="none"/>
              </w:rPr>
              <w:t>.本</w:t>
            </w:r>
            <w:r>
              <w:rPr>
                <w:rFonts w:hint="eastAsia" w:cs="Times New Roman"/>
                <w:b/>
                <w:bCs/>
                <w:kern w:val="0"/>
                <w:szCs w:val="21"/>
                <w:highlight w:val="none"/>
                <w:lang w:val="en-US" w:eastAsia="zh-CN"/>
              </w:rPr>
              <w:t>项目</w:t>
            </w:r>
            <w:r>
              <w:rPr>
                <w:rFonts w:hint="default" w:ascii="Times New Roman" w:hAnsi="Times New Roman" w:eastAsia="宋体" w:cs="Times New Roman"/>
                <w:b/>
                <w:bCs/>
                <w:kern w:val="0"/>
                <w:szCs w:val="21"/>
                <w:highlight w:val="none"/>
              </w:rPr>
              <w:t>在永进区块</w:t>
            </w:r>
            <w:r>
              <w:rPr>
                <w:rFonts w:hint="eastAsia" w:cs="Times New Roman"/>
                <w:b/>
                <w:bCs/>
                <w:kern w:val="0"/>
                <w:szCs w:val="21"/>
                <w:highlight w:val="none"/>
                <w:lang w:val="en-US" w:eastAsia="zh-CN"/>
              </w:rPr>
              <w:t>同时</w:t>
            </w:r>
            <w:r>
              <w:rPr>
                <w:rFonts w:hint="default" w:ascii="Times New Roman" w:hAnsi="Times New Roman" w:eastAsia="宋体" w:cs="Times New Roman"/>
                <w:b/>
                <w:bCs/>
                <w:kern w:val="0"/>
                <w:szCs w:val="21"/>
                <w:highlight w:val="none"/>
              </w:rPr>
              <w:t>布设6口油气勘探井目的及缘由</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永进地区断裂系统发育，为受断层控制的特低孔低渗油藏，成藏机理复杂，前期部署多口探井钻探成功率低。通过分析前期失利井原因及应用新地震资料，地质认识与前期差别较大。目前认为该区油气富集高产与不同储集空间类型有关，有孔隙-层理缝型与孔隙-微裂缝型两种储集空间类型，主要受不同沉积相带及断层发育控制，不同区域发育不同储集空间，分别采用不同井型开发方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该区油藏埋深大，5600-6200米；油层厚度薄且单一，仅10米左右，单井投资费用高，方案实施风险大，为进一步落实不同断块储集空间类型，评价不同井型合理开发方式，为下步规模开发奠定基础，特部署6口探井进行评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其中永进3-斜17井主要探索主河道砂体发育情况及微裂缝发育情况。永进3-斜14探索河道边部储层发育情况及微裂缝发育情况。</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永进3-斜11探索砂体层理缝发育情况，永进3-斜12井位于层理缝与微裂缝描述范围结合部位，通过这两口井钻探评价前期认识结果，为下步方案井网部署提供依据。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永进3-平16井为水平井，该井主要是试验微裂缝发育区水平井压裂后产能，为下步开发方式选择提供依据。</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cs="Times New Roman"/>
                <w:kern w:val="0"/>
                <w:szCs w:val="21"/>
                <w:highlight w:val="none"/>
                <w:lang w:eastAsia="zh-CN"/>
              </w:rPr>
            </w:pPr>
            <w:r>
              <w:rPr>
                <w:rFonts w:hint="default" w:ascii="Times New Roman" w:hAnsi="Times New Roman" w:eastAsia="宋体" w:cs="Times New Roman"/>
                <w:kern w:val="0"/>
                <w:szCs w:val="21"/>
                <w:highlight w:val="none"/>
              </w:rPr>
              <w:t>永进1-5井位于永1断层南部，主要是评价南部断块高部位井储层展布及含油气性，为下步永1断层南部条带滚评井位部署提供依据</w:t>
            </w:r>
            <w:r>
              <w:rPr>
                <w:rFonts w:hint="eastAsia" w:cs="Times New Roman"/>
                <w:kern w:val="0"/>
                <w:szCs w:val="21"/>
                <w:highlight w:val="none"/>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cs="Times New Roman"/>
                <w:kern w:val="0"/>
                <w:szCs w:val="21"/>
                <w:highlight w:val="none"/>
                <w:lang w:val="en-US" w:eastAsia="zh-CN"/>
              </w:rPr>
            </w:pPr>
            <w:r>
              <w:rPr>
                <w:rFonts w:hint="eastAsia" w:cs="Times New Roman"/>
                <w:kern w:val="0"/>
                <w:szCs w:val="21"/>
                <w:highlight w:val="none"/>
                <w:lang w:val="en-US" w:eastAsia="zh-CN"/>
              </w:rPr>
              <w:t>因此，本项目在永进区块同时布设6口油气勘探井符合相关政策法规要求。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cs="Times New Roman"/>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cs="Times New Roman"/>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cs="Times New Roman"/>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cs="Times New Roman"/>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cs="Times New Roman"/>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cs="Times New Roman"/>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cs="Times New Roman"/>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cs="Times New Roman"/>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cs="Times New Roman"/>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cs="Times New Roman"/>
                <w:kern w:val="0"/>
                <w:szCs w:val="21"/>
                <w:highlight w:val="none"/>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kern w:val="0"/>
                <w:szCs w:val="21"/>
                <w:highlight w:val="yellow"/>
                <w:lang w:eastAsia="zh-CN"/>
              </w:rPr>
            </w:pPr>
          </w:p>
        </w:tc>
      </w:tr>
    </w:tbl>
    <w:p>
      <w:pPr>
        <w:spacing w:line="360" w:lineRule="auto"/>
        <w:outlineLvl w:val="9"/>
        <w:rPr>
          <w:rFonts w:hint="default" w:ascii="Times New Roman" w:hAnsi="Times New Roman" w:eastAsia="黑体" w:cs="Times New Roman"/>
          <w:sz w:val="30"/>
          <w:highlight w:val="yellow"/>
        </w:rPr>
        <w:sectPr>
          <w:footerReference r:id="rId6" w:type="default"/>
          <w:pgSz w:w="11906" w:h="16838"/>
          <w:pgMar w:top="1701" w:right="1531" w:bottom="1701" w:left="1531" w:header="851" w:footer="1077" w:gutter="0"/>
          <w:pgNumType w:fmt="decimal" w:start="1"/>
          <w:cols w:space="720" w:num="1"/>
          <w:docGrid w:linePitch="312" w:charSpace="0"/>
        </w:sectPr>
      </w:pPr>
    </w:p>
    <w:p>
      <w:pPr>
        <w:pStyle w:val="17"/>
        <w:jc w:val="center"/>
        <w:outlineLvl w:val="0"/>
        <w:rPr>
          <w:rFonts w:hint="default" w:ascii="Times New Roman" w:hAnsi="Times New Roman" w:eastAsia="黑体" w:cs="Times New Roman"/>
          <w:snapToGrid w:val="0"/>
          <w:sz w:val="30"/>
          <w:szCs w:val="30"/>
          <w:highlight w:val="none"/>
        </w:rPr>
      </w:pPr>
      <w:bookmarkStart w:id="5" w:name="_Toc12058"/>
      <w:r>
        <w:rPr>
          <w:rFonts w:hint="default" w:ascii="Times New Roman" w:hAnsi="Times New Roman" w:eastAsia="黑体" w:cs="Times New Roman"/>
          <w:snapToGrid w:val="0"/>
          <w:sz w:val="30"/>
          <w:szCs w:val="30"/>
          <w:highlight w:val="none"/>
        </w:rPr>
        <w:t>二、建设内容</w:t>
      </w:r>
      <w:bookmarkEnd w:id="5"/>
    </w:p>
    <w:tbl>
      <w:tblPr>
        <w:tblStyle w:val="20"/>
        <w:tblW w:w="83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6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71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地理位置</w:t>
            </w:r>
          </w:p>
        </w:tc>
        <w:tc>
          <w:tcPr>
            <w:tcW w:w="7603" w:type="dxa"/>
            <w:noWrap w:val="0"/>
            <w:vAlign w:val="center"/>
          </w:tcPr>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eastAsia="zh-CN"/>
              </w:rPr>
              <w:t>本项目</w:t>
            </w:r>
            <w:r>
              <w:rPr>
                <w:rFonts w:hint="eastAsia" w:ascii="Times New Roman" w:hAnsi="Times New Roman" w:eastAsia="宋体" w:cs="Times New Roman"/>
                <w:kern w:val="0"/>
                <w:szCs w:val="21"/>
                <w:highlight w:val="none"/>
                <w:lang w:val="en-US" w:eastAsia="zh-CN"/>
              </w:rPr>
              <w:t>所在区域行政区划隶属于</w:t>
            </w:r>
            <w:r>
              <w:rPr>
                <w:rFonts w:hint="default" w:ascii="Times New Roman" w:hAnsi="Times New Roman" w:eastAsia="宋体" w:cs="Times New Roman"/>
                <w:kern w:val="0"/>
                <w:szCs w:val="21"/>
                <w:highlight w:val="none"/>
              </w:rPr>
              <w:t>新疆</w:t>
            </w:r>
            <w:r>
              <w:rPr>
                <w:rFonts w:hint="eastAsia" w:ascii="Times New Roman" w:hAnsi="Times New Roman" w:eastAsia="宋体" w:cs="Times New Roman"/>
                <w:kern w:val="0"/>
                <w:szCs w:val="21"/>
                <w:highlight w:val="none"/>
                <w:lang w:val="en-US" w:eastAsia="zh-CN"/>
              </w:rPr>
              <w:t>昌吉回族自治州玛纳斯县北五岔镇</w:t>
            </w:r>
            <w:r>
              <w:rPr>
                <w:rFonts w:hint="default" w:ascii="Times New Roman" w:hAnsi="Times New Roman" w:eastAsia="宋体" w:cs="Times New Roman"/>
                <w:kern w:val="0"/>
                <w:szCs w:val="21"/>
                <w:highlight w:val="none"/>
              </w:rPr>
              <w:t>，</w:t>
            </w:r>
            <w:r>
              <w:rPr>
                <w:rFonts w:hint="eastAsia" w:ascii="Times New Roman" w:hAnsi="Times New Roman" w:eastAsia="宋体" w:cs="Times New Roman"/>
                <w:kern w:val="0"/>
                <w:szCs w:val="21"/>
                <w:highlight w:val="none"/>
                <w:lang w:val="en-US" w:eastAsia="zh-CN"/>
              </w:rPr>
              <w:t>南距北五岔镇约8千米，西距新渠口村约2.6千米，6口井直线距离平均约为2千米，位于永进油田永1</w:t>
            </w:r>
            <w:r>
              <w:rPr>
                <w:rFonts w:hint="eastAsia" w:cs="Times New Roman"/>
                <w:kern w:val="0"/>
                <w:szCs w:val="21"/>
                <w:highlight w:val="none"/>
                <w:lang w:val="en-US" w:eastAsia="zh-CN"/>
              </w:rPr>
              <w:t>、永3</w:t>
            </w:r>
            <w:r>
              <w:rPr>
                <w:rFonts w:hint="eastAsia" w:ascii="Times New Roman" w:hAnsi="Times New Roman" w:eastAsia="宋体" w:cs="Times New Roman"/>
                <w:kern w:val="0"/>
                <w:szCs w:val="21"/>
                <w:highlight w:val="none"/>
                <w:lang w:val="en-US" w:eastAsia="zh-CN"/>
              </w:rPr>
              <w:t>区块。中心地理坐标为：东经86°22’55.032”，北纬44°38’03.169”。</w:t>
            </w:r>
            <w:r>
              <w:rPr>
                <w:rFonts w:hint="default" w:ascii="Times New Roman" w:hAnsi="Times New Roman" w:eastAsia="宋体" w:cs="Times New Roman"/>
                <w:kern w:val="0"/>
                <w:szCs w:val="21"/>
                <w:highlight w:val="none"/>
              </w:rPr>
              <w:t>本项目地理位置见图</w:t>
            </w:r>
            <w:r>
              <w:rPr>
                <w:rFonts w:hint="eastAsia" w:ascii="Times New Roman" w:hAnsi="Times New Roman" w:eastAsia="宋体" w:cs="Times New Roman"/>
                <w:kern w:val="0"/>
                <w:szCs w:val="21"/>
                <w:highlight w:val="none"/>
                <w:lang w:val="en-US" w:eastAsia="zh-CN"/>
              </w:rPr>
              <w:t>2.1。</w:t>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drawing>
                <wp:inline distT="0" distB="0" distL="114300" distR="114300">
                  <wp:extent cx="4602480" cy="6499225"/>
                  <wp:effectExtent l="0" t="0" r="7620" b="15875"/>
                  <wp:docPr id="8" name="图片 3" descr="D:\汪东\【2021】\1-报告表\【2021】永进3-平16等6口探井项目\shp\amp\地理位置图.jpg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D:\汪东\【2021】\1-报告表\【2021】永进3-平16等6口探井项目\shp\amp\地理位置图.jpg地理位置图"/>
                          <pic:cNvPicPr>
                            <a:picLocks noChangeAspect="1"/>
                          </pic:cNvPicPr>
                        </pic:nvPicPr>
                        <pic:blipFill>
                          <a:blip r:embed="rId9"/>
                          <a:srcRect l="2652" t="1715" r="3752" b="4846"/>
                          <a:stretch>
                            <a:fillRect/>
                          </a:stretch>
                        </pic:blipFill>
                        <pic:spPr>
                          <a:xfrm>
                            <a:off x="0" y="0"/>
                            <a:ext cx="4602480" cy="649922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kern w:val="0"/>
                <w:szCs w:val="21"/>
                <w:highlight w:val="none"/>
                <w:lang w:val="en-US" w:eastAsia="zh-CN"/>
              </w:rPr>
            </w:pPr>
            <w:r>
              <w:rPr>
                <w:rFonts w:hint="eastAsia" w:ascii="黑体" w:hAnsi="黑体" w:eastAsia="黑体" w:cs="黑体"/>
                <w:kern w:val="0"/>
                <w:sz w:val="21"/>
                <w:szCs w:val="21"/>
                <w:highlight w:val="none"/>
                <w:lang w:val="en-US" w:eastAsia="zh-CN"/>
              </w:rPr>
              <w:t>图2.1本项目地理位置图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71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yellow"/>
              </w:rPr>
            </w:pPr>
            <w:r>
              <w:rPr>
                <w:rFonts w:hint="default" w:ascii="Times New Roman" w:hAnsi="Times New Roman" w:eastAsia="宋体" w:cs="Times New Roman"/>
                <w:kern w:val="0"/>
                <w:szCs w:val="21"/>
                <w:highlight w:val="none"/>
              </w:rPr>
              <w:t>项目组成及规模</w:t>
            </w:r>
          </w:p>
        </w:tc>
        <w:tc>
          <w:tcPr>
            <w:tcW w:w="760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61" w:firstLineChars="266"/>
              <w:jc w:val="both"/>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1.工程建设内容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58" w:firstLineChars="266"/>
              <w:jc w:val="both"/>
              <w:textAlignment w:val="auto"/>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本项目新钻井6口，分别为永进1-5井、永进3-平16井、永进3-斜11井、永进3-斜12井、永进3-斜14井、永进3-斜17井，总钻井进尺34366m。完钻后进行试油，获取有关技术参数。本项目基本数据详见表2.1。</w:t>
            </w:r>
          </w:p>
          <w:p>
            <w:pPr>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黑体" w:hAnsi="黑体" w:eastAsia="黑体" w:cs="黑体"/>
                <w:b w:val="0"/>
                <w:bCs/>
                <w:kern w:val="0"/>
                <w:sz w:val="21"/>
                <w:szCs w:val="21"/>
                <w:lang w:val="en-US" w:eastAsia="zh-CN" w:bidi="ar-SA"/>
              </w:rPr>
            </w:pPr>
            <w:bookmarkStart w:id="6" w:name="_Toc534443423"/>
            <w:bookmarkStart w:id="7" w:name="_Toc534443481"/>
            <w:r>
              <w:rPr>
                <w:rFonts w:hint="eastAsia" w:ascii="黑体" w:hAnsi="黑体" w:eastAsia="黑体" w:cs="黑体"/>
                <w:b w:val="0"/>
                <w:bCs/>
                <w:kern w:val="0"/>
                <w:sz w:val="21"/>
                <w:szCs w:val="21"/>
                <w:lang w:val="en-US" w:eastAsia="zh-CN" w:bidi="ar-SA"/>
              </w:rPr>
              <w:t>表2.1    本项目6口单井基本数据表</w:t>
            </w:r>
            <w:bookmarkEnd w:id="6"/>
            <w:bookmarkEnd w:id="7"/>
          </w:p>
          <w:tbl>
            <w:tblPr>
              <w:tblStyle w:val="20"/>
              <w:tblW w:w="7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091"/>
              <w:gridCol w:w="832"/>
              <w:gridCol w:w="1108"/>
              <w:gridCol w:w="778"/>
              <w:gridCol w:w="397"/>
              <w:gridCol w:w="652"/>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restar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snapToGrid w:val="0"/>
                      <w:spacing w:val="-6"/>
                      <w:kern w:val="2"/>
                      <w:sz w:val="21"/>
                      <w:szCs w:val="28"/>
                      <w:highlight w:val="none"/>
                      <w:lang w:val="en-US" w:eastAsia="zh-CN" w:bidi="ar-SA"/>
                    </w:rPr>
                    <w:t>永进1-5井</w:t>
                  </w:r>
                </w:p>
              </w:tc>
              <w:tc>
                <w:tcPr>
                  <w:tcW w:w="762"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井  号</w:t>
                  </w:r>
                </w:p>
              </w:tc>
              <w:tc>
                <w:tcPr>
                  <w:tcW w:w="1899" w:type="pct"/>
                  <w:gridSpan w:val="3"/>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snapToGrid w:val="0"/>
                      <w:spacing w:val="-6"/>
                      <w:kern w:val="2"/>
                      <w:sz w:val="21"/>
                      <w:szCs w:val="28"/>
                      <w:highlight w:val="none"/>
                      <w:lang w:val="en-US" w:eastAsia="zh-CN" w:bidi="ar-SA"/>
                    </w:rPr>
                    <w:t>永进1-5井</w:t>
                  </w:r>
                </w:p>
              </w:tc>
              <w:tc>
                <w:tcPr>
                  <w:tcW w:w="733" w:type="pct"/>
                  <w:gridSpan w:val="2"/>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井型</w:t>
                  </w:r>
                </w:p>
              </w:tc>
              <w:tc>
                <w:tcPr>
                  <w:tcW w:w="1089"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kern w:val="2"/>
                      <w:sz w:val="21"/>
                      <w:szCs w:val="28"/>
                      <w:highlight w:val="none"/>
                      <w:lang w:val="en-US" w:eastAsia="zh-CN" w:bidi="ar-SA"/>
                    </w:rPr>
                    <w:t>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p>
              </w:tc>
              <w:tc>
                <w:tcPr>
                  <w:tcW w:w="762"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地理位置</w:t>
                  </w:r>
                </w:p>
              </w:tc>
              <w:tc>
                <w:tcPr>
                  <w:tcW w:w="3722" w:type="pct"/>
                  <w:gridSpan w:val="6"/>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yellow"/>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井口位于永301井方位217.4°，距7639.5m。位于准噶尔盆地中央坳陷昌吉凹陷西段，车-莫古隆起南翼，永101井区西南部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p>
              </w:tc>
              <w:tc>
                <w:tcPr>
                  <w:tcW w:w="762" w:type="pct"/>
                  <w:vMerge w:val="restar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井口坐标</w:t>
                  </w:r>
                </w:p>
              </w:tc>
              <w:tc>
                <w:tcPr>
                  <w:tcW w:w="581" w:type="pct"/>
                  <w:vMerge w:val="restar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设计</w:t>
                  </w:r>
                </w:p>
              </w:tc>
              <w:tc>
                <w:tcPr>
                  <w:tcW w:w="774"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X</w:t>
                  </w:r>
                </w:p>
              </w:tc>
              <w:tc>
                <w:tcPr>
                  <w:tcW w:w="2366" w:type="pct"/>
                  <w:gridSpan w:val="4"/>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kern w:val="2"/>
                      <w:sz w:val="21"/>
                      <w:szCs w:val="24"/>
                      <w:highlight w:val="none"/>
                      <w:lang w:val="en-US" w:eastAsia="zh-CN" w:bidi="ar-SA"/>
                    </w:rPr>
                    <w:t>15448516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p>
              </w:tc>
              <w:tc>
                <w:tcPr>
                  <w:tcW w:w="762"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p>
              </w:tc>
              <w:tc>
                <w:tcPr>
                  <w:tcW w:w="581"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p>
              </w:tc>
              <w:tc>
                <w:tcPr>
                  <w:tcW w:w="774"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Y</w:t>
                  </w:r>
                </w:p>
              </w:tc>
              <w:tc>
                <w:tcPr>
                  <w:tcW w:w="2366" w:type="pct"/>
                  <w:gridSpan w:val="4"/>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kern w:val="2"/>
                      <w:sz w:val="21"/>
                      <w:szCs w:val="24"/>
                      <w:highlight w:val="none"/>
                      <w:lang w:val="en-US" w:eastAsia="zh-CN" w:bidi="ar-SA"/>
                    </w:rPr>
                    <w:t>4940478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p>
              </w:tc>
              <w:tc>
                <w:tcPr>
                  <w:tcW w:w="762"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地面海拔</w:t>
                  </w:r>
                </w:p>
              </w:tc>
              <w:tc>
                <w:tcPr>
                  <w:tcW w:w="581"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设计</w:t>
                  </w:r>
                </w:p>
              </w:tc>
              <w:tc>
                <w:tcPr>
                  <w:tcW w:w="3140" w:type="pct"/>
                  <w:gridSpan w:val="5"/>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yellow"/>
                      <w:lang w:val="en-US" w:eastAsia="zh-CN" w:bidi="ar-SA"/>
                    </w:rPr>
                  </w:pPr>
                  <w:r>
                    <w:rPr>
                      <w:rFonts w:hint="default" w:ascii="Times New Roman" w:hAnsi="Times New Roman" w:eastAsia="宋体" w:cs="Times New Roman"/>
                      <w:bCs/>
                      <w:kern w:val="2"/>
                      <w:sz w:val="21"/>
                      <w:szCs w:val="28"/>
                      <w:highlight w:val="none"/>
                      <w:lang w:val="en-US" w:eastAsia="zh-CN" w:bidi="ar-SA"/>
                    </w:rPr>
                    <w:t>376.4m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p>
              </w:tc>
              <w:tc>
                <w:tcPr>
                  <w:tcW w:w="762"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设计井深</w:t>
                  </w:r>
                </w:p>
              </w:tc>
              <w:tc>
                <w:tcPr>
                  <w:tcW w:w="581"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kern w:val="2"/>
                      <w:sz w:val="21"/>
                      <w:szCs w:val="28"/>
                      <w:highlight w:val="none"/>
                      <w:lang w:val="en-US" w:eastAsia="zh-CN" w:bidi="ar-SA"/>
                    </w:rPr>
                    <w:t>5676m</w:t>
                  </w:r>
                </w:p>
              </w:tc>
              <w:tc>
                <w:tcPr>
                  <w:tcW w:w="1595" w:type="pct"/>
                  <w:gridSpan w:val="3"/>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目的层位</w:t>
                  </w:r>
                </w:p>
              </w:tc>
              <w:tc>
                <w:tcPr>
                  <w:tcW w:w="1544" w:type="pct"/>
                  <w:gridSpan w:val="2"/>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kern w:val="2"/>
                      <w:sz w:val="21"/>
                      <w:szCs w:val="28"/>
                      <w:highlight w:val="none"/>
                      <w:lang w:val="en-US" w:eastAsia="zh-CN" w:bidi="ar-SA"/>
                    </w:rPr>
                    <w:t>三工河组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p>
              </w:tc>
              <w:tc>
                <w:tcPr>
                  <w:tcW w:w="1344" w:type="pct"/>
                  <w:gridSpan w:val="2"/>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21"/>
                      <w:szCs w:val="28"/>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井身结构</w:t>
                  </w:r>
                </w:p>
              </w:tc>
              <w:tc>
                <w:tcPr>
                  <w:tcW w:w="3140" w:type="pct"/>
                  <w:gridSpan w:val="5"/>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21"/>
                      <w:szCs w:val="28"/>
                      <w:highlight w:val="none"/>
                      <w:lang w:val="en-US" w:eastAsia="zh-CN" w:bidi="ar-SA"/>
                    </w:rPr>
                  </w:pPr>
                  <w:r>
                    <w:rPr>
                      <w:rFonts w:hint="default" w:ascii="Times New Roman" w:hAnsi="Times New Roman" w:eastAsia="宋体" w:cs="Times New Roman"/>
                      <w:bCs/>
                      <w:kern w:val="2"/>
                      <w:sz w:val="21"/>
                      <w:szCs w:val="28"/>
                      <w:highlight w:val="none"/>
                      <w:lang w:val="en-US" w:eastAsia="zh-CN" w:bidi="ar-SA"/>
                    </w:rPr>
                    <w:t>三开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yellow"/>
                      <w:lang w:val="en-US" w:eastAsia="zh-CN" w:bidi="ar-SA"/>
                    </w:rPr>
                  </w:pPr>
                </w:p>
              </w:tc>
              <w:tc>
                <w:tcPr>
                  <w:tcW w:w="1344" w:type="pct"/>
                  <w:gridSpan w:val="2"/>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完钻原则</w:t>
                  </w:r>
                </w:p>
              </w:tc>
              <w:tc>
                <w:tcPr>
                  <w:tcW w:w="3140" w:type="pct"/>
                  <w:gridSpan w:val="5"/>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kern w:val="2"/>
                      <w:sz w:val="21"/>
                      <w:szCs w:val="28"/>
                      <w:highlight w:val="none"/>
                      <w:lang w:val="en-US" w:eastAsia="zh-CN" w:bidi="ar-SA"/>
                    </w:rPr>
                    <w:t>定深，井底30m无油气显示完钻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restar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snapToGrid w:val="0"/>
                      <w:spacing w:val="-6"/>
                      <w:kern w:val="2"/>
                      <w:sz w:val="21"/>
                      <w:szCs w:val="28"/>
                      <w:highlight w:val="none"/>
                      <w:lang w:val="en-US" w:eastAsia="zh-CN" w:bidi="ar-SA"/>
                    </w:rPr>
                    <w:t>永进3-平16井</w:t>
                  </w:r>
                </w:p>
              </w:tc>
              <w:tc>
                <w:tcPr>
                  <w:tcW w:w="762"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井号</w:t>
                  </w:r>
                </w:p>
              </w:tc>
              <w:tc>
                <w:tcPr>
                  <w:tcW w:w="1899" w:type="pct"/>
                  <w:gridSpan w:val="3"/>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yellow"/>
                      <w:lang w:val="en-US" w:eastAsia="zh-CN" w:bidi="ar-SA"/>
                    </w:rPr>
                  </w:pPr>
                  <w:r>
                    <w:rPr>
                      <w:rFonts w:hint="default" w:ascii="Times New Roman" w:hAnsi="Times New Roman" w:eastAsia="宋体" w:cs="Times New Roman"/>
                      <w:bCs/>
                      <w:snapToGrid w:val="0"/>
                      <w:spacing w:val="-6"/>
                      <w:kern w:val="2"/>
                      <w:sz w:val="21"/>
                      <w:szCs w:val="28"/>
                      <w:highlight w:val="none"/>
                      <w:lang w:val="en-US" w:eastAsia="zh-CN" w:bidi="ar-SA"/>
                    </w:rPr>
                    <w:t>永进3-平16井</w:t>
                  </w:r>
                </w:p>
              </w:tc>
              <w:tc>
                <w:tcPr>
                  <w:tcW w:w="733" w:type="pct"/>
                  <w:gridSpan w:val="2"/>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井型</w:t>
                  </w:r>
                </w:p>
              </w:tc>
              <w:tc>
                <w:tcPr>
                  <w:tcW w:w="1089"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kern w:val="2"/>
                      <w:sz w:val="21"/>
                      <w:szCs w:val="28"/>
                      <w:highlight w:val="none"/>
                      <w:lang w:val="en-US" w:eastAsia="zh-CN" w:bidi="ar-SA"/>
                    </w:rPr>
                    <w:t>水平井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p>
              </w:tc>
              <w:tc>
                <w:tcPr>
                  <w:tcW w:w="762"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地理位置</w:t>
                  </w:r>
                </w:p>
              </w:tc>
              <w:tc>
                <w:tcPr>
                  <w:tcW w:w="3722" w:type="pct"/>
                  <w:gridSpan w:val="6"/>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snapToGrid w:val="0"/>
                      <w:spacing w:val="-6"/>
                      <w:kern w:val="2"/>
                      <w:sz w:val="21"/>
                      <w:szCs w:val="28"/>
                      <w:highlight w:val="none"/>
                      <w:lang w:val="en-US" w:eastAsia="zh-CN" w:bidi="ar-SA"/>
                    </w:rPr>
                    <w:t>井口位于永301井西南部。准噶尔盆地中央坳陷昌吉凹陷西段，车-莫古隆起南翼，永3井区南部</w:t>
                  </w:r>
                  <w:r>
                    <w:rPr>
                      <w:rFonts w:hint="default" w:ascii="Times New Roman" w:hAnsi="Times New Roman" w:eastAsia="宋体" w:cs="Times New Roman"/>
                      <w:bCs w:val="0"/>
                      <w:snapToGrid w:val="0"/>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p>
              </w:tc>
              <w:tc>
                <w:tcPr>
                  <w:tcW w:w="762" w:type="pct"/>
                  <w:vMerge w:val="restar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井口坐标</w:t>
                  </w:r>
                </w:p>
              </w:tc>
              <w:tc>
                <w:tcPr>
                  <w:tcW w:w="581" w:type="pct"/>
                  <w:vMerge w:val="restar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设计</w:t>
                  </w:r>
                </w:p>
              </w:tc>
              <w:tc>
                <w:tcPr>
                  <w:tcW w:w="774"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X</w:t>
                  </w:r>
                </w:p>
              </w:tc>
              <w:tc>
                <w:tcPr>
                  <w:tcW w:w="2366" w:type="pct"/>
                  <w:gridSpan w:val="4"/>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kern w:val="2"/>
                      <w:sz w:val="21"/>
                      <w:szCs w:val="24"/>
                      <w:highlight w:val="none"/>
                      <w:lang w:val="en-US" w:eastAsia="zh-CN" w:bidi="ar-SA"/>
                    </w:rPr>
                    <w:t>15453627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p>
              </w:tc>
              <w:tc>
                <w:tcPr>
                  <w:tcW w:w="762"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p>
              </w:tc>
              <w:tc>
                <w:tcPr>
                  <w:tcW w:w="581"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p>
              </w:tc>
              <w:tc>
                <w:tcPr>
                  <w:tcW w:w="774"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Y</w:t>
                  </w:r>
                </w:p>
              </w:tc>
              <w:tc>
                <w:tcPr>
                  <w:tcW w:w="2366" w:type="pct"/>
                  <w:gridSpan w:val="4"/>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kern w:val="2"/>
                      <w:sz w:val="21"/>
                      <w:szCs w:val="24"/>
                      <w:highlight w:val="none"/>
                      <w:lang w:val="en-US" w:eastAsia="zh-CN" w:bidi="ar-SA"/>
                    </w:rPr>
                    <w:t>4944672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p>
              </w:tc>
              <w:tc>
                <w:tcPr>
                  <w:tcW w:w="762"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地面海拔</w:t>
                  </w:r>
                </w:p>
              </w:tc>
              <w:tc>
                <w:tcPr>
                  <w:tcW w:w="581"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设计</w:t>
                  </w:r>
                </w:p>
              </w:tc>
              <w:tc>
                <w:tcPr>
                  <w:tcW w:w="3140" w:type="pct"/>
                  <w:gridSpan w:val="5"/>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kern w:val="2"/>
                      <w:sz w:val="21"/>
                      <w:szCs w:val="28"/>
                      <w:highlight w:val="none"/>
                      <w:lang w:val="en-US" w:eastAsia="zh-CN" w:bidi="ar-SA"/>
                    </w:rPr>
                    <w:t>377.17m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p>
              </w:tc>
              <w:tc>
                <w:tcPr>
                  <w:tcW w:w="762"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设计井深</w:t>
                  </w:r>
                </w:p>
              </w:tc>
              <w:tc>
                <w:tcPr>
                  <w:tcW w:w="581" w:type="pct"/>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kern w:val="2"/>
                      <w:sz w:val="21"/>
                      <w:szCs w:val="28"/>
                      <w:highlight w:val="none"/>
                      <w:lang w:val="en-US" w:eastAsia="zh-CN" w:bidi="ar-SA"/>
                    </w:rPr>
                    <w:t>5626m</w:t>
                  </w:r>
                </w:p>
              </w:tc>
              <w:tc>
                <w:tcPr>
                  <w:tcW w:w="1595" w:type="pct"/>
                  <w:gridSpan w:val="3"/>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目的层位</w:t>
                  </w:r>
                </w:p>
              </w:tc>
              <w:tc>
                <w:tcPr>
                  <w:tcW w:w="1544" w:type="pct"/>
                  <w:gridSpan w:val="2"/>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kern w:val="2"/>
                      <w:sz w:val="21"/>
                      <w:szCs w:val="28"/>
                      <w:highlight w:val="none"/>
                      <w:lang w:val="en-US" w:eastAsia="zh-CN" w:bidi="ar-SA"/>
                    </w:rPr>
                    <w:t>齐古组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yellow"/>
                      <w:lang w:val="en-US" w:eastAsia="zh-CN" w:bidi="ar-SA"/>
                    </w:rPr>
                  </w:pPr>
                </w:p>
              </w:tc>
              <w:tc>
                <w:tcPr>
                  <w:tcW w:w="1344" w:type="pct"/>
                  <w:gridSpan w:val="2"/>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完钻原则</w:t>
                  </w:r>
                </w:p>
              </w:tc>
              <w:tc>
                <w:tcPr>
                  <w:tcW w:w="3140" w:type="pct"/>
                  <w:gridSpan w:val="5"/>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kern w:val="2"/>
                      <w:sz w:val="21"/>
                      <w:szCs w:val="28"/>
                      <w:highlight w:val="none"/>
                      <w:lang w:val="en-US" w:eastAsia="zh-CN" w:bidi="ar-SA"/>
                    </w:rPr>
                    <w:t>钻至B靶点完钻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yellow"/>
                      <w:lang w:val="en-US" w:eastAsia="zh-CN" w:bidi="ar-SA"/>
                    </w:rPr>
                  </w:pPr>
                </w:p>
              </w:tc>
              <w:tc>
                <w:tcPr>
                  <w:tcW w:w="1344" w:type="pct"/>
                  <w:gridSpan w:val="2"/>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val="0"/>
                      <w:snapToGrid w:val="0"/>
                      <w:kern w:val="0"/>
                      <w:sz w:val="21"/>
                      <w:szCs w:val="21"/>
                      <w:highlight w:val="none"/>
                      <w:lang w:val="en-US" w:eastAsia="zh-CN" w:bidi="ar-SA"/>
                    </w:rPr>
                  </w:pPr>
                  <w:r>
                    <w:rPr>
                      <w:rFonts w:hint="default" w:ascii="Times New Roman" w:hAnsi="Times New Roman" w:eastAsia="宋体" w:cs="Times New Roman"/>
                      <w:bCs w:val="0"/>
                      <w:snapToGrid w:val="0"/>
                      <w:kern w:val="0"/>
                      <w:sz w:val="21"/>
                      <w:szCs w:val="21"/>
                      <w:highlight w:val="none"/>
                      <w:lang w:val="en-US" w:eastAsia="zh-CN" w:bidi="ar-SA"/>
                    </w:rPr>
                    <w:t>井身结构</w:t>
                  </w:r>
                </w:p>
              </w:tc>
              <w:tc>
                <w:tcPr>
                  <w:tcW w:w="3140" w:type="pct"/>
                  <w:gridSpan w:val="5"/>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宋体" w:cs="Times New Roman"/>
                      <w:bCs/>
                      <w:kern w:val="2"/>
                      <w:sz w:val="21"/>
                      <w:szCs w:val="28"/>
                      <w:highlight w:val="none"/>
                      <w:lang w:val="en-US" w:eastAsia="zh-CN" w:bidi="ar-SA"/>
                    </w:rPr>
                  </w:pPr>
                  <w:r>
                    <w:rPr>
                      <w:rFonts w:hint="default" w:ascii="Times New Roman" w:hAnsi="Times New Roman" w:eastAsia="宋体" w:cs="Times New Roman"/>
                      <w:bCs/>
                      <w:kern w:val="2"/>
                      <w:sz w:val="21"/>
                      <w:szCs w:val="28"/>
                      <w:highlight w:val="none"/>
                      <w:lang w:val="en-US" w:eastAsia="zh-CN" w:bidi="ar-SA"/>
                    </w:rPr>
                    <w:t>三开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spacing w:val="-6"/>
                      <w:sz w:val="21"/>
                      <w:highlight w:val="none"/>
                      <w:lang w:val="en-US" w:eastAsia="zh-CN"/>
                    </w:rPr>
                    <w:t>永进3-斜11井</w:t>
                  </w: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井号</w:t>
                  </w:r>
                </w:p>
              </w:tc>
              <w:tc>
                <w:tcPr>
                  <w:tcW w:w="1899"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yellow"/>
                      <w:lang w:val="en-US" w:eastAsia="zh-CN"/>
                    </w:rPr>
                  </w:pPr>
                  <w:r>
                    <w:rPr>
                      <w:rFonts w:hint="default" w:ascii="Times New Roman" w:hAnsi="Times New Roman" w:eastAsia="宋体" w:cs="Times New Roman"/>
                      <w:snapToGrid w:val="0"/>
                      <w:spacing w:val="-6"/>
                      <w:sz w:val="21"/>
                      <w:highlight w:val="none"/>
                      <w:lang w:val="en-US" w:eastAsia="zh-CN"/>
                    </w:rPr>
                    <w:t>永进3-斜11井</w:t>
                  </w:r>
                </w:p>
              </w:tc>
              <w:tc>
                <w:tcPr>
                  <w:tcW w:w="73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井型</w:t>
                  </w:r>
                </w:p>
              </w:tc>
              <w:tc>
                <w:tcPr>
                  <w:tcW w:w="10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斜井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地理位置</w:t>
                  </w:r>
                </w:p>
              </w:tc>
              <w:tc>
                <w:tcPr>
                  <w:tcW w:w="3722" w:type="pct"/>
                  <w:gridSpan w:val="6"/>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井口位于永301井西南部。位于准噶尔盆地中央坳陷昌吉凹陷西段，车-莫古隆起南翼，永301井区东部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井口坐标</w:t>
                  </w:r>
                </w:p>
              </w:tc>
              <w:tc>
                <w:tcPr>
                  <w:tcW w:w="58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设计</w:t>
                  </w:r>
                </w:p>
              </w:tc>
              <w:tc>
                <w:tcPr>
                  <w:tcW w:w="77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X</w:t>
                  </w:r>
                </w:p>
              </w:tc>
              <w:tc>
                <w:tcPr>
                  <w:tcW w:w="2366"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15450960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58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7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Y</w:t>
                  </w:r>
                </w:p>
              </w:tc>
              <w:tc>
                <w:tcPr>
                  <w:tcW w:w="2366"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4944481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地面海拔</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设计</w:t>
                  </w:r>
                </w:p>
              </w:tc>
              <w:tc>
                <w:tcPr>
                  <w:tcW w:w="3140"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376.4m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设计井深</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5766m</w:t>
                  </w:r>
                </w:p>
              </w:tc>
              <w:tc>
                <w:tcPr>
                  <w:tcW w:w="1595"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目的层位</w:t>
                  </w:r>
                </w:p>
              </w:tc>
              <w:tc>
                <w:tcPr>
                  <w:tcW w:w="15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齐古组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yellow"/>
                      <w:lang w:val="en-US" w:eastAsia="zh-CN"/>
                    </w:rPr>
                  </w:pPr>
                </w:p>
              </w:tc>
              <w:tc>
                <w:tcPr>
                  <w:tcW w:w="13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完钻原则</w:t>
                  </w:r>
                </w:p>
              </w:tc>
              <w:tc>
                <w:tcPr>
                  <w:tcW w:w="3140"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井底30m无油气显示定深完钻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yellow"/>
                      <w:lang w:val="en-US" w:eastAsia="zh-CN"/>
                    </w:rPr>
                  </w:pPr>
                </w:p>
              </w:tc>
              <w:tc>
                <w:tcPr>
                  <w:tcW w:w="13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井身结构</w:t>
                  </w:r>
                </w:p>
              </w:tc>
              <w:tc>
                <w:tcPr>
                  <w:tcW w:w="3140"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z w:val="21"/>
                      <w:highlight w:val="none"/>
                      <w:lang w:val="en-US" w:eastAsia="zh-CN"/>
                    </w:rPr>
                  </w:pPr>
                  <w:r>
                    <w:rPr>
                      <w:rFonts w:hint="default" w:ascii="Times New Roman" w:hAnsi="Times New Roman" w:eastAsia="宋体" w:cs="Times New Roman"/>
                      <w:sz w:val="21"/>
                      <w:highlight w:val="none"/>
                      <w:lang w:val="en-US" w:eastAsia="zh-CN"/>
                    </w:rPr>
                    <w:t>三开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spacing w:val="-6"/>
                      <w:sz w:val="21"/>
                      <w:highlight w:val="none"/>
                      <w:lang w:val="en-US" w:eastAsia="zh-CN"/>
                    </w:rPr>
                    <w:t>永进3-斜12井</w:t>
                  </w: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井号</w:t>
                  </w:r>
                </w:p>
              </w:tc>
              <w:tc>
                <w:tcPr>
                  <w:tcW w:w="1899"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yellow"/>
                      <w:lang w:val="en-US" w:eastAsia="zh-CN"/>
                    </w:rPr>
                  </w:pPr>
                  <w:r>
                    <w:rPr>
                      <w:rFonts w:hint="default" w:ascii="Times New Roman" w:hAnsi="Times New Roman" w:eastAsia="宋体" w:cs="Times New Roman"/>
                      <w:snapToGrid w:val="0"/>
                      <w:spacing w:val="-6"/>
                      <w:sz w:val="21"/>
                      <w:highlight w:val="none"/>
                      <w:lang w:val="en-US" w:eastAsia="zh-CN"/>
                    </w:rPr>
                    <w:t>永进3-斜12井</w:t>
                  </w:r>
                </w:p>
              </w:tc>
              <w:tc>
                <w:tcPr>
                  <w:tcW w:w="73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井型</w:t>
                  </w:r>
                </w:p>
              </w:tc>
              <w:tc>
                <w:tcPr>
                  <w:tcW w:w="10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斜井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地理位置</w:t>
                  </w:r>
                </w:p>
              </w:tc>
              <w:tc>
                <w:tcPr>
                  <w:tcW w:w="3722" w:type="pct"/>
                  <w:gridSpan w:val="6"/>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spacing w:val="-6"/>
                      <w:sz w:val="21"/>
                      <w:highlight w:val="none"/>
                      <w:lang w:val="en-US" w:eastAsia="zh-CN"/>
                    </w:rPr>
                    <w:t>井口位于永301井西南部</w:t>
                  </w:r>
                  <w:r>
                    <w:rPr>
                      <w:rFonts w:hint="default" w:ascii="Times New Roman" w:hAnsi="Times New Roman" w:eastAsia="宋体" w:cs="Times New Roman"/>
                      <w:snapToGrid w:val="0"/>
                      <w:kern w:val="0"/>
                      <w:sz w:val="21"/>
                      <w:highlight w:val="none"/>
                      <w:lang w:val="en-US" w:eastAsia="zh-CN"/>
                    </w:rPr>
                    <w:t>。位于准噶尔盆地中央坳陷昌吉凹陷西段，车-莫古隆起南翼，永301井区东部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井口坐标</w:t>
                  </w:r>
                </w:p>
              </w:tc>
              <w:tc>
                <w:tcPr>
                  <w:tcW w:w="58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设计</w:t>
                  </w:r>
                </w:p>
              </w:tc>
              <w:tc>
                <w:tcPr>
                  <w:tcW w:w="77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X</w:t>
                  </w:r>
                </w:p>
              </w:tc>
              <w:tc>
                <w:tcPr>
                  <w:tcW w:w="2366"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15451025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58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7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Y</w:t>
                  </w:r>
                </w:p>
              </w:tc>
              <w:tc>
                <w:tcPr>
                  <w:tcW w:w="2366"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4944481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地面海拔</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设计</w:t>
                  </w:r>
                </w:p>
              </w:tc>
              <w:tc>
                <w:tcPr>
                  <w:tcW w:w="3140"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376.4m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设计井深</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5766</w:t>
                  </w:r>
                </w:p>
              </w:tc>
              <w:tc>
                <w:tcPr>
                  <w:tcW w:w="1595"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目的层位</w:t>
                  </w:r>
                </w:p>
              </w:tc>
              <w:tc>
                <w:tcPr>
                  <w:tcW w:w="15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齐古组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yellow"/>
                      <w:lang w:val="en-US" w:eastAsia="zh-CN"/>
                    </w:rPr>
                  </w:pPr>
                </w:p>
              </w:tc>
              <w:tc>
                <w:tcPr>
                  <w:tcW w:w="13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完钻原则</w:t>
                  </w:r>
                </w:p>
              </w:tc>
              <w:tc>
                <w:tcPr>
                  <w:tcW w:w="3140"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井底30m无油气显示定深完钻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yellow"/>
                      <w:lang w:val="en-US" w:eastAsia="zh-CN"/>
                    </w:rPr>
                  </w:pPr>
                </w:p>
              </w:tc>
              <w:tc>
                <w:tcPr>
                  <w:tcW w:w="13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井身结构</w:t>
                  </w:r>
                </w:p>
              </w:tc>
              <w:tc>
                <w:tcPr>
                  <w:tcW w:w="3140"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z w:val="21"/>
                      <w:highlight w:val="none"/>
                      <w:lang w:val="en-US" w:eastAsia="zh-CN"/>
                    </w:rPr>
                  </w:pPr>
                  <w:r>
                    <w:rPr>
                      <w:rFonts w:hint="default" w:ascii="Times New Roman" w:hAnsi="Times New Roman" w:eastAsia="宋体" w:cs="Times New Roman"/>
                      <w:sz w:val="21"/>
                      <w:highlight w:val="none"/>
                      <w:lang w:val="en-US" w:eastAsia="zh-CN"/>
                    </w:rPr>
                    <w:t>三开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spacing w:val="-6"/>
                      <w:sz w:val="21"/>
                      <w:highlight w:val="none"/>
                      <w:lang w:val="en-US" w:eastAsia="zh-CN"/>
                    </w:rPr>
                    <w:t>永进3-斜14井</w:t>
                  </w: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井号</w:t>
                  </w:r>
                </w:p>
              </w:tc>
              <w:tc>
                <w:tcPr>
                  <w:tcW w:w="1899"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spacing w:val="-6"/>
                      <w:sz w:val="21"/>
                      <w:highlight w:val="none"/>
                      <w:lang w:val="en-US" w:eastAsia="zh-CN"/>
                    </w:rPr>
                    <w:t>永进3-斜14井</w:t>
                  </w:r>
                </w:p>
              </w:tc>
              <w:tc>
                <w:tcPr>
                  <w:tcW w:w="73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井型</w:t>
                  </w:r>
                </w:p>
              </w:tc>
              <w:tc>
                <w:tcPr>
                  <w:tcW w:w="10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斜井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地理位置</w:t>
                  </w:r>
                </w:p>
              </w:tc>
              <w:tc>
                <w:tcPr>
                  <w:tcW w:w="3722" w:type="pct"/>
                  <w:gridSpan w:val="6"/>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yellow"/>
                      <w:lang w:val="en-US" w:eastAsia="zh-CN"/>
                    </w:rPr>
                  </w:pPr>
                  <w:r>
                    <w:rPr>
                      <w:rFonts w:hint="default" w:ascii="Times New Roman" w:hAnsi="Times New Roman" w:eastAsia="宋体" w:cs="Times New Roman"/>
                      <w:snapToGrid w:val="0"/>
                      <w:kern w:val="0"/>
                      <w:sz w:val="21"/>
                      <w:highlight w:val="none"/>
                      <w:lang w:val="en-US" w:eastAsia="zh-CN"/>
                    </w:rPr>
                    <w:t>井口位于永301井西南部。位于准噶尔盆地中央坳陷昌吉凹陷西段，车-莫古隆起南翼，永301井区东部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井口坐标</w:t>
                  </w:r>
                </w:p>
              </w:tc>
              <w:tc>
                <w:tcPr>
                  <w:tcW w:w="58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设计</w:t>
                  </w:r>
                </w:p>
              </w:tc>
              <w:tc>
                <w:tcPr>
                  <w:tcW w:w="77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X</w:t>
                  </w:r>
                </w:p>
              </w:tc>
              <w:tc>
                <w:tcPr>
                  <w:tcW w:w="2366"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15452352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58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7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Y</w:t>
                  </w:r>
                </w:p>
              </w:tc>
              <w:tc>
                <w:tcPr>
                  <w:tcW w:w="2366"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4945244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地面海拔</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设计</w:t>
                  </w:r>
                </w:p>
              </w:tc>
              <w:tc>
                <w:tcPr>
                  <w:tcW w:w="3140"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376.4m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设计井深</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5766m</w:t>
                  </w:r>
                </w:p>
              </w:tc>
              <w:tc>
                <w:tcPr>
                  <w:tcW w:w="1595"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目的层位</w:t>
                  </w:r>
                </w:p>
              </w:tc>
              <w:tc>
                <w:tcPr>
                  <w:tcW w:w="15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齐古组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yellow"/>
                      <w:lang w:val="en-US" w:eastAsia="zh-CN"/>
                    </w:rPr>
                  </w:pPr>
                </w:p>
              </w:tc>
              <w:tc>
                <w:tcPr>
                  <w:tcW w:w="13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完钻原则</w:t>
                  </w:r>
                </w:p>
              </w:tc>
              <w:tc>
                <w:tcPr>
                  <w:tcW w:w="3140"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井底30m无油气显示定深完钻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yellow"/>
                      <w:lang w:val="en-US" w:eastAsia="zh-CN"/>
                    </w:rPr>
                  </w:pPr>
                </w:p>
              </w:tc>
              <w:tc>
                <w:tcPr>
                  <w:tcW w:w="13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井身结构</w:t>
                  </w:r>
                </w:p>
              </w:tc>
              <w:tc>
                <w:tcPr>
                  <w:tcW w:w="3140"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z w:val="21"/>
                      <w:highlight w:val="none"/>
                      <w:lang w:val="en-US" w:eastAsia="zh-CN"/>
                    </w:rPr>
                  </w:pPr>
                  <w:r>
                    <w:rPr>
                      <w:rFonts w:hint="default" w:ascii="Times New Roman" w:hAnsi="Times New Roman" w:eastAsia="宋体" w:cs="Times New Roman"/>
                      <w:sz w:val="21"/>
                      <w:highlight w:val="none"/>
                      <w:lang w:val="en-US" w:eastAsia="zh-CN"/>
                    </w:rPr>
                    <w:t>三开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spacing w:val="-6"/>
                      <w:sz w:val="21"/>
                      <w:highlight w:val="none"/>
                      <w:lang w:val="en-US" w:eastAsia="zh-CN"/>
                    </w:rPr>
                    <w:t>永进3-斜17井</w:t>
                  </w: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井号</w:t>
                  </w:r>
                </w:p>
              </w:tc>
              <w:tc>
                <w:tcPr>
                  <w:tcW w:w="1899"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spacing w:val="-6"/>
                      <w:sz w:val="21"/>
                      <w:highlight w:val="none"/>
                      <w:lang w:val="en-US" w:eastAsia="zh-CN"/>
                    </w:rPr>
                    <w:t>永进3-斜17井</w:t>
                  </w:r>
                </w:p>
              </w:tc>
              <w:tc>
                <w:tcPr>
                  <w:tcW w:w="73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井型</w:t>
                  </w:r>
                </w:p>
              </w:tc>
              <w:tc>
                <w:tcPr>
                  <w:tcW w:w="108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斜井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地理位置</w:t>
                  </w:r>
                </w:p>
              </w:tc>
              <w:tc>
                <w:tcPr>
                  <w:tcW w:w="3722" w:type="pct"/>
                  <w:gridSpan w:val="6"/>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spacing w:val="-6"/>
                      <w:sz w:val="21"/>
                      <w:highlight w:val="none"/>
                      <w:lang w:val="en-US" w:eastAsia="zh-CN"/>
                    </w:rPr>
                    <w:t>井口位于永301井西南部</w:t>
                  </w:r>
                  <w:r>
                    <w:rPr>
                      <w:rFonts w:hint="default" w:ascii="Times New Roman" w:hAnsi="Times New Roman" w:eastAsia="宋体" w:cs="Times New Roman"/>
                      <w:snapToGrid w:val="0"/>
                      <w:kern w:val="0"/>
                      <w:sz w:val="21"/>
                      <w:highlight w:val="none"/>
                      <w:lang w:val="en-US" w:eastAsia="zh-CN"/>
                    </w:rPr>
                    <w:t>。位于准噶尔盆地中央坳陷昌吉凹陷西段，车-莫古隆起南翼，永301井区东部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井口坐标</w:t>
                  </w:r>
                </w:p>
              </w:tc>
              <w:tc>
                <w:tcPr>
                  <w:tcW w:w="58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设计</w:t>
                  </w:r>
                </w:p>
              </w:tc>
              <w:tc>
                <w:tcPr>
                  <w:tcW w:w="77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X</w:t>
                  </w:r>
                </w:p>
              </w:tc>
              <w:tc>
                <w:tcPr>
                  <w:tcW w:w="2366"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15453838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58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7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Y</w:t>
                  </w:r>
                </w:p>
              </w:tc>
              <w:tc>
                <w:tcPr>
                  <w:tcW w:w="2366"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4946185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地面海拔</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设计</w:t>
                  </w:r>
                </w:p>
              </w:tc>
              <w:tc>
                <w:tcPr>
                  <w:tcW w:w="3140"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376.4m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p>
              </w:tc>
              <w:tc>
                <w:tcPr>
                  <w:tcW w:w="7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设计井深</w:t>
                  </w:r>
                </w:p>
              </w:tc>
              <w:tc>
                <w:tcPr>
                  <w:tcW w:w="5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5766m</w:t>
                  </w:r>
                </w:p>
              </w:tc>
              <w:tc>
                <w:tcPr>
                  <w:tcW w:w="1595"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目的层位</w:t>
                  </w:r>
                </w:p>
              </w:tc>
              <w:tc>
                <w:tcPr>
                  <w:tcW w:w="15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齐古组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yellow"/>
                      <w:lang w:val="en-US" w:eastAsia="zh-CN"/>
                    </w:rPr>
                  </w:pPr>
                </w:p>
              </w:tc>
              <w:tc>
                <w:tcPr>
                  <w:tcW w:w="13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完钻原则</w:t>
                  </w:r>
                </w:p>
              </w:tc>
              <w:tc>
                <w:tcPr>
                  <w:tcW w:w="3140"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z w:val="21"/>
                      <w:highlight w:val="none"/>
                      <w:lang w:val="en-US" w:eastAsia="zh-CN"/>
                    </w:rPr>
                    <w:t>井底30m无油气显示定深完钻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5"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yellow"/>
                      <w:lang w:val="en-US" w:eastAsia="zh-CN"/>
                    </w:rPr>
                  </w:pPr>
                </w:p>
              </w:tc>
              <w:tc>
                <w:tcPr>
                  <w:tcW w:w="1344"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napToGrid w:val="0"/>
                      <w:kern w:val="0"/>
                      <w:sz w:val="21"/>
                      <w:highlight w:val="none"/>
                      <w:lang w:val="en-US" w:eastAsia="zh-CN"/>
                    </w:rPr>
                  </w:pPr>
                  <w:r>
                    <w:rPr>
                      <w:rFonts w:hint="default" w:ascii="Times New Roman" w:hAnsi="Times New Roman" w:eastAsia="宋体" w:cs="Times New Roman"/>
                      <w:snapToGrid w:val="0"/>
                      <w:kern w:val="0"/>
                      <w:sz w:val="21"/>
                      <w:highlight w:val="none"/>
                      <w:lang w:val="en-US" w:eastAsia="zh-CN"/>
                    </w:rPr>
                    <w:t>井身结构</w:t>
                  </w:r>
                </w:p>
              </w:tc>
              <w:tc>
                <w:tcPr>
                  <w:tcW w:w="3140" w:type="pct"/>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exact"/>
                    <w:ind w:left="0" w:right="0"/>
                    <w:jc w:val="center"/>
                    <w:rPr>
                      <w:rFonts w:hint="default" w:ascii="Times New Roman" w:hAnsi="Times New Roman" w:eastAsia="宋体" w:cs="Times New Roman"/>
                      <w:sz w:val="21"/>
                      <w:highlight w:val="none"/>
                      <w:lang w:val="en-US" w:eastAsia="zh-CN"/>
                    </w:rPr>
                  </w:pPr>
                  <w:r>
                    <w:rPr>
                      <w:rFonts w:hint="default" w:ascii="Times New Roman" w:hAnsi="Times New Roman" w:eastAsia="宋体" w:cs="Times New Roman"/>
                      <w:sz w:val="21"/>
                      <w:highlight w:val="none"/>
                      <w:lang w:val="en-US" w:eastAsia="zh-CN"/>
                    </w:rPr>
                    <w:t>三开</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58" w:firstLineChars="266"/>
              <w:jc w:val="both"/>
              <w:textAlignment w:val="auto"/>
              <w:rPr>
                <w:rFonts w:hint="eastAsia" w:ascii="Times New Roman" w:hAnsi="Times New Roman" w:eastAsia="宋体" w:cs="Times New Roman"/>
                <w:b w:val="0"/>
                <w:bCs w:val="0"/>
                <w:sz w:val="21"/>
                <w:szCs w:val="21"/>
                <w:highlight w:val="yellow"/>
                <w:lang w:val="en-US" w:eastAsia="zh-CN"/>
              </w:rPr>
            </w:pPr>
            <w:r>
              <w:rPr>
                <w:rFonts w:hint="eastAsia" w:ascii="Times New Roman" w:hAnsi="Times New Roman" w:eastAsia="宋体" w:cs="Times New Roman"/>
                <w:b w:val="0"/>
                <w:bCs w:val="0"/>
                <w:sz w:val="21"/>
                <w:szCs w:val="21"/>
                <w:highlight w:val="none"/>
                <w:lang w:val="en-US" w:eastAsia="zh-CN"/>
              </w:rPr>
              <w:t>本项目组成包括主体工程（钻前工程、钻井工程、试油、钻后工程等）、辅助公用工程（供电、供水等）、环保工程（放喷池、钻井废弃物不落地处理系统等），办公及生活设施（全部为活动房），以及仓储工程（泥浆储备罐等）等。完钻后进行试油，获取有关技术参数。本项目组成内容见表2.2。</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黑体" w:hAnsi="黑体" w:eastAsia="黑体" w:cs="黑体"/>
                <w:kern w:val="0"/>
                <w:sz w:val="20"/>
                <w:szCs w:val="20"/>
                <w:highlight w:val="none"/>
                <w:lang w:val="en-US" w:eastAsia="zh-CN"/>
              </w:rPr>
            </w:pPr>
            <w:r>
              <w:rPr>
                <w:rFonts w:hint="eastAsia" w:ascii="黑体" w:hAnsi="黑体" w:eastAsia="黑体" w:cs="黑体"/>
                <w:kern w:val="0"/>
                <w:sz w:val="21"/>
                <w:szCs w:val="21"/>
                <w:highlight w:val="none"/>
                <w:lang w:val="en-US" w:eastAsia="zh-CN"/>
              </w:rPr>
              <w:t>表2.2本项目组成一览表</w:t>
            </w:r>
          </w:p>
          <w:tbl>
            <w:tblPr>
              <w:tblStyle w:val="20"/>
              <w:tblW w:w="48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994"/>
              <w:gridCol w:w="5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r>
                    <w:rPr>
                      <w:rFonts w:hint="default" w:ascii="Times New Roman" w:hAnsi="Times New Roman" w:eastAsia="宋体" w:cs="Times New Roman"/>
                      <w:sz w:val="21"/>
                    </w:rPr>
                    <w:t>名称</w:t>
                  </w:r>
                </w:p>
              </w:tc>
              <w:tc>
                <w:tcPr>
                  <w:tcW w:w="4636" w:type="pct"/>
                  <w:gridSpan w:val="2"/>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r>
                    <w:rPr>
                      <w:rFonts w:hint="default" w:ascii="Times New Roman" w:hAnsi="Times New Roman" w:eastAsia="宋体" w:cs="Times New Roman"/>
                      <w:sz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r>
                    <w:rPr>
                      <w:rFonts w:hint="default" w:ascii="Times New Roman" w:hAnsi="Times New Roman" w:eastAsia="宋体" w:cs="Times New Roman"/>
                      <w:sz w:val="21"/>
                    </w:rPr>
                    <w:t>主体</w:t>
                  </w:r>
                </w:p>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r>
                    <w:rPr>
                      <w:rFonts w:hint="default" w:ascii="Times New Roman" w:hAnsi="Times New Roman" w:eastAsia="宋体" w:cs="Times New Roman"/>
                      <w:sz w:val="21"/>
                    </w:rPr>
                    <w:t>工程</w:t>
                  </w: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r>
                    <w:rPr>
                      <w:rFonts w:hint="default" w:ascii="Times New Roman" w:hAnsi="Times New Roman" w:eastAsia="宋体" w:cs="Times New Roman"/>
                      <w:sz w:val="21"/>
                    </w:rPr>
                    <w:t>钻前工程</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jc w:val="left"/>
                    <w:rPr>
                      <w:rFonts w:hint="default" w:ascii="Times New Roman" w:hAnsi="Times New Roman" w:eastAsia="宋体" w:cs="Times New Roman"/>
                      <w:sz w:val="21"/>
                    </w:rPr>
                  </w:pPr>
                  <w:r>
                    <w:rPr>
                      <w:rFonts w:hint="default" w:ascii="Times New Roman" w:hAnsi="Times New Roman" w:eastAsia="宋体" w:cs="Times New Roman"/>
                      <w:sz w:val="21"/>
                    </w:rPr>
                    <w:t>钻井前准备工作，包括进场道路建设、井场平整、设备基础修建等，主要工程量详见表</w:t>
                  </w:r>
                  <w:r>
                    <w:rPr>
                      <w:rFonts w:hint="eastAsia" w:ascii="Times New Roman" w:hAnsi="Times New Roman" w:eastAsia="宋体" w:cs="Times New Roman"/>
                      <w:sz w:val="21"/>
                      <w:lang w:val="en-US" w:eastAsia="zh-CN"/>
                    </w:rPr>
                    <w:t>2.</w:t>
                  </w:r>
                  <w:r>
                    <w:rPr>
                      <w:rFonts w:hint="default" w:ascii="Times New Roman" w:hAnsi="Times New Roman" w:eastAsia="宋体" w:cs="Times New Roman"/>
                      <w:sz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rPr>
                      <w:rFonts w:hint="eastAsia" w:ascii="Times New Roman" w:hAnsi="Times New Roman" w:eastAsia="宋体" w:cs="Times New Roman"/>
                      <w:sz w:val="21"/>
                      <w:lang w:val="en-US" w:eastAsia="zh-CN"/>
                    </w:rPr>
                  </w:pPr>
                  <w:r>
                    <w:rPr>
                      <w:rFonts w:hint="default" w:ascii="Times New Roman" w:hAnsi="Times New Roman" w:eastAsia="宋体" w:cs="Times New Roman"/>
                      <w:sz w:val="21"/>
                    </w:rPr>
                    <w:t>钻井</w:t>
                  </w:r>
                  <w:r>
                    <w:rPr>
                      <w:rFonts w:hint="eastAsia" w:ascii="Times New Roman" w:cs="Times New Roman"/>
                      <w:sz w:val="21"/>
                      <w:lang w:val="en-US" w:eastAsia="zh-CN"/>
                    </w:rPr>
                    <w:t>工程</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jc w:val="left"/>
                    <w:rPr>
                      <w:rFonts w:hint="default" w:ascii="Times New Roman" w:hAnsi="Times New Roman" w:eastAsia="宋体" w:cs="Times New Roman"/>
                      <w:sz w:val="21"/>
                    </w:rPr>
                  </w:pPr>
                  <w:r>
                    <w:rPr>
                      <w:rFonts w:hint="default" w:ascii="Times New Roman" w:hAnsi="Times New Roman" w:eastAsia="宋体" w:cs="Times New Roman"/>
                      <w:sz w:val="21"/>
                    </w:rPr>
                    <w:t>设备安装，并进行钻井活动。采用7000m钻机，钻达设计井深后完井。</w:t>
                  </w:r>
                  <w:r>
                    <w:rPr>
                      <w:rFonts w:hint="default" w:ascii="Times New Roman" w:hAnsi="Times New Roman" w:eastAsia="宋体" w:cs="Times New Roman"/>
                      <w:snapToGrid w:val="0"/>
                      <w:kern w:val="0"/>
                      <w:sz w:val="21"/>
                    </w:rPr>
                    <w:t>单井临时占地面积14300m</w:t>
                  </w:r>
                  <w:r>
                    <w:rPr>
                      <w:rFonts w:hint="default" w:ascii="Times New Roman" w:hAnsi="Times New Roman" w:eastAsia="宋体" w:cs="Times New Roman"/>
                      <w:snapToGrid w:val="0"/>
                      <w:kern w:val="0"/>
                      <w:sz w:val="21"/>
                      <w:vertAlign w:val="superscript"/>
                    </w:rPr>
                    <w:t>2</w:t>
                  </w:r>
                  <w:r>
                    <w:rPr>
                      <w:rFonts w:hint="default" w:ascii="Times New Roman" w:hAnsi="Times New Roman" w:eastAsia="宋体" w:cs="Times New Roman"/>
                      <w:snapToGrid w:val="0"/>
                      <w:kern w:val="0"/>
                      <w:sz w:val="21"/>
                    </w:rPr>
                    <w:t>（110m×130m）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r>
                    <w:rPr>
                      <w:rFonts w:hint="default" w:ascii="Times New Roman" w:hAnsi="Times New Roman" w:eastAsia="宋体" w:cs="Times New Roman"/>
                      <w:sz w:val="21"/>
                    </w:rPr>
                    <w:t>油气测试及完井</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jc w:val="left"/>
                    <w:rPr>
                      <w:rFonts w:hint="default" w:ascii="Times New Roman" w:hAnsi="Times New Roman" w:eastAsia="宋体" w:cs="Times New Roman"/>
                      <w:sz w:val="21"/>
                    </w:rPr>
                  </w:pPr>
                  <w:r>
                    <w:rPr>
                      <w:rFonts w:hint="default" w:ascii="Times New Roman" w:hAnsi="Times New Roman" w:eastAsia="宋体" w:cs="Times New Roman"/>
                      <w:sz w:val="21"/>
                    </w:rPr>
                    <w:t>钻至目的层后，对该井油气产能情况进行测试；测试完后进行设备搬迁以及钻井产生“三废“的无害化处理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r>
                    <w:rPr>
                      <w:rFonts w:hint="default" w:ascii="Times New Roman" w:hAnsi="Times New Roman" w:eastAsia="宋体" w:cs="Times New Roman"/>
                      <w:sz w:val="21"/>
                    </w:rPr>
                    <w:t>辅助公用工程</w:t>
                  </w: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道路工程</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left"/>
                    <w:textAlignment w:val="auto"/>
                    <w:rPr>
                      <w:rFonts w:hint="default" w:ascii="Times New Roman" w:hAnsi="Times New Roman" w:eastAsia="宋体" w:cs="Times New Roman"/>
                      <w:sz w:val="21"/>
                    </w:rPr>
                  </w:pPr>
                  <w:r>
                    <w:rPr>
                      <w:rFonts w:hint="default" w:ascii="Times New Roman" w:hAnsi="Times New Roman" w:eastAsia="宋体" w:cs="Times New Roman"/>
                      <w:sz w:val="21"/>
                    </w:rPr>
                    <w:t>修临时进场道路</w:t>
                  </w:r>
                  <w:r>
                    <w:rPr>
                      <w:rFonts w:hint="eastAsia" w:ascii="Times New Roman" w:hAnsi="Times New Roman" w:eastAsia="宋体" w:cs="Times New Roman"/>
                      <w:sz w:val="21"/>
                      <w:lang w:eastAsia="zh-CN"/>
                    </w:rPr>
                    <w:t>，</w:t>
                  </w:r>
                  <w:r>
                    <w:rPr>
                      <w:rFonts w:hint="default" w:ascii="Times New Roman" w:hAnsi="Times New Roman" w:eastAsia="宋体" w:cs="Times New Roman"/>
                      <w:sz w:val="21"/>
                    </w:rPr>
                    <w:t>路基7m</w:t>
                  </w:r>
                  <w:r>
                    <w:rPr>
                      <w:rFonts w:hint="eastAsia" w:ascii="Times New Roman" w:hAnsi="Times New Roman" w:eastAsia="宋体" w:cs="Times New Roman"/>
                      <w:sz w:val="21"/>
                      <w:lang w:eastAsia="zh-CN"/>
                    </w:rPr>
                    <w:t>，</w:t>
                  </w:r>
                  <w:r>
                    <w:rPr>
                      <w:rFonts w:hint="default" w:ascii="Times New Roman" w:hAnsi="Times New Roman" w:eastAsia="宋体" w:cs="Times New Roman"/>
                      <w:sz w:val="21"/>
                    </w:rPr>
                    <w:t>为戈壁石路面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生活营地</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rPr>
                    <w:t>在各个井场外设1个生活营地，规格为55×60m</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w:t>
                  </w:r>
                  <w:r>
                    <w:rPr>
                      <w:rFonts w:hint="default" w:ascii="Times New Roman" w:hAnsi="Times New Roman" w:eastAsia="宋体" w:cs="Times New Roman"/>
                      <w:snapToGrid w:val="0"/>
                      <w:kern w:val="0"/>
                      <w:sz w:val="21"/>
                    </w:rPr>
                    <w:t>单座临时占地为3300m</w:t>
                  </w:r>
                  <w:r>
                    <w:rPr>
                      <w:rFonts w:hint="default" w:ascii="Times New Roman" w:hAnsi="Times New Roman" w:eastAsia="宋体" w:cs="Times New Roman"/>
                      <w:snapToGrid w:val="0"/>
                      <w:kern w:val="0"/>
                      <w:sz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napToGrid w:val="0"/>
                      <w:kern w:val="0"/>
                      <w:sz w:val="21"/>
                    </w:rPr>
                    <w:t>岩屑暂存</w:t>
                  </w:r>
                  <w:r>
                    <w:rPr>
                      <w:rFonts w:hint="default" w:ascii="Times New Roman" w:hAnsi="Times New Roman" w:eastAsia="宋体" w:cs="Times New Roman"/>
                      <w:sz w:val="21"/>
                    </w:rPr>
                    <w:t>点</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jc w:val="left"/>
                    <w:rPr>
                      <w:rFonts w:hint="eastAsia" w:ascii="Times New Roman" w:hAnsi="Times New Roman" w:eastAsia="宋体" w:cs="Times New Roman"/>
                      <w:sz w:val="21"/>
                      <w:lang w:eastAsia="zh-CN"/>
                    </w:rPr>
                  </w:pPr>
                  <w:r>
                    <w:rPr>
                      <w:rFonts w:hint="default" w:ascii="Times New Roman" w:hAnsi="Times New Roman" w:eastAsia="宋体" w:cs="Times New Roman"/>
                      <w:sz w:val="21"/>
                    </w:rPr>
                    <w:t>在各个井场</w:t>
                  </w:r>
                  <w:r>
                    <w:rPr>
                      <w:rFonts w:hint="eastAsia" w:ascii="Times New Roman" w:cs="Times New Roman"/>
                      <w:sz w:val="21"/>
                      <w:lang w:val="en-US" w:eastAsia="zh-CN"/>
                    </w:rPr>
                    <w:t>临时占地范围内井口右侧设</w:t>
                  </w:r>
                  <w:r>
                    <w:rPr>
                      <w:rFonts w:hint="default" w:ascii="Times New Roman" w:hAnsi="Times New Roman" w:eastAsia="宋体" w:cs="Times New Roman"/>
                      <w:sz w:val="21"/>
                    </w:rPr>
                    <w:t>岩屑暂存</w:t>
                  </w:r>
                  <w:r>
                    <w:rPr>
                      <w:rFonts w:hint="eastAsia" w:ascii="Times New Roman" w:cs="Times New Roman"/>
                      <w:sz w:val="21"/>
                      <w:lang w:val="en-US" w:eastAsia="zh-CN"/>
                    </w:rPr>
                    <w:t>点</w:t>
                  </w:r>
                  <w:r>
                    <w:rPr>
                      <w:rFonts w:hint="default" w:ascii="Times New Roman" w:hAnsi="Times New Roman" w:eastAsia="宋体" w:cs="Times New Roman"/>
                      <w:sz w:val="21"/>
                    </w:rPr>
                    <w:t>，推平压实，下铺防渗膜做防渗处理</w:t>
                  </w:r>
                  <w:r>
                    <w:rPr>
                      <w:rFonts w:hint="eastAsia" w:ascii="Times New Roman" w:cs="Times New Roman"/>
                      <w:sz w:val="21"/>
                      <w:lang w:eastAsia="zh-CN"/>
                    </w:rPr>
                    <w:t>，防渗性能应满足等效黏土防渗层Mb≥1.5m，K≤1×10</w:t>
                  </w:r>
                  <w:r>
                    <w:rPr>
                      <w:rFonts w:hint="eastAsia" w:ascii="Times New Roman" w:cs="Times New Roman"/>
                      <w:sz w:val="21"/>
                      <w:vertAlign w:val="superscript"/>
                      <w:lang w:eastAsia="zh-CN"/>
                    </w:rPr>
                    <w:t>-7</w:t>
                  </w:r>
                  <w:r>
                    <w:rPr>
                      <w:rFonts w:hint="eastAsia" w:ascii="Times New Roman" w:cs="Times New Roman"/>
                      <w:sz w:val="21"/>
                      <w:lang w:eastAsia="zh-CN"/>
                    </w:rPr>
                    <w:t>cm/s的防渗要求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0" w:leftChars="0" w:right="0" w:rightChars="0" w:firstLine="0" w:firstLineChars="0"/>
                    <w:jc w:val="center"/>
                    <w:rPr>
                      <w:rFonts w:hint="default" w:ascii="Times New Roman" w:hAnsi="Times New Roman" w:eastAsia="宋体" w:cs="Times New Roman"/>
                      <w:snapToGrid w:val="0"/>
                      <w:kern w:val="0"/>
                      <w:sz w:val="21"/>
                    </w:rPr>
                  </w:pPr>
                  <w:r>
                    <w:rPr>
                      <w:rFonts w:hint="default" w:ascii="Times New Roman" w:hAnsi="Times New Roman" w:eastAsia="宋体" w:cs="Times New Roman"/>
                      <w:snapToGrid w:val="0"/>
                      <w:kern w:val="0"/>
                      <w:sz w:val="21"/>
                    </w:rPr>
                    <w:t>危废临时贮存间</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jc w:val="both"/>
                    <w:rPr>
                      <w:rFonts w:hint="default" w:ascii="Times New Roman" w:hAnsi="Times New Roman" w:eastAsia="宋体" w:cs="Times New Roman"/>
                      <w:sz w:val="21"/>
                      <w:lang w:val="en-US" w:eastAsia="zh-CN"/>
                    </w:rPr>
                  </w:pPr>
                  <w:r>
                    <w:rPr>
                      <w:rFonts w:hint="eastAsia" w:ascii="Times New Roman" w:cs="Times New Roman"/>
                      <w:sz w:val="21"/>
                      <w:lang w:val="en-US" w:eastAsia="zh-CN"/>
                    </w:rPr>
                    <w:t>本项目涉及油基泥浆（危废编号为HW08，废物代码为071-001-08），</w:t>
                  </w:r>
                  <w:r>
                    <w:rPr>
                      <w:rFonts w:hint="default" w:ascii="Times New Roman" w:hAnsi="Times New Roman" w:eastAsia="宋体" w:cs="Times New Roman"/>
                      <w:sz w:val="21"/>
                    </w:rPr>
                    <w:t>按照《危险废物贮存污染控制标准》（GB18597-2001）及其修改单等的相关要求设置的1座危险废物临时贮存间</w:t>
                  </w:r>
                  <w:r>
                    <w:rPr>
                      <w:rFonts w:hint="eastAsia" w:ascii="Times New Roman" w:cs="Times New Roman"/>
                      <w:sz w:val="21"/>
                      <w:lang w:eastAsia="zh-CN"/>
                    </w:rPr>
                    <w:t>，</w:t>
                  </w:r>
                  <w:r>
                    <w:rPr>
                      <w:rFonts w:hint="eastAsia" w:ascii="Times New Roman" w:cs="Times New Roman"/>
                      <w:sz w:val="21"/>
                      <w:lang w:val="en-US" w:eastAsia="zh-CN"/>
                    </w:rPr>
                    <w:t>位于不落地系统旁，采用防渗处理，防渗性能按重点防渗区执行，应满足等效黏土防渗层Mb≥6.0m，K≤10</w:t>
                  </w:r>
                  <w:r>
                    <w:rPr>
                      <w:rFonts w:hint="eastAsia" w:ascii="Times New Roman" w:cs="Times New Roman"/>
                      <w:sz w:val="21"/>
                      <w:vertAlign w:val="superscript"/>
                      <w:lang w:val="en-US" w:eastAsia="zh-CN"/>
                    </w:rPr>
                    <w:t>-7</w:t>
                  </w:r>
                  <w:r>
                    <w:rPr>
                      <w:rFonts w:hint="eastAsia" w:ascii="Times New Roman" w:cs="Times New Roman"/>
                      <w:sz w:val="21"/>
                      <w:lang w:val="en-US" w:eastAsia="zh-CN"/>
                    </w:rPr>
                    <w:t>cm/s，或2mm厚高密度聚乙烯，或至少2mm厚的其他人工材料(渗透系数≤10</w:t>
                  </w:r>
                  <w:r>
                    <w:rPr>
                      <w:rFonts w:hint="eastAsia" w:ascii="Times New Roman" w:cs="Times New Roman"/>
                      <w:sz w:val="21"/>
                      <w:vertAlign w:val="superscript"/>
                      <w:lang w:val="en-US" w:eastAsia="zh-CN"/>
                    </w:rPr>
                    <w:t>-10</w:t>
                  </w:r>
                  <w:r>
                    <w:rPr>
                      <w:rFonts w:hint="eastAsia" w:ascii="Times New Roman" w:cs="Times New Roman"/>
                      <w:sz w:val="21"/>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r>
                    <w:rPr>
                      <w:rFonts w:hint="default" w:ascii="Times New Roman" w:hAnsi="Times New Roman" w:eastAsia="宋体" w:cs="Times New Roman"/>
                      <w:sz w:val="21"/>
                    </w:rPr>
                    <w:t>供电工程</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jc w:val="left"/>
                    <w:rPr>
                      <w:rFonts w:hint="default" w:ascii="Times New Roman" w:hAnsi="Times New Roman" w:eastAsia="宋体" w:cs="Times New Roman"/>
                      <w:sz w:val="21"/>
                    </w:rPr>
                  </w:pPr>
                  <w:r>
                    <w:rPr>
                      <w:rFonts w:hint="default" w:ascii="Times New Roman" w:hAnsi="Times New Roman" w:eastAsia="宋体" w:cs="Times New Roman"/>
                      <w:sz w:val="21"/>
                    </w:rPr>
                    <w:t>钻机、生活等通过柴油发电机供电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r>
                    <w:rPr>
                      <w:rFonts w:hint="default" w:ascii="Times New Roman" w:hAnsi="Times New Roman" w:eastAsia="宋体" w:cs="Times New Roman"/>
                      <w:sz w:val="21"/>
                    </w:rPr>
                    <w:t>供热工程</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jc w:val="left"/>
                    <w:rPr>
                      <w:rFonts w:hint="default" w:ascii="Times New Roman" w:hAnsi="Times New Roman" w:eastAsia="宋体" w:cs="Times New Roman"/>
                      <w:sz w:val="21"/>
                    </w:rPr>
                  </w:pPr>
                  <w:r>
                    <w:rPr>
                      <w:rFonts w:hint="default" w:ascii="Times New Roman" w:hAnsi="Times New Roman" w:eastAsia="宋体" w:cs="Times New Roman"/>
                      <w:sz w:val="21"/>
                    </w:rPr>
                    <w:t>试油设备伴热为电伴热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给水工程</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left"/>
                    <w:rPr>
                      <w:rFonts w:hint="default" w:ascii="Times New Roman" w:hAnsi="Times New Roman" w:eastAsia="宋体" w:cs="Times New Roman"/>
                      <w:sz w:val="21"/>
                    </w:rPr>
                  </w:pPr>
                  <w:r>
                    <w:rPr>
                      <w:rFonts w:hint="default" w:ascii="Times New Roman" w:hAnsi="Times New Roman" w:eastAsia="宋体" w:cs="Times New Roman"/>
                      <w:sz w:val="21"/>
                    </w:rPr>
                    <w:t>从附近村庄拉运解决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储存工程</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sz w:val="21"/>
                    </w:rPr>
                  </w:pPr>
                  <w:r>
                    <w:rPr>
                      <w:rFonts w:hint="default" w:ascii="Times New Roman" w:hAnsi="Times New Roman" w:eastAsia="宋体" w:cs="Times New Roman"/>
                      <w:sz w:val="21"/>
                    </w:rPr>
                    <w:t>井场油罐区放置柴油罐，用于柴油机发电，柴油罐容积为20m</w:t>
                  </w:r>
                  <w:r>
                    <w:rPr>
                      <w:rFonts w:hint="default" w:ascii="Times New Roman" w:hAnsi="Times New Roman" w:eastAsia="宋体" w:cs="Times New Roman"/>
                      <w:sz w:val="21"/>
                      <w:vertAlign w:val="superscript"/>
                    </w:rPr>
                    <w:t>3</w:t>
                  </w:r>
                  <w:r>
                    <w:rPr>
                      <w:rFonts w:hint="eastAsia" w:cs="Times New Roman"/>
                      <w:sz w:val="21"/>
                      <w:lang w:val="en-US" w:eastAsia="zh-CN"/>
                    </w:rPr>
                    <w:t>~</w:t>
                  </w:r>
                  <w:r>
                    <w:rPr>
                      <w:rFonts w:hint="default" w:ascii="Times New Roman" w:hAnsi="Times New Roman" w:eastAsia="宋体" w:cs="Times New Roman"/>
                      <w:sz w:val="21"/>
                    </w:rPr>
                    <w:t>25m</w:t>
                  </w:r>
                  <w:r>
                    <w:rPr>
                      <w:rFonts w:hint="default" w:ascii="Times New Roman" w:hAnsi="Times New Roman" w:eastAsia="宋体" w:cs="Times New Roman"/>
                      <w:sz w:val="21"/>
                      <w:vertAlign w:val="superscript"/>
                    </w:rPr>
                    <w:t>3</w:t>
                  </w:r>
                  <w:r>
                    <w:rPr>
                      <w:rFonts w:hint="default" w:ascii="Times New Roman" w:hAnsi="Times New Roman" w:eastAsia="宋体" w:cs="Times New Roman"/>
                      <w:sz w:val="21"/>
                    </w:rPr>
                    <w:t>，井场内最大存储量90t，通过从就近油厂拉运到井场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r>
                    <w:rPr>
                      <w:rFonts w:hint="default" w:ascii="Times New Roman" w:hAnsi="Times New Roman" w:eastAsia="宋体" w:cs="Times New Roman"/>
                      <w:sz w:val="21"/>
                    </w:rPr>
                    <w:t>环保</w:t>
                  </w:r>
                </w:p>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r>
                    <w:rPr>
                      <w:rFonts w:hint="default" w:ascii="Times New Roman" w:hAnsi="Times New Roman" w:eastAsia="宋体" w:cs="Times New Roman"/>
                      <w:sz w:val="21"/>
                    </w:rPr>
                    <w:t>工程</w:t>
                  </w: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r>
                    <w:rPr>
                      <w:rFonts w:hint="default" w:ascii="Times New Roman" w:hAnsi="Times New Roman" w:eastAsia="宋体" w:cs="Times New Roman"/>
                      <w:sz w:val="21"/>
                    </w:rPr>
                    <w:t>放喷池、放喷管线</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jc w:val="left"/>
                    <w:rPr>
                      <w:rFonts w:hint="default" w:ascii="Times New Roman" w:hAnsi="Times New Roman" w:eastAsia="宋体" w:cs="Times New Roman"/>
                      <w:sz w:val="21"/>
                    </w:rPr>
                  </w:pPr>
                  <w:r>
                    <w:rPr>
                      <w:rFonts w:hint="default" w:ascii="Times New Roman" w:hAnsi="Times New Roman" w:eastAsia="宋体" w:cs="Times New Roman"/>
                      <w:sz w:val="21"/>
                    </w:rPr>
                    <w:t>各个井场外设两个200m</w:t>
                  </w:r>
                  <w:r>
                    <w:rPr>
                      <w:rFonts w:hint="default" w:ascii="Times New Roman" w:hAnsi="Times New Roman" w:eastAsia="宋体" w:cs="Times New Roman"/>
                      <w:sz w:val="21"/>
                      <w:vertAlign w:val="superscript"/>
                    </w:rPr>
                    <w:t>3</w:t>
                  </w:r>
                  <w:r>
                    <w:rPr>
                      <w:rFonts w:hint="default" w:ascii="Times New Roman" w:hAnsi="Times New Roman" w:eastAsia="宋体" w:cs="Times New Roman"/>
                      <w:sz w:val="21"/>
                    </w:rPr>
                    <w:t>放喷池</w:t>
                  </w:r>
                  <w:r>
                    <w:rPr>
                      <w:rFonts w:hint="eastAsia" w:ascii="Times New Roman" w:cs="Times New Roman"/>
                      <w:sz w:val="21"/>
                      <w:lang w:eastAsia="zh-CN"/>
                    </w:rPr>
                    <w:t>，用HDPE.0.75mm厚防渗膜做防渗处理，防渗性能按重点防渗区执行</w:t>
                  </w:r>
                  <w:r>
                    <w:rPr>
                      <w:rFonts w:hint="default" w:ascii="Times New Roman" w:hAnsi="Times New Roman" w:eastAsia="宋体" w:cs="Times New Roman"/>
                      <w:sz w:val="21"/>
                    </w:rPr>
                    <w:t>，放喷管线各75m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应急池</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jc w:val="left"/>
                    <w:rPr>
                      <w:rFonts w:hint="eastAsia" w:ascii="Times New Roman" w:hAnsi="Times New Roman" w:eastAsia="宋体" w:cs="Times New Roman"/>
                      <w:sz w:val="21"/>
                      <w:lang w:eastAsia="zh-CN"/>
                    </w:rPr>
                  </w:pPr>
                  <w:r>
                    <w:rPr>
                      <w:rFonts w:hint="default" w:ascii="Times New Roman" w:hAnsi="Times New Roman" w:eastAsia="宋体" w:cs="Times New Roman"/>
                      <w:sz w:val="21"/>
                    </w:rPr>
                    <w:t>每个井场范围内设应急池一个，长度25m，宽度10m，深度4m，铺设HDPE.0.75mm厚防渗膜，防渗性能按重点防渗区执行</w:t>
                  </w:r>
                  <w:r>
                    <w:rPr>
                      <w:rFonts w:hint="eastAsia" w:ascii="Times New Roman" w:cs="Times New Roman"/>
                      <w:sz w:val="21"/>
                      <w:lang w:eastAsia="zh-CN"/>
                    </w:rPr>
                    <w:t>，</w:t>
                  </w:r>
                  <w:r>
                    <w:rPr>
                      <w:rFonts w:hint="default" w:ascii="Times New Roman" w:hAnsi="Times New Roman" w:eastAsia="宋体" w:cs="Times New Roman"/>
                      <w:sz w:val="21"/>
                    </w:rPr>
                    <w:t>应急使用</w:t>
                  </w:r>
                  <w:r>
                    <w:rPr>
                      <w:rFonts w:hint="eastAsia" w:ascii="Times New Roman" w:cs="Times New Roman"/>
                      <w:sz w:val="21"/>
                      <w:lang w:eastAsia="zh-CN"/>
                    </w:rPr>
                    <w:t>，应满足</w:t>
                  </w:r>
                  <w:r>
                    <w:rPr>
                      <w:rFonts w:hint="eastAsia" w:ascii="Times New Roman" w:cs="Times New Roman"/>
                      <w:sz w:val="21"/>
                      <w:lang w:val="en-US" w:eastAsia="zh-CN"/>
                    </w:rPr>
                    <w:t>等效黏土防渗层Mb≥6.0m，K≤10</w:t>
                  </w:r>
                  <w:r>
                    <w:rPr>
                      <w:rFonts w:hint="eastAsia" w:ascii="Times New Roman" w:cs="Times New Roman"/>
                      <w:sz w:val="21"/>
                      <w:vertAlign w:val="superscript"/>
                      <w:lang w:val="en-US" w:eastAsia="zh-CN"/>
                    </w:rPr>
                    <w:t>-7</w:t>
                  </w:r>
                  <w:r>
                    <w:rPr>
                      <w:rFonts w:hint="eastAsia" w:ascii="Times New Roman" w:cs="Times New Roman"/>
                      <w:sz w:val="21"/>
                      <w:lang w:val="en-US" w:eastAsia="zh-CN"/>
                    </w:rPr>
                    <w:t>cm/s，或2mm厚高密度聚乙烯，或至少2mm厚的其他人工材料(渗透系数≤10</w:t>
                  </w:r>
                  <w:r>
                    <w:rPr>
                      <w:rFonts w:hint="eastAsia" w:ascii="Times New Roman" w:cs="Times New Roman"/>
                      <w:sz w:val="21"/>
                      <w:vertAlign w:val="superscript"/>
                      <w:lang w:val="en-US" w:eastAsia="zh-CN"/>
                    </w:rPr>
                    <w:t>-10</w:t>
                  </w:r>
                  <w:r>
                    <w:rPr>
                      <w:rFonts w:hint="eastAsia" w:ascii="Times New Roman" w:cs="Times New Roman"/>
                      <w:sz w:val="21"/>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0" w:leftChars="0" w:right="0" w:rightChars="0" w:firstLine="0" w:firstLineChars="0"/>
                    <w:jc w:val="center"/>
                    <w:rPr>
                      <w:rFonts w:hint="default" w:ascii="Times New Roman" w:hAnsi="Times New Roman" w:eastAsia="宋体" w:cs="Times New Roman"/>
                      <w:sz w:val="21"/>
                    </w:rPr>
                  </w:pPr>
                  <w:r>
                    <w:rPr>
                      <w:rFonts w:hint="eastAsia" w:ascii="Times New Roman" w:cs="Times New Roman"/>
                      <w:sz w:val="21"/>
                      <w:lang w:val="en-US" w:eastAsia="zh-CN"/>
                    </w:rPr>
                    <w:t>生活</w:t>
                  </w:r>
                  <w:r>
                    <w:rPr>
                      <w:rFonts w:hint="default" w:ascii="Times New Roman" w:hAnsi="Times New Roman" w:eastAsia="宋体" w:cs="Times New Roman"/>
                      <w:sz w:val="21"/>
                    </w:rPr>
                    <w:t>垃圾</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jc w:val="left"/>
                    <w:rPr>
                      <w:rFonts w:hint="eastAsia" w:ascii="Times New Roman" w:hAnsi="Times New Roman" w:eastAsia="宋体" w:cs="Times New Roman"/>
                      <w:sz w:val="21"/>
                      <w:lang w:eastAsia="zh-CN"/>
                    </w:rPr>
                  </w:pPr>
                  <w:r>
                    <w:rPr>
                      <w:rFonts w:hint="default" w:ascii="Times New Roman" w:hAnsi="Times New Roman" w:eastAsia="宋体" w:cs="Times New Roman"/>
                      <w:sz w:val="21"/>
                    </w:rPr>
                    <w:t>生活营地设1个100m</w:t>
                  </w:r>
                  <w:r>
                    <w:rPr>
                      <w:rFonts w:hint="default" w:ascii="Times New Roman" w:hAnsi="Times New Roman" w:eastAsia="宋体" w:cs="Times New Roman"/>
                      <w:sz w:val="21"/>
                      <w:vertAlign w:val="superscript"/>
                    </w:rPr>
                    <w:t>3</w:t>
                  </w:r>
                  <w:r>
                    <w:rPr>
                      <w:rFonts w:hint="default" w:ascii="Times New Roman" w:hAnsi="Times New Roman" w:eastAsia="宋体" w:cs="Times New Roman"/>
                      <w:sz w:val="21"/>
                    </w:rPr>
                    <w:t>防渗垃圾池</w:t>
                  </w:r>
                  <w:r>
                    <w:rPr>
                      <w:rFonts w:hint="eastAsia" w:ascii="Times New Roman" w:cs="Times New Roman"/>
                      <w:sz w:val="21"/>
                      <w:lang w:eastAsia="zh-CN"/>
                    </w:rPr>
                    <w:t>，防渗性能按一般防渗区执行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0" w:leftChars="0" w:right="0" w:rightChars="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生活污水</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jc w:val="left"/>
                    <w:rPr>
                      <w:rFonts w:hint="default" w:ascii="Times New Roman" w:hAnsi="Times New Roman" w:eastAsia="宋体" w:cs="Times New Roman"/>
                      <w:sz w:val="21"/>
                      <w:lang w:val="en-US" w:eastAsia="zh-CN"/>
                    </w:rPr>
                  </w:pPr>
                  <w:r>
                    <w:rPr>
                      <w:rFonts w:hint="default" w:ascii="Times New Roman" w:hAnsi="Times New Roman" w:eastAsia="宋体" w:cs="Times New Roman"/>
                      <w:sz w:val="21"/>
                    </w:rPr>
                    <w:t>井场设1个环保厕所，生活污水排入环保厕所，环保厕所下铺防渗膜，防渗材料为HDPE防渗膜，厚度2mm，渗透系数≤10</w:t>
                  </w:r>
                  <w:r>
                    <w:rPr>
                      <w:rFonts w:hint="default" w:ascii="Times New Roman" w:hAnsi="Times New Roman" w:eastAsia="宋体" w:cs="Times New Roman"/>
                      <w:sz w:val="21"/>
                      <w:vertAlign w:val="superscript"/>
                    </w:rPr>
                    <w:t>-7</w:t>
                  </w:r>
                  <w:r>
                    <w:rPr>
                      <w:rFonts w:hint="default" w:ascii="Times New Roman" w:hAnsi="Times New Roman" w:eastAsia="宋体" w:cs="Times New Roman"/>
                      <w:sz w:val="21"/>
                    </w:rPr>
                    <w:t>cm/s</w:t>
                  </w:r>
                  <w:r>
                    <w:rPr>
                      <w:rFonts w:hint="eastAsia" w:ascii="Times New Roman" w:cs="Times New Roman"/>
                      <w:sz w:val="21"/>
                      <w:lang w:eastAsia="zh-CN"/>
                    </w:rPr>
                    <w:t>，</w:t>
                  </w:r>
                  <w:r>
                    <w:rPr>
                      <w:rFonts w:hint="default" w:ascii="Times New Roman" w:hAnsi="Times New Roman" w:eastAsia="宋体" w:cs="Times New Roman"/>
                      <w:sz w:val="21"/>
                    </w:rPr>
                    <w:t>定期拉运至中石化新疆新春采油厂生产管理区污水处理站进行处理，确保生活污水不外排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泥浆不落地系统</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leftChars="0" w:right="0" w:rightChars="0" w:firstLine="0" w:firstLineChars="0"/>
                    <w:jc w:val="both"/>
                    <w:rPr>
                      <w:rFonts w:hint="default" w:ascii="Times New Roman" w:hAnsi="Times New Roman" w:eastAsia="宋体" w:cs="Times New Roman"/>
                      <w:sz w:val="21"/>
                    </w:rPr>
                  </w:pPr>
                  <w:r>
                    <w:rPr>
                      <w:rFonts w:hint="default" w:ascii="Times New Roman" w:hAnsi="Times New Roman" w:eastAsia="宋体" w:cs="Times New Roman"/>
                      <w:sz w:val="21"/>
                    </w:rPr>
                    <w:t>井场设置泥浆不落地装置1套，用于</w:t>
                  </w:r>
                  <w:r>
                    <w:rPr>
                      <w:rFonts w:hint="eastAsia" w:cs="Times New Roman"/>
                      <w:sz w:val="21"/>
                      <w:lang w:val="en-US" w:eastAsia="zh-CN"/>
                    </w:rPr>
                    <w:t>固液分离，分离后的液相循环使用不外排，固相</w:t>
                  </w:r>
                  <w:r>
                    <w:rPr>
                      <w:rFonts w:hint="default" w:ascii="Times New Roman" w:hAnsi="Times New Roman" w:eastAsia="宋体" w:cs="Times New Roman"/>
                      <w:sz w:val="21"/>
                    </w:rPr>
                    <w:t>根据检测结果进行</w:t>
                  </w:r>
                  <w:r>
                    <w:rPr>
                      <w:rFonts w:hint="eastAsia" w:cs="Times New Roman"/>
                      <w:sz w:val="21"/>
                      <w:lang w:val="en-US" w:eastAsia="zh-CN"/>
                    </w:rPr>
                    <w:t>分类妥善</w:t>
                  </w:r>
                  <w:r>
                    <w:rPr>
                      <w:rFonts w:hint="default" w:ascii="Times New Roman" w:hAnsi="Times New Roman" w:eastAsia="宋体" w:cs="Times New Roman"/>
                      <w:sz w:val="21"/>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放喷</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left"/>
                    <w:rPr>
                      <w:rFonts w:hint="default" w:ascii="Times New Roman" w:hAnsi="Times New Roman" w:eastAsia="宋体" w:cs="Times New Roman"/>
                      <w:sz w:val="21"/>
                    </w:rPr>
                  </w:pPr>
                  <w:r>
                    <w:rPr>
                      <w:rFonts w:hint="default" w:ascii="Times New Roman" w:hAnsi="Times New Roman" w:eastAsia="宋体" w:cs="Times New Roman"/>
                      <w:sz w:val="21"/>
                    </w:rPr>
                    <w:t>伴生气（天然气）应进行回收利用，不具备回收利用条件的，通过放喷管线放喷，减少大气污染物排放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36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r>
                    <w:rPr>
                      <w:rFonts w:hint="default" w:ascii="Times New Roman" w:hAnsi="Times New Roman" w:eastAsia="宋体" w:cs="Times New Roman"/>
                      <w:sz w:val="21"/>
                    </w:rPr>
                    <w:t>依托</w:t>
                  </w:r>
                </w:p>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r>
                    <w:rPr>
                      <w:rFonts w:hint="default" w:ascii="Times New Roman" w:hAnsi="Times New Roman" w:eastAsia="宋体" w:cs="Times New Roman"/>
                      <w:sz w:val="21"/>
                    </w:rPr>
                    <w:t>工程</w:t>
                  </w: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含油废弃物</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left"/>
                    <w:rPr>
                      <w:rFonts w:hint="default" w:ascii="Times New Roman" w:hAnsi="Times New Roman" w:eastAsia="宋体" w:cs="Times New Roman"/>
                      <w:sz w:val="21"/>
                    </w:rPr>
                  </w:pPr>
                  <w:r>
                    <w:rPr>
                      <w:rFonts w:hint="default" w:ascii="Times New Roman" w:hAnsi="Times New Roman" w:eastAsia="宋体" w:cs="Times New Roman"/>
                      <w:sz w:val="21"/>
                    </w:rPr>
                    <w:t>委托有</w:t>
                  </w:r>
                  <w:r>
                    <w:rPr>
                      <w:rFonts w:hint="eastAsia" w:cs="Times New Roman"/>
                      <w:sz w:val="21"/>
                      <w:lang w:val="en-US" w:eastAsia="zh-CN"/>
                    </w:rPr>
                    <w:t>危废处置</w:t>
                  </w:r>
                  <w:r>
                    <w:rPr>
                      <w:rFonts w:hint="default" w:ascii="Times New Roman" w:hAnsi="Times New Roman" w:eastAsia="宋体" w:cs="Times New Roman"/>
                      <w:sz w:val="21"/>
                    </w:rPr>
                    <w:t>资质的单位进行</w:t>
                  </w:r>
                  <w:r>
                    <w:rPr>
                      <w:rFonts w:hint="eastAsia" w:cs="Times New Roman"/>
                      <w:sz w:val="21"/>
                      <w:lang w:val="en-US" w:eastAsia="zh-CN"/>
                    </w:rPr>
                    <w:t>妥善</w:t>
                  </w:r>
                  <w:r>
                    <w:rPr>
                      <w:rFonts w:hint="default" w:ascii="Times New Roman" w:hAnsi="Times New Roman" w:eastAsia="宋体" w:cs="Times New Roman"/>
                      <w:sz w:val="21"/>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生活垃圾</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left"/>
                    <w:rPr>
                      <w:rFonts w:hint="default" w:ascii="Times New Roman" w:hAnsi="Times New Roman" w:eastAsia="宋体" w:cs="Times New Roman"/>
                      <w:sz w:val="21"/>
                    </w:rPr>
                  </w:pPr>
                  <w:r>
                    <w:rPr>
                      <w:rFonts w:hint="default" w:ascii="Times New Roman" w:hAnsi="Times New Roman" w:eastAsia="宋体" w:cs="Times New Roman"/>
                      <w:sz w:val="21"/>
                    </w:rPr>
                    <w:t>集中收集后，定期清运，交由环卫部门，运至玛纳斯县垃圾填埋场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9"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排水工程</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left"/>
                    <w:rPr>
                      <w:rFonts w:hint="default" w:ascii="Times New Roman" w:hAnsi="Times New Roman" w:eastAsia="宋体" w:cs="Times New Roman"/>
                      <w:sz w:val="21"/>
                    </w:rPr>
                  </w:pPr>
                  <w:r>
                    <w:rPr>
                      <w:rFonts w:hint="default" w:ascii="Times New Roman" w:hAnsi="Times New Roman" w:eastAsia="宋体" w:cs="Times New Roman"/>
                      <w:sz w:val="21"/>
                    </w:rPr>
                    <w:t>井下作业废水使用专用软管与井口连接，直接存放到罐车中，拉运至春风一号联合站处理达标后回注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pPr>
                    <w:pStyle w:val="36"/>
                    <w:keepNext w:val="0"/>
                    <w:keepLines w:val="0"/>
                    <w:widowControl w:val="0"/>
                    <w:suppressLineNumbers w:val="0"/>
                    <w:spacing w:before="0" w:beforeLines="0" w:beforeAutospacing="0" w:after="0" w:afterLines="0" w:afterAutospacing="0" w:line="320" w:lineRule="exact"/>
                    <w:ind w:left="-105" w:right="-105"/>
                    <w:rPr>
                      <w:rFonts w:hint="default" w:ascii="Times New Roman" w:hAnsi="Times New Roman" w:eastAsia="宋体" w:cs="Times New Roman"/>
                      <w:sz w:val="21"/>
                    </w:rPr>
                  </w:pPr>
                </w:p>
              </w:tc>
              <w:tc>
                <w:tcPr>
                  <w:tcW w:w="69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采出液</w:t>
                  </w:r>
                </w:p>
              </w:tc>
              <w:tc>
                <w:tcPr>
                  <w:tcW w:w="394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left"/>
                    <w:rPr>
                      <w:rFonts w:hint="default" w:ascii="Times New Roman" w:hAnsi="Times New Roman" w:eastAsia="宋体" w:cs="Times New Roman"/>
                      <w:sz w:val="21"/>
                    </w:rPr>
                  </w:pPr>
                  <w:r>
                    <w:rPr>
                      <w:rFonts w:hint="default" w:ascii="Times New Roman" w:hAnsi="Times New Roman" w:eastAsia="宋体" w:cs="Times New Roman"/>
                      <w:sz w:val="21"/>
                    </w:rPr>
                    <w:t>试油期采出液拉运至春风一号联合站处理，</w:t>
                  </w:r>
                  <w:r>
                    <w:rPr>
                      <w:rFonts w:hint="eastAsia" w:cs="Times New Roman"/>
                      <w:sz w:val="21"/>
                      <w:lang w:val="en-US" w:eastAsia="zh-CN"/>
                    </w:rPr>
                    <w:t>其中采出水</w:t>
                  </w:r>
                  <w:r>
                    <w:rPr>
                      <w:rFonts w:hint="default" w:ascii="Times New Roman" w:hAnsi="Times New Roman" w:eastAsia="宋体" w:cs="Times New Roman"/>
                      <w:sz w:val="21"/>
                    </w:rPr>
                    <w:t>处理达到《碎屑岩油藏注水水质推荐指标及分析方法》（SY/T5329－2012）标准后回注地层</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61" w:firstLineChars="266"/>
              <w:jc w:val="both"/>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2.钻前工程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58" w:firstLineChars="266"/>
              <w:jc w:val="both"/>
              <w:textAlignment w:val="auto"/>
              <w:rPr>
                <w:rFonts w:hint="eastAsia" w:ascii="Times New Roman" w:hAnsi="Times New Roman" w:eastAsia="宋体" w:cs="Times New Roman"/>
                <w:b w:val="0"/>
                <w:bCs w:val="0"/>
                <w:sz w:val="21"/>
                <w:szCs w:val="21"/>
                <w:highlight w:val="none"/>
                <w:lang w:val="en-US" w:eastAsia="zh-CN"/>
              </w:rPr>
            </w:pPr>
            <w:r>
              <w:rPr>
                <w:rFonts w:hint="eastAsia" w:ascii="Times New Roman" w:hAnsi="Times New Roman" w:eastAsia="宋体" w:cs="Times New Roman"/>
                <w:b w:val="0"/>
                <w:bCs w:val="0"/>
                <w:sz w:val="21"/>
                <w:szCs w:val="21"/>
                <w:highlight w:val="none"/>
                <w:lang w:val="en-US" w:eastAsia="zh-CN"/>
              </w:rPr>
              <w:t>钻前工程包括井场平整，设备基础、应急池、放喷池、井场道路等的建设，生活营地搭建等。主要工程量详见表2.3。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黑体" w:hAnsi="黑体" w:eastAsia="黑体" w:cs="黑体"/>
                <w:kern w:val="0"/>
                <w:sz w:val="20"/>
                <w:szCs w:val="20"/>
                <w:highlight w:val="yellow"/>
                <w:lang w:val="en-US" w:eastAsia="zh-CN"/>
              </w:rPr>
            </w:pPr>
            <w:r>
              <w:rPr>
                <w:rFonts w:hint="eastAsia" w:ascii="黑体" w:hAnsi="黑体" w:eastAsia="黑体" w:cs="黑体"/>
                <w:kern w:val="0"/>
                <w:sz w:val="21"/>
                <w:szCs w:val="21"/>
                <w:highlight w:val="none"/>
                <w:lang w:val="en-US" w:eastAsia="zh-CN"/>
              </w:rPr>
              <w:t>表2.3本项目钻前工程主要工程量一览表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373"/>
              <w:gridCol w:w="1009"/>
              <w:gridCol w:w="883"/>
              <w:gridCol w:w="1564"/>
              <w:gridCol w:w="1141"/>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3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序号</w:t>
                  </w:r>
                </w:p>
              </w:tc>
              <w:tc>
                <w:tcPr>
                  <w:tcW w:w="93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名称</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单位</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数量</w:t>
                  </w:r>
                </w:p>
              </w:tc>
              <w:tc>
                <w:tcPr>
                  <w:tcW w:w="2402"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3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1</w:t>
                  </w:r>
                </w:p>
              </w:tc>
              <w:tc>
                <w:tcPr>
                  <w:tcW w:w="93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井场面积</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m</w:t>
                  </w:r>
                  <w:r>
                    <w:rPr>
                      <w:rFonts w:hint="default" w:ascii="Times New Roman" w:hAnsi="Times New Roman" w:eastAsia="宋体" w:cs="Times New Roman"/>
                      <w:vertAlign w:val="superscript"/>
                    </w:rPr>
                    <w:t>2</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85800</w:t>
                  </w:r>
                </w:p>
              </w:tc>
              <w:tc>
                <w:tcPr>
                  <w:tcW w:w="2402"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单井临时占地面积14300 m</w:t>
                  </w:r>
                  <w:r>
                    <w:rPr>
                      <w:rFonts w:hint="default" w:ascii="Times New Roman" w:hAnsi="Times New Roman" w:eastAsia="宋体" w:cs="Times New Roman"/>
                      <w:vertAlign w:val="superscript"/>
                    </w:rPr>
                    <w:t>2</w:t>
                  </w:r>
                  <w:r>
                    <w:rPr>
                      <w:rFonts w:hint="default" w:ascii="Times New Roman" w:hAnsi="Times New Roman" w:eastAsia="宋体" w:cs="Times New Roman"/>
                    </w:rPr>
                    <w:t>（110m×130m）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3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2</w:t>
                  </w:r>
                </w:p>
              </w:tc>
              <w:tc>
                <w:tcPr>
                  <w:tcW w:w="93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钻井平台</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套</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6</w:t>
                  </w:r>
                </w:p>
              </w:tc>
              <w:tc>
                <w:tcPr>
                  <w:tcW w:w="2402"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3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3</w:t>
                  </w:r>
                </w:p>
              </w:tc>
              <w:tc>
                <w:tcPr>
                  <w:tcW w:w="93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放喷池</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eastAsia="zh-CN"/>
                    </w:rPr>
                  </w:pPr>
                  <w:r>
                    <w:rPr>
                      <w:rFonts w:hint="default" w:ascii="Times New Roman" w:hAnsi="Times New Roman" w:eastAsia="宋体" w:cs="Times New Roman"/>
                    </w:rPr>
                    <w:t>m</w:t>
                  </w:r>
                  <w:r>
                    <w:rPr>
                      <w:rFonts w:hint="default" w:ascii="Times New Roman" w:hAnsi="Times New Roman" w:eastAsia="宋体" w:cs="Times New Roman"/>
                      <w:vertAlign w:val="superscript"/>
                      <w:lang w:val="en-US" w:eastAsia="zh-CN"/>
                    </w:rPr>
                    <w:t>3</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lang w:val="en-US" w:eastAsia="zh-CN"/>
                    </w:rPr>
                    <w:t>240</w:t>
                  </w:r>
                  <w:r>
                    <w:rPr>
                      <w:rFonts w:hint="default" w:ascii="Times New Roman" w:hAnsi="Times New Roman" w:eastAsia="宋体" w:cs="Times New Roman"/>
                    </w:rPr>
                    <w:t>0</w:t>
                  </w:r>
                </w:p>
              </w:tc>
              <w:tc>
                <w:tcPr>
                  <w:tcW w:w="2402"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每个井场各2座，共</w:t>
                  </w:r>
                  <w:r>
                    <w:rPr>
                      <w:rFonts w:hint="default" w:ascii="Times New Roman" w:hAnsi="Times New Roman" w:eastAsia="宋体" w:cs="Times New Roman"/>
                      <w:lang w:val="en-US" w:eastAsia="zh-CN"/>
                    </w:rPr>
                    <w:t>12</w:t>
                  </w:r>
                  <w:r>
                    <w:rPr>
                      <w:rFonts w:hint="default" w:ascii="Times New Roman" w:hAnsi="Times New Roman" w:eastAsia="宋体" w:cs="Times New Roman"/>
                    </w:rPr>
                    <w:t>座，每座200m</w:t>
                  </w:r>
                  <w:r>
                    <w:rPr>
                      <w:rFonts w:hint="default" w:ascii="Times New Roman" w:hAnsi="Times New Roman" w:eastAsia="宋体" w:cs="Times New Roman"/>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1" w:hRule="atLeast"/>
                <w:jc w:val="center"/>
              </w:trPr>
              <w:tc>
                <w:tcPr>
                  <w:tcW w:w="3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4</w:t>
                  </w:r>
                </w:p>
              </w:tc>
              <w:tc>
                <w:tcPr>
                  <w:tcW w:w="93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放喷管线</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m</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900</w:t>
                  </w:r>
                </w:p>
              </w:tc>
              <w:tc>
                <w:tcPr>
                  <w:tcW w:w="2402"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每个井场左右两边各75m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3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5</w:t>
                  </w:r>
                </w:p>
              </w:tc>
              <w:tc>
                <w:tcPr>
                  <w:tcW w:w="93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生活营地</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m</w:t>
                  </w:r>
                  <w:r>
                    <w:rPr>
                      <w:rFonts w:hint="default" w:ascii="Times New Roman" w:hAnsi="Times New Roman" w:eastAsia="宋体" w:cs="Times New Roman"/>
                      <w:vertAlign w:val="superscript"/>
                    </w:rPr>
                    <w:t>2</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19800</w:t>
                  </w:r>
                </w:p>
              </w:tc>
              <w:tc>
                <w:tcPr>
                  <w:tcW w:w="2402"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每个井场280m外设生活营地1座，单座临时占地为3300 m</w:t>
                  </w:r>
                  <w:r>
                    <w:rPr>
                      <w:rFonts w:hint="default" w:ascii="Times New Roman" w:hAnsi="Times New Roman" w:eastAsia="宋体" w:cs="Times New Roman"/>
                      <w:vertAlign w:val="superscript"/>
                    </w:rPr>
                    <w:t>2</w:t>
                  </w:r>
                  <w:r>
                    <w:rPr>
                      <w:rFonts w:hint="default" w:ascii="Times New Roman" w:hAnsi="Times New Roman" w:eastAsia="宋体" w:cs="Times New Roman"/>
                    </w:rPr>
                    <w:t>（55m×60m）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3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6</w:t>
                  </w:r>
                </w:p>
              </w:tc>
              <w:tc>
                <w:tcPr>
                  <w:tcW w:w="93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r>
                    <w:rPr>
                      <w:rFonts w:hint="default" w:ascii="Times New Roman" w:hAnsi="Times New Roman" w:eastAsia="宋体" w:cs="Times New Roman"/>
                    </w:rPr>
                    <w:t>岩屑暂存</w:t>
                  </w:r>
                  <w:r>
                    <w:rPr>
                      <w:rFonts w:hint="eastAsia" w:cs="Times New Roman"/>
                      <w:lang w:val="en-US" w:eastAsia="zh-CN"/>
                    </w:rPr>
                    <w:t>点</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m</w:t>
                  </w:r>
                  <w:r>
                    <w:rPr>
                      <w:rFonts w:hint="default" w:ascii="Times New Roman" w:hAnsi="Times New Roman" w:eastAsia="宋体" w:cs="Times New Roman"/>
                      <w:vertAlign w:val="superscript"/>
                    </w:rPr>
                    <w:t>2</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12000</w:t>
                  </w:r>
                </w:p>
              </w:tc>
              <w:tc>
                <w:tcPr>
                  <w:tcW w:w="2402"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每个井场内设岩屑暂存地1座，单座临时占地为2000 m</w:t>
                  </w:r>
                  <w:r>
                    <w:rPr>
                      <w:rFonts w:hint="default" w:ascii="Times New Roman" w:hAnsi="Times New Roman" w:eastAsia="宋体" w:cs="Times New Roman"/>
                      <w:vertAlign w:val="superscript"/>
                    </w:rPr>
                    <w:t>2</w:t>
                  </w:r>
                  <w:r>
                    <w:rPr>
                      <w:rFonts w:hint="default" w:ascii="Times New Roman" w:hAnsi="Times New Roman" w:eastAsia="宋体" w:cs="Times New Roman"/>
                    </w:rPr>
                    <w:t>（40m×50m）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3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7</w:t>
                  </w:r>
                </w:p>
              </w:tc>
              <w:tc>
                <w:tcPr>
                  <w:tcW w:w="93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应急池</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eastAsia="zh-CN"/>
                    </w:rPr>
                  </w:pPr>
                  <w:r>
                    <w:rPr>
                      <w:rFonts w:hint="default" w:ascii="Times New Roman" w:hAnsi="Times New Roman" w:eastAsia="宋体" w:cs="Times New Roman"/>
                    </w:rPr>
                    <w:t>m</w:t>
                  </w:r>
                  <w:r>
                    <w:rPr>
                      <w:rFonts w:hint="default" w:ascii="Times New Roman" w:hAnsi="Times New Roman" w:eastAsia="宋体" w:cs="Times New Roman"/>
                      <w:vertAlign w:val="superscript"/>
                      <w:lang w:val="en-US" w:eastAsia="zh-CN"/>
                    </w:rPr>
                    <w:t>3</w:t>
                  </w:r>
                </w:p>
              </w:tc>
              <w:tc>
                <w:tcPr>
                  <w:tcW w:w="59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lang w:val="en-US" w:eastAsia="zh-CN"/>
                    </w:rPr>
                    <w:t>6</w:t>
                  </w:r>
                  <w:r>
                    <w:rPr>
                      <w:rFonts w:hint="default" w:ascii="Times New Roman" w:hAnsi="Times New Roman" w:eastAsia="宋体" w:cs="Times New Roman"/>
                    </w:rPr>
                    <w:t>000</w:t>
                  </w:r>
                </w:p>
              </w:tc>
              <w:tc>
                <w:tcPr>
                  <w:tcW w:w="2402"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每个井场内设应急池1座，井场范围内（25m×10m×4m）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3"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8</w:t>
                  </w:r>
                </w:p>
              </w:tc>
              <w:tc>
                <w:tcPr>
                  <w:tcW w:w="931"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进场道路</w:t>
                  </w:r>
                </w:p>
              </w:tc>
              <w:tc>
                <w:tcPr>
                  <w:tcW w:w="683"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km</w:t>
                  </w:r>
                </w:p>
              </w:tc>
              <w:tc>
                <w:tcPr>
                  <w:tcW w:w="599"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4.831</w:t>
                  </w:r>
                </w:p>
              </w:tc>
              <w:tc>
                <w:tcPr>
                  <w:tcW w:w="10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永进1-5井</w:t>
                  </w: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rPr>
                    <w:t>2.5</w:t>
                  </w:r>
                  <w:r>
                    <w:rPr>
                      <w:rFonts w:hint="default" w:ascii="Times New Roman" w:hAnsi="Times New Roman" w:eastAsia="宋体" w:cs="Times New Roman"/>
                      <w:lang w:val="en-US" w:eastAsia="zh-CN"/>
                    </w:rPr>
                    <w:t>km</w:t>
                  </w:r>
                </w:p>
              </w:tc>
              <w:tc>
                <w:tcPr>
                  <w:tcW w:w="568"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路基7m。为戈壁石路面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3"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931"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683"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599"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10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永进3-平16井</w:t>
                  </w: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lang w:val="en-US" w:eastAsia="zh-CN"/>
                    </w:rPr>
                    <w:t>0.</w:t>
                  </w:r>
                  <w:r>
                    <w:rPr>
                      <w:rFonts w:hint="default" w:ascii="Times New Roman" w:hAnsi="Times New Roman" w:eastAsia="宋体" w:cs="Times New Roman"/>
                    </w:rPr>
                    <w:t>536</w:t>
                  </w:r>
                  <w:r>
                    <w:rPr>
                      <w:rFonts w:hint="default" w:ascii="Times New Roman" w:hAnsi="Times New Roman" w:eastAsia="宋体" w:cs="Times New Roman"/>
                      <w:lang w:val="en-US" w:eastAsia="zh-CN"/>
                    </w:rPr>
                    <w:t>k</w:t>
                  </w:r>
                  <w:r>
                    <w:rPr>
                      <w:rFonts w:hint="default" w:ascii="Times New Roman" w:hAnsi="Times New Roman" w:eastAsia="宋体" w:cs="Times New Roman"/>
                    </w:rPr>
                    <w:t>m</w:t>
                  </w:r>
                </w:p>
              </w:tc>
              <w:tc>
                <w:tcPr>
                  <w:tcW w:w="568"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3"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931"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683"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599"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10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永进3-斜11井</w:t>
                  </w:r>
                </w:p>
              </w:tc>
              <w:tc>
                <w:tcPr>
                  <w:tcW w:w="773" w:type="pc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lang w:val="en-US" w:eastAsia="zh-CN"/>
                    </w:rPr>
                    <w:t>.</w:t>
                  </w:r>
                  <w:r>
                    <w:rPr>
                      <w:rFonts w:hint="default" w:ascii="Times New Roman" w:hAnsi="Times New Roman" w:eastAsia="宋体" w:cs="Times New Roman"/>
                    </w:rPr>
                    <w:t>450</w:t>
                  </w:r>
                  <w:r>
                    <w:rPr>
                      <w:rFonts w:hint="default" w:ascii="Times New Roman" w:hAnsi="Times New Roman" w:eastAsia="宋体" w:cs="Times New Roman"/>
                      <w:lang w:val="en-US" w:eastAsia="zh-CN"/>
                    </w:rPr>
                    <w:t>k</w:t>
                  </w:r>
                  <w:r>
                    <w:rPr>
                      <w:rFonts w:hint="default" w:ascii="Times New Roman" w:hAnsi="Times New Roman" w:eastAsia="宋体" w:cs="Times New Roman"/>
                    </w:rPr>
                    <w:t>m</w:t>
                  </w:r>
                </w:p>
              </w:tc>
              <w:tc>
                <w:tcPr>
                  <w:tcW w:w="568"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3"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931"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683"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599"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10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永进3-斜12井</w:t>
                  </w:r>
                </w:p>
              </w:tc>
              <w:tc>
                <w:tcPr>
                  <w:tcW w:w="773" w:type="pct"/>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同3-斜11</w:t>
                  </w:r>
                </w:p>
              </w:tc>
              <w:tc>
                <w:tcPr>
                  <w:tcW w:w="568"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3"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931"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683"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599"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10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永进3-斜14井</w:t>
                  </w: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lang w:val="en-US" w:eastAsia="zh-CN"/>
                    </w:rPr>
                    <w:t>0.</w:t>
                  </w:r>
                  <w:r>
                    <w:rPr>
                      <w:rFonts w:hint="default" w:ascii="Times New Roman" w:hAnsi="Times New Roman" w:eastAsia="宋体" w:cs="Times New Roman"/>
                    </w:rPr>
                    <w:t>145</w:t>
                  </w:r>
                  <w:r>
                    <w:rPr>
                      <w:rFonts w:hint="default" w:ascii="Times New Roman" w:hAnsi="Times New Roman" w:eastAsia="宋体" w:cs="Times New Roman"/>
                      <w:lang w:val="en-US" w:eastAsia="zh-CN"/>
                    </w:rPr>
                    <w:t>k</w:t>
                  </w:r>
                  <w:r>
                    <w:rPr>
                      <w:rFonts w:hint="default" w:ascii="Times New Roman" w:hAnsi="Times New Roman" w:eastAsia="宋体" w:cs="Times New Roman"/>
                    </w:rPr>
                    <w:t>m</w:t>
                  </w:r>
                </w:p>
              </w:tc>
              <w:tc>
                <w:tcPr>
                  <w:tcW w:w="568" w:type="pct"/>
                  <w:vMerge w:val="continue"/>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3"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931"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683"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599"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c>
                <w:tcPr>
                  <w:tcW w:w="10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永进3-斜17井</w:t>
                  </w:r>
                </w:p>
              </w:tc>
              <w:tc>
                <w:tcPr>
                  <w:tcW w:w="77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w:t>
                  </w:r>
                  <w:r>
                    <w:rPr>
                      <w:rFonts w:hint="default" w:ascii="Times New Roman" w:hAnsi="Times New Roman" w:eastAsia="宋体" w:cs="Times New Roman"/>
                    </w:rPr>
                    <w:t>200</w:t>
                  </w:r>
                  <w:r>
                    <w:rPr>
                      <w:rFonts w:hint="default" w:ascii="Times New Roman" w:hAnsi="Times New Roman" w:eastAsia="宋体" w:cs="Times New Roman"/>
                      <w:lang w:val="en-US" w:eastAsia="zh-CN"/>
                    </w:rPr>
                    <w:t>km</w:t>
                  </w:r>
                </w:p>
              </w:tc>
              <w:tc>
                <w:tcPr>
                  <w:tcW w:w="568"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p>
              </w:tc>
            </w:tr>
          </w:tbl>
          <w:p>
            <w:pPr>
              <w:keepNext w:val="0"/>
              <w:keepLines w:val="0"/>
              <w:suppressLineNumbers w:val="0"/>
              <w:spacing w:before="0" w:beforeAutospacing="0" w:after="0" w:afterAutospacing="0" w:line="360" w:lineRule="auto"/>
              <w:ind w:left="0" w:leftChars="0" w:right="0" w:firstLine="42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3</w:t>
            </w:r>
            <w:r>
              <w:rPr>
                <w:rFonts w:hint="default" w:ascii="Times New Roman" w:hAnsi="Times New Roman" w:eastAsia="宋体" w:cs="Times New Roman"/>
                <w:b/>
                <w:bCs/>
                <w:lang w:val="en-US" w:eastAsia="zh-CN"/>
              </w:rPr>
              <w:t>.钻井工程</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本项目新钻井6口，其中1口直井（永进1-5）、1口水平井（永进3-平16）、4口斜井（永进3-斜11、永进3-斜12、永进3-斜14、永进3-斜17），总钻井进尺34366m。钻井采用7000m钻机。</w:t>
            </w:r>
          </w:p>
          <w:p>
            <w:pPr>
              <w:keepNext w:val="0"/>
              <w:keepLines w:val="0"/>
              <w:suppressLineNumbers w:val="0"/>
              <w:spacing w:before="0" w:beforeAutospacing="0" w:after="0" w:afterAutospacing="0" w:line="360" w:lineRule="auto"/>
              <w:ind w:left="0" w:leftChars="0" w:right="0" w:firstLine="42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3.1井身结构</w:t>
            </w:r>
          </w:p>
          <w:p>
            <w:pPr>
              <w:keepNext w:val="0"/>
              <w:keepLines w:val="0"/>
              <w:suppressLineNumbers w:val="0"/>
              <w:spacing w:before="0" w:beforeAutospacing="0" w:after="0" w:afterAutospacing="0" w:line="360" w:lineRule="auto"/>
              <w:ind w:left="0" w:leftChars="0" w:right="0" w:firstLine="42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（1）直井（永进1-5）</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采用三开井身结构</w:t>
            </w:r>
            <w:r>
              <w:rPr>
                <w:rFonts w:hint="eastAsia" w:ascii="Times New Roman" w:hAnsi="Times New Roman" w:eastAsia="宋体" w:cs="Times New Roman"/>
                <w:lang w:val="en-US" w:eastAsia="zh-CN"/>
              </w:rPr>
              <w:t>，直井井身结构图见图2.2</w:t>
            </w:r>
            <w:r>
              <w:rPr>
                <w:rFonts w:hint="default" w:ascii="Times New Roman" w:hAnsi="Times New Roman" w:eastAsia="宋体" w:cs="Times New Roman"/>
                <w:lang w:val="en-US" w:eastAsia="zh-CN"/>
              </w:rPr>
              <w:t>。</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导管：Φ508mm导管下深50m，建立井口，为一开钻井创造条件。导管在钻前施工。</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开：采用Ф444.5mm钻头，下入Ф339.7mm表层套管至井深1000m，水泥返至地面。下入本层套管的目的是封隔新近系松散地层，减少下开次裸眼井段长度，分解下开次施工风险，同时提高井控能力，为下一开次安全钻进创造条件。</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二开：采用Ф311.2mm钻头，下入Ф244.5mm技术套管至井深4700m，水泥返至地面。技术套管用以封隔上部承压能力低的地层，减少三开井段长度。套管下深主要考虑满足采油工艺需要，后续采油工艺需要在177.8mm套管内、4500m左右下入永久性封隔器，故技术套管下至4700m。</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三开：采用Ф215.9mm钻头钻至目的井深，下入Ф139.7mm油层套管，回接Ф177.8mm套管至井口。</w:t>
            </w:r>
          </w:p>
          <w:p>
            <w:pPr>
              <w:pStyle w:val="39"/>
              <w:keepNext w:val="0"/>
              <w:keepLines w:val="0"/>
              <w:suppressLineNumbers w:val="0"/>
              <w:spacing w:before="0" w:beforeAutospacing="0" w:after="0" w:afterAutospacing="0" w:line="360" w:lineRule="auto"/>
              <w:ind w:left="0" w:right="0" w:firstLineChars="0"/>
              <w:jc w:val="center"/>
              <w:rPr>
                <w:rFonts w:hint="eastAsia" w:ascii="黑体" w:hAnsi="黑体" w:eastAsia="黑体" w:cs="黑体"/>
                <w:b w:val="0"/>
                <w:bCs w:val="0"/>
                <w:kern w:val="2"/>
                <w:sz w:val="21"/>
                <w:szCs w:val="21"/>
              </w:rPr>
            </w:pPr>
            <w:r>
              <w:rPr>
                <w:rFonts w:hint="eastAsia" w:ascii="黑体" w:hAnsi="黑体" w:eastAsia="黑体" w:cs="黑体"/>
                <w:b w:val="0"/>
                <w:bCs w:val="0"/>
                <w:kern w:val="2"/>
                <w:sz w:val="21"/>
                <w:szCs w:val="21"/>
              </w:rPr>
              <w:t>表</w:t>
            </w:r>
            <w:r>
              <w:rPr>
                <w:rFonts w:hint="eastAsia" w:ascii="黑体" w:hAnsi="黑体" w:eastAsia="黑体" w:cs="黑体"/>
                <w:b w:val="0"/>
                <w:bCs w:val="0"/>
                <w:kern w:val="2"/>
                <w:sz w:val="21"/>
                <w:szCs w:val="21"/>
                <w:lang w:val="en-US" w:eastAsia="zh-CN"/>
              </w:rPr>
              <w:t>2.4</w:t>
            </w:r>
            <w:r>
              <w:rPr>
                <w:rFonts w:hint="eastAsia" w:ascii="黑体" w:hAnsi="黑体" w:eastAsia="黑体" w:cs="黑体"/>
                <w:b w:val="0"/>
                <w:bCs w:val="0"/>
                <w:kern w:val="2"/>
                <w:sz w:val="21"/>
                <w:szCs w:val="21"/>
              </w:rPr>
              <w:t xml:space="preserve">  </w:t>
            </w:r>
            <w:r>
              <w:rPr>
                <w:rFonts w:hint="eastAsia" w:ascii="黑体" w:hAnsi="黑体" w:eastAsia="黑体" w:cs="黑体"/>
                <w:b w:val="0"/>
                <w:bCs w:val="0"/>
                <w:kern w:val="2"/>
                <w:sz w:val="21"/>
                <w:szCs w:val="21"/>
                <w:lang w:val="en-US" w:eastAsia="zh-CN"/>
              </w:rPr>
              <w:t>直井</w:t>
            </w:r>
            <w:r>
              <w:rPr>
                <w:rFonts w:hint="eastAsia" w:ascii="黑体" w:hAnsi="黑体" w:eastAsia="黑体" w:cs="黑体"/>
                <w:b w:val="0"/>
                <w:bCs w:val="0"/>
                <w:kern w:val="2"/>
                <w:sz w:val="21"/>
                <w:szCs w:val="21"/>
              </w:rPr>
              <w:t>井身结构设计</w:t>
            </w:r>
          </w:p>
          <w:tbl>
            <w:tblPr>
              <w:tblStyle w:val="20"/>
              <w:tblW w:w="704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0"/>
              <w:gridCol w:w="1190"/>
              <w:gridCol w:w="996"/>
              <w:gridCol w:w="1138"/>
              <w:gridCol w:w="1302"/>
              <w:gridCol w:w="15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6" w:hRule="atLeast"/>
                <w:jc w:val="center"/>
              </w:trPr>
              <w:tc>
                <w:tcPr>
                  <w:tcW w:w="910"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开钻</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顺序</w:t>
                  </w:r>
                </w:p>
              </w:tc>
              <w:tc>
                <w:tcPr>
                  <w:tcW w:w="1190"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钻头尺寸</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（mm）</w:t>
                  </w:r>
                </w:p>
              </w:tc>
              <w:tc>
                <w:tcPr>
                  <w:tcW w:w="996"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井深</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（m）</w:t>
                  </w:r>
                </w:p>
              </w:tc>
              <w:tc>
                <w:tcPr>
                  <w:tcW w:w="1138"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套管外径</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（mm）</w:t>
                  </w:r>
                </w:p>
              </w:tc>
              <w:tc>
                <w:tcPr>
                  <w:tcW w:w="1302"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套管下深</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（m）</w:t>
                  </w:r>
                </w:p>
              </w:tc>
              <w:tc>
                <w:tcPr>
                  <w:tcW w:w="1511"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水泥封固段</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10"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导管</w:t>
                  </w:r>
                </w:p>
              </w:tc>
              <w:tc>
                <w:tcPr>
                  <w:tcW w:w="1190"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cs="Times New Roman"/>
                      <w:sz w:val="21"/>
                      <w:szCs w:val="21"/>
                      <w:lang w:val="en-US" w:eastAsia="zh-CN"/>
                    </w:rPr>
                  </w:pPr>
                  <w:r>
                    <w:rPr>
                      <w:rFonts w:hint="eastAsia" w:cs="Times New Roman"/>
                      <w:sz w:val="21"/>
                      <w:szCs w:val="21"/>
                      <w:lang w:val="en-US" w:eastAsia="zh-CN"/>
                    </w:rPr>
                    <w:t>-</w:t>
                  </w:r>
                </w:p>
              </w:tc>
              <w:tc>
                <w:tcPr>
                  <w:tcW w:w="996"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cs="Times New Roman"/>
                      <w:sz w:val="21"/>
                      <w:szCs w:val="21"/>
                      <w:lang w:val="en-US" w:eastAsia="zh-CN"/>
                    </w:rPr>
                  </w:pPr>
                  <w:r>
                    <w:rPr>
                      <w:rFonts w:hint="eastAsia" w:cs="Times New Roman"/>
                      <w:sz w:val="21"/>
                      <w:szCs w:val="21"/>
                      <w:lang w:val="en-US" w:eastAsia="zh-CN"/>
                    </w:rPr>
                    <w:t>-</w:t>
                  </w:r>
                </w:p>
              </w:tc>
              <w:tc>
                <w:tcPr>
                  <w:tcW w:w="1138"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Φ508</w:t>
                  </w:r>
                </w:p>
              </w:tc>
              <w:tc>
                <w:tcPr>
                  <w:tcW w:w="1302"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eastAsia" w:eastAsia="宋体" w:cs="Times New Roman"/>
                      <w:sz w:val="21"/>
                      <w:szCs w:val="21"/>
                    </w:rPr>
                    <w:t>5</w:t>
                  </w:r>
                  <w:r>
                    <w:rPr>
                      <w:rFonts w:hint="default" w:eastAsia="宋体" w:cs="Times New Roman"/>
                      <w:sz w:val="21"/>
                      <w:szCs w:val="21"/>
                    </w:rPr>
                    <w:t>0</w:t>
                  </w:r>
                </w:p>
              </w:tc>
              <w:tc>
                <w:tcPr>
                  <w:tcW w:w="1511"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0～</w:t>
                  </w:r>
                  <w:r>
                    <w:rPr>
                      <w:rFonts w:hint="eastAsia" w:eastAsia="宋体" w:cs="Times New Roman"/>
                      <w:sz w:val="21"/>
                      <w:szCs w:val="21"/>
                    </w:rPr>
                    <w:t>5</w:t>
                  </w:r>
                  <w:r>
                    <w:rPr>
                      <w:rFonts w:hint="default" w:eastAsia="宋体"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10"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一开</w:t>
                  </w:r>
                </w:p>
              </w:tc>
              <w:tc>
                <w:tcPr>
                  <w:tcW w:w="1190"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Φ444.5</w:t>
                  </w:r>
                </w:p>
              </w:tc>
              <w:tc>
                <w:tcPr>
                  <w:tcW w:w="996"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1001</w:t>
                  </w:r>
                </w:p>
              </w:tc>
              <w:tc>
                <w:tcPr>
                  <w:tcW w:w="1138"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Φ339.7</w:t>
                  </w:r>
                </w:p>
              </w:tc>
              <w:tc>
                <w:tcPr>
                  <w:tcW w:w="1302"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1000</w:t>
                  </w:r>
                </w:p>
              </w:tc>
              <w:tc>
                <w:tcPr>
                  <w:tcW w:w="1511"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0～1001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10"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二开</w:t>
                  </w:r>
                </w:p>
              </w:tc>
              <w:tc>
                <w:tcPr>
                  <w:tcW w:w="1190"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Φ311.2</w:t>
                  </w:r>
                </w:p>
              </w:tc>
              <w:tc>
                <w:tcPr>
                  <w:tcW w:w="996"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4702</w:t>
                  </w:r>
                </w:p>
              </w:tc>
              <w:tc>
                <w:tcPr>
                  <w:tcW w:w="1138"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Φ244.5</w:t>
                  </w:r>
                </w:p>
              </w:tc>
              <w:tc>
                <w:tcPr>
                  <w:tcW w:w="1302"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4700</w:t>
                  </w:r>
                </w:p>
              </w:tc>
              <w:tc>
                <w:tcPr>
                  <w:tcW w:w="1511"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0～4702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10"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三开</w:t>
                  </w:r>
                </w:p>
              </w:tc>
              <w:tc>
                <w:tcPr>
                  <w:tcW w:w="1190"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Φ215.9</w:t>
                  </w:r>
                </w:p>
              </w:tc>
              <w:tc>
                <w:tcPr>
                  <w:tcW w:w="996"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5676</w:t>
                  </w:r>
                </w:p>
              </w:tc>
              <w:tc>
                <w:tcPr>
                  <w:tcW w:w="1138"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Φ139.7</w:t>
                  </w:r>
                </w:p>
              </w:tc>
              <w:tc>
                <w:tcPr>
                  <w:tcW w:w="1302"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4550～5673</w:t>
                  </w:r>
                </w:p>
              </w:tc>
              <w:tc>
                <w:tcPr>
                  <w:tcW w:w="1511"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4550～5676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10"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三开回接</w:t>
                  </w:r>
                </w:p>
              </w:tc>
              <w:tc>
                <w:tcPr>
                  <w:tcW w:w="1190"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cs="Times New Roman"/>
                      <w:sz w:val="21"/>
                      <w:szCs w:val="21"/>
                      <w:lang w:val="en-US" w:eastAsia="zh-CN"/>
                    </w:rPr>
                  </w:pPr>
                  <w:r>
                    <w:rPr>
                      <w:rFonts w:hint="eastAsia" w:cs="Times New Roman"/>
                      <w:sz w:val="21"/>
                      <w:szCs w:val="21"/>
                      <w:lang w:val="en-US" w:eastAsia="zh-CN"/>
                    </w:rPr>
                    <w:t>-</w:t>
                  </w:r>
                </w:p>
              </w:tc>
              <w:tc>
                <w:tcPr>
                  <w:tcW w:w="996"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宋体" w:cs="Times New Roman"/>
                      <w:sz w:val="21"/>
                      <w:szCs w:val="21"/>
                      <w:lang w:val="en-US" w:eastAsia="zh-CN"/>
                    </w:rPr>
                  </w:pPr>
                  <w:r>
                    <w:rPr>
                      <w:rFonts w:hint="eastAsia" w:cs="Times New Roman"/>
                      <w:sz w:val="21"/>
                      <w:szCs w:val="21"/>
                      <w:lang w:val="en-US" w:eastAsia="zh-CN"/>
                    </w:rPr>
                    <w:t>-</w:t>
                  </w:r>
                </w:p>
              </w:tc>
              <w:tc>
                <w:tcPr>
                  <w:tcW w:w="1138"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Φ177.8</w:t>
                  </w:r>
                </w:p>
              </w:tc>
              <w:tc>
                <w:tcPr>
                  <w:tcW w:w="1302"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0～4550</w:t>
                  </w:r>
                </w:p>
              </w:tc>
              <w:tc>
                <w:tcPr>
                  <w:tcW w:w="1511" w:type="dxa"/>
                  <w:noWrap w:val="0"/>
                  <w:tcMar>
                    <w:left w:w="28" w:type="dxa"/>
                    <w:right w:w="28" w:type="dxa"/>
                  </w:tcMar>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s="Times New Roman"/>
                      <w:sz w:val="21"/>
                      <w:szCs w:val="21"/>
                    </w:rPr>
                  </w:pPr>
                  <w:r>
                    <w:rPr>
                      <w:rFonts w:hint="default" w:eastAsia="宋体" w:cs="Times New Roman"/>
                      <w:sz w:val="21"/>
                      <w:szCs w:val="21"/>
                    </w:rPr>
                    <w:t>0～</w:t>
                  </w:r>
                  <w:r>
                    <w:rPr>
                      <w:rFonts w:hint="eastAsia" w:eastAsia="宋体" w:cs="Times New Roman"/>
                      <w:sz w:val="21"/>
                      <w:szCs w:val="21"/>
                    </w:rPr>
                    <w:t>4550</w:t>
                  </w:r>
                </w:p>
              </w:tc>
            </w:tr>
          </w:tbl>
          <w:p>
            <w:pPr>
              <w:keepNext w:val="0"/>
              <w:keepLines w:val="0"/>
              <w:suppressLineNumbers w:val="0"/>
              <w:spacing w:before="0" w:beforeAutospacing="0" w:after="0" w:afterAutospacing="0" w:line="360" w:lineRule="auto"/>
              <w:ind w:left="0" w:leftChars="0" w:right="0" w:firstLine="42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（2）水平井（永进3-平16）</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采用三开井身结构，</w:t>
            </w:r>
            <w:r>
              <w:rPr>
                <w:rFonts w:hint="eastAsia" w:ascii="Times New Roman" w:hAnsi="Times New Roman" w:eastAsia="宋体" w:cs="Times New Roman"/>
                <w:lang w:val="en-US" w:eastAsia="zh-CN"/>
              </w:rPr>
              <w:t>水平</w:t>
            </w:r>
            <w:r>
              <w:rPr>
                <w:rFonts w:hint="default" w:ascii="Times New Roman" w:hAnsi="Times New Roman" w:eastAsia="宋体" w:cs="Times New Roman"/>
                <w:lang w:val="en-US" w:eastAsia="zh-CN"/>
              </w:rPr>
              <w:t>井</w:t>
            </w:r>
            <w:r>
              <w:rPr>
                <w:rFonts w:hint="eastAsia" w:ascii="Times New Roman" w:hAnsi="Times New Roman" w:eastAsia="宋体" w:cs="Times New Roman"/>
                <w:lang w:val="en-US" w:eastAsia="zh-CN"/>
              </w:rPr>
              <w:t>井</w:t>
            </w:r>
            <w:r>
              <w:rPr>
                <w:rFonts w:hint="default" w:ascii="Times New Roman" w:hAnsi="Times New Roman" w:eastAsia="宋体" w:cs="Times New Roman"/>
                <w:lang w:val="en-US" w:eastAsia="zh-CN"/>
              </w:rPr>
              <w:t>身结构图见图2.</w:t>
            </w:r>
            <w:r>
              <w:rPr>
                <w:rFonts w:hint="eastAsia" w:ascii="Times New Roman" w:hAnsi="Times New Roman" w:eastAsia="宋体" w:cs="Times New Roman"/>
                <w:lang w:val="en-US" w:eastAsia="zh-CN"/>
              </w:rPr>
              <w:t>3</w:t>
            </w:r>
            <w:r>
              <w:rPr>
                <w:rFonts w:hint="default" w:ascii="Times New Roman" w:hAnsi="Times New Roman" w:eastAsia="宋体" w:cs="Times New Roman"/>
                <w:lang w:val="en-US" w:eastAsia="zh-CN"/>
              </w:rPr>
              <w:t>。</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导管：Φ508mm导管下深50m，建立井口，为一开钻井创造条件；导管在钻前施工。</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开：采用Ф444.5mm钻头，下入Ф339.7mm表层套管至井深800m，水泥返至地面。下入本层套管的目的是封隔新近系松散地层，减少下开次裸眼井段长度，分解下开次施工风险，同时提高井控能力，为下一开次安全钻进创造条件；</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二开：采用Ф311.2mm钻头，下入Ф244.5mm技术套管至井深4900m，水泥返至地面。技术套管主要目的是封隔上部承压能力低的地层，为三开打开下部地层及更换钻井液体系创造条件，并减少三开井段的长度。技术套管下深原则上尽量深下，若实际钻井液密度超过1.5g/cm3或者呼图壁组钻速明显变慢，可提前下入技术套管，现场根据实际情况由难动用项目部确定技术套管下深。</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三开：采用Ф215.9mm钻头钻至目的井深，水平段采用Ф114.3mm精密滤砂管，A靶点至技套以上200m下入Ф139.7mm油层套管，回接Ф177.8mm套管至井口。</w:t>
            </w:r>
          </w:p>
          <w:p>
            <w:pPr>
              <w:keepNext w:val="0"/>
              <w:keepLines w:val="0"/>
              <w:widowControl/>
              <w:suppressLineNumbers w:val="0"/>
              <w:spacing w:before="0" w:beforeAutospacing="0" w:after="0" w:afterAutospacing="0" w:line="360" w:lineRule="auto"/>
              <w:ind w:left="0" w:right="0" w:firstLine="420" w:firstLineChars="0"/>
              <w:jc w:val="center"/>
              <w:rPr>
                <w:rFonts w:hint="default" w:ascii="Times New Roman" w:hAnsi="Times New Roman" w:eastAsia="宋体" w:cs="Times New Roman"/>
                <w:b/>
                <w:bCs/>
                <w:kern w:val="2"/>
                <w:sz w:val="21"/>
                <w:szCs w:val="20"/>
                <w:lang w:val="en-US" w:eastAsia="zh-CN" w:bidi="ar-SA"/>
              </w:rPr>
            </w:pPr>
            <w:r>
              <w:rPr>
                <w:rFonts w:hint="default" w:ascii="Times New Roman" w:hAnsi="Times New Roman" w:eastAsia="黑体" w:cs="Times New Roman"/>
                <w:b w:val="0"/>
                <w:bCs w:val="0"/>
                <w:kern w:val="2"/>
                <w:sz w:val="21"/>
                <w:szCs w:val="20"/>
                <w:lang w:val="en-US" w:eastAsia="zh-CN" w:bidi="ar-SA"/>
              </w:rPr>
              <w:t>表2.5 水平井井身结构设计</w:t>
            </w:r>
          </w:p>
          <w:tbl>
            <w:tblPr>
              <w:tblStyle w:val="20"/>
              <w:tblW w:w="730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06"/>
              <w:gridCol w:w="1037"/>
              <w:gridCol w:w="1127"/>
              <w:gridCol w:w="1127"/>
              <w:gridCol w:w="1833"/>
              <w:gridCol w:w="117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开钻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顺序</w:t>
                  </w:r>
                </w:p>
              </w:tc>
              <w:tc>
                <w:tcPr>
                  <w:tcW w:w="103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钻头尺寸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（mm）</w:t>
                  </w:r>
                </w:p>
              </w:tc>
              <w:tc>
                <w:tcPr>
                  <w:tcW w:w="112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井深</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（m）</w:t>
                  </w:r>
                </w:p>
              </w:tc>
              <w:tc>
                <w:tcPr>
                  <w:tcW w:w="112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套管外径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（mm）</w:t>
                  </w:r>
                </w:p>
              </w:tc>
              <w:tc>
                <w:tcPr>
                  <w:tcW w:w="1833"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套管下深</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（m）</w:t>
                  </w:r>
                </w:p>
              </w:tc>
              <w:tc>
                <w:tcPr>
                  <w:tcW w:w="1178"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水泥封固段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导管</w:t>
                  </w:r>
                </w:p>
              </w:tc>
              <w:tc>
                <w:tcPr>
                  <w:tcW w:w="103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p>
              </w:tc>
              <w:tc>
                <w:tcPr>
                  <w:tcW w:w="112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p>
              </w:tc>
              <w:tc>
                <w:tcPr>
                  <w:tcW w:w="112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Φ508</w:t>
                  </w:r>
                </w:p>
              </w:tc>
              <w:tc>
                <w:tcPr>
                  <w:tcW w:w="1833"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50</w:t>
                  </w:r>
                </w:p>
              </w:tc>
              <w:tc>
                <w:tcPr>
                  <w:tcW w:w="1178"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0～50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一开</w:t>
                  </w:r>
                </w:p>
              </w:tc>
              <w:tc>
                <w:tcPr>
                  <w:tcW w:w="103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Φ444.5</w:t>
                  </w:r>
                </w:p>
              </w:tc>
              <w:tc>
                <w:tcPr>
                  <w:tcW w:w="112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801</w:t>
                  </w:r>
                </w:p>
              </w:tc>
              <w:tc>
                <w:tcPr>
                  <w:tcW w:w="112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Φ339.7</w:t>
                  </w:r>
                </w:p>
              </w:tc>
              <w:tc>
                <w:tcPr>
                  <w:tcW w:w="1833"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800</w:t>
                  </w:r>
                </w:p>
              </w:tc>
              <w:tc>
                <w:tcPr>
                  <w:tcW w:w="1178"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0～801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二开</w:t>
                  </w:r>
                </w:p>
              </w:tc>
              <w:tc>
                <w:tcPr>
                  <w:tcW w:w="103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Φ311.2</w:t>
                  </w:r>
                </w:p>
              </w:tc>
              <w:tc>
                <w:tcPr>
                  <w:tcW w:w="112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4902</w:t>
                  </w:r>
                </w:p>
              </w:tc>
              <w:tc>
                <w:tcPr>
                  <w:tcW w:w="112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Φ244.5</w:t>
                  </w:r>
                </w:p>
              </w:tc>
              <w:tc>
                <w:tcPr>
                  <w:tcW w:w="1833"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4900</w:t>
                  </w:r>
                </w:p>
              </w:tc>
              <w:tc>
                <w:tcPr>
                  <w:tcW w:w="1178"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0～4902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三开</w:t>
                  </w:r>
                </w:p>
              </w:tc>
              <w:tc>
                <w:tcPr>
                  <w:tcW w:w="103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Φ215.9</w:t>
                  </w:r>
                </w:p>
              </w:tc>
              <w:tc>
                <w:tcPr>
                  <w:tcW w:w="112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6967.19</w:t>
                  </w:r>
                </w:p>
              </w:tc>
              <w:tc>
                <w:tcPr>
                  <w:tcW w:w="112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Φ139.7</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Φ114.3</w:t>
                  </w:r>
                </w:p>
              </w:tc>
              <w:tc>
                <w:tcPr>
                  <w:tcW w:w="1833"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Φ139.7套管：4700～5779</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Φ114.3精密滤砂管：5779～6957</w:t>
                  </w:r>
                </w:p>
              </w:tc>
              <w:tc>
                <w:tcPr>
                  <w:tcW w:w="1178"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4700～6967.19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0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三开回接</w:t>
                  </w:r>
                </w:p>
              </w:tc>
              <w:tc>
                <w:tcPr>
                  <w:tcW w:w="103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p>
              </w:tc>
              <w:tc>
                <w:tcPr>
                  <w:tcW w:w="112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p>
              </w:tc>
              <w:tc>
                <w:tcPr>
                  <w:tcW w:w="112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Φ177.8</w:t>
                  </w:r>
                </w:p>
              </w:tc>
              <w:tc>
                <w:tcPr>
                  <w:tcW w:w="1833"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0～4700</w:t>
                  </w:r>
                </w:p>
              </w:tc>
              <w:tc>
                <w:tcPr>
                  <w:tcW w:w="1178"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0～4700</w:t>
                  </w:r>
                </w:p>
              </w:tc>
            </w:tr>
          </w:tbl>
          <w:p>
            <w:pPr>
              <w:keepNext w:val="0"/>
              <w:keepLines w:val="0"/>
              <w:suppressLineNumbers w:val="0"/>
              <w:spacing w:before="0" w:beforeAutospacing="0" w:after="0" w:afterAutospacing="0" w:line="360" w:lineRule="auto"/>
              <w:ind w:left="0" w:leftChars="0" w:right="0" w:firstLine="42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（3）斜井（永进3-斜11、永进3-斜12、永进3-斜14、永进3-斜17）</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采用三开井身结构，</w:t>
            </w:r>
            <w:r>
              <w:rPr>
                <w:rFonts w:hint="eastAsia" w:ascii="Times New Roman" w:hAnsi="Times New Roman" w:eastAsia="宋体" w:cs="Times New Roman"/>
                <w:lang w:val="en-US" w:eastAsia="zh-CN"/>
              </w:rPr>
              <w:t>斜井</w:t>
            </w:r>
            <w:r>
              <w:rPr>
                <w:rFonts w:hint="default" w:ascii="Times New Roman" w:hAnsi="Times New Roman" w:eastAsia="宋体" w:cs="Times New Roman"/>
                <w:lang w:val="en-US" w:eastAsia="zh-CN"/>
              </w:rPr>
              <w:t>井身结构图见图2.</w:t>
            </w: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导管：Φ508mm导管下深50m，建立井口，为一开钻井创造条件。导管在钻前施工。</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一开：采用Ф444.5mm钻头，下入Ф339.7mm表层套管至井深800m，水泥返至地面。目的是封隔新近系松散地层，分解下开次施工风险，同时提高井控能力，为下一开次安全钻进创造条件。</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二开：采用Ф311.2mm钻头，下入Ф244.5mm技术套管，水泥返至地面。技术套管目的是封隔上部承压能力低的地层，为三开打开下部地层创造条件，并减少三开井段的长度。技术套管下深原则：钻至呼图壁组，钻速变慢，暂定井深4800m。</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三开：采用Ф215.9mm钻头钻至目的井深，下入Ф177.8mm和Ф139.7mm复合套管，井口至4500m为Ф177.8mm套管，4500m至井底为Ф139.7mm套管，水泥返至地面。</w:t>
            </w:r>
          </w:p>
          <w:p>
            <w:pPr>
              <w:keepNext w:val="0"/>
              <w:keepLines w:val="0"/>
              <w:widowControl/>
              <w:suppressLineNumbers w:val="0"/>
              <w:spacing w:before="0" w:beforeAutospacing="0" w:after="0" w:afterAutospacing="0" w:line="360" w:lineRule="auto"/>
              <w:ind w:left="0" w:right="0" w:firstLine="420" w:firstLineChars="0"/>
              <w:jc w:val="center"/>
              <w:rPr>
                <w:rFonts w:hint="default" w:ascii="Times New Roman" w:hAnsi="Times New Roman" w:eastAsia="黑体" w:cs="Times New Roman"/>
                <w:b w:val="0"/>
                <w:bCs w:val="0"/>
                <w:kern w:val="2"/>
                <w:sz w:val="21"/>
                <w:szCs w:val="20"/>
                <w:lang w:val="en-US" w:eastAsia="zh-CN" w:bidi="ar-SA"/>
              </w:rPr>
            </w:pPr>
            <w:r>
              <w:rPr>
                <w:rFonts w:hint="default" w:ascii="Times New Roman" w:hAnsi="Times New Roman" w:eastAsia="黑体" w:cs="Times New Roman"/>
                <w:b w:val="0"/>
                <w:bCs w:val="0"/>
                <w:kern w:val="2"/>
                <w:sz w:val="21"/>
                <w:szCs w:val="20"/>
                <w:lang w:val="en-US" w:eastAsia="zh-CN" w:bidi="ar-SA"/>
              </w:rPr>
              <w:t>表2.6斜井井身结构设计</w:t>
            </w:r>
          </w:p>
          <w:tbl>
            <w:tblPr>
              <w:tblStyle w:val="20"/>
              <w:tblW w:w="703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86"/>
              <w:gridCol w:w="1206"/>
              <w:gridCol w:w="649"/>
              <w:gridCol w:w="1037"/>
              <w:gridCol w:w="1186"/>
              <w:gridCol w:w="1241"/>
              <w:gridCol w:w="11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8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开钻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顺序</w:t>
                  </w:r>
                </w:p>
              </w:tc>
              <w:tc>
                <w:tcPr>
                  <w:tcW w:w="120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钻头尺寸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（mm）</w:t>
                  </w:r>
                </w:p>
              </w:tc>
              <w:tc>
                <w:tcPr>
                  <w:tcW w:w="649"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井深</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（m）</w:t>
                  </w:r>
                </w:p>
              </w:tc>
              <w:tc>
                <w:tcPr>
                  <w:tcW w:w="103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套管外径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（mm）</w:t>
                  </w:r>
                </w:p>
              </w:tc>
              <w:tc>
                <w:tcPr>
                  <w:tcW w:w="118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套管下深</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（m）</w:t>
                  </w:r>
                </w:p>
              </w:tc>
              <w:tc>
                <w:tcPr>
                  <w:tcW w:w="1241"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水泥封固段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（m）</w:t>
                  </w:r>
                </w:p>
              </w:tc>
              <w:tc>
                <w:tcPr>
                  <w:tcW w:w="11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8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导管</w:t>
                  </w:r>
                </w:p>
              </w:tc>
              <w:tc>
                <w:tcPr>
                  <w:tcW w:w="120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w:t>
                  </w:r>
                </w:p>
              </w:tc>
              <w:tc>
                <w:tcPr>
                  <w:tcW w:w="649"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w:t>
                  </w:r>
                </w:p>
              </w:tc>
              <w:tc>
                <w:tcPr>
                  <w:tcW w:w="103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Φ508</w:t>
                  </w:r>
                </w:p>
              </w:tc>
              <w:tc>
                <w:tcPr>
                  <w:tcW w:w="118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5</w:t>
                  </w:r>
                  <w:r>
                    <w:rPr>
                      <w:rFonts w:hint="default" w:ascii="Times New Roman" w:hAnsi="Times New Roman" w:eastAsia="宋体" w:cs="Times New Roman"/>
                      <w:kern w:val="2"/>
                      <w:sz w:val="21"/>
                      <w:szCs w:val="20"/>
                      <w:lang w:val="en-US" w:eastAsia="zh-CN" w:bidi="ar-SA"/>
                    </w:rPr>
                    <w:t>0</w:t>
                  </w:r>
                </w:p>
              </w:tc>
              <w:tc>
                <w:tcPr>
                  <w:tcW w:w="1241"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0～</w:t>
                  </w:r>
                  <w:r>
                    <w:rPr>
                      <w:rFonts w:hint="eastAsia" w:ascii="Times New Roman" w:hAnsi="Times New Roman" w:eastAsia="宋体" w:cs="Times New Roman"/>
                      <w:kern w:val="2"/>
                      <w:sz w:val="21"/>
                      <w:szCs w:val="20"/>
                      <w:lang w:val="en-US" w:eastAsia="zh-CN" w:bidi="ar-SA"/>
                    </w:rPr>
                    <w:t>5</w:t>
                  </w:r>
                  <w:r>
                    <w:rPr>
                      <w:rFonts w:hint="default" w:ascii="Times New Roman" w:hAnsi="Times New Roman" w:eastAsia="宋体" w:cs="Times New Roman"/>
                      <w:kern w:val="2"/>
                      <w:sz w:val="21"/>
                      <w:szCs w:val="20"/>
                      <w:lang w:val="en-US" w:eastAsia="zh-CN" w:bidi="ar-SA"/>
                    </w:rPr>
                    <w:t>0</w:t>
                  </w:r>
                </w:p>
              </w:tc>
              <w:tc>
                <w:tcPr>
                  <w:tcW w:w="11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钻前施工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8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一开</w:t>
                  </w:r>
                </w:p>
              </w:tc>
              <w:tc>
                <w:tcPr>
                  <w:tcW w:w="120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Φ444.5</w:t>
                  </w:r>
                </w:p>
              </w:tc>
              <w:tc>
                <w:tcPr>
                  <w:tcW w:w="649"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801</w:t>
                  </w:r>
                </w:p>
              </w:tc>
              <w:tc>
                <w:tcPr>
                  <w:tcW w:w="103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Φ339.7</w:t>
                  </w:r>
                </w:p>
              </w:tc>
              <w:tc>
                <w:tcPr>
                  <w:tcW w:w="118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800</w:t>
                  </w:r>
                </w:p>
              </w:tc>
              <w:tc>
                <w:tcPr>
                  <w:tcW w:w="1241"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0～801</w:t>
                  </w:r>
                </w:p>
              </w:tc>
              <w:tc>
                <w:tcPr>
                  <w:tcW w:w="11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8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二开</w:t>
                  </w:r>
                </w:p>
              </w:tc>
              <w:tc>
                <w:tcPr>
                  <w:tcW w:w="120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Φ311.2</w:t>
                  </w:r>
                </w:p>
              </w:tc>
              <w:tc>
                <w:tcPr>
                  <w:tcW w:w="649"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4802</w:t>
                  </w:r>
                </w:p>
              </w:tc>
              <w:tc>
                <w:tcPr>
                  <w:tcW w:w="103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Φ244.5</w:t>
                  </w:r>
                </w:p>
              </w:tc>
              <w:tc>
                <w:tcPr>
                  <w:tcW w:w="118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4800</w:t>
                  </w:r>
                </w:p>
              </w:tc>
              <w:tc>
                <w:tcPr>
                  <w:tcW w:w="1241"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0～4802</w:t>
                  </w:r>
                </w:p>
              </w:tc>
              <w:tc>
                <w:tcPr>
                  <w:tcW w:w="11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8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三开</w:t>
                  </w:r>
                </w:p>
              </w:tc>
              <w:tc>
                <w:tcPr>
                  <w:tcW w:w="120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Φ215.9</w:t>
                  </w:r>
                </w:p>
              </w:tc>
              <w:tc>
                <w:tcPr>
                  <w:tcW w:w="649"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5699</w:t>
                  </w:r>
                </w:p>
              </w:tc>
              <w:tc>
                <w:tcPr>
                  <w:tcW w:w="1037"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Φ177.8</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Φ139.7</w:t>
                  </w:r>
                </w:p>
              </w:tc>
              <w:tc>
                <w:tcPr>
                  <w:tcW w:w="1186"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0～</w:t>
                  </w:r>
                  <w:r>
                    <w:rPr>
                      <w:rFonts w:hint="eastAsia" w:ascii="Times New Roman" w:hAnsi="Times New Roman" w:eastAsia="宋体" w:cs="Times New Roman"/>
                      <w:kern w:val="2"/>
                      <w:sz w:val="21"/>
                      <w:szCs w:val="20"/>
                      <w:lang w:val="en-US" w:eastAsia="zh-CN" w:bidi="ar-SA"/>
                    </w:rPr>
                    <w:t>4</w:t>
                  </w:r>
                  <w:r>
                    <w:rPr>
                      <w:rFonts w:hint="default" w:ascii="Times New Roman" w:hAnsi="Times New Roman" w:eastAsia="宋体" w:cs="Times New Roman"/>
                      <w:kern w:val="2"/>
                      <w:sz w:val="21"/>
                      <w:szCs w:val="20"/>
                      <w:lang w:val="en-US" w:eastAsia="zh-CN" w:bidi="ar-SA"/>
                    </w:rPr>
                    <w:t>500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4500～</w:t>
                  </w:r>
                  <w:r>
                    <w:rPr>
                      <w:rFonts w:hint="eastAsia" w:ascii="Times New Roman" w:hAnsi="Times New Roman" w:eastAsia="宋体" w:cs="Times New Roman"/>
                      <w:kern w:val="2"/>
                      <w:sz w:val="21"/>
                      <w:szCs w:val="20"/>
                      <w:lang w:val="en-US" w:eastAsia="zh-CN" w:bidi="ar-SA"/>
                    </w:rPr>
                    <w:t>5827</w:t>
                  </w:r>
                </w:p>
              </w:tc>
              <w:tc>
                <w:tcPr>
                  <w:tcW w:w="1241"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0～</w:t>
                  </w:r>
                  <w:r>
                    <w:rPr>
                      <w:rFonts w:hint="eastAsia" w:ascii="Times New Roman" w:hAnsi="Times New Roman" w:eastAsia="宋体" w:cs="Times New Roman"/>
                      <w:kern w:val="2"/>
                      <w:sz w:val="21"/>
                      <w:szCs w:val="20"/>
                      <w:lang w:val="en-US" w:eastAsia="zh-CN" w:bidi="ar-SA"/>
                    </w:rPr>
                    <w:t>5699</w:t>
                  </w:r>
                </w:p>
              </w:tc>
              <w:tc>
                <w:tcPr>
                  <w:tcW w:w="112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w:t>
                  </w:r>
                </w:p>
              </w:tc>
            </w:tr>
          </w:tbl>
          <w:p>
            <w:pPr>
              <w:keepNext w:val="0"/>
              <w:keepLines w:val="0"/>
              <w:suppressLineNumbers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lang w:val="en-US" w:eastAsia="zh-CN"/>
              </w:rPr>
            </w:pPr>
            <w:r>
              <w:rPr>
                <w:rFonts w:hint="default" w:ascii="Times New Roman" w:hAnsi="Times New Roman" w:eastAsia="宋体" w:cs="Times New Roman"/>
              </w:rPr>
              <w:drawing>
                <wp:inline distT="0" distB="0" distL="114300" distR="114300">
                  <wp:extent cx="3957320" cy="7883525"/>
                  <wp:effectExtent l="0" t="0" r="5080" b="3175"/>
                  <wp:docPr id="9" name="图片 41" descr="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1" descr="结构图"/>
                          <pic:cNvPicPr>
                            <a:picLocks noChangeAspect="1"/>
                          </pic:cNvPicPr>
                        </pic:nvPicPr>
                        <pic:blipFill>
                          <a:blip r:embed="rId10"/>
                          <a:stretch>
                            <a:fillRect/>
                          </a:stretch>
                        </pic:blipFill>
                        <pic:spPr>
                          <a:xfrm>
                            <a:off x="0" y="0"/>
                            <a:ext cx="3957320" cy="788352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lang w:val="en-US" w:eastAsia="zh-CN"/>
              </w:rPr>
            </w:pPr>
            <w:r>
              <w:rPr>
                <w:rFonts w:hint="eastAsia" w:ascii="黑体" w:hAnsi="黑体" w:eastAsia="黑体" w:cs="黑体"/>
                <w:lang w:val="en-US" w:eastAsia="zh-CN"/>
              </w:rPr>
              <w:t>图2.2直井井身结构示意图</w:t>
            </w:r>
          </w:p>
          <w:p>
            <w:pPr>
              <w:keepNext w:val="0"/>
              <w:keepLines w:val="0"/>
              <w:suppressLineNumbers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lang w:val="en-US" w:eastAsia="zh-CN"/>
              </w:rPr>
            </w:pPr>
            <w:r>
              <w:rPr>
                <w:rFonts w:hint="default" w:ascii="Times New Roman" w:hAnsi="Times New Roman" w:eastAsia="宋体" w:cs="Times New Roman"/>
              </w:rPr>
              <w:drawing>
                <wp:inline distT="0" distB="0" distL="114300" distR="114300">
                  <wp:extent cx="4330065" cy="5761355"/>
                  <wp:effectExtent l="0" t="0" r="13335" b="10795"/>
                  <wp:docPr id="10" name="图片 42" descr="B8502081-E784-4fa0-980D-44043A20B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2" descr="B8502081-E784-4fa0-980D-44043A20BD7A"/>
                          <pic:cNvPicPr>
                            <a:picLocks noChangeAspect="1"/>
                          </pic:cNvPicPr>
                        </pic:nvPicPr>
                        <pic:blipFill>
                          <a:blip r:embed="rId11"/>
                          <a:stretch>
                            <a:fillRect/>
                          </a:stretch>
                        </pic:blipFill>
                        <pic:spPr>
                          <a:xfrm>
                            <a:off x="0" y="0"/>
                            <a:ext cx="4330065" cy="576135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lang w:val="en-US" w:eastAsia="zh-CN"/>
              </w:rPr>
            </w:pPr>
            <w:r>
              <w:rPr>
                <w:rFonts w:hint="eastAsia" w:ascii="黑体" w:hAnsi="黑体" w:eastAsia="黑体" w:cs="黑体"/>
                <w:lang w:val="en-US" w:eastAsia="zh-CN"/>
              </w:rPr>
              <w:t>图2.3水平井井身结构示意图</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p>
          <w:p>
            <w:pPr>
              <w:keepNext w:val="0"/>
              <w:keepLines w:val="0"/>
              <w:suppressLineNumbers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lang w:val="en-US" w:eastAsia="zh-CN"/>
              </w:rPr>
            </w:pPr>
            <w:r>
              <w:rPr>
                <w:rFonts w:hint="default" w:ascii="Times New Roman" w:hAnsi="Times New Roman" w:eastAsia="宋体" w:cs="Times New Roman"/>
              </w:rPr>
              <w:drawing>
                <wp:inline distT="0" distB="0" distL="114300" distR="114300">
                  <wp:extent cx="3163570" cy="7009765"/>
                  <wp:effectExtent l="0" t="0" r="17780" b="635"/>
                  <wp:docPr id="11" name="图片 43" descr="永进3-斜2_井身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3" descr="永进3-斜2_井身结构图"/>
                          <pic:cNvPicPr>
                            <a:picLocks noChangeAspect="1"/>
                          </pic:cNvPicPr>
                        </pic:nvPicPr>
                        <pic:blipFill>
                          <a:blip r:embed="rId12"/>
                          <a:stretch>
                            <a:fillRect/>
                          </a:stretch>
                        </pic:blipFill>
                        <pic:spPr>
                          <a:xfrm>
                            <a:off x="0" y="0"/>
                            <a:ext cx="3163570" cy="700976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lang w:val="en-US" w:eastAsia="zh-CN"/>
              </w:rPr>
            </w:pPr>
            <w:r>
              <w:rPr>
                <w:rFonts w:hint="eastAsia" w:ascii="黑体" w:hAnsi="黑体" w:eastAsia="黑体" w:cs="黑体"/>
                <w:lang w:val="en-US" w:eastAsia="zh-CN"/>
              </w:rPr>
              <w:t>图2.4斜井井身结构示意图</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p>
          <w:p>
            <w:pPr>
              <w:keepNext w:val="0"/>
              <w:keepLines w:val="0"/>
              <w:suppressLineNumbers w:val="0"/>
              <w:spacing w:before="0" w:beforeAutospacing="0" w:after="0" w:afterAutospacing="0" w:line="360" w:lineRule="auto"/>
              <w:ind w:left="0" w:leftChars="0" w:right="0" w:firstLine="42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3.</w:t>
            </w:r>
            <w:r>
              <w:rPr>
                <w:rFonts w:hint="eastAsia" w:ascii="Times New Roman" w:hAnsi="Times New Roman" w:eastAsia="宋体" w:cs="Times New Roman"/>
                <w:b/>
                <w:bCs/>
                <w:lang w:val="en-US" w:eastAsia="zh-CN"/>
              </w:rPr>
              <w:t>2钻井液</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本项目一开、二开采用水基非磺化钻井液，三开采用合成基钻井液（油基钻井液）</w:t>
            </w:r>
            <w:r>
              <w:rPr>
                <w:rFonts w:hint="eastAsia" w:ascii="Times New Roman" w:hAnsi="Times New Roman" w:eastAsia="宋体" w:cs="Times New Roman"/>
                <w:lang w:val="en-US" w:eastAsia="zh-CN"/>
              </w:rPr>
              <w:t>。</w:t>
            </w:r>
          </w:p>
          <w:p>
            <w:pPr>
              <w:keepNext w:val="0"/>
              <w:keepLines w:val="0"/>
              <w:suppressLineNumbers w:val="0"/>
              <w:spacing w:before="0" w:beforeAutospacing="0" w:after="0" w:afterAutospacing="0" w:line="360" w:lineRule="auto"/>
              <w:ind w:left="0" w:leftChars="0" w:right="0" w:firstLine="422" w:firstLineChars="200"/>
              <w:rPr>
                <w:rFonts w:hint="eastAsia" w:ascii="Times New Roman" w:hAnsi="Times New Roman" w:eastAsia="宋体" w:cs="Times New Roman"/>
                <w:lang w:val="en-US" w:eastAsia="zh-CN"/>
              </w:rPr>
            </w:pPr>
            <w:r>
              <w:rPr>
                <w:rFonts w:hint="eastAsia" w:ascii="Times New Roman" w:hAnsi="Times New Roman" w:eastAsia="宋体" w:cs="Times New Roman"/>
                <w:b/>
                <w:bCs/>
                <w:lang w:val="en-US" w:eastAsia="zh-CN"/>
              </w:rPr>
              <w:t>（1）直井（永进1-5井）</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永进1-5井</w:t>
            </w:r>
            <w:r>
              <w:rPr>
                <w:rFonts w:hint="default" w:ascii="Times New Roman" w:hAnsi="Times New Roman" w:eastAsia="宋体" w:cs="Times New Roman"/>
                <w:lang w:val="en-US" w:eastAsia="zh-CN"/>
              </w:rPr>
              <w:t>钻井液体系见表</w:t>
            </w:r>
            <w:r>
              <w:rPr>
                <w:rFonts w:hint="eastAsia" w:ascii="Times New Roman" w:hAnsi="Times New Roman" w:eastAsia="宋体" w:cs="Times New Roman"/>
                <w:lang w:val="en-US" w:eastAsia="zh-CN"/>
              </w:rPr>
              <w:t>2.7。</w:t>
            </w:r>
          </w:p>
          <w:p>
            <w:pPr>
              <w:keepNext w:val="0"/>
              <w:keepLines w:val="0"/>
              <w:widowControl w:val="0"/>
              <w:suppressLineNumbers w:val="0"/>
              <w:adjustRightInd w:val="0"/>
              <w:snapToGrid w:val="0"/>
              <w:spacing w:before="0" w:beforeAutospacing="0" w:after="0" w:afterAutospacing="0" w:line="240" w:lineRule="auto"/>
              <w:ind w:left="0" w:right="0"/>
              <w:jc w:val="center"/>
              <w:rPr>
                <w:rFonts w:hint="eastAsia" w:ascii="黑体" w:hAnsi="黑体" w:eastAsia="黑体" w:cs="黑体"/>
                <w:b w:val="0"/>
                <w:bCs/>
                <w:kern w:val="0"/>
                <w:sz w:val="21"/>
                <w:szCs w:val="21"/>
                <w:lang w:val="en-US" w:eastAsia="zh-CN" w:bidi="ar-SA"/>
              </w:rPr>
            </w:pPr>
            <w:r>
              <w:rPr>
                <w:rFonts w:hint="eastAsia" w:ascii="黑体" w:hAnsi="黑体" w:eastAsia="黑体" w:cs="黑体"/>
                <w:b w:val="0"/>
                <w:bCs/>
                <w:kern w:val="0"/>
                <w:sz w:val="21"/>
                <w:szCs w:val="21"/>
                <w:lang w:val="en-US" w:eastAsia="zh-CN" w:bidi="ar-SA"/>
              </w:rPr>
              <w:t>表2.7 永进1-5井钻井液体系表</w:t>
            </w:r>
          </w:p>
          <w:tbl>
            <w:tblPr>
              <w:tblStyle w:val="20"/>
              <w:tblW w:w="43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78"/>
              <w:gridCol w:w="4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sz w:val="21"/>
                    </w:rPr>
                  </w:pPr>
                  <w:r>
                    <w:rPr>
                      <w:rFonts w:hint="eastAsia"/>
                      <w:sz w:val="21"/>
                    </w:rPr>
                    <w:t>井段（m）</w:t>
                  </w:r>
                </w:p>
              </w:tc>
              <w:tc>
                <w:tcPr>
                  <w:tcW w:w="338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sz w:val="21"/>
                    </w:rPr>
                  </w:pPr>
                  <w:r>
                    <w:rPr>
                      <w:rFonts w:hint="eastAsia"/>
                      <w:sz w:val="21"/>
                    </w:rPr>
                    <w:t>钻井液体系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textAlignment w:val="auto"/>
                    <w:rPr>
                      <w:rFonts w:hint="default"/>
                      <w:sz w:val="21"/>
                    </w:rPr>
                  </w:pPr>
                  <w:r>
                    <w:rPr>
                      <w:rFonts w:hint="default"/>
                      <w:sz w:val="21"/>
                    </w:rPr>
                    <w:t>0</w:t>
                  </w:r>
                  <w:r>
                    <w:rPr>
                      <w:rFonts w:hint="eastAsia"/>
                      <w:sz w:val="21"/>
                    </w:rPr>
                    <w:t>～1001</w:t>
                  </w:r>
                </w:p>
              </w:tc>
              <w:tc>
                <w:tcPr>
                  <w:tcW w:w="338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textAlignment w:val="auto"/>
                    <w:rPr>
                      <w:rFonts w:hint="default"/>
                      <w:sz w:val="21"/>
                    </w:rPr>
                  </w:pPr>
                  <w:r>
                    <w:rPr>
                      <w:rFonts w:hint="eastAsia"/>
                      <w:sz w:val="21"/>
                    </w:rPr>
                    <w:t>聚合物钻井液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textAlignment w:val="auto"/>
                    <w:rPr>
                      <w:rFonts w:hint="default"/>
                      <w:sz w:val="21"/>
                    </w:rPr>
                  </w:pPr>
                  <w:r>
                    <w:rPr>
                      <w:rFonts w:hint="default"/>
                      <w:sz w:val="21"/>
                    </w:rPr>
                    <w:t>1001</w:t>
                  </w:r>
                  <w:r>
                    <w:rPr>
                      <w:rFonts w:hint="eastAsia"/>
                      <w:sz w:val="21"/>
                    </w:rPr>
                    <w:t>～2940</w:t>
                  </w:r>
                </w:p>
              </w:tc>
              <w:tc>
                <w:tcPr>
                  <w:tcW w:w="338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textAlignment w:val="auto"/>
                    <w:rPr>
                      <w:rFonts w:hint="default"/>
                      <w:sz w:val="21"/>
                    </w:rPr>
                  </w:pPr>
                  <w:r>
                    <w:rPr>
                      <w:rFonts w:hint="eastAsia"/>
                      <w:sz w:val="21"/>
                    </w:rPr>
                    <w:t>聚合物钻井液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textAlignment w:val="auto"/>
                    <w:rPr>
                      <w:rFonts w:hint="default"/>
                      <w:sz w:val="21"/>
                    </w:rPr>
                  </w:pPr>
                  <w:r>
                    <w:rPr>
                      <w:rFonts w:hint="default"/>
                      <w:sz w:val="21"/>
                    </w:rPr>
                    <w:t>2940</w:t>
                  </w:r>
                  <w:r>
                    <w:rPr>
                      <w:rFonts w:hint="eastAsia"/>
                      <w:sz w:val="21"/>
                    </w:rPr>
                    <w:t>～4702</w:t>
                  </w:r>
                </w:p>
              </w:tc>
              <w:tc>
                <w:tcPr>
                  <w:tcW w:w="338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textAlignment w:val="auto"/>
                    <w:rPr>
                      <w:rFonts w:hint="default"/>
                      <w:sz w:val="21"/>
                    </w:rPr>
                  </w:pPr>
                  <w:r>
                    <w:rPr>
                      <w:rFonts w:hint="eastAsia"/>
                      <w:sz w:val="21"/>
                    </w:rPr>
                    <w:t>胺基强抑制封堵防塌钻井液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1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textAlignment w:val="auto"/>
                    <w:rPr>
                      <w:rFonts w:hint="default"/>
                      <w:sz w:val="21"/>
                    </w:rPr>
                  </w:pPr>
                  <w:r>
                    <w:rPr>
                      <w:rFonts w:hint="default"/>
                      <w:sz w:val="21"/>
                    </w:rPr>
                    <w:t>4702</w:t>
                  </w:r>
                  <w:r>
                    <w:rPr>
                      <w:rFonts w:hint="eastAsia"/>
                      <w:sz w:val="21"/>
                    </w:rPr>
                    <w:t>～5676</w:t>
                  </w:r>
                </w:p>
              </w:tc>
              <w:tc>
                <w:tcPr>
                  <w:tcW w:w="338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textAlignment w:val="auto"/>
                    <w:rPr>
                      <w:rFonts w:hint="default"/>
                      <w:sz w:val="21"/>
                    </w:rPr>
                  </w:pPr>
                  <w:r>
                    <w:rPr>
                      <w:rFonts w:hint="eastAsia"/>
                      <w:sz w:val="21"/>
                    </w:rPr>
                    <w:t>合成基钻井液</w:t>
                  </w:r>
                </w:p>
              </w:tc>
            </w:tr>
          </w:tbl>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永进1-5井钻井材料消耗见表2.8。</w:t>
            </w:r>
          </w:p>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val="0"/>
                <w:bCs/>
                <w:kern w:val="0"/>
                <w:sz w:val="21"/>
                <w:szCs w:val="21"/>
                <w:lang w:val="en-US" w:eastAsia="zh-CN" w:bidi="ar-SA"/>
              </w:rPr>
            </w:pPr>
            <w:r>
              <w:rPr>
                <w:rFonts w:hint="default" w:ascii="Times New Roman" w:hAnsi="Times New Roman" w:eastAsia="黑体" w:cs="Times New Roman"/>
                <w:b w:val="0"/>
                <w:bCs/>
                <w:kern w:val="0"/>
                <w:sz w:val="21"/>
                <w:szCs w:val="21"/>
                <w:lang w:val="en-US" w:eastAsia="zh-CN" w:bidi="ar-SA"/>
              </w:rPr>
              <w:t>表</w:t>
            </w:r>
            <w:r>
              <w:rPr>
                <w:rFonts w:hint="eastAsia" w:ascii="Times New Roman" w:hAnsi="Times New Roman" w:eastAsia="黑体" w:cs="Times New Roman"/>
                <w:b w:val="0"/>
                <w:bCs/>
                <w:kern w:val="0"/>
                <w:sz w:val="21"/>
                <w:szCs w:val="21"/>
                <w:lang w:val="en-US" w:eastAsia="zh-CN" w:bidi="ar-SA"/>
              </w:rPr>
              <w:t>2.8永进1-5井</w:t>
            </w:r>
            <w:r>
              <w:rPr>
                <w:rFonts w:hint="default" w:ascii="Times New Roman" w:hAnsi="Times New Roman" w:eastAsia="黑体" w:cs="Times New Roman"/>
                <w:b w:val="0"/>
                <w:bCs/>
                <w:kern w:val="0"/>
                <w:sz w:val="21"/>
                <w:szCs w:val="21"/>
                <w:lang w:val="en-US" w:eastAsia="zh-CN" w:bidi="ar-SA"/>
              </w:rPr>
              <w:t>钻井液</w:t>
            </w:r>
            <w:r>
              <w:rPr>
                <w:rFonts w:hint="eastAsia" w:ascii="Times New Roman" w:hAnsi="Times New Roman" w:eastAsia="黑体" w:cs="Times New Roman"/>
                <w:b w:val="0"/>
                <w:bCs/>
                <w:kern w:val="0"/>
                <w:sz w:val="21"/>
                <w:szCs w:val="21"/>
                <w:lang w:val="en-US" w:eastAsia="zh-CN" w:bidi="ar-SA"/>
              </w:rPr>
              <w:t>材料消耗</w:t>
            </w:r>
            <w:r>
              <w:rPr>
                <w:rFonts w:hint="default" w:ascii="Times New Roman" w:hAnsi="Times New Roman" w:eastAsia="黑体" w:cs="Times New Roman"/>
                <w:b w:val="0"/>
                <w:bCs/>
                <w:kern w:val="0"/>
                <w:sz w:val="21"/>
                <w:szCs w:val="21"/>
                <w:lang w:val="en-US" w:eastAsia="zh-CN" w:bidi="ar-SA"/>
              </w:rPr>
              <w:t>表</w:t>
            </w:r>
          </w:p>
          <w:tbl>
            <w:tblPr>
              <w:tblStyle w:val="20"/>
              <w:tblW w:w="7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3738"/>
              <w:gridCol w:w="709"/>
              <w:gridCol w:w="655"/>
              <w:gridCol w:w="695"/>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496"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eastAsia"/>
                      <w:sz w:val="21"/>
                    </w:rPr>
                    <w:t>序</w:t>
                  </w:r>
                </w:p>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eastAsia"/>
                      <w:sz w:val="21"/>
                    </w:rPr>
                    <w:t>号</w:t>
                  </w:r>
                </w:p>
              </w:tc>
              <w:tc>
                <w:tcPr>
                  <w:tcW w:w="373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eastAsia"/>
                      <w:sz w:val="21"/>
                    </w:rPr>
                    <w:t>材料名称及代号</w:t>
                  </w:r>
                </w:p>
              </w:tc>
              <w:tc>
                <w:tcPr>
                  <w:tcW w:w="2059"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eastAsia"/>
                      <w:sz w:val="21"/>
                    </w:rPr>
                    <w:t>数量（t）</w:t>
                  </w:r>
                </w:p>
              </w:tc>
              <w:tc>
                <w:tcPr>
                  <w:tcW w:w="78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eastAsia"/>
                      <w:sz w:val="21"/>
                    </w:rPr>
                    <w:t>合计</w:t>
                  </w:r>
                </w:p>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eastAsia"/>
                      <w:sz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49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p>
              </w:tc>
              <w:tc>
                <w:tcPr>
                  <w:tcW w:w="373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一开</w:t>
                  </w: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二开</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三开</w:t>
                  </w:r>
                </w:p>
              </w:tc>
              <w:tc>
                <w:tcPr>
                  <w:tcW w:w="78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default"/>
                      <w:sz w:val="21"/>
                    </w:rPr>
                    <w:t>1</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膨润土</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r>
                    <w:rPr>
                      <w:rFonts w:hint="default" w:ascii="Times New Roman" w:hAnsi="Times New Roman" w:eastAsia="宋体" w:cs="Times New Roman"/>
                      <w:kern w:val="2"/>
                      <w:sz w:val="21"/>
                    </w:rPr>
                    <w:t>40</w:t>
                  </w: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10</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10</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6</w:t>
                  </w:r>
                  <w:r>
                    <w:rPr>
                      <w:rFonts w:hint="default" w:ascii="Times New Roman" w:hAnsi="Times New Roman" w:eastAsia="宋体" w:cs="Times New Roman"/>
                      <w:kern w:val="2"/>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default"/>
                      <w:sz w:val="21"/>
                    </w:rPr>
                    <w:t>2</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工业用氢氧化钠</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4</w:t>
                  </w: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1</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1</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default"/>
                      <w:sz w:val="21"/>
                    </w:rPr>
                    <w:t>3</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碳酸钠</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1</w:t>
                  </w: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2</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1</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default"/>
                      <w:sz w:val="21"/>
                    </w:rPr>
                    <w:t>4</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钻井液用聚丙烯酰胺</w:t>
                  </w:r>
                  <w:r>
                    <w:rPr>
                      <w:rFonts w:hint="default" w:ascii="Times New Roman" w:hAnsi="Times New Roman" w:eastAsia="宋体" w:cs="Times New Roman"/>
                      <w:kern w:val="2"/>
                      <w:sz w:val="21"/>
                    </w:rPr>
                    <w:t>(</w:t>
                  </w:r>
                  <w:r>
                    <w:rPr>
                      <w:rFonts w:hint="eastAsia" w:ascii="Times New Roman" w:hAnsi="Times New Roman" w:eastAsia="宋体" w:cs="Times New Roman"/>
                      <w:kern w:val="2"/>
                      <w:sz w:val="21"/>
                    </w:rPr>
                    <w:t>或聚丙烯酸钾</w:t>
                  </w:r>
                  <w:r>
                    <w:rPr>
                      <w:rFonts w:hint="default" w:ascii="Times New Roman" w:hAnsi="Times New Roman" w:eastAsia="宋体" w:cs="Times New Roman"/>
                      <w:kern w:val="2"/>
                      <w:sz w:val="21"/>
                    </w:rPr>
                    <w:t>)</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r>
                    <w:rPr>
                      <w:rFonts w:hint="default" w:ascii="Times New Roman" w:hAnsi="Times New Roman" w:eastAsia="宋体" w:cs="Times New Roman"/>
                      <w:kern w:val="2"/>
                      <w:sz w:val="21"/>
                    </w:rPr>
                    <w:t>3</w:t>
                  </w: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5</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3</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1</w:t>
                  </w:r>
                  <w:r>
                    <w:rPr>
                      <w:rFonts w:hint="default" w:ascii="Times New Roman" w:hAnsi="Times New Roman" w:eastAsia="宋体" w:cs="Times New Roman"/>
                      <w:kern w:val="2"/>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default"/>
                      <w:sz w:val="21"/>
                    </w:rPr>
                    <w:t>5</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钻井液用改性铵盐</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r>
                    <w:rPr>
                      <w:rFonts w:hint="eastAsia" w:ascii="Times New Roman" w:hAnsi="Times New Roman" w:eastAsia="宋体" w:cs="Times New Roman"/>
                      <w:kern w:val="2"/>
                      <w:sz w:val="21"/>
                    </w:rPr>
                    <w:t>2</w:t>
                  </w: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r>
                    <w:rPr>
                      <w:rFonts w:hint="eastAsia" w:ascii="Times New Roman" w:hAnsi="Times New Roman" w:eastAsia="宋体" w:cs="Times New Roman"/>
                      <w:kern w:val="2"/>
                      <w:sz w:val="21"/>
                    </w:rPr>
                    <w:t>8</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1</w:t>
                  </w:r>
                  <w:r>
                    <w:rPr>
                      <w:rFonts w:hint="default" w:ascii="Times New Roman" w:hAnsi="Times New Roman" w:eastAsia="宋体" w:cs="Times New Roman"/>
                      <w:kern w:val="2"/>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default"/>
                      <w:sz w:val="21"/>
                    </w:rPr>
                    <w:t>6</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钻井液用胺基聚醇</w:t>
                  </w:r>
                  <w:r>
                    <w:rPr>
                      <w:rFonts w:hint="default" w:ascii="Times New Roman" w:hAnsi="Times New Roman" w:eastAsia="宋体" w:cs="Times New Roman"/>
                      <w:kern w:val="2"/>
                      <w:sz w:val="21"/>
                    </w:rPr>
                    <w:t>(</w:t>
                  </w:r>
                  <w:r>
                    <w:rPr>
                      <w:rFonts w:hint="eastAsia" w:ascii="Times New Roman" w:hAnsi="Times New Roman" w:eastAsia="宋体" w:cs="Times New Roman"/>
                      <w:kern w:val="2"/>
                      <w:sz w:val="21"/>
                    </w:rPr>
                    <w:t>或胺基硅醇</w:t>
                  </w:r>
                  <w:r>
                    <w:rPr>
                      <w:rFonts w:hint="default" w:ascii="Times New Roman" w:hAnsi="Times New Roman" w:eastAsia="宋体" w:cs="Times New Roman"/>
                      <w:kern w:val="2"/>
                      <w:sz w:val="21"/>
                    </w:rPr>
                    <w:t>)</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r>
                    <w:rPr>
                      <w:rFonts w:hint="eastAsia" w:ascii="Times New Roman" w:hAnsi="Times New Roman" w:eastAsia="宋体" w:cs="Times New Roman"/>
                      <w:kern w:val="2"/>
                      <w:sz w:val="21"/>
                    </w:rPr>
                    <w:t>8</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r>
                    <w:rPr>
                      <w:rFonts w:hint="default" w:ascii="Times New Roman" w:hAnsi="Times New Roman" w:eastAsia="宋体" w:cs="Times New Roman"/>
                      <w:kern w:val="2"/>
                      <w:sz w:val="21"/>
                    </w:rPr>
                    <w:t>5</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1</w:t>
                  </w:r>
                  <w:r>
                    <w:rPr>
                      <w:rFonts w:hint="default" w:ascii="Times New Roman" w:hAnsi="Times New Roman" w:eastAsia="宋体" w:cs="Times New Roman"/>
                      <w:kern w:val="2"/>
                      <w:sz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default"/>
                      <w:sz w:val="21"/>
                    </w:rPr>
                    <w:t>7</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钻井液用低黏聚阴离子纤维素</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r>
                    <w:rPr>
                      <w:rFonts w:hint="eastAsia" w:ascii="Times New Roman" w:hAnsi="Times New Roman" w:eastAsia="宋体" w:cs="Times New Roman"/>
                      <w:kern w:val="2"/>
                      <w:sz w:val="21"/>
                    </w:rPr>
                    <w:t>1</w:t>
                  </w: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4</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2</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default"/>
                      <w:sz w:val="21"/>
                    </w:rPr>
                    <w:t>8</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钻井液用抗高温抗盐防塌降滤失剂</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20</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15</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3</w:t>
                  </w:r>
                  <w:r>
                    <w:rPr>
                      <w:rFonts w:hint="default" w:ascii="Times New Roman" w:hAnsi="Times New Roman" w:eastAsia="宋体" w:cs="Times New Roman"/>
                      <w:kern w:val="2"/>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default"/>
                      <w:sz w:val="21"/>
                    </w:rPr>
                    <w:t>9</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钻井液用抗盐抗温降滤失剂</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5</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3</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default"/>
                      <w:sz w:val="21"/>
                    </w:rPr>
                    <w:t>10</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钻井液用高黏聚阴离子纤维素</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r>
                    <w:rPr>
                      <w:rFonts w:hint="eastAsia" w:ascii="Times New Roman" w:hAnsi="Times New Roman" w:eastAsia="宋体" w:cs="Times New Roman"/>
                      <w:kern w:val="2"/>
                      <w:sz w:val="21"/>
                    </w:rPr>
                    <w:t>1</w:t>
                  </w: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2</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default"/>
                      <w:sz w:val="21"/>
                    </w:rPr>
                    <w:t>11</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钻井液用低荧光井壁稳定剂</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r>
                    <w:rPr>
                      <w:rFonts w:hint="eastAsia" w:ascii="Times New Roman" w:hAnsi="Times New Roman" w:eastAsia="宋体" w:cs="Times New Roman"/>
                      <w:kern w:val="2"/>
                      <w:sz w:val="21"/>
                    </w:rPr>
                    <w:t>5</w:t>
                  </w: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15</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10</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3</w:t>
                  </w:r>
                  <w:r>
                    <w:rPr>
                      <w:rFonts w:hint="default" w:ascii="Times New Roman" w:hAnsi="Times New Roman" w:eastAsia="宋体" w:cs="Times New Roman"/>
                      <w:kern w:val="2"/>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default"/>
                      <w:sz w:val="21"/>
                    </w:rPr>
                    <w:t>12</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钻井液用多级配填充封堵剂</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20</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15</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3</w:t>
                  </w:r>
                  <w:r>
                    <w:rPr>
                      <w:rFonts w:hint="default" w:ascii="Times New Roman" w:hAnsi="Times New Roman" w:eastAsia="宋体" w:cs="Times New Roman"/>
                      <w:kern w:val="2"/>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default"/>
                      <w:sz w:val="21"/>
                    </w:rPr>
                    <w:t>13</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钻井液用无荧光防塌剂</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20</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15</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3</w:t>
                  </w:r>
                  <w:r>
                    <w:rPr>
                      <w:rFonts w:hint="default" w:ascii="Times New Roman" w:hAnsi="Times New Roman" w:eastAsia="宋体" w:cs="Times New Roman"/>
                      <w:kern w:val="2"/>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default"/>
                      <w:sz w:val="21"/>
                    </w:rPr>
                    <w:t>14</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钻井液用乳化石蜡</w:t>
                  </w:r>
                  <w:r>
                    <w:rPr>
                      <w:rFonts w:hint="default" w:ascii="Times New Roman" w:hAnsi="Times New Roman" w:eastAsia="宋体" w:cs="Times New Roman"/>
                      <w:kern w:val="2"/>
                      <w:sz w:val="21"/>
                    </w:rPr>
                    <w:t>(</w:t>
                  </w:r>
                  <w:r>
                    <w:rPr>
                      <w:rFonts w:hint="eastAsia" w:ascii="Times New Roman" w:hAnsi="Times New Roman" w:eastAsia="宋体" w:cs="Times New Roman"/>
                      <w:kern w:val="2"/>
                      <w:sz w:val="21"/>
                    </w:rPr>
                    <w:t>或纳米乳液或纳米聚酯</w:t>
                  </w:r>
                  <w:r>
                    <w:rPr>
                      <w:rFonts w:hint="default" w:ascii="Times New Roman" w:hAnsi="Times New Roman" w:eastAsia="宋体" w:cs="Times New Roman"/>
                      <w:kern w:val="2"/>
                      <w:sz w:val="21"/>
                    </w:rPr>
                    <w:t>)</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r>
                    <w:rPr>
                      <w:rFonts w:hint="eastAsia" w:ascii="Times New Roman" w:hAnsi="Times New Roman" w:eastAsia="宋体" w:cs="Times New Roman"/>
                      <w:kern w:val="2"/>
                      <w:sz w:val="21"/>
                    </w:rPr>
                    <w:t>5</w:t>
                  </w: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15</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10</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3</w:t>
                  </w:r>
                  <w:r>
                    <w:rPr>
                      <w:rFonts w:hint="default" w:ascii="Times New Roman" w:hAnsi="Times New Roman" w:eastAsia="宋体" w:cs="Times New Roman"/>
                      <w:kern w:val="2"/>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default"/>
                      <w:sz w:val="21"/>
                    </w:rPr>
                    <w:t>15</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钻井液用多枝化酚醛树脂</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20</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15</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3</w:t>
                  </w:r>
                  <w:r>
                    <w:rPr>
                      <w:rFonts w:hint="default" w:ascii="Times New Roman" w:hAnsi="Times New Roman" w:eastAsia="宋体" w:cs="Times New Roman"/>
                      <w:kern w:val="2"/>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default"/>
                      <w:sz w:val="21"/>
                    </w:rPr>
                  </w:pPr>
                  <w:r>
                    <w:rPr>
                      <w:rFonts w:hint="eastAsia"/>
                      <w:sz w:val="21"/>
                    </w:rPr>
                    <w:t>16</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钻井液用无荧光白油润滑剂</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8</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8</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1</w:t>
                  </w:r>
                  <w:r>
                    <w:rPr>
                      <w:rFonts w:hint="default" w:ascii="Times New Roman" w:hAnsi="Times New Roman" w:eastAsia="宋体" w:cs="Times New Roman"/>
                      <w:kern w:val="2"/>
                      <w:sz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eastAsia"/>
                      <w:sz w:val="21"/>
                    </w:rPr>
                    <w:t>17</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钻井液用硅氟类降黏剂</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5</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5</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1</w:t>
                  </w:r>
                  <w:r>
                    <w:rPr>
                      <w:rFonts w:hint="default" w:ascii="Times New Roman" w:hAnsi="Times New Roman" w:eastAsia="宋体" w:cs="Times New Roman"/>
                      <w:kern w:val="2"/>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eastAsia"/>
                      <w:sz w:val="21"/>
                    </w:rPr>
                    <w:t>18</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钻井液用有机硅稳定剂</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5</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5</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1</w:t>
                  </w:r>
                  <w:r>
                    <w:rPr>
                      <w:rFonts w:hint="default" w:ascii="Times New Roman" w:hAnsi="Times New Roman" w:eastAsia="宋体" w:cs="Times New Roman"/>
                      <w:kern w:val="2"/>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eastAsia"/>
                      <w:sz w:val="21"/>
                    </w:rPr>
                    <w:t>19</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钻井液用聚合醇Ⅰ型</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8</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8</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1</w:t>
                  </w:r>
                  <w:r>
                    <w:rPr>
                      <w:rFonts w:hint="default" w:ascii="Times New Roman" w:hAnsi="Times New Roman" w:eastAsia="宋体" w:cs="Times New Roman"/>
                      <w:kern w:val="2"/>
                      <w:sz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eastAsia"/>
                      <w:sz w:val="21"/>
                    </w:rPr>
                    <w:t>20</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钻井液用固体润滑剂</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5</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5</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1</w:t>
                  </w:r>
                  <w:r>
                    <w:rPr>
                      <w:rFonts w:hint="default" w:ascii="Times New Roman" w:hAnsi="Times New Roman" w:eastAsia="宋体" w:cs="Times New Roman"/>
                      <w:kern w:val="2"/>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eastAsia"/>
                      <w:sz w:val="21"/>
                    </w:rPr>
                    <w:t>21</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rPr>
                  </w:pPr>
                  <w:r>
                    <w:rPr>
                      <w:rFonts w:hint="eastAsia" w:ascii="Times New Roman" w:hAnsi="Times New Roman" w:eastAsia="宋体" w:cs="Times New Roman"/>
                      <w:kern w:val="2"/>
                      <w:sz w:val="21"/>
                    </w:rPr>
                    <w:t>钻井液用羟基铝抑制防塌剂</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12</w:t>
                  </w: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8</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default" w:ascii="Times New Roman" w:hAnsi="Times New Roman" w:eastAsia="宋体" w:cs="Times New Roman"/>
                      <w:kern w:val="2"/>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eastAsia"/>
                      <w:sz w:val="21"/>
                    </w:rPr>
                  </w:pPr>
                  <w:r>
                    <w:rPr>
                      <w:rFonts w:hint="eastAsia"/>
                      <w:sz w:val="21"/>
                    </w:rPr>
                    <w:t>22</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both"/>
                    <w:rPr>
                      <w:rFonts w:hint="eastAsia" w:ascii="Times New Roman" w:hAnsi="Times New Roman" w:eastAsia="宋体" w:cs="Times New Roman"/>
                      <w:kern w:val="2"/>
                      <w:sz w:val="21"/>
                    </w:rPr>
                  </w:pPr>
                  <w:r>
                    <w:rPr>
                      <w:rFonts w:hint="eastAsia" w:ascii="Times New Roman" w:hAnsi="Times New Roman" w:eastAsia="宋体" w:cs="Times New Roman"/>
                      <w:kern w:val="2"/>
                      <w:sz w:val="21"/>
                    </w:rPr>
                    <w:t>合成基钻井液</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rPr>
                  </w:pPr>
                </w:p>
              </w:tc>
              <w:tc>
                <w:tcPr>
                  <w:tcW w:w="6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p>
              </w:tc>
              <w:tc>
                <w:tcPr>
                  <w:tcW w:w="6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480</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rPr>
                  </w:pPr>
                  <w:r>
                    <w:rPr>
                      <w:rFonts w:hint="eastAsia" w:ascii="Times New Roman" w:hAnsi="Times New Roman" w:eastAsia="宋体" w:cs="Times New Roman"/>
                      <w:kern w:val="2"/>
                      <w:sz w:val="21"/>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49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rPr>
                      <w:rFonts w:hint="default"/>
                      <w:b w:val="0"/>
                      <w:bCs w:val="0"/>
                      <w:sz w:val="21"/>
                    </w:rPr>
                  </w:pPr>
                  <w:r>
                    <w:rPr>
                      <w:rFonts w:hint="default"/>
                      <w:b w:val="0"/>
                      <w:bCs w:val="0"/>
                      <w:sz w:val="21"/>
                    </w:rPr>
                    <w:t>2</w:t>
                  </w:r>
                  <w:r>
                    <w:rPr>
                      <w:rFonts w:hint="eastAsia"/>
                      <w:b w:val="0"/>
                      <w:bCs w:val="0"/>
                      <w:sz w:val="21"/>
                    </w:rPr>
                    <w:t>3</w:t>
                  </w:r>
                </w:p>
              </w:tc>
              <w:tc>
                <w:tcPr>
                  <w:tcW w:w="373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leftChars="-5" w:right="0" w:hanging="10" w:hangingChars="5"/>
                    <w:jc w:val="left"/>
                    <w:rPr>
                      <w:rFonts w:hint="default"/>
                      <w:b w:val="0"/>
                      <w:bCs w:val="0"/>
                      <w:sz w:val="21"/>
                    </w:rPr>
                  </w:pPr>
                  <w:r>
                    <w:rPr>
                      <w:rFonts w:hint="eastAsia"/>
                      <w:b w:val="0"/>
                      <w:bCs w:val="0"/>
                      <w:sz w:val="21"/>
                    </w:rPr>
                    <w:t>钻井液用重晶石粉</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b w:val="0"/>
                      <w:bCs w:val="0"/>
                      <w:kern w:val="2"/>
                      <w:sz w:val="21"/>
                    </w:rPr>
                  </w:pPr>
                </w:p>
              </w:tc>
              <w:tc>
                <w:tcPr>
                  <w:tcW w:w="1350"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b w:val="0"/>
                      <w:bCs w:val="0"/>
                      <w:kern w:val="2"/>
                      <w:sz w:val="21"/>
                    </w:rPr>
                  </w:pPr>
                  <w:r>
                    <w:rPr>
                      <w:rFonts w:hint="default" w:ascii="Times New Roman" w:hAnsi="Times New Roman" w:eastAsia="宋体" w:cs="Times New Roman"/>
                      <w:b w:val="0"/>
                      <w:bCs w:val="0"/>
                      <w:kern w:val="2"/>
                      <w:sz w:val="21"/>
                    </w:rPr>
                    <w:t>1800</w:t>
                  </w:r>
                </w:p>
              </w:tc>
              <w:tc>
                <w:tcPr>
                  <w:tcW w:w="78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b w:val="0"/>
                      <w:bCs w:val="0"/>
                      <w:kern w:val="2"/>
                      <w:sz w:val="21"/>
                    </w:rPr>
                  </w:pPr>
                  <w:r>
                    <w:rPr>
                      <w:rFonts w:hint="default" w:ascii="Times New Roman" w:hAnsi="Times New Roman" w:eastAsia="宋体" w:cs="Times New Roman"/>
                      <w:b w:val="0"/>
                      <w:bCs w:val="0"/>
                      <w:kern w:val="2"/>
                      <w:sz w:val="21"/>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7073" w:type="dxa"/>
                  <w:gridSpan w:val="6"/>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40" w:lineRule="auto"/>
                    <w:ind w:left="0" w:right="0"/>
                    <w:jc w:val="left"/>
                    <w:rPr>
                      <w:rFonts w:hint="default"/>
                      <w:b w:val="0"/>
                      <w:bCs w:val="0"/>
                      <w:sz w:val="21"/>
                    </w:rPr>
                  </w:pPr>
                  <w:r>
                    <w:rPr>
                      <w:rFonts w:hint="eastAsia"/>
                      <w:b w:val="0"/>
                      <w:bCs w:val="0"/>
                      <w:kern w:val="44"/>
                      <w:sz w:val="22"/>
                    </w:rPr>
                    <w:t>注:表中材料可用其它同类材料替代</w:t>
                  </w:r>
                </w:p>
              </w:tc>
            </w:tr>
          </w:tbl>
          <w:p>
            <w:pPr>
              <w:keepNext w:val="0"/>
              <w:keepLines w:val="0"/>
              <w:suppressLineNumbers w:val="0"/>
              <w:spacing w:before="0" w:beforeAutospacing="0" w:after="0" w:afterAutospacing="0" w:line="360" w:lineRule="auto"/>
              <w:ind w:left="0" w:leftChars="0" w:right="0" w:firstLine="42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（2）水平井（永进3-平16井）</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永进3-平16井</w:t>
            </w:r>
            <w:r>
              <w:rPr>
                <w:rFonts w:hint="default" w:ascii="Times New Roman" w:hAnsi="Times New Roman" w:eastAsia="宋体" w:cs="Times New Roman"/>
                <w:lang w:val="en-US" w:eastAsia="zh-CN"/>
              </w:rPr>
              <w:t>钻井液体系见表</w:t>
            </w:r>
            <w:r>
              <w:rPr>
                <w:rFonts w:hint="eastAsia" w:ascii="Times New Roman" w:hAnsi="Times New Roman" w:eastAsia="宋体" w:cs="Times New Roman"/>
                <w:lang w:val="en-US" w:eastAsia="zh-CN"/>
              </w:rPr>
              <w:t>2.9。</w:t>
            </w:r>
          </w:p>
          <w:p>
            <w:pPr>
              <w:keepNext w:val="0"/>
              <w:keepLines w:val="0"/>
              <w:widowControl w:val="0"/>
              <w:suppressLineNumbers w:val="0"/>
              <w:adjustRightInd w:val="0"/>
              <w:snapToGrid w:val="0"/>
              <w:spacing w:before="0" w:beforeAutospacing="0" w:after="0" w:afterAutospacing="0" w:line="240" w:lineRule="auto"/>
              <w:ind w:left="0" w:right="0"/>
              <w:jc w:val="center"/>
              <w:rPr>
                <w:rFonts w:hint="eastAsia" w:ascii="黑体" w:hAnsi="黑体" w:eastAsia="黑体" w:cs="黑体"/>
                <w:b w:val="0"/>
                <w:bCs/>
                <w:kern w:val="0"/>
                <w:sz w:val="21"/>
                <w:szCs w:val="21"/>
                <w:lang w:val="en-US" w:eastAsia="zh-CN" w:bidi="ar-SA"/>
              </w:rPr>
            </w:pPr>
            <w:r>
              <w:rPr>
                <w:rFonts w:hint="eastAsia" w:ascii="黑体" w:hAnsi="黑体" w:eastAsia="黑体" w:cs="黑体"/>
                <w:b w:val="0"/>
                <w:bCs/>
                <w:kern w:val="0"/>
                <w:sz w:val="21"/>
                <w:szCs w:val="21"/>
                <w:lang w:val="en-US" w:eastAsia="zh-CN" w:bidi="ar-SA"/>
              </w:rPr>
              <w:t>表2.9 永进3-平16井钻井液体系表</w:t>
            </w:r>
          </w:p>
          <w:tbl>
            <w:tblPr>
              <w:tblStyle w:val="20"/>
              <w:tblW w:w="43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78"/>
              <w:gridCol w:w="4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井段（m）</w:t>
                  </w:r>
                </w:p>
              </w:tc>
              <w:tc>
                <w:tcPr>
                  <w:tcW w:w="33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钻井液体系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jc w:val="center"/>
                    <w:textAlignment w:val="auto"/>
                    <w:rPr>
                      <w:rFonts w:hint="default"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0～801</w:t>
                  </w:r>
                </w:p>
              </w:tc>
              <w:tc>
                <w:tcPr>
                  <w:tcW w:w="33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jc w:val="center"/>
                    <w:textAlignment w:val="auto"/>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聚合物钻井液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jc w:val="center"/>
                    <w:textAlignment w:val="auto"/>
                    <w:rPr>
                      <w:rFonts w:hint="default"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801～2950</w:t>
                  </w:r>
                </w:p>
              </w:tc>
              <w:tc>
                <w:tcPr>
                  <w:tcW w:w="33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jc w:val="center"/>
                    <w:textAlignment w:val="auto"/>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聚合物钻井液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jc w:val="center"/>
                    <w:textAlignment w:val="auto"/>
                    <w:rPr>
                      <w:rFonts w:hint="default"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2950～4902</w:t>
                  </w:r>
                </w:p>
              </w:tc>
              <w:tc>
                <w:tcPr>
                  <w:tcW w:w="33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jc w:val="center"/>
                    <w:textAlignment w:val="auto"/>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胺基强抑制封堵防塌钻井液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61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jc w:val="center"/>
                    <w:textAlignment w:val="auto"/>
                    <w:rPr>
                      <w:rFonts w:hint="default"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4902～6967.19</w:t>
                  </w:r>
                </w:p>
              </w:tc>
              <w:tc>
                <w:tcPr>
                  <w:tcW w:w="33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480" w:right="0" w:hanging="480"/>
                    <w:jc w:val="center"/>
                    <w:textAlignment w:val="auto"/>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合成基钻井液</w:t>
                  </w:r>
                </w:p>
              </w:tc>
            </w:tr>
          </w:tbl>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永进3-平16井钻井材料消耗见表2.10。</w:t>
            </w:r>
          </w:p>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val="0"/>
                <w:bCs/>
                <w:kern w:val="0"/>
                <w:sz w:val="21"/>
                <w:szCs w:val="21"/>
                <w:lang w:val="en-US" w:eastAsia="zh-CN" w:bidi="ar-SA"/>
              </w:rPr>
            </w:pPr>
            <w:r>
              <w:rPr>
                <w:rFonts w:hint="default" w:ascii="Times New Roman" w:hAnsi="Times New Roman" w:eastAsia="黑体" w:cs="Times New Roman"/>
                <w:b w:val="0"/>
                <w:bCs/>
                <w:kern w:val="0"/>
                <w:sz w:val="21"/>
                <w:szCs w:val="21"/>
                <w:lang w:val="en-US" w:eastAsia="zh-CN" w:bidi="ar-SA"/>
              </w:rPr>
              <w:t>表</w:t>
            </w:r>
            <w:r>
              <w:rPr>
                <w:rFonts w:hint="eastAsia" w:ascii="Times New Roman" w:hAnsi="Times New Roman" w:eastAsia="黑体" w:cs="Times New Roman"/>
                <w:b w:val="0"/>
                <w:bCs/>
                <w:kern w:val="0"/>
                <w:sz w:val="21"/>
                <w:szCs w:val="21"/>
                <w:lang w:val="en-US" w:eastAsia="zh-CN" w:bidi="ar-SA"/>
              </w:rPr>
              <w:t>2.10 永进3-平16井</w:t>
            </w:r>
            <w:r>
              <w:rPr>
                <w:rFonts w:hint="default" w:ascii="Times New Roman" w:hAnsi="Times New Roman" w:eastAsia="黑体" w:cs="Times New Roman"/>
                <w:b w:val="0"/>
                <w:bCs/>
                <w:kern w:val="0"/>
                <w:sz w:val="21"/>
                <w:szCs w:val="21"/>
                <w:lang w:val="en-US" w:eastAsia="zh-CN" w:bidi="ar-SA"/>
              </w:rPr>
              <w:t>钻井液</w:t>
            </w:r>
            <w:r>
              <w:rPr>
                <w:rFonts w:hint="eastAsia" w:ascii="Times New Roman" w:hAnsi="Times New Roman" w:eastAsia="黑体" w:cs="Times New Roman"/>
                <w:b w:val="0"/>
                <w:bCs/>
                <w:kern w:val="0"/>
                <w:sz w:val="21"/>
                <w:szCs w:val="21"/>
                <w:lang w:val="en-US" w:eastAsia="zh-CN" w:bidi="ar-SA"/>
              </w:rPr>
              <w:t>材料消耗</w:t>
            </w:r>
            <w:r>
              <w:rPr>
                <w:rFonts w:hint="default" w:ascii="Times New Roman" w:hAnsi="Times New Roman" w:eastAsia="黑体" w:cs="Times New Roman"/>
                <w:b w:val="0"/>
                <w:bCs/>
                <w:kern w:val="0"/>
                <w:sz w:val="21"/>
                <w:szCs w:val="21"/>
                <w:lang w:val="en-US" w:eastAsia="zh-CN" w:bidi="ar-SA"/>
              </w:rPr>
              <w:t>表</w:t>
            </w:r>
          </w:p>
          <w:tbl>
            <w:tblPr>
              <w:tblStyle w:val="20"/>
              <w:tblW w:w="7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3832"/>
              <w:gridCol w:w="654"/>
              <w:gridCol w:w="682"/>
              <w:gridCol w:w="723"/>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序</w:t>
                  </w:r>
                </w:p>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号</w:t>
                  </w:r>
                </w:p>
              </w:tc>
              <w:tc>
                <w:tcPr>
                  <w:tcW w:w="383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材料名称及代号</w:t>
                  </w:r>
                </w:p>
              </w:tc>
              <w:tc>
                <w:tcPr>
                  <w:tcW w:w="2059"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数量（t）</w:t>
                  </w:r>
                </w:p>
              </w:tc>
              <w:tc>
                <w:tcPr>
                  <w:tcW w:w="71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合计</w:t>
                  </w:r>
                </w:p>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p>
              </w:tc>
              <w:tc>
                <w:tcPr>
                  <w:tcW w:w="383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一开</w:t>
                  </w: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二开</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三开</w:t>
                  </w:r>
                </w:p>
              </w:tc>
              <w:tc>
                <w:tcPr>
                  <w:tcW w:w="71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1</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膨润土</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40</w:t>
                  </w: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10</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2</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工业用氢氧化钠</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4</w:t>
                  </w: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1</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3</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碳酸钠</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1</w:t>
                  </w: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2</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4</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钻井液用聚丙烯酰胺</w:t>
                  </w:r>
                  <w:r>
                    <w:rPr>
                      <w:rFonts w:hint="default"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或聚丙烯酸钾</w:t>
                  </w:r>
                  <w:r>
                    <w:rPr>
                      <w:rFonts w:hint="default" w:ascii="Times New Roman" w:hAnsi="Times New Roman" w:eastAsia="宋体" w:cs="Times New Roman"/>
                      <w:kern w:val="2"/>
                      <w:sz w:val="21"/>
                      <w:szCs w:val="24"/>
                      <w:lang w:val="en-US" w:eastAsia="zh-CN" w:bidi="ar-SA"/>
                    </w:rPr>
                    <w:t>)</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3</w:t>
                  </w: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5</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5</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钻井液用改性铵盐</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2</w:t>
                  </w: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8</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6</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钻井液用胺基聚醇</w:t>
                  </w:r>
                  <w:r>
                    <w:rPr>
                      <w:rFonts w:hint="default"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或胺基硅醇</w:t>
                  </w:r>
                  <w:r>
                    <w:rPr>
                      <w:rFonts w:hint="default" w:ascii="Times New Roman" w:hAnsi="Times New Roman" w:eastAsia="宋体" w:cs="Times New Roman"/>
                      <w:kern w:val="2"/>
                      <w:sz w:val="21"/>
                      <w:szCs w:val="24"/>
                      <w:lang w:val="en-US" w:eastAsia="zh-CN" w:bidi="ar-SA"/>
                    </w:rPr>
                    <w:t>)</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8</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7</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left"/>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钻井液用低黏聚阴离子纤维素</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1</w:t>
                  </w: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4</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8</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钻井液用抗高温抗盐防塌降滤失剂</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20</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9</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钻井液用抗盐抗温降滤失剂</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5</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10</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钻井液用高黏聚阴离子纤维素</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1</w:t>
                  </w: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2</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11</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钻井液用低荧光井壁稳定剂</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5</w:t>
                  </w: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15</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12</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钻井液用多级配填充封堵剂</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20</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13</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钻井液用无荧光防塌剂</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20</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14</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钻井液用乳化石蜡</w:t>
                  </w:r>
                  <w:r>
                    <w:rPr>
                      <w:rFonts w:hint="default"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或纳米乳液或纳米聚酯</w:t>
                  </w:r>
                  <w:r>
                    <w:rPr>
                      <w:rFonts w:hint="default" w:ascii="Times New Roman" w:hAnsi="Times New Roman" w:eastAsia="宋体" w:cs="Times New Roman"/>
                      <w:kern w:val="2"/>
                      <w:sz w:val="21"/>
                      <w:szCs w:val="24"/>
                      <w:lang w:val="en-US" w:eastAsia="zh-CN" w:bidi="ar-SA"/>
                    </w:rPr>
                    <w:t>)</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5</w:t>
                  </w: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15</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15</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钻井液用多枝化酚醛树脂</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20</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16</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钻井液用无荧光白油润滑剂</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8</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17</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钻井液用硅氟类降黏剂</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5</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18</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钻井液用有机硅稳定剂</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5</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19</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钻井液用聚合醇Ⅰ型</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8</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20</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钻井液用固体润滑剂</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5</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21</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钻井液用羟基铝抑制防塌剂</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12</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宋体"/>
                      <w:kern w:val="2"/>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22</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合成基钻井液</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682"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608</w:t>
                  </w: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6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default" w:ascii="Times New Roman" w:hAnsi="Times New Roman" w:eastAsia="宋体" w:cs="宋体"/>
                      <w:b w:val="0"/>
                      <w:bCs w:val="0"/>
                      <w:kern w:val="2"/>
                      <w:sz w:val="21"/>
                      <w:szCs w:val="20"/>
                      <w:lang w:val="en-US" w:eastAsia="zh-CN" w:bidi="ar-SA"/>
                    </w:rPr>
                  </w:pPr>
                  <w:r>
                    <w:rPr>
                      <w:rFonts w:hint="default" w:ascii="Times New Roman" w:hAnsi="Times New Roman" w:eastAsia="宋体" w:cs="宋体"/>
                      <w:b w:val="0"/>
                      <w:bCs w:val="0"/>
                      <w:kern w:val="2"/>
                      <w:sz w:val="21"/>
                      <w:szCs w:val="20"/>
                      <w:lang w:val="en-US" w:eastAsia="zh-CN" w:bidi="ar-SA"/>
                    </w:rPr>
                    <w:t>2</w:t>
                  </w:r>
                  <w:r>
                    <w:rPr>
                      <w:rFonts w:hint="eastAsia" w:ascii="Times New Roman" w:hAnsi="Times New Roman" w:eastAsia="宋体" w:cs="宋体"/>
                      <w:b w:val="0"/>
                      <w:bCs w:val="0"/>
                      <w:kern w:val="2"/>
                      <w:sz w:val="21"/>
                      <w:szCs w:val="20"/>
                      <w:lang w:val="en-US" w:eastAsia="zh-CN" w:bidi="ar-SA"/>
                    </w:rPr>
                    <w:t>3</w:t>
                  </w:r>
                </w:p>
              </w:tc>
              <w:tc>
                <w:tcPr>
                  <w:tcW w:w="383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leftChars="-5" w:right="0" w:hanging="10" w:hangingChars="5"/>
                    <w:jc w:val="left"/>
                    <w:rPr>
                      <w:rFonts w:hint="default" w:ascii="Times New Roman" w:hAnsi="Times New Roman" w:eastAsia="宋体" w:cs="宋体"/>
                      <w:b w:val="0"/>
                      <w:bCs w:val="0"/>
                      <w:kern w:val="2"/>
                      <w:sz w:val="21"/>
                      <w:szCs w:val="20"/>
                      <w:lang w:val="en-US" w:eastAsia="zh-CN" w:bidi="ar-SA"/>
                    </w:rPr>
                  </w:pPr>
                  <w:r>
                    <w:rPr>
                      <w:rFonts w:hint="eastAsia" w:ascii="Times New Roman" w:hAnsi="Times New Roman" w:eastAsia="宋体" w:cs="宋体"/>
                      <w:b w:val="0"/>
                      <w:bCs w:val="0"/>
                      <w:kern w:val="2"/>
                      <w:sz w:val="21"/>
                      <w:szCs w:val="20"/>
                      <w:lang w:val="en-US" w:eastAsia="zh-CN" w:bidi="ar-SA"/>
                    </w:rPr>
                    <w:t>钻井液用重晶石粉</w:t>
                  </w:r>
                </w:p>
              </w:tc>
              <w:tc>
                <w:tcPr>
                  <w:tcW w:w="65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kern w:val="2"/>
                      <w:sz w:val="21"/>
                      <w:szCs w:val="24"/>
                      <w:lang w:val="en-US" w:eastAsia="zh-CN" w:bidi="ar-SA"/>
                    </w:rPr>
                  </w:pPr>
                </w:p>
              </w:tc>
              <w:tc>
                <w:tcPr>
                  <w:tcW w:w="140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kern w:val="2"/>
                      <w:sz w:val="21"/>
                      <w:szCs w:val="24"/>
                      <w:lang w:val="en-US" w:eastAsia="zh-CN" w:bidi="ar-SA"/>
                    </w:rPr>
                  </w:pPr>
                  <w:r>
                    <w:rPr>
                      <w:rFonts w:hint="default" w:ascii="Times New Roman" w:hAnsi="Times New Roman" w:eastAsia="宋体" w:cs="宋体"/>
                      <w:kern w:val="2"/>
                      <w:sz w:val="21"/>
                      <w:szCs w:val="21"/>
                      <w:lang w:val="en-US" w:eastAsia="zh-CN" w:bidi="ar"/>
                    </w:rPr>
                    <w:t>2340</w:t>
                  </w:r>
                </w:p>
              </w:tc>
              <w:tc>
                <w:tcPr>
                  <w:tcW w:w="718"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1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宋体"/>
                      <w:kern w:val="2"/>
                      <w:sz w:val="21"/>
                      <w:szCs w:val="21"/>
                      <w:lang w:val="en-US" w:eastAsia="zh-CN" w:bidi="ar"/>
                    </w:rPr>
                    <w:t>2340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76" w:type="dxa"/>
                  <w:gridSpan w:val="6"/>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left"/>
                    <w:rPr>
                      <w:rFonts w:hint="default" w:ascii="Times New Roman" w:hAnsi="Times New Roman" w:eastAsia="宋体" w:cs="宋体"/>
                      <w:b w:val="0"/>
                      <w:bCs w:val="0"/>
                      <w:kern w:val="2"/>
                      <w:sz w:val="21"/>
                      <w:szCs w:val="20"/>
                      <w:lang w:val="en-US" w:eastAsia="zh-CN" w:bidi="ar-SA"/>
                    </w:rPr>
                  </w:pPr>
                  <w:r>
                    <w:rPr>
                      <w:rFonts w:hint="eastAsia" w:ascii="Times New Roman" w:hAnsi="Times New Roman" w:eastAsia="宋体" w:cs="宋体"/>
                      <w:b w:val="0"/>
                      <w:bCs w:val="0"/>
                      <w:kern w:val="44"/>
                      <w:sz w:val="22"/>
                      <w:szCs w:val="20"/>
                      <w:lang w:val="en-US" w:eastAsia="zh-CN" w:bidi="ar-SA"/>
                    </w:rPr>
                    <w:t>注:表中材料可用其它同类材料替代</w:t>
                  </w:r>
                </w:p>
              </w:tc>
            </w:tr>
          </w:tbl>
          <w:p>
            <w:pPr>
              <w:keepNext w:val="0"/>
              <w:keepLines w:val="0"/>
              <w:suppressLineNumbers w:val="0"/>
              <w:spacing w:before="0" w:beforeAutospacing="0" w:after="0" w:afterAutospacing="0" w:line="360" w:lineRule="auto"/>
              <w:ind w:left="0" w:leftChars="0" w:right="0" w:firstLine="422" w:firstLineChars="200"/>
              <w:rPr>
                <w:rFonts w:hint="eastAsia" w:ascii="Times New Roman" w:hAnsi="Times New Roman" w:eastAsia="宋体" w:cs="Times New Roman"/>
                <w:lang w:val="en-US" w:eastAsia="zh-CN"/>
              </w:rPr>
            </w:pPr>
            <w:r>
              <w:rPr>
                <w:rFonts w:hint="eastAsia" w:ascii="Times New Roman" w:hAnsi="Times New Roman" w:eastAsia="宋体" w:cs="Times New Roman"/>
                <w:b/>
                <w:bCs/>
                <w:lang w:val="en-US" w:eastAsia="zh-CN"/>
              </w:rPr>
              <w:t>（3）斜井（永进3-斜11井、永进3-斜12井、永进3-斜14井、永进3-斜17井）</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永进3-斜11井、永进3-斜12井、永进3-斜14井、永进3-斜17井等斜井</w:t>
            </w:r>
            <w:r>
              <w:rPr>
                <w:rFonts w:hint="default" w:ascii="Times New Roman" w:hAnsi="Times New Roman" w:eastAsia="宋体" w:cs="Times New Roman"/>
                <w:lang w:val="en-US" w:eastAsia="zh-CN"/>
              </w:rPr>
              <w:t>钻井液体系见表</w:t>
            </w:r>
            <w:r>
              <w:rPr>
                <w:rFonts w:hint="eastAsia" w:ascii="Times New Roman" w:hAnsi="Times New Roman" w:eastAsia="宋体" w:cs="Times New Roman"/>
                <w:lang w:val="en-US" w:eastAsia="zh-CN"/>
              </w:rPr>
              <w:t>2.11。</w:t>
            </w:r>
          </w:p>
          <w:p>
            <w:pPr>
              <w:keepNext w:val="0"/>
              <w:keepLines w:val="0"/>
              <w:widowControl w:val="0"/>
              <w:suppressLineNumbers w:val="0"/>
              <w:adjustRightInd w:val="0"/>
              <w:snapToGrid w:val="0"/>
              <w:spacing w:before="0" w:beforeAutospacing="0" w:after="0" w:afterAutospacing="0" w:line="240" w:lineRule="auto"/>
              <w:ind w:left="0" w:right="0"/>
              <w:jc w:val="center"/>
              <w:rPr>
                <w:rFonts w:hint="eastAsia" w:ascii="黑体" w:hAnsi="黑体" w:eastAsia="黑体" w:cs="黑体"/>
                <w:b w:val="0"/>
                <w:bCs/>
                <w:kern w:val="0"/>
                <w:sz w:val="21"/>
                <w:szCs w:val="21"/>
                <w:lang w:val="en-US" w:eastAsia="zh-CN" w:bidi="ar-SA"/>
              </w:rPr>
            </w:pPr>
            <w:r>
              <w:rPr>
                <w:rFonts w:hint="eastAsia" w:ascii="黑体" w:hAnsi="黑体" w:eastAsia="黑体" w:cs="黑体"/>
                <w:b w:val="0"/>
                <w:bCs/>
                <w:kern w:val="0"/>
                <w:sz w:val="21"/>
                <w:szCs w:val="21"/>
                <w:lang w:val="en-US" w:eastAsia="zh-CN" w:bidi="ar-SA"/>
              </w:rPr>
              <w:t>表2.11 斜井单井钻井液体系表</w:t>
            </w:r>
          </w:p>
          <w:tbl>
            <w:tblPr>
              <w:tblStyle w:val="20"/>
              <w:tblW w:w="47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78"/>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148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井段（m）</w:t>
                  </w:r>
                </w:p>
              </w:tc>
              <w:tc>
                <w:tcPr>
                  <w:tcW w:w="351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钻井液体系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148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leftChars="0" w:right="0" w:rightChars="0" w:hanging="480" w:firstLineChars="0"/>
                    <w:jc w:val="center"/>
                    <w:textAlignment w:val="auto"/>
                    <w:rPr>
                      <w:rFonts w:hint="default" w:ascii="Times New Roman" w:hAnsi="Times New Roman" w:eastAsia="宋体" w:cs="宋体"/>
                      <w:kern w:val="2"/>
                      <w:sz w:val="21"/>
                      <w:szCs w:val="20"/>
                      <w:lang w:val="en-US" w:eastAsia="zh-CN" w:bidi="ar-SA"/>
                    </w:rPr>
                  </w:pPr>
                  <w:r>
                    <w:rPr>
                      <w:rFonts w:hint="default" w:ascii="Times New Roman" w:hAnsi="Times New Roman" w:eastAsia="宋体" w:cs="Times New Roman"/>
                      <w:kern w:val="2"/>
                      <w:sz w:val="21"/>
                      <w:szCs w:val="21"/>
                      <w:lang w:val="en-US" w:eastAsia="zh-CN" w:bidi="ar"/>
                    </w:rPr>
                    <w:t>0</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801</w:t>
                  </w:r>
                </w:p>
              </w:tc>
              <w:tc>
                <w:tcPr>
                  <w:tcW w:w="351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leftChars="0" w:right="0" w:rightChars="0" w:hanging="480" w:firstLineChars="0"/>
                    <w:jc w:val="center"/>
                    <w:textAlignment w:val="auto"/>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1"/>
                      <w:lang w:val="en-US" w:eastAsia="zh-CN" w:bidi="ar"/>
                    </w:rPr>
                    <w:t>聚合物钻井液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148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leftChars="0" w:right="0" w:rightChars="0" w:hanging="480" w:firstLineChars="0"/>
                    <w:jc w:val="center"/>
                    <w:textAlignment w:val="auto"/>
                    <w:rPr>
                      <w:rFonts w:hint="default" w:ascii="Times New Roman" w:hAnsi="Times New Roman" w:eastAsia="宋体" w:cs="宋体"/>
                      <w:kern w:val="2"/>
                      <w:sz w:val="21"/>
                      <w:szCs w:val="20"/>
                      <w:lang w:val="en-US" w:eastAsia="zh-CN" w:bidi="ar-SA"/>
                    </w:rPr>
                  </w:pPr>
                  <w:r>
                    <w:rPr>
                      <w:rFonts w:hint="default" w:ascii="Times New Roman" w:hAnsi="Times New Roman" w:eastAsia="宋体" w:cs="Times New Roman"/>
                      <w:kern w:val="2"/>
                      <w:sz w:val="21"/>
                      <w:szCs w:val="21"/>
                      <w:lang w:val="en-US" w:eastAsia="zh-CN" w:bidi="ar"/>
                    </w:rPr>
                    <w:t>801</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3120</w:t>
                  </w:r>
                </w:p>
              </w:tc>
              <w:tc>
                <w:tcPr>
                  <w:tcW w:w="351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leftChars="0" w:right="0" w:rightChars="0" w:hanging="480" w:firstLineChars="0"/>
                    <w:jc w:val="center"/>
                    <w:textAlignment w:val="auto"/>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1"/>
                      <w:lang w:val="en-US" w:eastAsia="zh-CN" w:bidi="ar"/>
                    </w:rPr>
                    <w:t>聚合物钻井液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148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leftChars="0" w:right="0" w:rightChars="0" w:hanging="480" w:firstLineChars="0"/>
                    <w:jc w:val="center"/>
                    <w:textAlignment w:val="auto"/>
                    <w:rPr>
                      <w:rFonts w:hint="default" w:ascii="Times New Roman" w:hAnsi="Times New Roman" w:eastAsia="宋体" w:cs="宋体"/>
                      <w:kern w:val="2"/>
                      <w:sz w:val="21"/>
                      <w:szCs w:val="20"/>
                      <w:lang w:val="en-US" w:eastAsia="zh-CN" w:bidi="ar-SA"/>
                    </w:rPr>
                  </w:pPr>
                  <w:r>
                    <w:rPr>
                      <w:rFonts w:hint="default" w:ascii="Times New Roman" w:hAnsi="Times New Roman" w:eastAsia="宋体" w:cs="Times New Roman"/>
                      <w:kern w:val="2"/>
                      <w:sz w:val="21"/>
                      <w:szCs w:val="21"/>
                      <w:lang w:val="en-US" w:eastAsia="zh-CN" w:bidi="ar"/>
                    </w:rPr>
                    <w:t>3120</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4802</w:t>
                  </w:r>
                </w:p>
              </w:tc>
              <w:tc>
                <w:tcPr>
                  <w:tcW w:w="351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leftChars="0" w:right="0" w:rightChars="0" w:hanging="480" w:firstLineChars="0"/>
                    <w:jc w:val="center"/>
                    <w:textAlignment w:val="auto"/>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1"/>
                      <w:lang w:val="en-US" w:eastAsia="zh-CN" w:bidi="ar"/>
                    </w:rPr>
                    <w:t>胺基强抑制（润滑）封堵防塌钻井液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148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leftChars="0" w:right="0" w:rightChars="0" w:hanging="480" w:firstLineChars="0"/>
                    <w:jc w:val="center"/>
                    <w:textAlignment w:val="auto"/>
                    <w:rPr>
                      <w:rFonts w:hint="default" w:ascii="Times New Roman" w:hAnsi="Times New Roman" w:eastAsia="宋体" w:cs="宋体"/>
                      <w:kern w:val="2"/>
                      <w:sz w:val="21"/>
                      <w:szCs w:val="20"/>
                      <w:lang w:val="en-US" w:eastAsia="zh-CN" w:bidi="ar-SA"/>
                    </w:rPr>
                  </w:pPr>
                  <w:r>
                    <w:rPr>
                      <w:rFonts w:hint="default" w:ascii="Times New Roman" w:hAnsi="Times New Roman" w:eastAsia="宋体" w:cs="Times New Roman"/>
                      <w:kern w:val="2"/>
                      <w:sz w:val="21"/>
                      <w:szCs w:val="21"/>
                      <w:lang w:val="en-US" w:eastAsia="zh-CN" w:bidi="ar"/>
                    </w:rPr>
                    <w:t>4802</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5699</w:t>
                  </w:r>
                </w:p>
              </w:tc>
              <w:tc>
                <w:tcPr>
                  <w:tcW w:w="351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0" w:leftChars="0" w:right="0" w:rightChars="0" w:hanging="480" w:firstLineChars="0"/>
                    <w:jc w:val="center"/>
                    <w:textAlignment w:val="auto"/>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1"/>
                      <w:lang w:val="en-US" w:eastAsia="zh-CN" w:bidi="ar"/>
                    </w:rPr>
                    <w:t>合成基钻井液</w:t>
                  </w:r>
                </w:p>
              </w:tc>
            </w:tr>
          </w:tbl>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永进3-斜11井、永进3-斜12井、永进3-斜14井、永进3-斜17井等斜井钻井材料消耗见表2.12。</w:t>
            </w:r>
          </w:p>
          <w:p>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黑体" w:cs="Times New Roman"/>
                <w:b w:val="0"/>
                <w:bCs/>
                <w:kern w:val="0"/>
                <w:sz w:val="21"/>
                <w:szCs w:val="21"/>
                <w:lang w:val="en-US" w:eastAsia="zh-CN" w:bidi="ar-SA"/>
              </w:rPr>
            </w:pPr>
            <w:r>
              <w:rPr>
                <w:rFonts w:hint="default" w:ascii="Times New Roman" w:hAnsi="Times New Roman" w:eastAsia="黑体" w:cs="Times New Roman"/>
                <w:b w:val="0"/>
                <w:bCs/>
                <w:kern w:val="0"/>
                <w:sz w:val="21"/>
                <w:szCs w:val="21"/>
                <w:lang w:val="en-US" w:eastAsia="zh-CN" w:bidi="ar-SA"/>
              </w:rPr>
              <w:t>表</w:t>
            </w:r>
            <w:r>
              <w:rPr>
                <w:rFonts w:hint="eastAsia" w:ascii="Times New Roman" w:hAnsi="Times New Roman" w:eastAsia="黑体" w:cs="Times New Roman"/>
                <w:b w:val="0"/>
                <w:bCs/>
                <w:kern w:val="0"/>
                <w:sz w:val="21"/>
                <w:szCs w:val="21"/>
                <w:lang w:val="en-US" w:eastAsia="zh-CN" w:bidi="ar-SA"/>
              </w:rPr>
              <w:t>2.12 斜井</w:t>
            </w:r>
            <w:r>
              <w:rPr>
                <w:rFonts w:hint="default" w:ascii="Times New Roman" w:hAnsi="Times New Roman" w:eastAsia="黑体" w:cs="Times New Roman"/>
                <w:b w:val="0"/>
                <w:bCs/>
                <w:kern w:val="0"/>
                <w:sz w:val="21"/>
                <w:szCs w:val="21"/>
                <w:lang w:val="en-US" w:eastAsia="zh-CN" w:bidi="ar-SA"/>
              </w:rPr>
              <w:t>钻井液</w:t>
            </w:r>
            <w:r>
              <w:rPr>
                <w:rFonts w:hint="eastAsia" w:ascii="Times New Roman" w:hAnsi="Times New Roman" w:eastAsia="黑体" w:cs="Times New Roman"/>
                <w:b w:val="0"/>
                <w:bCs/>
                <w:kern w:val="0"/>
                <w:sz w:val="21"/>
                <w:szCs w:val="21"/>
                <w:lang w:val="en-US" w:eastAsia="zh-CN" w:bidi="ar-SA"/>
              </w:rPr>
              <w:t>材料消耗</w:t>
            </w:r>
            <w:r>
              <w:rPr>
                <w:rFonts w:hint="default" w:ascii="Times New Roman" w:hAnsi="Times New Roman" w:eastAsia="黑体" w:cs="Times New Roman"/>
                <w:b w:val="0"/>
                <w:bCs/>
                <w:kern w:val="0"/>
                <w:sz w:val="21"/>
                <w:szCs w:val="21"/>
                <w:lang w:val="en-US" w:eastAsia="zh-CN" w:bidi="ar-SA"/>
              </w:rPr>
              <w:t>表</w:t>
            </w:r>
          </w:p>
          <w:tbl>
            <w:tblPr>
              <w:tblStyle w:val="20"/>
              <w:tblW w:w="7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3430"/>
              <w:gridCol w:w="640"/>
              <w:gridCol w:w="660"/>
              <w:gridCol w:w="675"/>
              <w:gridCol w:w="723"/>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序</w:t>
                  </w:r>
                </w:p>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号</w:t>
                  </w:r>
                </w:p>
              </w:tc>
              <w:tc>
                <w:tcPr>
                  <w:tcW w:w="343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材料名称及代号</w:t>
                  </w:r>
                </w:p>
              </w:tc>
              <w:tc>
                <w:tcPr>
                  <w:tcW w:w="1975"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数量（t）</w:t>
                  </w:r>
                </w:p>
              </w:tc>
              <w:tc>
                <w:tcPr>
                  <w:tcW w:w="723"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单井合计</w:t>
                  </w:r>
                </w:p>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（t）</w:t>
                  </w:r>
                </w:p>
              </w:tc>
              <w:tc>
                <w:tcPr>
                  <w:tcW w:w="723" w:type="dxa"/>
                  <w:vMerge w:val="restart"/>
                  <w:tcBorders>
                    <w:top w:val="single" w:color="auto" w:sz="4" w:space="0"/>
                    <w:left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4口井合计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p>
              </w:tc>
              <w:tc>
                <w:tcPr>
                  <w:tcW w:w="343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一开</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二开</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三开</w:t>
                  </w:r>
                </w:p>
              </w:tc>
              <w:tc>
                <w:tcPr>
                  <w:tcW w:w="72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szCs w:val="24"/>
                      <w:lang w:val="en-US" w:eastAsia="zh-CN" w:bidi="ar-SA"/>
                    </w:rPr>
                  </w:pPr>
                </w:p>
              </w:tc>
              <w:tc>
                <w:tcPr>
                  <w:tcW w:w="723" w:type="dxa"/>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center"/>
                    <w:rPr>
                      <w:rFonts w:hint="eastAsia" w:ascii="Times New Roman" w:hAnsi="Times New Roman"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1</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膨润土</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40</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50</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2</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工业用氢氧化钠</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3</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碳酸钠</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4</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spacing w:val="-6"/>
                      <w:kern w:val="2"/>
                      <w:sz w:val="21"/>
                      <w:szCs w:val="24"/>
                      <w:lang w:val="en-US" w:eastAsia="zh-CN" w:bidi="ar-SA"/>
                    </w:rPr>
                    <w:t>钻井液用聚丙烯酰胺</w:t>
                  </w:r>
                  <w:r>
                    <w:rPr>
                      <w:rFonts w:hint="default" w:ascii="Times New Roman" w:hAnsi="Times New Roman" w:eastAsia="宋体" w:cs="Times New Roman"/>
                      <w:spacing w:val="-6"/>
                      <w:kern w:val="2"/>
                      <w:sz w:val="21"/>
                      <w:szCs w:val="24"/>
                      <w:lang w:val="en-US" w:eastAsia="zh-CN" w:bidi="ar-SA"/>
                    </w:rPr>
                    <w:t>(</w:t>
                  </w:r>
                  <w:r>
                    <w:rPr>
                      <w:rFonts w:hint="eastAsia" w:ascii="Times New Roman" w:hAnsi="Times New Roman" w:eastAsia="宋体" w:cs="Times New Roman"/>
                      <w:spacing w:val="-6"/>
                      <w:kern w:val="2"/>
                      <w:sz w:val="21"/>
                      <w:szCs w:val="24"/>
                      <w:lang w:val="en-US" w:eastAsia="zh-CN" w:bidi="ar-SA"/>
                    </w:rPr>
                    <w:t>或聚丙烯酸钾</w:t>
                  </w:r>
                  <w:r>
                    <w:rPr>
                      <w:rFonts w:hint="default" w:ascii="Times New Roman" w:hAnsi="Times New Roman" w:eastAsia="宋体" w:cs="Times New Roman"/>
                      <w:spacing w:val="-6"/>
                      <w:kern w:val="2"/>
                      <w:sz w:val="21"/>
                      <w:szCs w:val="24"/>
                      <w:lang w:val="en-US" w:eastAsia="zh-CN" w:bidi="ar-SA"/>
                    </w:rPr>
                    <w:t>)</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3</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5</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钻井液用改性铵盐</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8</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6</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钻井液用胺基聚醇</w:t>
                  </w:r>
                  <w:r>
                    <w:rPr>
                      <w:rFonts w:hint="default"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或胺基硅醇</w:t>
                  </w:r>
                  <w:r>
                    <w:rPr>
                      <w:rFonts w:hint="default" w:ascii="Times New Roman" w:hAnsi="Times New Roman" w:eastAsia="宋体" w:cs="Times New Roman"/>
                      <w:kern w:val="2"/>
                      <w:sz w:val="21"/>
                      <w:szCs w:val="24"/>
                      <w:lang w:val="en-US" w:eastAsia="zh-CN" w:bidi="ar-SA"/>
                    </w:rPr>
                    <w:t>)</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8</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7</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left"/>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钻井液用低黏聚阴离子纤维素</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1</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8</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钻井液用抗高温抗盐防塌降滤失剂</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9</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钻井液用抗盐抗温降滤失剂</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10</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钻井液用高黏聚阴离子纤维素</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1</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11</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钻井液用低荧光井壁稳定剂</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12</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钻井液用多级配填充封堵剂</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13</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钻井液用无荧光防塌剂</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14</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钻井液用乳化石蜡</w:t>
                  </w:r>
                  <w:r>
                    <w:rPr>
                      <w:rFonts w:hint="default"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或纳米乳液或纳米聚酯</w:t>
                  </w:r>
                  <w:r>
                    <w:rPr>
                      <w:rFonts w:hint="default" w:ascii="Times New Roman" w:hAnsi="Times New Roman" w:eastAsia="宋体" w:cs="Times New Roman"/>
                      <w:kern w:val="2"/>
                      <w:sz w:val="21"/>
                      <w:szCs w:val="24"/>
                      <w:lang w:val="en-US" w:eastAsia="zh-CN" w:bidi="ar-SA"/>
                    </w:rPr>
                    <w:t>)</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default" w:ascii="Times New Roman" w:hAnsi="Times New Roman" w:eastAsia="宋体" w:cs="宋体"/>
                      <w:kern w:val="2"/>
                      <w:sz w:val="21"/>
                      <w:szCs w:val="20"/>
                      <w:lang w:val="en-US" w:eastAsia="zh-CN" w:bidi="ar-SA"/>
                    </w:rPr>
                    <w:t>15</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钻井液用多枝化酚醛树脂</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16</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钻井液用无荧光白油润滑剂</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17</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钻井液用硅氟类降黏剂</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18</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钻井液用有机硅稳定剂</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19</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钻井液用聚合醇Ⅰ型</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20</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钻井液用固体润滑剂</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21</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钻井液用羟基铝抑制防塌剂</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w:t>
                  </w: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eastAsia"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22</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both"/>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合成基钻井液</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kern w:val="2"/>
                      <w:sz w:val="21"/>
                      <w:szCs w:val="24"/>
                      <w:lang w:val="en-US" w:eastAsia="zh-CN" w:bidi="ar-SA"/>
                    </w:rPr>
                  </w:pPr>
                </w:p>
              </w:tc>
              <w:tc>
                <w:tcPr>
                  <w:tcW w:w="66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p>
              </w:tc>
              <w:tc>
                <w:tcPr>
                  <w:tcW w:w="67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宋体"/>
                      <w:kern w:val="2"/>
                      <w:sz w:val="21"/>
                      <w:szCs w:val="21"/>
                      <w:lang w:val="en-US" w:eastAsia="zh-CN" w:bidi="ar"/>
                    </w:rPr>
                    <w:t>432</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432</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center"/>
                    <w:rPr>
                      <w:rFonts w:hint="default" w:ascii="Times New Roman" w:hAnsi="Times New Roman" w:eastAsia="宋体" w:cs="宋体"/>
                      <w:b w:val="0"/>
                      <w:bCs w:val="0"/>
                      <w:kern w:val="2"/>
                      <w:sz w:val="21"/>
                      <w:szCs w:val="20"/>
                      <w:lang w:val="en-US" w:eastAsia="zh-CN" w:bidi="ar-SA"/>
                    </w:rPr>
                  </w:pPr>
                  <w:r>
                    <w:rPr>
                      <w:rFonts w:hint="default" w:ascii="Times New Roman" w:hAnsi="Times New Roman" w:eastAsia="宋体" w:cs="宋体"/>
                      <w:b w:val="0"/>
                      <w:bCs w:val="0"/>
                      <w:kern w:val="2"/>
                      <w:sz w:val="21"/>
                      <w:szCs w:val="20"/>
                      <w:lang w:val="en-US" w:eastAsia="zh-CN" w:bidi="ar-SA"/>
                    </w:rPr>
                    <w:t>2</w:t>
                  </w:r>
                  <w:r>
                    <w:rPr>
                      <w:rFonts w:hint="eastAsia" w:ascii="Times New Roman" w:hAnsi="Times New Roman" w:eastAsia="宋体" w:cs="宋体"/>
                      <w:b w:val="0"/>
                      <w:bCs w:val="0"/>
                      <w:kern w:val="2"/>
                      <w:sz w:val="21"/>
                      <w:szCs w:val="20"/>
                      <w:lang w:val="en-US" w:eastAsia="zh-CN" w:bidi="ar-SA"/>
                    </w:rPr>
                    <w:t>3</w:t>
                  </w:r>
                </w:p>
              </w:tc>
              <w:tc>
                <w:tcPr>
                  <w:tcW w:w="343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leftChars="-5" w:right="0" w:hanging="10" w:hangingChars="5"/>
                    <w:jc w:val="left"/>
                    <w:rPr>
                      <w:rFonts w:hint="default" w:ascii="Times New Roman" w:hAnsi="Times New Roman" w:eastAsia="宋体" w:cs="宋体"/>
                      <w:b w:val="0"/>
                      <w:bCs w:val="0"/>
                      <w:kern w:val="2"/>
                      <w:sz w:val="21"/>
                      <w:szCs w:val="20"/>
                      <w:lang w:val="en-US" w:eastAsia="zh-CN" w:bidi="ar-SA"/>
                    </w:rPr>
                  </w:pPr>
                  <w:r>
                    <w:rPr>
                      <w:rFonts w:hint="eastAsia" w:ascii="Times New Roman" w:hAnsi="Times New Roman" w:eastAsia="宋体" w:cs="宋体"/>
                      <w:b w:val="0"/>
                      <w:bCs w:val="0"/>
                      <w:kern w:val="2"/>
                      <w:sz w:val="21"/>
                      <w:szCs w:val="20"/>
                      <w:lang w:val="en-US" w:eastAsia="zh-CN" w:bidi="ar-SA"/>
                    </w:rPr>
                    <w:t>钻井液用重晶石粉</w:t>
                  </w:r>
                </w:p>
              </w:tc>
              <w:tc>
                <w:tcPr>
                  <w:tcW w:w="640"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kern w:val="2"/>
                      <w:sz w:val="21"/>
                      <w:szCs w:val="24"/>
                      <w:lang w:val="en-US" w:eastAsia="zh-CN" w:bidi="ar-SA"/>
                    </w:rPr>
                  </w:pPr>
                </w:p>
              </w:tc>
              <w:tc>
                <w:tcPr>
                  <w:tcW w:w="133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kern w:val="2"/>
                      <w:sz w:val="21"/>
                      <w:szCs w:val="24"/>
                      <w:lang w:val="en-US" w:eastAsia="zh-CN" w:bidi="ar-SA"/>
                    </w:rPr>
                  </w:pPr>
                  <w:r>
                    <w:rPr>
                      <w:rFonts w:hint="eastAsia" w:ascii="Times New Roman" w:hAnsi="Times New Roman" w:eastAsia="宋体" w:cs="宋体"/>
                      <w:kern w:val="2"/>
                      <w:sz w:val="21"/>
                      <w:szCs w:val="21"/>
                      <w:lang w:val="en-US" w:eastAsia="zh-CN" w:bidi="ar"/>
                    </w:rPr>
                    <w:t>975</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975</w:t>
                  </w:r>
                </w:p>
              </w:tc>
              <w:tc>
                <w:tcPr>
                  <w:tcW w:w="72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21" w:type="dxa"/>
                  <w:gridSpan w:val="7"/>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val="0"/>
                    <w:suppressLineNumbers w:val="0"/>
                    <w:spacing w:before="0" w:beforeLines="0" w:beforeAutospacing="0" w:after="0" w:afterLines="0" w:afterAutospacing="0" w:line="240" w:lineRule="auto"/>
                    <w:ind w:left="0" w:right="0"/>
                    <w:jc w:val="left"/>
                    <w:rPr>
                      <w:rFonts w:hint="eastAsia" w:ascii="Times New Roman" w:hAnsi="Times New Roman" w:eastAsia="宋体" w:cs="宋体"/>
                      <w:b w:val="0"/>
                      <w:bCs w:val="0"/>
                      <w:kern w:val="44"/>
                      <w:sz w:val="22"/>
                      <w:szCs w:val="20"/>
                      <w:lang w:val="en-US" w:eastAsia="zh-CN" w:bidi="ar-SA"/>
                    </w:rPr>
                  </w:pPr>
                  <w:r>
                    <w:rPr>
                      <w:rFonts w:hint="eastAsia" w:ascii="Times New Roman" w:hAnsi="Times New Roman" w:eastAsia="宋体" w:cs="宋体"/>
                      <w:b w:val="0"/>
                      <w:bCs w:val="0"/>
                      <w:kern w:val="44"/>
                      <w:sz w:val="22"/>
                      <w:szCs w:val="20"/>
                      <w:lang w:val="en-US" w:eastAsia="zh-CN" w:bidi="ar-SA"/>
                    </w:rPr>
                    <w:t>注:表中材料可用其它同类材料替代</w:t>
                  </w:r>
                </w:p>
              </w:tc>
            </w:tr>
          </w:tbl>
          <w:p>
            <w:pPr>
              <w:keepNext w:val="0"/>
              <w:keepLines w:val="0"/>
              <w:suppressLineNumbers w:val="0"/>
              <w:spacing w:before="0" w:beforeAutospacing="0" w:after="0" w:afterAutospacing="0" w:line="360" w:lineRule="auto"/>
              <w:ind w:left="0" w:leftChars="0" w:right="0" w:firstLine="42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3.</w:t>
            </w:r>
            <w:r>
              <w:rPr>
                <w:rFonts w:hint="eastAsia" w:ascii="Times New Roman" w:hAnsi="Times New Roman" w:eastAsia="宋体" w:cs="Times New Roman"/>
                <w:b/>
                <w:bCs/>
                <w:lang w:val="en-US" w:eastAsia="zh-CN"/>
              </w:rPr>
              <w:t>3固井措施</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（1）一开固井采用内插或常规法：</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内插法：固井时考虑套管所受浮力，根据计算得知套管串重量大于其所受浮力，因此套管不会上浮。内插管坐封要平稳，密封要可靠，密封插头下井前要涂抹黄油。坐封后，开泵循环钻井液，如果套管内无钻井液溢出，则说明密封插头处密封良好，即可按设计注入水泥浆。注完水泥后，按钻杆内容积替入当量钻井液量。坐封压力根据循环最高泵压由固井施工指挥现场计算，为了能在泵压出现异常情况下顺利施工，实际施加的坐封压力应为计算值的2倍以上为宜。施工结束后，如果井口水泥浆面下沉，必须注水泥浆补充。候凝时间：24h。</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常规法：采用钻井液开钻，常规法固井。施工结束后，如果井口水泥浆面下沉，必须注水泥浆补充。候凝时间：24h。</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（2）二开和三开套管固井：</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一级固井：注前置液→注水泥浆→压胶塞→替水泥浆→碰压→投重力塞蹩压打开分级箍并循环出残余水泥浆→候凝（6～12）h。</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二级固井：注前置液→注水泥浆→压胶塞→替水泥浆→碰压→候凝。</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三开施工程序：悬挂尾管→倒扣→注前置液→注水泥浆→压胶塞→替泥浆→碰压→上提中心管并循环出残余水泥浆→候凝。</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回接施工程序：清洗回接筒→下入套管→试插回接插头→上提管柱→注前置液→注水泥浆→压胶塞→替浆→碰压→下插回接插头→坐套管头悬挂器→候凝</w:t>
            </w:r>
            <w:r>
              <w:rPr>
                <w:rFonts w:hint="eastAsia" w:ascii="Times New Roman" w:hAnsi="Times New Roman" w:eastAsia="宋体" w:cs="Times New Roman"/>
                <w:lang w:val="en-US" w:eastAsia="zh-CN"/>
              </w:rPr>
              <w:t>。</w:t>
            </w:r>
          </w:p>
          <w:p>
            <w:pPr>
              <w:keepNext w:val="0"/>
              <w:keepLines w:val="0"/>
              <w:suppressLineNumbers w:val="0"/>
              <w:spacing w:before="0" w:beforeAutospacing="0" w:after="0" w:afterAutospacing="0" w:line="360" w:lineRule="auto"/>
              <w:ind w:left="0" w:leftChars="0" w:right="0" w:firstLine="42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3.</w:t>
            </w:r>
            <w:r>
              <w:rPr>
                <w:rFonts w:hint="eastAsia" w:ascii="Times New Roman" w:hAnsi="Times New Roman" w:eastAsia="宋体" w:cs="Times New Roman"/>
                <w:b/>
                <w:bCs/>
                <w:lang w:val="en-US" w:eastAsia="zh-CN"/>
              </w:rPr>
              <w:t>4完井</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钻井工程达到设计要求后完钻。撤去所有生产设施、平整井场；清理钻井现场，将垃圾、废油、废料清理干净</w:t>
            </w:r>
            <w:r>
              <w:rPr>
                <w:rFonts w:hint="eastAsia" w:ascii="Times New Roman" w:hAnsi="Times New Roman" w:eastAsia="宋体" w:cs="Times New Roman"/>
                <w:lang w:val="en-US" w:eastAsia="zh-CN"/>
              </w:rPr>
              <w:t>。</w:t>
            </w:r>
          </w:p>
          <w:p>
            <w:pPr>
              <w:keepNext w:val="0"/>
              <w:keepLines w:val="0"/>
              <w:suppressLineNumbers w:val="0"/>
              <w:spacing w:before="0" w:beforeAutospacing="0" w:after="0" w:afterAutospacing="0" w:line="360" w:lineRule="auto"/>
              <w:ind w:left="0" w:leftChars="0" w:right="0" w:firstLine="42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3.</w:t>
            </w:r>
            <w:r>
              <w:rPr>
                <w:rFonts w:hint="eastAsia" w:ascii="Times New Roman" w:hAnsi="Times New Roman" w:eastAsia="宋体" w:cs="Times New Roman"/>
                <w:b/>
                <w:bCs/>
                <w:lang w:val="en-US" w:eastAsia="zh-CN"/>
              </w:rPr>
              <w:t>5井控</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本项目二开、三开井口装置配备FH35-70环形防喷器、2FZ35-105双闸板、FZ35-105单闸板、JG-Y-105/YG-105节流压井管汇，并达到试压要求。井队应按GB/T 31033-2014《石油天然气钻井井控技术规范》、中国石化油[2015]374号《中国石化井控管理规定》、胜油公司发〔2017〕57号《胜利油田分公司钻井井控管理实施细则》等有关井控标准的要求执行，认真做好井控管理十七项制度</w:t>
            </w:r>
            <w:r>
              <w:rPr>
                <w:rFonts w:hint="eastAsia" w:ascii="Times New Roman" w:hAnsi="Times New Roman" w:eastAsia="宋体" w:cs="Times New Roman"/>
                <w:lang w:val="en-US" w:eastAsia="zh-CN"/>
              </w:rPr>
              <w:t>。</w:t>
            </w:r>
          </w:p>
          <w:p>
            <w:pPr>
              <w:keepNext w:val="0"/>
              <w:keepLines w:val="0"/>
              <w:suppressLineNumbers w:val="0"/>
              <w:spacing w:before="0" w:beforeAutospacing="0" w:after="0" w:afterAutospacing="0" w:line="360" w:lineRule="auto"/>
              <w:ind w:left="0" w:right="0" w:firstLine="422" w:firstLineChars="200"/>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4.试油工程</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snapToGrid w:val="0"/>
                <w:color w:val="auto"/>
                <w:sz w:val="21"/>
                <w:szCs w:val="21"/>
                <w:highlight w:val="none"/>
                <w:lang w:eastAsia="zh-CN"/>
              </w:rPr>
            </w:pPr>
            <w:r>
              <w:rPr>
                <w:rFonts w:hint="eastAsia" w:cs="Times New Roman"/>
                <w:snapToGrid w:val="0"/>
                <w:color w:val="auto"/>
                <w:sz w:val="21"/>
                <w:szCs w:val="21"/>
                <w:highlight w:val="none"/>
                <w:lang w:val="en-US" w:eastAsia="zh-CN"/>
              </w:rPr>
              <w:t>试油工程</w:t>
            </w:r>
            <w:r>
              <w:rPr>
                <w:rFonts w:hint="default" w:ascii="Times New Roman" w:hAnsi="Times New Roman" w:eastAsia="宋体" w:cs="Times New Roman"/>
                <w:snapToGrid w:val="0"/>
                <w:color w:val="auto"/>
                <w:sz w:val="21"/>
                <w:szCs w:val="21"/>
                <w:highlight w:val="none"/>
              </w:rPr>
              <w:t>主要测试目的层油气产能情况。测试结果表明该井有工业开采的价值，则进行后续的油气开采，其设备将拆除搬迁；若该井不产油或所产量无工业开采价值，则封井</w:t>
            </w:r>
            <w:r>
              <w:rPr>
                <w:rFonts w:hint="eastAsia" w:ascii="Times New Roman" w:hAnsi="Times New Roman" w:eastAsia="宋体" w:cs="Times New Roman"/>
                <w:snapToGrid w:val="0"/>
                <w:color w:val="auto"/>
                <w:sz w:val="21"/>
                <w:szCs w:val="21"/>
                <w:highlight w:val="none"/>
                <w:lang w:eastAsia="zh-CN"/>
              </w:rPr>
              <w:t>。</w:t>
            </w:r>
          </w:p>
          <w:p>
            <w:pPr>
              <w:keepNext w:val="0"/>
              <w:keepLines w:val="0"/>
              <w:suppressLineNumbers w:val="0"/>
              <w:spacing w:before="0" w:beforeAutospacing="0" w:after="0" w:afterAutospacing="0" w:line="360" w:lineRule="auto"/>
              <w:ind w:left="0" w:leftChars="0" w:right="0" w:firstLine="42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5.钻后工程</w:t>
            </w:r>
          </w:p>
          <w:p>
            <w:pPr>
              <w:keepNext w:val="0"/>
              <w:keepLines w:val="0"/>
              <w:suppressLineNumbers w:val="0"/>
              <w:spacing w:before="0" w:beforeAutospacing="0" w:after="0" w:afterAutospacing="0" w:line="360" w:lineRule="auto"/>
              <w:ind w:left="0" w:leftChars="0" w:right="0" w:firstLine="420" w:firstLineChars="200"/>
              <w:rPr>
                <w:rFonts w:hint="eastAsia" w:cs="Times New Roman"/>
                <w:lang w:val="en-US" w:eastAsia="zh-CN"/>
              </w:rPr>
            </w:pPr>
            <w:r>
              <w:rPr>
                <w:rFonts w:hint="eastAsia" w:ascii="Times New Roman" w:hAnsi="Times New Roman" w:eastAsia="宋体" w:cs="Times New Roman"/>
                <w:lang w:val="en-US" w:eastAsia="zh-CN"/>
              </w:rPr>
              <w:t>钻后工程包括完井和井场平整恢复，主要工程内容见表2.1</w:t>
            </w:r>
            <w:r>
              <w:rPr>
                <w:rFonts w:hint="eastAsia" w:cs="Times New Roman"/>
                <w:lang w:val="en-US" w:eastAsia="zh-CN"/>
              </w:rPr>
              <w:t>3。</w:t>
            </w:r>
          </w:p>
          <w:p>
            <w:pPr>
              <w:pStyle w:val="56"/>
              <w:keepNext w:val="0"/>
              <w:keepLines w:val="0"/>
              <w:widowControl/>
              <w:suppressLineNumbers w:val="0"/>
              <w:spacing w:before="0" w:beforeLines="0" w:beforeAutospacing="0" w:after="0" w:afterLines="0" w:afterAutospacing="0"/>
              <w:ind w:left="0" w:right="0" w:firstLine="0" w:firstLineChars="0"/>
              <w:jc w:val="center"/>
              <w:rPr>
                <w:rFonts w:hint="default" w:ascii="Times New Roman" w:hAnsi="Times New Roman" w:cs="Times New Roman"/>
                <w:b w:val="0"/>
                <w:bCs/>
                <w:sz w:val="21"/>
                <w:szCs w:val="20"/>
              </w:rPr>
            </w:pPr>
            <w:r>
              <w:rPr>
                <w:rFonts w:hint="eastAsia" w:ascii="Times New Roman" w:hAnsi="Times New Roman" w:cs="Times New Roman"/>
                <w:b w:val="0"/>
                <w:bCs/>
                <w:sz w:val="21"/>
                <w:szCs w:val="20"/>
              </w:rPr>
              <w:t>表</w:t>
            </w:r>
            <w:r>
              <w:rPr>
                <w:rFonts w:hint="eastAsia" w:ascii="Times New Roman" w:hAnsi="Times New Roman" w:cs="Times New Roman"/>
                <w:b w:val="0"/>
                <w:bCs/>
                <w:sz w:val="21"/>
                <w:szCs w:val="20"/>
                <w:lang w:val="en-US" w:eastAsia="zh-CN"/>
              </w:rPr>
              <w:t>2.13</w:t>
            </w:r>
            <w:r>
              <w:rPr>
                <w:rFonts w:hint="eastAsia" w:ascii="Times New Roman" w:hAnsi="Times New Roman" w:cs="Times New Roman"/>
                <w:b w:val="0"/>
                <w:bCs/>
                <w:sz w:val="21"/>
                <w:szCs w:val="20"/>
              </w:rPr>
              <w:t xml:space="preserve">   钻后工程主要内容</w:t>
            </w:r>
          </w:p>
          <w:tbl>
            <w:tblPr>
              <w:tblStyle w:val="20"/>
              <w:tblW w:w="7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5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ind w:left="0" w:leftChars="0" w:right="0" w:rightChars="0"/>
                    <w:rPr>
                      <w:rFonts w:hint="default" w:hAnsi="Times New Roman" w:eastAsia="宋体" w:cs="Times New Roman"/>
                      <w:sz w:val="21"/>
                    </w:rPr>
                  </w:pPr>
                  <w:r>
                    <w:rPr>
                      <w:rFonts w:hint="eastAsia" w:hAnsi="Times New Roman" w:eastAsia="宋体" w:cs="Times New Roman"/>
                      <w:sz w:val="21"/>
                    </w:rPr>
                    <w:t>项目组成</w:t>
                  </w:r>
                </w:p>
              </w:tc>
              <w:tc>
                <w:tcPr>
                  <w:tcW w:w="554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ind w:left="0" w:leftChars="0" w:right="0" w:rightChars="0"/>
                    <w:rPr>
                      <w:rFonts w:hint="default" w:hAnsi="Times New Roman" w:eastAsia="宋体" w:cs="Times New Roman"/>
                      <w:sz w:val="21"/>
                    </w:rPr>
                  </w:pPr>
                  <w:r>
                    <w:rPr>
                      <w:rFonts w:hint="eastAsia" w:hAnsi="Times New Roman" w:eastAsia="宋体" w:cs="Times New Roman"/>
                      <w:sz w:val="21"/>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ind w:left="0" w:leftChars="0" w:right="0" w:rightChars="0"/>
                    <w:rPr>
                      <w:rFonts w:hint="default" w:hAnsi="Times New Roman" w:eastAsia="宋体" w:cs="Times New Roman"/>
                      <w:sz w:val="21"/>
                    </w:rPr>
                  </w:pPr>
                  <w:r>
                    <w:rPr>
                      <w:rFonts w:hint="eastAsia" w:hAnsi="Times New Roman" w:eastAsia="宋体" w:cs="Times New Roman"/>
                      <w:sz w:val="21"/>
                    </w:rPr>
                    <w:t>完井</w:t>
                  </w:r>
                </w:p>
              </w:tc>
              <w:tc>
                <w:tcPr>
                  <w:tcW w:w="554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ind w:left="0" w:leftChars="0" w:right="0" w:rightChars="0"/>
                    <w:jc w:val="both"/>
                    <w:rPr>
                      <w:rFonts w:hint="default" w:hAnsi="Times New Roman" w:eastAsia="宋体" w:cs="Times New Roman"/>
                      <w:sz w:val="21"/>
                    </w:rPr>
                  </w:pPr>
                  <w:r>
                    <w:rPr>
                      <w:rFonts w:hint="eastAsia" w:hAnsi="Times New Roman" w:eastAsia="宋体" w:cs="Times New Roman"/>
                      <w:sz w:val="21"/>
                    </w:rPr>
                    <w:t>钻井工程达到设计要求后完钻，完钻后进行钻井设备的拆卸、搬运。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ind w:left="0" w:leftChars="0" w:right="0" w:rightChars="0"/>
                    <w:rPr>
                      <w:rFonts w:hint="default" w:hAnsi="Times New Roman" w:eastAsia="宋体" w:cs="Times New Roman"/>
                      <w:sz w:val="21"/>
                    </w:rPr>
                  </w:pPr>
                  <w:r>
                    <w:rPr>
                      <w:rFonts w:hint="eastAsia" w:hAnsi="Times New Roman" w:eastAsia="宋体" w:cs="Times New Roman"/>
                      <w:sz w:val="21"/>
                    </w:rPr>
                    <w:t>污染治理</w:t>
                  </w:r>
                </w:p>
              </w:tc>
              <w:tc>
                <w:tcPr>
                  <w:tcW w:w="554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ind w:left="0" w:leftChars="0" w:right="0" w:rightChars="0"/>
                    <w:jc w:val="both"/>
                    <w:rPr>
                      <w:rFonts w:hint="default" w:hAnsi="Times New Roman" w:eastAsia="宋体" w:cs="Times New Roman"/>
                      <w:sz w:val="21"/>
                    </w:rPr>
                  </w:pPr>
                  <w:r>
                    <w:rPr>
                      <w:rFonts w:hint="eastAsia" w:hAnsi="Times New Roman" w:eastAsia="宋体" w:cs="Times New Roman"/>
                      <w:sz w:val="21"/>
                    </w:rPr>
                    <w:t>清理现场，将垃圾、废油、废料清理干净。按照固体废物“资源化、减量化、无害化”处置原则落实各类固体废物收集、综合利用和处置措施。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5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ind w:left="0" w:leftChars="0" w:right="0" w:rightChars="0"/>
                    <w:rPr>
                      <w:rFonts w:hint="default" w:hAnsi="Times New Roman" w:eastAsia="宋体" w:cs="Times New Roman"/>
                      <w:sz w:val="21"/>
                    </w:rPr>
                  </w:pPr>
                  <w:r>
                    <w:rPr>
                      <w:rFonts w:hint="eastAsia" w:hAnsi="Times New Roman" w:eastAsia="宋体" w:cs="Times New Roman"/>
                      <w:sz w:val="21"/>
                    </w:rPr>
                    <w:t>井场平整恢复</w:t>
                  </w:r>
                </w:p>
              </w:tc>
              <w:tc>
                <w:tcPr>
                  <w:tcW w:w="554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val="0"/>
                    <w:suppressLineNumbers w:val="0"/>
                    <w:spacing w:before="0" w:beforeLines="0" w:beforeAutospacing="0" w:after="0" w:afterLines="0" w:afterAutospacing="0"/>
                    <w:ind w:left="0" w:leftChars="0" w:right="0" w:rightChars="0"/>
                    <w:jc w:val="both"/>
                    <w:rPr>
                      <w:rFonts w:hint="default" w:hAnsi="Times New Roman" w:eastAsia="宋体" w:cs="Times New Roman"/>
                      <w:sz w:val="21"/>
                    </w:rPr>
                  </w:pPr>
                  <w:r>
                    <w:rPr>
                      <w:rFonts w:hint="eastAsia" w:hAnsi="Times New Roman" w:eastAsia="宋体" w:cs="Times New Roman"/>
                      <w:sz w:val="21"/>
                    </w:rPr>
                    <w:t>井场平整、恢复，做到工完、料净、场地清。</w:t>
                  </w:r>
                </w:p>
              </w:tc>
            </w:tr>
          </w:tbl>
          <w:p>
            <w:pPr>
              <w:keepNext w:val="0"/>
              <w:keepLines w:val="0"/>
              <w:suppressLineNumbers w:val="0"/>
              <w:spacing w:before="0" w:beforeAutospacing="0" w:after="0" w:afterAutospacing="0" w:line="360" w:lineRule="auto"/>
              <w:ind w:left="0" w:leftChars="0" w:right="0" w:firstLine="42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6.设施与设备</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本项目所用钻井设备见表2.1</w:t>
            </w:r>
            <w:r>
              <w:rPr>
                <w:rFonts w:hint="eastAsia" w:cs="Times New Roman"/>
                <w:lang w:val="en-US" w:eastAsia="zh-CN"/>
              </w:rPr>
              <w:t>4</w:t>
            </w:r>
            <w:r>
              <w:rPr>
                <w:rFonts w:hint="eastAsia" w:ascii="Times New Roman" w:hAnsi="Times New Roman" w:eastAsia="宋体" w:cs="Times New Roman"/>
                <w:lang w:val="en-US" w:eastAsia="zh-CN"/>
              </w:rPr>
              <w:t>。</w:t>
            </w:r>
          </w:p>
          <w:p>
            <w:pPr>
              <w:pStyle w:val="33"/>
              <w:keepNext w:val="0"/>
              <w:keepLines w:val="0"/>
              <w:suppressLineNumbers w:val="0"/>
              <w:spacing w:before="0" w:beforeLines="0" w:beforeAutospacing="0" w:after="0" w:afterLines="0" w:afterAutospacing="0" w:line="240" w:lineRule="auto"/>
              <w:ind w:left="0" w:right="0"/>
              <w:rPr>
                <w:rFonts w:hint="eastAsia" w:cs="Times New Roman"/>
                <w:b w:val="0"/>
                <w:sz w:val="21"/>
              </w:rPr>
            </w:pPr>
            <w:r>
              <w:rPr>
                <w:rFonts w:hint="eastAsia" w:ascii="黑体" w:hAnsi="黑体" w:eastAsia="黑体" w:cs="黑体"/>
                <w:b w:val="0"/>
                <w:sz w:val="21"/>
              </w:rPr>
              <w:t>表</w:t>
            </w:r>
            <w:r>
              <w:rPr>
                <w:rFonts w:hint="eastAsia" w:ascii="黑体" w:hAnsi="黑体" w:eastAsia="黑体" w:cs="黑体"/>
                <w:b w:val="0"/>
                <w:sz w:val="21"/>
                <w:lang w:val="en-US" w:eastAsia="zh-CN"/>
              </w:rPr>
              <w:t>2.14</w:t>
            </w:r>
            <w:r>
              <w:rPr>
                <w:rFonts w:hint="eastAsia" w:ascii="黑体" w:hAnsi="黑体" w:eastAsia="黑体" w:cs="黑体"/>
                <w:b w:val="0"/>
                <w:sz w:val="21"/>
              </w:rPr>
              <w:t xml:space="preserve">   单井钻井工程设备情况一览表</w:t>
            </w:r>
          </w:p>
          <w:tbl>
            <w:tblPr>
              <w:tblStyle w:val="20"/>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299"/>
              <w:gridCol w:w="3957"/>
              <w:gridCol w:w="671"/>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序号</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设备名称</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主要技术参数</w:t>
                  </w: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单位</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天车</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最大静负荷 4500kN</w:t>
                  </w: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台</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2</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游车大钩</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最大钩载 4500kN</w:t>
                  </w: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台</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3</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水龙头</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最大静负荷 4500kN，最高工作压力不低于52MPa</w:t>
                  </w: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台</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4</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转 盘</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开口直径 700 mm，950 mm，1260 mm 可选一种规格，最大静负荷 6050kN</w:t>
                  </w: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台</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5</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井架</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最大静负荷 4500kN，井架工作高度不低于45.5m</w:t>
                  </w: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套</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6</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井架底座</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钻台面高度不低于 7.5  m、转盘梁最大静载荷4500kN</w:t>
                  </w: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套</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7</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动力系统</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柴油机组4台（单台功率不小于800 kW）</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rPr>
                  </w:pPr>
                  <w:r>
                    <w:rPr>
                      <w:rFonts w:hint="eastAsia" w:ascii="Times New Roman" w:hAnsi="Times New Roman" w:eastAsia="宋体" w:cs="Times New Roman"/>
                    </w:rPr>
                    <w:t>或柴油发电机组4台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（单台功率不小于1300 kW ）</w:t>
                  </w: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台</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8</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钻井泵</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单台功率不小于1176 kW（1600HP）</w:t>
                  </w: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台</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9</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spacing w:val="-17"/>
                    </w:rPr>
                    <w:t>钻井液循环罐</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有效容积不小于360 m</w:t>
                  </w:r>
                  <w:r>
                    <w:rPr>
                      <w:rFonts w:hint="default" w:ascii="Times New Roman" w:hAnsi="Times New Roman" w:eastAsia="宋体" w:cs="Times New Roman"/>
                      <w:vertAlign w:val="superscript"/>
                    </w:rPr>
                    <w:t>3</w:t>
                  </w:r>
                  <w:r>
                    <w:rPr>
                      <w:rFonts w:hint="eastAsia" w:ascii="Times New Roman" w:hAnsi="Times New Roman" w:eastAsia="宋体" w:cs="Times New Roman"/>
                    </w:rPr>
                    <w:t>，含搅拌机</w:t>
                  </w: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套</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10</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振动筛</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台</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11</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除气器</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单台处理量不小于 300 m</w:t>
                  </w:r>
                  <w:r>
                    <w:rPr>
                      <w:rFonts w:hint="default" w:ascii="Times New Roman" w:hAnsi="Times New Roman" w:eastAsia="宋体" w:cs="Times New Roman"/>
                      <w:vertAlign w:val="superscript"/>
                    </w:rPr>
                    <w:t>3</w:t>
                  </w:r>
                  <w:r>
                    <w:rPr>
                      <w:rFonts w:hint="default" w:ascii="Times New Roman" w:hAnsi="Times New Roman" w:eastAsia="宋体" w:cs="Times New Roman"/>
                    </w:rPr>
                    <w:t>/h</w:t>
                  </w: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台</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12</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除砂器</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单台处理量不小于 180 m</w:t>
                  </w:r>
                  <w:r>
                    <w:rPr>
                      <w:rFonts w:hint="default" w:ascii="Times New Roman" w:hAnsi="Times New Roman" w:eastAsia="宋体" w:cs="Times New Roman"/>
                      <w:vertAlign w:val="superscript"/>
                    </w:rPr>
                    <w:t>3</w:t>
                  </w:r>
                  <w:r>
                    <w:rPr>
                      <w:rFonts w:hint="default" w:ascii="Times New Roman" w:hAnsi="Times New Roman" w:eastAsia="宋体" w:cs="Times New Roman"/>
                    </w:rPr>
                    <w:t>/h</w:t>
                  </w: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台</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13</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除泥器</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单台处理量不小于 120 m</w:t>
                  </w:r>
                  <w:r>
                    <w:rPr>
                      <w:rFonts w:hint="default" w:ascii="Times New Roman" w:hAnsi="Times New Roman" w:eastAsia="宋体" w:cs="Times New Roman"/>
                      <w:vertAlign w:val="superscript"/>
                    </w:rPr>
                    <w:t>3</w:t>
                  </w:r>
                  <w:r>
                    <w:rPr>
                      <w:rFonts w:hint="default" w:ascii="Times New Roman" w:hAnsi="Times New Roman" w:eastAsia="宋体" w:cs="Times New Roman"/>
                    </w:rPr>
                    <w:t>/h</w:t>
                  </w: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台</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14</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离心机</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单台处理量不小于 60 m</w:t>
                  </w:r>
                  <w:r>
                    <w:rPr>
                      <w:rFonts w:hint="default" w:ascii="Times New Roman" w:hAnsi="Times New Roman" w:eastAsia="宋体" w:cs="Times New Roman"/>
                      <w:vertAlign w:val="superscript"/>
                    </w:rPr>
                    <w:t>3</w:t>
                  </w:r>
                  <w:r>
                    <w:rPr>
                      <w:rFonts w:hint="default" w:ascii="Times New Roman" w:hAnsi="Times New Roman" w:eastAsia="宋体" w:cs="Times New Roman"/>
                    </w:rPr>
                    <w:t>/h</w:t>
                  </w: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台</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钻井参数仪</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套</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16</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顶部驱动钻井装置</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4500kN</w:t>
                  </w: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套</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17</w:t>
                  </w:r>
                </w:p>
              </w:tc>
              <w:tc>
                <w:tcPr>
                  <w:tcW w:w="8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液气分离器</w:t>
                  </w:r>
                </w:p>
              </w:tc>
              <w:tc>
                <w:tcPr>
                  <w:tcW w:w="272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p>
              </w:tc>
              <w:tc>
                <w:tcPr>
                  <w:tcW w:w="46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eastAsia" w:ascii="Times New Roman" w:hAnsi="Times New Roman" w:eastAsia="宋体" w:cs="Times New Roman"/>
                    </w:rPr>
                    <w:t>套</w:t>
                  </w:r>
                </w:p>
              </w:tc>
              <w:tc>
                <w:tcPr>
                  <w:tcW w:w="49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r>
          </w:tbl>
          <w:p>
            <w:pPr>
              <w:keepNext w:val="0"/>
              <w:keepLines w:val="0"/>
              <w:suppressLineNumbers w:val="0"/>
              <w:spacing w:before="0" w:beforeAutospacing="0" w:after="0" w:afterAutospacing="0" w:line="360" w:lineRule="auto"/>
              <w:ind w:left="0" w:leftChars="0" w:right="0" w:firstLine="422" w:firstLineChars="200"/>
              <w:rPr>
                <w:rFonts w:hint="default" w:ascii="Times New Roman" w:hAnsi="Times New Roman" w:eastAsia="宋体" w:cs="Times New Roman"/>
                <w:b/>
                <w:bCs/>
                <w:kern w:val="0"/>
                <w:szCs w:val="21"/>
                <w:highlight w:val="none"/>
                <w:lang w:val="en-US" w:eastAsia="zh-CN"/>
              </w:rPr>
            </w:pPr>
            <w:r>
              <w:rPr>
                <w:rFonts w:hint="eastAsia" w:ascii="Times New Roman" w:hAnsi="Times New Roman" w:eastAsia="宋体" w:cs="Times New Roman"/>
                <w:b/>
                <w:bCs/>
                <w:kern w:val="0"/>
                <w:szCs w:val="21"/>
                <w:highlight w:val="none"/>
                <w:lang w:val="en-US" w:eastAsia="zh-CN"/>
              </w:rPr>
              <w:t>7</w:t>
            </w:r>
            <w:r>
              <w:rPr>
                <w:rFonts w:hint="default" w:ascii="Times New Roman" w:hAnsi="Times New Roman" w:eastAsia="宋体" w:cs="Times New Roman"/>
                <w:b/>
                <w:bCs/>
                <w:kern w:val="0"/>
                <w:szCs w:val="21"/>
                <w:highlight w:val="none"/>
                <w:lang w:val="en-US" w:eastAsia="zh-CN"/>
              </w:rPr>
              <w:t>.辅助工程</w:t>
            </w:r>
          </w:p>
          <w:p>
            <w:pPr>
              <w:keepNext w:val="0"/>
              <w:keepLines w:val="0"/>
              <w:suppressLineNumbers w:val="0"/>
              <w:spacing w:before="0" w:beforeAutospacing="0" w:after="0" w:afterAutospacing="0" w:line="360" w:lineRule="auto"/>
              <w:ind w:left="0" w:leftChars="0" w:right="0" w:firstLine="422" w:firstLineChars="200"/>
              <w:rPr>
                <w:rFonts w:hint="default" w:ascii="Times New Roman" w:hAnsi="Times New Roman" w:eastAsia="宋体" w:cs="Times New Roman"/>
                <w:b/>
                <w:bCs/>
                <w:kern w:val="0"/>
                <w:szCs w:val="21"/>
                <w:highlight w:val="none"/>
                <w:lang w:val="en-US" w:eastAsia="zh-CN"/>
              </w:rPr>
            </w:pPr>
            <w:r>
              <w:rPr>
                <w:rFonts w:hint="default" w:ascii="Times New Roman" w:hAnsi="Times New Roman" w:eastAsia="宋体" w:cs="Times New Roman"/>
                <w:b/>
                <w:bCs/>
                <w:kern w:val="0"/>
                <w:szCs w:val="21"/>
                <w:highlight w:val="none"/>
                <w:lang w:val="en-US" w:eastAsia="zh-CN"/>
              </w:rPr>
              <w:t>（1）给排水</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用水从附近村庄拉运。</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钻井期及试油期产生的废水主要为钻井废水、井下作业废水及生活污水。钻井废水与钻井泥浆、岩屑一同进入不落地系统进行分离处理，分离后的液相回用于钻井液配制，不外排；井下作业废水使用专用软管与井口连接，直接存放到罐车中，拉运至春风联合站处理达标后回注；生活污水排入环保厕所，定期拉运至中石化新疆新春采油厂生产管理区污水处理站进行处理，确保生活污水不外排。</w:t>
            </w:r>
          </w:p>
          <w:p>
            <w:pPr>
              <w:keepNext w:val="0"/>
              <w:keepLines w:val="0"/>
              <w:suppressLineNumbers w:val="0"/>
              <w:spacing w:before="0" w:beforeAutospacing="0" w:after="0" w:afterAutospacing="0" w:line="360" w:lineRule="auto"/>
              <w:ind w:left="0" w:leftChars="0" w:right="0" w:firstLine="422" w:firstLineChars="200"/>
              <w:rPr>
                <w:rFonts w:hint="default" w:ascii="Times New Roman" w:hAnsi="Times New Roman" w:eastAsia="宋体" w:cs="Times New Roman"/>
                <w:b/>
                <w:bCs/>
                <w:kern w:val="0"/>
                <w:szCs w:val="21"/>
                <w:highlight w:val="none"/>
                <w:lang w:val="en-US" w:eastAsia="zh-CN"/>
              </w:rPr>
            </w:pPr>
            <w:r>
              <w:rPr>
                <w:rFonts w:hint="eastAsia" w:ascii="Times New Roman" w:hAnsi="Times New Roman" w:eastAsia="宋体" w:cs="Times New Roman"/>
                <w:b/>
                <w:bCs/>
                <w:kern w:val="0"/>
                <w:szCs w:val="21"/>
                <w:highlight w:val="none"/>
                <w:lang w:val="en-US" w:eastAsia="zh-CN"/>
              </w:rPr>
              <w:t>（2）</w:t>
            </w:r>
            <w:r>
              <w:rPr>
                <w:rFonts w:hint="default" w:ascii="Times New Roman" w:hAnsi="Times New Roman" w:eastAsia="宋体" w:cs="Times New Roman"/>
                <w:b/>
                <w:bCs/>
                <w:kern w:val="0"/>
                <w:szCs w:val="21"/>
                <w:highlight w:val="none"/>
                <w:lang w:val="en-US" w:eastAsia="zh-CN"/>
              </w:rPr>
              <w:t>供电</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施工期用电由柴油发电机提供，可满足项目用电需求。</w:t>
            </w:r>
          </w:p>
          <w:p>
            <w:pPr>
              <w:keepNext w:val="0"/>
              <w:keepLines w:val="0"/>
              <w:suppressLineNumbers w:val="0"/>
              <w:spacing w:before="0" w:beforeAutospacing="0" w:after="0" w:afterAutospacing="0" w:line="360" w:lineRule="auto"/>
              <w:ind w:left="0" w:leftChars="0" w:right="0" w:firstLine="422" w:firstLineChars="200"/>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b/>
                <w:bCs/>
                <w:kern w:val="0"/>
                <w:szCs w:val="21"/>
                <w:highlight w:val="none"/>
                <w:lang w:val="en-US" w:eastAsia="zh-CN"/>
              </w:rPr>
              <w:t>（3）</w:t>
            </w:r>
            <w:r>
              <w:rPr>
                <w:rFonts w:hint="default" w:ascii="Times New Roman" w:hAnsi="Times New Roman" w:eastAsia="宋体" w:cs="Times New Roman"/>
                <w:b/>
                <w:bCs/>
                <w:kern w:val="0"/>
                <w:szCs w:val="21"/>
                <w:highlight w:val="none"/>
                <w:lang w:val="en-US" w:eastAsia="zh-CN"/>
              </w:rPr>
              <w:t>进场道路</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本项目共修临时进场道路4.831km，其中永进1-5井2.5km、永进3-平16井0.536km、永进3-斜11/斜12井1.450km、永进3-斜14井0.145km、永进3-斜17井0.200km。路基7m，为戈壁石路面。区域地势较为平坦，要求修建时推平压实，然后上铺0.30m厚戈壁石，平整压实</w:t>
            </w:r>
            <w:r>
              <w:rPr>
                <w:rFonts w:hint="eastAsia" w:ascii="Times New Roman" w:hAnsi="Times New Roman" w:eastAsia="宋体" w:cs="Times New Roman"/>
                <w:kern w:val="0"/>
                <w:szCs w:val="21"/>
                <w:highlight w:val="none"/>
                <w:lang w:val="en-US" w:eastAsia="zh-CN"/>
              </w:rPr>
              <w:t>，</w:t>
            </w:r>
            <w:r>
              <w:rPr>
                <w:rFonts w:hint="default" w:ascii="Times New Roman" w:hAnsi="Times New Roman" w:eastAsia="宋体" w:cs="Times New Roman"/>
                <w:kern w:val="0"/>
                <w:szCs w:val="21"/>
                <w:highlight w:val="none"/>
                <w:lang w:val="en-US" w:eastAsia="zh-CN"/>
              </w:rPr>
              <w:t>所有道路转弯处适当加宽，保证大型车辆安全通行。</w:t>
            </w:r>
          </w:p>
          <w:p>
            <w:pPr>
              <w:keepNext w:val="0"/>
              <w:keepLines w:val="0"/>
              <w:suppressLineNumbers w:val="0"/>
              <w:spacing w:before="0" w:beforeAutospacing="0" w:after="0" w:afterAutospacing="0" w:line="360" w:lineRule="auto"/>
              <w:ind w:left="0" w:leftChars="0" w:right="0" w:firstLine="422" w:firstLineChars="200"/>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b/>
                <w:bCs/>
                <w:kern w:val="0"/>
                <w:szCs w:val="21"/>
                <w:highlight w:val="none"/>
                <w:lang w:val="en-US" w:eastAsia="zh-CN"/>
              </w:rPr>
              <w:t>（4）</w:t>
            </w:r>
            <w:r>
              <w:rPr>
                <w:rFonts w:hint="default" w:ascii="Times New Roman" w:hAnsi="Times New Roman" w:eastAsia="宋体" w:cs="Times New Roman"/>
                <w:b/>
                <w:bCs/>
                <w:kern w:val="0"/>
                <w:szCs w:val="21"/>
                <w:highlight w:val="none"/>
                <w:lang w:val="en-US" w:eastAsia="zh-CN"/>
              </w:rPr>
              <w:t>柴油储运</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本项目井场油罐区放置柴油罐，用于柴油机发电，柴油罐容积为20</w:t>
            </w:r>
            <w:r>
              <w:rPr>
                <w:rFonts w:hint="eastAsia" w:ascii="Times New Roman" w:hAnsi="Times New Roman" w:eastAsia="宋体" w:cs="Times New Roman"/>
                <w:kern w:val="0"/>
                <w:szCs w:val="21"/>
                <w:highlight w:val="none"/>
                <w:lang w:val="en-US" w:eastAsia="zh-CN"/>
              </w:rPr>
              <w:t>~</w:t>
            </w:r>
            <w:r>
              <w:rPr>
                <w:rFonts w:hint="default" w:ascii="Times New Roman" w:hAnsi="Times New Roman" w:eastAsia="宋体" w:cs="Times New Roman"/>
                <w:kern w:val="0"/>
                <w:szCs w:val="21"/>
                <w:highlight w:val="none"/>
                <w:lang w:val="en-US" w:eastAsia="zh-CN"/>
              </w:rPr>
              <w:t>25m</w:t>
            </w:r>
            <w:r>
              <w:rPr>
                <w:rFonts w:hint="default" w:ascii="Times New Roman" w:hAnsi="Times New Roman" w:eastAsia="宋体" w:cs="Times New Roman"/>
                <w:kern w:val="0"/>
                <w:szCs w:val="21"/>
                <w:highlight w:val="none"/>
                <w:vertAlign w:val="superscript"/>
                <w:lang w:val="en-US" w:eastAsia="zh-CN"/>
              </w:rPr>
              <w:t>3</w:t>
            </w:r>
            <w:r>
              <w:rPr>
                <w:rFonts w:hint="default" w:ascii="Times New Roman" w:hAnsi="Times New Roman" w:eastAsia="宋体" w:cs="Times New Roman"/>
                <w:kern w:val="0"/>
                <w:szCs w:val="21"/>
                <w:highlight w:val="none"/>
                <w:lang w:val="en-US" w:eastAsia="zh-CN"/>
              </w:rPr>
              <w:t>，井场内最大存储量90t，可通过从就近油厂拉运至井场。</w:t>
            </w:r>
          </w:p>
          <w:p>
            <w:pPr>
              <w:keepNext w:val="0"/>
              <w:keepLines w:val="0"/>
              <w:suppressLineNumbers w:val="0"/>
              <w:spacing w:before="0" w:beforeAutospacing="0" w:after="0" w:afterAutospacing="0" w:line="360" w:lineRule="auto"/>
              <w:ind w:left="0" w:leftChars="0" w:right="0" w:firstLine="422" w:firstLineChars="200"/>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b/>
                <w:bCs/>
                <w:kern w:val="0"/>
                <w:szCs w:val="21"/>
                <w:highlight w:val="none"/>
                <w:lang w:val="en-US" w:eastAsia="zh-CN"/>
              </w:rPr>
              <w:t>（5）</w:t>
            </w:r>
            <w:r>
              <w:rPr>
                <w:rFonts w:hint="default" w:ascii="Times New Roman" w:hAnsi="Times New Roman" w:eastAsia="宋体" w:cs="Times New Roman"/>
                <w:b/>
                <w:bCs/>
                <w:kern w:val="0"/>
                <w:szCs w:val="21"/>
                <w:highlight w:val="none"/>
                <w:lang w:val="en-US" w:eastAsia="zh-CN"/>
              </w:rPr>
              <w:t>取弃土场</w:t>
            </w: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取土、砂石从周边具有合法经营执照的供应商的砂石料场购买。无弃方，不设弃土场</w:t>
            </w:r>
            <w:r>
              <w:rPr>
                <w:rFonts w:hint="eastAsia" w:ascii="Times New Roman" w:hAnsi="Times New Roman" w:eastAsia="宋体" w:cs="Times New Roman"/>
                <w:kern w:val="0"/>
                <w:szCs w:val="21"/>
                <w:highlight w:val="none"/>
                <w:lang w:val="en-US" w:eastAsia="zh-CN"/>
              </w:rPr>
              <w:t>。</w:t>
            </w:r>
          </w:p>
          <w:p>
            <w:pPr>
              <w:keepNext w:val="0"/>
              <w:keepLines w:val="0"/>
              <w:suppressLineNumbers w:val="0"/>
              <w:spacing w:before="0" w:beforeAutospacing="0" w:after="0" w:afterAutospacing="0" w:line="360" w:lineRule="auto"/>
              <w:ind w:left="0" w:leftChars="0" w:right="0" w:firstLine="422"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b/>
                <w:bCs/>
                <w:kern w:val="0"/>
                <w:szCs w:val="21"/>
                <w:highlight w:val="none"/>
                <w:lang w:val="en-US" w:eastAsia="zh-CN"/>
              </w:rPr>
              <w:t>8.依托工程</w:t>
            </w:r>
          </w:p>
          <w:p>
            <w:pPr>
              <w:keepNext w:val="0"/>
              <w:keepLines w:val="0"/>
              <w:suppressLineNumbers w:val="0"/>
              <w:spacing w:before="0" w:beforeAutospacing="0" w:after="0" w:afterAutospacing="0" w:line="360" w:lineRule="auto"/>
              <w:ind w:left="0" w:leftChars="0" w:right="0" w:firstLine="422" w:firstLineChars="200"/>
              <w:rPr>
                <w:rFonts w:hint="eastAsia" w:ascii="Times New Roman" w:hAnsi="Times New Roman" w:eastAsia="宋体" w:cs="Times New Roman"/>
                <w:b/>
                <w:bCs/>
                <w:kern w:val="0"/>
                <w:szCs w:val="21"/>
                <w:highlight w:val="none"/>
                <w:lang w:val="en-US" w:eastAsia="zh-CN"/>
              </w:rPr>
            </w:pPr>
            <w:r>
              <w:rPr>
                <w:rFonts w:hint="eastAsia" w:ascii="Times New Roman" w:hAnsi="Times New Roman" w:eastAsia="宋体" w:cs="Times New Roman"/>
                <w:b/>
                <w:bCs/>
                <w:kern w:val="0"/>
                <w:szCs w:val="21"/>
                <w:highlight w:val="none"/>
                <w:lang w:val="en-US" w:eastAsia="zh-CN"/>
              </w:rPr>
              <w:t>（1）春风一号联合站</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本项目井下作业废水</w:t>
            </w:r>
            <w:r>
              <w:rPr>
                <w:rFonts w:hint="eastAsia" w:cs="Times New Roman"/>
                <w:kern w:val="0"/>
                <w:szCs w:val="21"/>
                <w:highlight w:val="none"/>
                <w:lang w:val="en-US" w:eastAsia="zh-CN"/>
              </w:rPr>
              <w:t>及试油期采出水</w:t>
            </w:r>
            <w:r>
              <w:rPr>
                <w:rFonts w:hint="eastAsia" w:ascii="Times New Roman" w:hAnsi="Times New Roman" w:eastAsia="宋体" w:cs="Times New Roman"/>
                <w:kern w:val="0"/>
                <w:szCs w:val="21"/>
                <w:highlight w:val="none"/>
                <w:lang w:val="en-US" w:eastAsia="zh-CN"/>
              </w:rPr>
              <w:t>依托春风一号联合站处理。</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春风一号联合站位于项目区西北方向142km处，地理坐标为北纬45°6'36.00"，东经84°41'3.00"。目前设计规模为50×10</w:t>
            </w:r>
            <w:r>
              <w:rPr>
                <w:rFonts w:hint="eastAsia" w:ascii="Times New Roman" w:hAnsi="Times New Roman" w:eastAsia="宋体" w:cs="Times New Roman"/>
                <w:kern w:val="0"/>
                <w:szCs w:val="21"/>
                <w:highlight w:val="none"/>
                <w:vertAlign w:val="superscript"/>
                <w:lang w:val="en-US" w:eastAsia="zh-CN"/>
              </w:rPr>
              <w:t>4</w:t>
            </w:r>
            <w:r>
              <w:rPr>
                <w:rFonts w:hint="eastAsia" w:ascii="Times New Roman" w:hAnsi="Times New Roman" w:eastAsia="宋体" w:cs="Times New Roman"/>
                <w:kern w:val="0"/>
                <w:szCs w:val="21"/>
                <w:highlight w:val="none"/>
                <w:lang w:val="en-US" w:eastAsia="zh-CN"/>
              </w:rPr>
              <w:t>t/a，主要担负着排601北区、中区、排6南区、排601南区四个区块的原油处理任务。主要功能有：管输进站、汽车拉油卸车、掺蒸汽加热、加药、沉降分水、原油储存、计量、汽车装车外运、管输外运、站内循环、污油回收；站内同时具有水处理、污水回灌，配套消防、结构、建筑、供配电、暖通等功能。</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1）原油处理工艺</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其处理工艺采用化学沉降脱水工艺，一段动态沉降，二段浮动出油的方式。</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工艺流程：破乳剂→站外来液→一次沉降罐→蒸汽混掺装置→二次沉降罐（浮动收油）→提升泵→净化油罐（浮动出油）→装车泵→装车鹤管。</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由于站外来液含水较高（≥58.7%），因此采用先分游离水后升温沉降的方式。一次沉降罐分出游离水和部分乳化水后，将来液升温至85℃以上，含水小于40%乳化油溢流进二次沉降缓冲罐，二次沉降缓冲罐采用浮动出油的方式经泵提升送入，收油至净化油罐储存，含水≤2%后的净化原油经装车泵加压后计量装车外运至炼油厂。</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2）污水处理工艺</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处理工艺采用混凝沉降+过滤工艺，即油系统来水→一次除油罐→二次沉降罐→缓冲罐→污水提升泵→多介质过滤器→回注系统。</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2015年12月23日取得</w:t>
            </w:r>
            <w:r>
              <w:rPr>
                <w:rFonts w:hint="eastAsia" w:cs="Times New Roman"/>
                <w:kern w:val="0"/>
                <w:szCs w:val="21"/>
                <w:highlight w:val="none"/>
                <w:lang w:val="en-US" w:eastAsia="zh-CN"/>
              </w:rPr>
              <w:t>原</w:t>
            </w:r>
            <w:r>
              <w:rPr>
                <w:rFonts w:hint="eastAsia" w:ascii="Times New Roman" w:hAnsi="Times New Roman" w:eastAsia="宋体" w:cs="Times New Roman"/>
                <w:kern w:val="0"/>
                <w:szCs w:val="21"/>
                <w:highlight w:val="none"/>
                <w:lang w:val="en-US" w:eastAsia="zh-CN"/>
              </w:rPr>
              <w:t>兵团环保局《关于春风油田排601块南区产能建设工程竣工环境保护意见的函》，兵环函〔2015〕272号（见附件2），验收监测数据表明，春风一号联合站含油污水处理系统出水中的石油类可达到《碎屑岩油藏注水水质推荐指标及分析方法》（SY/T5329－2012）中的控制指标。本项目</w:t>
            </w:r>
            <w:r>
              <w:rPr>
                <w:rFonts w:hint="eastAsia" w:cs="Times New Roman"/>
                <w:kern w:val="0"/>
                <w:szCs w:val="21"/>
                <w:highlight w:val="none"/>
                <w:lang w:val="en-US" w:eastAsia="zh-CN"/>
              </w:rPr>
              <w:t>产生</w:t>
            </w:r>
            <w:r>
              <w:rPr>
                <w:rFonts w:hint="eastAsia" w:ascii="Times New Roman" w:hAnsi="Times New Roman" w:eastAsia="宋体" w:cs="Times New Roman"/>
                <w:kern w:val="0"/>
                <w:szCs w:val="21"/>
                <w:highlight w:val="none"/>
                <w:lang w:val="en-US" w:eastAsia="zh-CN"/>
              </w:rPr>
              <w:t>井下作业废水360m</w:t>
            </w:r>
            <w:r>
              <w:rPr>
                <w:rFonts w:hint="eastAsia" w:ascii="Times New Roman" w:hAnsi="Times New Roman" w:eastAsia="宋体" w:cs="Times New Roman"/>
                <w:kern w:val="0"/>
                <w:szCs w:val="21"/>
                <w:highlight w:val="none"/>
                <w:vertAlign w:val="superscript"/>
                <w:lang w:val="en-US" w:eastAsia="zh-CN"/>
              </w:rPr>
              <w:t>3</w:t>
            </w:r>
            <w:r>
              <w:rPr>
                <w:rFonts w:hint="eastAsia" w:cs="Times New Roman"/>
                <w:kern w:val="0"/>
                <w:szCs w:val="21"/>
                <w:highlight w:val="none"/>
                <w:lang w:val="en-US" w:eastAsia="zh-CN"/>
              </w:rPr>
              <w:t>以及试油期少量采出水，</w:t>
            </w:r>
            <w:r>
              <w:rPr>
                <w:rFonts w:hint="eastAsia" w:ascii="Times New Roman" w:hAnsi="Times New Roman" w:eastAsia="宋体" w:cs="Times New Roman"/>
                <w:kern w:val="0"/>
                <w:szCs w:val="21"/>
                <w:highlight w:val="none"/>
                <w:lang w:val="en-US" w:eastAsia="zh-CN"/>
              </w:rPr>
              <w:t>春风一号联合站废水最小富裕处理能力＞700m</w:t>
            </w:r>
            <w:r>
              <w:rPr>
                <w:rFonts w:hint="eastAsia" w:ascii="Times New Roman" w:hAnsi="Times New Roman" w:eastAsia="宋体" w:cs="Times New Roman"/>
                <w:kern w:val="0"/>
                <w:szCs w:val="21"/>
                <w:highlight w:val="none"/>
                <w:vertAlign w:val="superscript"/>
                <w:lang w:val="en-US" w:eastAsia="zh-CN"/>
              </w:rPr>
              <w:t>3</w:t>
            </w:r>
            <w:r>
              <w:rPr>
                <w:rFonts w:hint="eastAsia" w:ascii="Times New Roman" w:hAnsi="Times New Roman" w:eastAsia="宋体" w:cs="Times New Roman"/>
                <w:kern w:val="0"/>
                <w:szCs w:val="21"/>
                <w:highlight w:val="none"/>
                <w:lang w:val="en-US" w:eastAsia="zh-CN"/>
              </w:rPr>
              <w:t>/d，故可满足本项目废水处理要求。</w:t>
            </w:r>
          </w:p>
          <w:p>
            <w:pPr>
              <w:keepNext w:val="0"/>
              <w:keepLines w:val="0"/>
              <w:suppressLineNumbers w:val="0"/>
              <w:spacing w:before="0" w:beforeAutospacing="0" w:after="0" w:afterAutospacing="0" w:line="360" w:lineRule="auto"/>
              <w:ind w:left="0" w:leftChars="0" w:right="0" w:firstLine="422" w:firstLineChars="200"/>
              <w:rPr>
                <w:rFonts w:hint="eastAsia" w:ascii="Times New Roman" w:hAnsi="Times New Roman" w:eastAsia="宋体" w:cs="Times New Roman"/>
                <w:b/>
                <w:bCs/>
                <w:kern w:val="0"/>
                <w:szCs w:val="21"/>
                <w:highlight w:val="none"/>
                <w:lang w:val="en-US" w:eastAsia="zh-CN"/>
              </w:rPr>
            </w:pPr>
            <w:r>
              <w:rPr>
                <w:rFonts w:hint="eastAsia" w:ascii="Times New Roman" w:hAnsi="Times New Roman" w:eastAsia="宋体" w:cs="Times New Roman"/>
                <w:b/>
                <w:bCs/>
                <w:kern w:val="0"/>
                <w:szCs w:val="21"/>
                <w:highlight w:val="none"/>
                <w:lang w:val="en-US" w:eastAsia="zh-CN"/>
              </w:rPr>
              <w:t>（2）新春采油厂新春公司生产管理区污水处理站</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本项目生活污水依托新春采油厂新春公司生产管理区污水处理站处理。</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新春采油厂新春公司生产管理区位于春风一号联合站东北方向约1km处，地理坐标为北纬45°7'27.00"，东经84°41'34.57"。生产管理区生活污水站采用地埋式一体化污水处理系统进行处置，地埋式一体化污水处理系统处理生活污水技术工艺成熟，通过该系统处理后的生活污水水质可以满足《污水综合排放标准》二级标准。本项目产生生活污水量较少，可以依托该污水处理站进行处理。</w:t>
            </w:r>
          </w:p>
          <w:p>
            <w:pPr>
              <w:keepNext w:val="0"/>
              <w:keepLines w:val="0"/>
              <w:suppressLineNumbers w:val="0"/>
              <w:spacing w:before="0" w:beforeAutospacing="0" w:after="0" w:afterAutospacing="0" w:line="360" w:lineRule="auto"/>
              <w:ind w:left="0" w:leftChars="0" w:right="0" w:firstLine="422" w:firstLineChars="200"/>
              <w:rPr>
                <w:rFonts w:hint="eastAsia" w:ascii="Times New Roman" w:hAnsi="Times New Roman" w:eastAsia="宋体" w:cs="Times New Roman"/>
                <w:b/>
                <w:bCs/>
                <w:kern w:val="0"/>
                <w:szCs w:val="21"/>
                <w:highlight w:val="none"/>
                <w:lang w:val="en-US" w:eastAsia="zh-CN"/>
              </w:rPr>
            </w:pPr>
            <w:r>
              <w:rPr>
                <w:rFonts w:hint="eastAsia" w:ascii="Times New Roman" w:hAnsi="Times New Roman" w:eastAsia="宋体" w:cs="Times New Roman"/>
                <w:b/>
                <w:bCs/>
                <w:kern w:val="0"/>
                <w:szCs w:val="21"/>
                <w:highlight w:val="none"/>
                <w:lang w:val="en-US" w:eastAsia="zh-CN"/>
              </w:rPr>
              <w:t>（3）玛纳斯县垃圾填埋场</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本项目施工人员生活垃圾在现场集中收集后交由县环卫部门，运至玛纳斯县垃圾填埋场卫生填埋。</w:t>
            </w:r>
          </w:p>
          <w:p>
            <w:pPr>
              <w:keepNext w:val="0"/>
              <w:keepLines w:val="0"/>
              <w:suppressLineNumbers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玛纳斯县垃圾填埋场位于兰州湾镇下兰州湾村，距县城4.5km，地理位置为：北纬44°19'32"，东经86°11'36"。占地面积3.8万平，一期库容20.4万立方米，二期建成后增加库容30.2万立方米，设计日处理能力130吨，该垃圾填埋场于2019年1月委托新疆力源信德环境检测技术服务有限公司进行竣工环保验收监测，于2019年6月取得昌吉州生态环境局《关于玛纳斯县城生活垃圾 处理工程(二期）竣工环境保护验收意见》（昌州环评〔2019〕48号）（见附件4）。本项距玛纳斯县垃圾填埋场约25km，生活垃圾产生量</w:t>
            </w:r>
            <w:r>
              <w:rPr>
                <w:rFonts w:hint="eastAsia" w:cs="Times New Roman"/>
                <w:kern w:val="0"/>
                <w:szCs w:val="21"/>
                <w:highlight w:val="none"/>
                <w:lang w:val="en-US" w:eastAsia="zh-CN"/>
              </w:rPr>
              <w:t>13.8</w:t>
            </w:r>
            <w:r>
              <w:rPr>
                <w:rFonts w:hint="eastAsia" w:ascii="Times New Roman" w:hAnsi="Times New Roman" w:eastAsia="宋体" w:cs="Times New Roman"/>
                <w:kern w:val="0"/>
                <w:szCs w:val="21"/>
                <w:highlight w:val="none"/>
                <w:lang w:val="en-US" w:eastAsia="zh-CN"/>
              </w:rPr>
              <w:t>t，从垃圾填埋场的处理规模看，能满足本项目生活垃圾处理需求，可以依托。</w:t>
            </w:r>
          </w:p>
          <w:p>
            <w:pPr>
              <w:keepNext w:val="0"/>
              <w:keepLines w:val="0"/>
              <w:suppressLineNumbers w:val="0"/>
              <w:spacing w:before="0" w:beforeAutospacing="0" w:after="0" w:afterAutospacing="0" w:line="360" w:lineRule="auto"/>
              <w:ind w:left="0" w:leftChars="0" w:right="0" w:firstLine="420" w:firstLineChars="200"/>
              <w:rPr>
                <w:rFonts w:hint="eastAsia" w:cs="Times New Roman"/>
                <w:kern w:val="0"/>
                <w:szCs w:val="21"/>
                <w:highlight w:val="yellow"/>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cs="Times New Roman"/>
                <w:kern w:val="0"/>
                <w:szCs w:val="21"/>
                <w:highlight w:val="yellow"/>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cs="Times New Roman"/>
                <w:kern w:val="0"/>
                <w:szCs w:val="21"/>
                <w:highlight w:val="yellow"/>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cs="Times New Roman"/>
                <w:kern w:val="0"/>
                <w:szCs w:val="21"/>
                <w:highlight w:val="yellow"/>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cs="Times New Roman"/>
                <w:kern w:val="0"/>
                <w:szCs w:val="21"/>
                <w:highlight w:val="yellow"/>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eastAsia" w:cs="Times New Roman"/>
                <w:kern w:val="0"/>
                <w:szCs w:val="21"/>
                <w:highlight w:val="yellow"/>
                <w:lang w:val="en-US" w:eastAsia="zh-CN"/>
              </w:rPr>
            </w:pPr>
          </w:p>
          <w:p>
            <w:pPr>
              <w:keepNext w:val="0"/>
              <w:keepLines w:val="0"/>
              <w:suppressLineNumbers w:val="0"/>
              <w:spacing w:before="0" w:beforeAutospacing="0" w:after="0" w:afterAutospacing="0" w:line="360" w:lineRule="auto"/>
              <w:ind w:left="0" w:leftChars="0" w:right="0" w:firstLine="420" w:firstLineChars="200"/>
              <w:rPr>
                <w:rFonts w:hint="default" w:ascii="Times New Roman" w:hAnsi="Times New Roman" w:eastAsia="宋体" w:cs="Times New Roman"/>
                <w:kern w:val="0"/>
                <w:szCs w:val="21"/>
                <w:highlight w:val="yellow"/>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71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总平面及现场布置</w:t>
            </w:r>
          </w:p>
        </w:tc>
        <w:tc>
          <w:tcPr>
            <w:tcW w:w="7603" w:type="dxa"/>
            <w:noWrap w:val="0"/>
            <w:vAlign w:val="center"/>
          </w:tcPr>
          <w:p>
            <w:pPr>
              <w:keepNext w:val="0"/>
              <w:keepLines w:val="0"/>
              <w:suppressLineNumbers w:val="0"/>
              <w:adjustRightInd w:val="0"/>
              <w:snapToGrid w:val="0"/>
              <w:spacing w:before="0" w:beforeAutospacing="0" w:after="0" w:afterAutospacing="0" w:line="360" w:lineRule="auto"/>
              <w:ind w:left="0" w:leftChars="0" w:right="0" w:rightChars="0" w:firstLine="420" w:firstLineChars="200"/>
              <w:jc w:val="both"/>
              <w:rPr>
                <w:rFonts w:hint="eastAsia" w:ascii="Times New Roman" w:hAnsi="Times New Roman" w:eastAsia="宋体" w:cs="Times New Roman"/>
                <w:kern w:val="0"/>
                <w:szCs w:val="21"/>
                <w:highlight w:val="none"/>
                <w:lang w:eastAsia="zh-CN"/>
              </w:rPr>
            </w:pPr>
            <w:r>
              <w:rPr>
                <w:rFonts w:hint="default" w:ascii="Times New Roman" w:hAnsi="Times New Roman" w:eastAsia="宋体" w:cs="Times New Roman"/>
                <w:kern w:val="0"/>
                <w:szCs w:val="21"/>
                <w:highlight w:val="none"/>
              </w:rPr>
              <w:t>单井井场临时占地面积为14300</w:t>
            </w:r>
            <w:r>
              <w:rPr>
                <w:rFonts w:hint="eastAsia" w:ascii="Times New Roman" w:hAnsi="Times New Roman" w:eastAsia="宋体" w:cs="Times New Roman"/>
                <w:kern w:val="0"/>
                <w:szCs w:val="21"/>
                <w:highlight w:val="none"/>
                <w:lang w:val="en-US" w:eastAsia="zh-CN"/>
              </w:rPr>
              <w:t>m</w:t>
            </w:r>
            <w:r>
              <w:rPr>
                <w:rFonts w:hint="eastAsia" w:ascii="Times New Roman" w:hAnsi="Times New Roman" w:eastAsia="宋体" w:cs="Times New Roman"/>
                <w:kern w:val="0"/>
                <w:szCs w:val="21"/>
                <w:highlight w:val="none"/>
                <w:vertAlign w:val="superscript"/>
                <w:lang w:val="en-US" w:eastAsia="zh-CN"/>
              </w:rPr>
              <w:t>2</w:t>
            </w:r>
            <w:r>
              <w:rPr>
                <w:rFonts w:hint="default" w:ascii="Times New Roman" w:hAnsi="Times New Roman" w:eastAsia="宋体" w:cs="Times New Roman"/>
                <w:kern w:val="0"/>
                <w:szCs w:val="21"/>
                <w:highlight w:val="none"/>
              </w:rPr>
              <w:t>。井场内撬装设施主要为发电房、钻井废弃物不落地处理系统、柴油罐、柴油机、发电机等；井场内设置钻井平台一套。井场范围内修建应急池1座，井场外修建应急放喷池（2×200m</w:t>
            </w:r>
            <w:r>
              <w:rPr>
                <w:rFonts w:hint="eastAsia" w:ascii="Times New Roman" w:hAnsi="Times New Roman" w:eastAsia="宋体" w:cs="Times New Roman"/>
                <w:kern w:val="0"/>
                <w:szCs w:val="21"/>
                <w:highlight w:val="none"/>
                <w:vertAlign w:val="superscript"/>
                <w:lang w:val="en-US" w:eastAsia="zh-CN"/>
              </w:rPr>
              <w:t>3</w:t>
            </w:r>
            <w:r>
              <w:rPr>
                <w:rFonts w:hint="default" w:ascii="Times New Roman" w:hAnsi="Times New Roman" w:eastAsia="宋体" w:cs="Times New Roman"/>
                <w:kern w:val="0"/>
                <w:szCs w:val="21"/>
                <w:highlight w:val="none"/>
              </w:rPr>
              <w:t>）等土建设施；生活区位于井场外，设有钻井值班室、大班住房、办公室、库房等，均在油田安全生产作业规定的安全距离之外。钻井井场平面布置见图</w:t>
            </w:r>
            <w:r>
              <w:rPr>
                <w:rFonts w:hint="eastAsia" w:ascii="Times New Roman" w:hAnsi="Times New Roman" w:eastAsia="宋体" w:cs="Times New Roman"/>
                <w:kern w:val="0"/>
                <w:szCs w:val="21"/>
                <w:highlight w:val="none"/>
                <w:lang w:val="en-US" w:eastAsia="zh-CN"/>
              </w:rPr>
              <w:t>2.5</w:t>
            </w:r>
            <w:r>
              <w:rPr>
                <w:rFonts w:hint="eastAsia" w:ascii="Times New Roman" w:hAnsi="Times New Roman" w:eastAsia="宋体" w:cs="Times New Roman"/>
                <w:kern w:val="0"/>
                <w:szCs w:val="21"/>
                <w:highlight w:val="none"/>
                <w:lang w:eastAsia="zh-CN"/>
              </w:rPr>
              <w:t>。</w:t>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kern w:val="0"/>
                <w:szCs w:val="21"/>
                <w:highlight w:val="none"/>
                <w:lang w:eastAsia="zh-CN"/>
              </w:rPr>
            </w:pPr>
            <w:r>
              <w:rPr>
                <w:rFonts w:hint="default" w:ascii="Times New Roman" w:hAnsi="Times New Roman" w:eastAsia="宋体" w:cs="Times New Roman"/>
              </w:rPr>
              <w:drawing>
                <wp:inline distT="0" distB="0" distL="114300" distR="114300">
                  <wp:extent cx="7084695" cy="4298315"/>
                  <wp:effectExtent l="0" t="0" r="6985" b="1905"/>
                  <wp:docPr id="25" name="图片 44" descr="D:\汪东\【2021】\1-报告表\【2021】永进3-平16等6口探井项目\shp\amp\钻井井场平面布置.jpg钻井井场平面布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4" descr="D:\汪东\【2021】\1-报告表\【2021】永进3-平16等6口探井项目\shp\amp\钻井井场平面布置.jpg钻井井场平面布置"/>
                          <pic:cNvPicPr>
                            <a:picLocks noChangeAspect="1"/>
                          </pic:cNvPicPr>
                        </pic:nvPicPr>
                        <pic:blipFill>
                          <a:blip r:embed="rId13"/>
                          <a:srcRect/>
                          <a:stretch>
                            <a:fillRect/>
                          </a:stretch>
                        </pic:blipFill>
                        <pic:spPr>
                          <a:xfrm rot="16200000">
                            <a:off x="0" y="0"/>
                            <a:ext cx="7084695" cy="429831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highlight w:val="none"/>
                <w:lang w:eastAsia="zh-CN"/>
              </w:rPr>
            </w:pPr>
            <w:r>
              <w:rPr>
                <w:rFonts w:hint="eastAsia" w:ascii="黑体" w:hAnsi="黑体" w:eastAsia="黑体" w:cs="黑体"/>
                <w:kern w:val="0"/>
                <w:szCs w:val="21"/>
                <w:highlight w:val="none"/>
                <w:lang w:val="en-US" w:eastAsia="zh-CN"/>
              </w:rPr>
              <w:t>图2.5钻井井场</w:t>
            </w:r>
            <w:r>
              <w:rPr>
                <w:rFonts w:hint="eastAsia" w:ascii="黑体" w:hAnsi="黑体" w:eastAsia="黑体" w:cs="黑体"/>
                <w:kern w:val="0"/>
                <w:szCs w:val="21"/>
                <w:highlight w:val="none"/>
                <w:lang w:eastAsia="zh-CN"/>
              </w:rPr>
              <w:t>平面布置示意图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16" w:hRule="atLeast"/>
          <w:jc w:val="center"/>
        </w:trPr>
        <w:tc>
          <w:tcPr>
            <w:tcW w:w="71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yellow"/>
              </w:rPr>
            </w:pPr>
            <w:r>
              <w:rPr>
                <w:rFonts w:hint="default" w:ascii="Times New Roman" w:hAnsi="Times New Roman" w:eastAsia="宋体" w:cs="Times New Roman"/>
                <w:kern w:val="0"/>
                <w:szCs w:val="21"/>
                <w:highlight w:val="none"/>
              </w:rPr>
              <w:t>施工方案</w:t>
            </w:r>
          </w:p>
        </w:tc>
        <w:tc>
          <w:tcPr>
            <w:tcW w:w="7603" w:type="dxa"/>
            <w:noWrap w:val="0"/>
            <w:vAlign w:val="center"/>
          </w:tcPr>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yellow"/>
                <w:lang w:val="en-US" w:eastAsia="zh-CN"/>
              </w:rPr>
            </w:pPr>
            <w:r>
              <w:rPr>
                <w:rFonts w:hint="eastAsia" w:cs="Times New Roman"/>
                <w:kern w:val="0"/>
                <w:szCs w:val="21"/>
                <w:highlight w:val="none"/>
                <w:lang w:val="en-US" w:eastAsia="zh-CN"/>
              </w:rPr>
              <w:t>项目</w:t>
            </w:r>
            <w:r>
              <w:rPr>
                <w:rFonts w:hint="eastAsia" w:ascii="Times New Roman" w:hAnsi="Times New Roman" w:eastAsia="宋体" w:cs="Times New Roman"/>
                <w:kern w:val="0"/>
                <w:szCs w:val="21"/>
                <w:highlight w:val="none"/>
                <w:lang w:val="en-US" w:eastAsia="zh-CN"/>
              </w:rPr>
              <w:t>整个工艺过程主要包括钻前工程(井场平整、废水池、应急放喷池、钻井平台等建设)、设备搬运及安装、钻井、测井、油气测试、完井搬迁及污染物治理等，工艺过程见图</w:t>
            </w:r>
            <w:r>
              <w:rPr>
                <w:rFonts w:hint="eastAsia" w:cs="Times New Roman"/>
                <w:kern w:val="0"/>
                <w:szCs w:val="21"/>
                <w:highlight w:val="none"/>
                <w:lang w:val="en-US" w:eastAsia="zh-CN"/>
              </w:rPr>
              <w:t>2.6</w:t>
            </w:r>
            <w:r>
              <w:rPr>
                <w:rFonts w:hint="eastAsia" w:ascii="Times New Roman" w:hAnsi="Times New Roman" w:eastAsia="宋体" w:cs="Times New Roman"/>
                <w:kern w:val="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kern w:val="0"/>
                <w:szCs w:val="21"/>
                <w:highlight w:val="yellow"/>
                <w:lang w:val="en-US" w:eastAsia="zh-CN"/>
              </w:rPr>
            </w:pPr>
            <w:r>
              <w:rPr>
                <w:rFonts w:hint="default"/>
              </w:rPr>
              <w:drawing>
                <wp:inline distT="0" distB="0" distL="114300" distR="114300">
                  <wp:extent cx="4512310" cy="2594610"/>
                  <wp:effectExtent l="0" t="0" r="2540" b="15240"/>
                  <wp:docPr id="12" name="图片 2" descr="钻井作业过程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钻井作业过程示意图"/>
                          <pic:cNvPicPr>
                            <a:picLocks noChangeAspect="1"/>
                          </pic:cNvPicPr>
                        </pic:nvPicPr>
                        <pic:blipFill>
                          <a:blip r:embed="rId14"/>
                          <a:stretch>
                            <a:fillRect/>
                          </a:stretch>
                        </pic:blipFill>
                        <pic:spPr>
                          <a:xfrm>
                            <a:off x="0" y="0"/>
                            <a:ext cx="4512310" cy="2594610"/>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kern w:val="0"/>
                <w:szCs w:val="21"/>
                <w:highlight w:val="none"/>
                <w:lang w:val="en-US" w:eastAsia="zh-CN"/>
              </w:rPr>
            </w:pPr>
            <w:r>
              <w:rPr>
                <w:rFonts w:hint="eastAsia" w:ascii="黑体" w:hAnsi="黑体" w:eastAsia="黑体" w:cs="黑体"/>
                <w:kern w:val="0"/>
                <w:szCs w:val="21"/>
                <w:highlight w:val="none"/>
                <w:lang w:val="en-US" w:eastAsia="zh-CN"/>
              </w:rPr>
              <w:t>图2.6</w:t>
            </w:r>
            <w:r>
              <w:rPr>
                <w:rFonts w:hint="eastAsia" w:ascii="黑体" w:hAnsi="黑体" w:eastAsia="黑体" w:cs="黑体"/>
                <w:kern w:val="0"/>
                <w:szCs w:val="21"/>
                <w:highlight w:val="none"/>
                <w:lang w:eastAsia="zh-CN"/>
              </w:rPr>
              <w:t>工艺过程示意图</w:t>
            </w:r>
          </w:p>
          <w:p>
            <w:pPr>
              <w:keepNext w:val="0"/>
              <w:keepLines w:val="0"/>
              <w:suppressLineNumbers w:val="0"/>
              <w:adjustRightInd w:val="0"/>
              <w:snapToGrid w:val="0"/>
              <w:spacing w:before="0" w:beforeAutospacing="0" w:after="0" w:afterAutospacing="0" w:line="360" w:lineRule="auto"/>
              <w:ind w:left="0" w:leftChars="0" w:right="0" w:firstLine="422"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b/>
                <w:bCs/>
                <w:kern w:val="0"/>
                <w:szCs w:val="21"/>
                <w:highlight w:val="none"/>
                <w:lang w:val="en-US" w:eastAsia="zh-CN"/>
              </w:rPr>
              <w:t>1.钻前工程</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本项目钻前工程主要为进场道路建设、井场以及辅助设施建设。</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（1）进场道路建设</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根据工程设计图纸，结合区块道路建设情况，按照选定线路进行进场道路的修建，本项目共修临时进场道路4.831km，其中永进1-5井2.5km、永进3-平16井0.536km、永进3-斜11/斜12井1.450km、永进3-斜14井0.145km、永进3-斜17井0.200km，宽7m，采用戈壁石路面。</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（2）井场建设</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根据井场平面布置图，首先对井场进行初步平整，然后采用挖掘机进行应急池、放喷池等池体开挖作业，并利用应急池、放喷池的挖方进行填方作业，对场地进行平整。场地平整作业结束后，进行设备基础及池体防渗工程的建设。</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（3）设备搬运及安装</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进场道路及井场修建完成后，由运输车辆将各类设备逐步运至井场，并按井场平面布置所示位置进行安装，通过检查满足钻井要求时开始进行钻井工程。</w:t>
            </w:r>
          </w:p>
          <w:p>
            <w:pPr>
              <w:keepNext w:val="0"/>
              <w:keepLines w:val="0"/>
              <w:suppressLineNumbers w:val="0"/>
              <w:adjustRightInd w:val="0"/>
              <w:snapToGrid w:val="0"/>
              <w:spacing w:before="0" w:beforeAutospacing="0" w:after="0" w:afterAutospacing="0" w:line="360" w:lineRule="auto"/>
              <w:ind w:left="0" w:leftChars="0" w:right="0" w:firstLine="422" w:firstLineChars="200"/>
              <w:rPr>
                <w:rFonts w:hint="eastAsia" w:ascii="Times New Roman" w:hAnsi="Times New Roman" w:eastAsia="宋体" w:cs="Times New Roman"/>
                <w:b/>
                <w:bCs/>
                <w:kern w:val="0"/>
                <w:szCs w:val="21"/>
                <w:highlight w:val="none"/>
                <w:lang w:val="en-US" w:eastAsia="zh-CN"/>
              </w:rPr>
            </w:pPr>
            <w:r>
              <w:rPr>
                <w:rFonts w:hint="eastAsia" w:ascii="Times New Roman" w:hAnsi="Times New Roman" w:eastAsia="宋体" w:cs="Times New Roman"/>
                <w:b/>
                <w:bCs/>
                <w:kern w:val="0"/>
                <w:szCs w:val="21"/>
                <w:highlight w:val="none"/>
                <w:lang w:val="en-US" w:eastAsia="zh-CN"/>
              </w:rPr>
              <w:t>2.钻井工程</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本项目采用常规钻井工艺。钻井采用7000m钻机。正常情况下，单井钻井时间约为</w:t>
            </w:r>
            <w:r>
              <w:rPr>
                <w:rFonts w:hint="eastAsia" w:cs="Times New Roman"/>
                <w:kern w:val="0"/>
                <w:szCs w:val="21"/>
                <w:highlight w:val="none"/>
                <w:lang w:val="en-US" w:eastAsia="zh-CN"/>
              </w:rPr>
              <w:t>90</w:t>
            </w:r>
            <w:r>
              <w:rPr>
                <w:rFonts w:hint="eastAsia" w:ascii="Times New Roman" w:hAnsi="Times New Roman" w:eastAsia="宋体" w:cs="Times New Roman"/>
                <w:kern w:val="0"/>
                <w:szCs w:val="21"/>
                <w:highlight w:val="none"/>
                <w:lang w:val="en-US" w:eastAsia="zh-CN"/>
              </w:rPr>
              <w:t>天。</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钻井阶段使用的钻机为电钻机，正常钻井作业时动力由柴油发电机提供。通过钻机、转盘，带动钻杆切削地层，同时由泥浆泵经钻杆将泥浆注入井筒冲刷井底，将切削下的岩屑不断带至地面，整个过程循环进行，使井不断加深，直至目的井深。钻井中途需要停钻，以便起下钻具更换钻头、下套管、固井、替换洗井液和检修设备。</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固井是在已钻成的井筒内下入套管，然后在套管与井壁之间环空内注入水泥，将套管和地层固结在一起的工艺过程，可防止复杂情况，以保证安全继续钻进下一段井筒或保证顺利开采生产层中的油气资源。</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本项目在钻井过程中将委托第三方单位进行测井工作，以获取井斜、方位等参数，判断固井质量。</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当钻至目的层后，对油气应进行测试，如钻孔在目的层未遇裂隙，则需进行射孔，用射孔枪打开产层，然后将压裂酸液注入地层孔隙、裂缝中，通过酸液和地层岩石矿物的反应，溶解部分岩石矿物或堵塞物质，从而扩大或沟通地层岩石的孔隙裂缝，改善地层近井地带渗透率，使含油气层的油气资源通过裂隙采出。</w:t>
            </w:r>
          </w:p>
          <w:p>
            <w:pPr>
              <w:keepNext w:val="0"/>
              <w:keepLines w:val="0"/>
              <w:suppressLineNumbers w:val="0"/>
              <w:adjustRightInd w:val="0"/>
              <w:snapToGrid w:val="0"/>
              <w:spacing w:before="0" w:beforeAutospacing="0" w:after="0" w:afterAutospacing="0" w:line="360" w:lineRule="auto"/>
              <w:ind w:left="0" w:leftChars="0" w:right="0" w:firstLine="422" w:firstLineChars="200"/>
              <w:rPr>
                <w:rFonts w:hint="eastAsia" w:ascii="Times New Roman" w:hAnsi="Times New Roman" w:eastAsia="宋体" w:cs="Times New Roman"/>
                <w:b/>
                <w:bCs/>
                <w:kern w:val="0"/>
                <w:szCs w:val="21"/>
                <w:highlight w:val="none"/>
                <w:lang w:val="en-US" w:eastAsia="zh-CN"/>
              </w:rPr>
            </w:pPr>
            <w:r>
              <w:rPr>
                <w:rFonts w:hint="eastAsia" w:ascii="Times New Roman" w:hAnsi="Times New Roman" w:eastAsia="宋体" w:cs="Times New Roman"/>
                <w:b/>
                <w:bCs/>
                <w:kern w:val="0"/>
                <w:szCs w:val="21"/>
                <w:highlight w:val="none"/>
                <w:lang w:val="en-US" w:eastAsia="zh-CN"/>
              </w:rPr>
              <w:t>3.试油工程</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试油工程主要测试目的层油气产能情况。测试结果表明该井有工业开采的价值，则进行后续的油气开采，其设备将拆除搬迁；若该井不产油或所产量无工业开采价值，则封井。</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试油前先安装井口放喷专用管线、各种计量设备、油气两相分离设备、原油回收罐等。如该井有油气资源，则产出液经两相分离器分离后，原油进入原油罐回收，天然气经过管线引至放喷池点火，依据具体情况设定放喷时间。试油期采出液拉运至春风联合站处理，处理达到《碎屑岩油藏注水水质推荐指标及分析方法》（SY/T5329－2012）标准后回注地层。</w:t>
            </w:r>
          </w:p>
          <w:p>
            <w:pPr>
              <w:keepNext w:val="0"/>
              <w:keepLines w:val="0"/>
              <w:suppressLineNumbers w:val="0"/>
              <w:adjustRightInd w:val="0"/>
              <w:snapToGrid w:val="0"/>
              <w:spacing w:before="0" w:beforeAutospacing="0" w:after="0" w:afterAutospacing="0" w:line="360" w:lineRule="auto"/>
              <w:ind w:left="0" w:leftChars="0" w:right="0" w:firstLine="422" w:firstLineChars="200"/>
              <w:rPr>
                <w:rFonts w:hint="eastAsia" w:ascii="Times New Roman" w:hAnsi="Times New Roman" w:eastAsia="宋体" w:cs="Times New Roman"/>
                <w:b/>
                <w:bCs/>
                <w:kern w:val="0"/>
                <w:szCs w:val="21"/>
                <w:highlight w:val="none"/>
                <w:lang w:val="en-US" w:eastAsia="zh-CN"/>
              </w:rPr>
            </w:pPr>
            <w:r>
              <w:rPr>
                <w:rFonts w:hint="eastAsia" w:ascii="Times New Roman" w:hAnsi="Times New Roman" w:eastAsia="宋体" w:cs="Times New Roman"/>
                <w:b/>
                <w:bCs/>
                <w:kern w:val="0"/>
                <w:szCs w:val="21"/>
                <w:highlight w:val="none"/>
                <w:lang w:val="en-US" w:eastAsia="zh-CN"/>
              </w:rPr>
              <w:t>4.钻后工程</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测试完井后，要换装井口装置，有油时井口需换装采油树，其余设施将拆除、搬迁，钻井液材料全部进行回收，井场无遗留，钻井过程中产生的各类废物进行清理并恢复原貌，并进行产能建设工程的环境影响评价，若该井无开采价值，则将井口用水泥封固</w:t>
            </w:r>
            <w:r>
              <w:rPr>
                <w:rFonts w:hint="eastAsia" w:cs="Times New Roman"/>
                <w:kern w:val="0"/>
                <w:szCs w:val="21"/>
                <w:highlight w:val="none"/>
                <w:lang w:val="en-US" w:eastAsia="zh-CN"/>
              </w:rPr>
              <w:t>，预计2天</w:t>
            </w:r>
            <w:r>
              <w:rPr>
                <w:rFonts w:hint="eastAsia" w:ascii="Times New Roman" w:hAnsi="Times New Roman" w:eastAsia="宋体" w:cs="Times New Roman"/>
                <w:kern w:val="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kern w:val="0"/>
                <w:szCs w:val="21"/>
                <w:highlight w:val="yellow"/>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71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其他</w:t>
            </w:r>
          </w:p>
        </w:tc>
        <w:tc>
          <w:tcPr>
            <w:tcW w:w="7603" w:type="dxa"/>
            <w:noWrap w:val="0"/>
            <w:vAlign w:val="center"/>
          </w:tcPr>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无</w:t>
            </w:r>
          </w:p>
        </w:tc>
      </w:tr>
    </w:tbl>
    <w:p>
      <w:pPr>
        <w:pStyle w:val="17"/>
        <w:jc w:val="center"/>
        <w:outlineLvl w:val="0"/>
        <w:rPr>
          <w:rFonts w:hint="default" w:ascii="Times New Roman" w:hAnsi="Times New Roman" w:eastAsia="黑体" w:cs="Times New Roman"/>
          <w:snapToGrid w:val="0"/>
          <w:sz w:val="30"/>
          <w:szCs w:val="30"/>
          <w:highlight w:val="none"/>
        </w:rPr>
      </w:pPr>
      <w:r>
        <w:rPr>
          <w:rFonts w:hint="default" w:ascii="Times New Roman" w:hAnsi="Times New Roman" w:eastAsia="仿宋_GB2312" w:cs="Times New Roman"/>
          <w:b/>
          <w:bCs/>
          <w:highlight w:val="yellow"/>
        </w:rPr>
        <w:br w:type="page"/>
      </w:r>
      <w:bookmarkStart w:id="8" w:name="_Toc19545"/>
      <w:r>
        <w:rPr>
          <w:rFonts w:hint="default" w:ascii="Times New Roman" w:hAnsi="Times New Roman" w:eastAsia="黑体" w:cs="Times New Roman"/>
          <w:snapToGrid w:val="0"/>
          <w:sz w:val="30"/>
          <w:szCs w:val="30"/>
          <w:highlight w:val="none"/>
        </w:rPr>
        <w:t>三、生态环境现状、保护目标及评价标准</w:t>
      </w:r>
      <w:bookmarkEnd w:id="8"/>
    </w:p>
    <w:tbl>
      <w:tblPr>
        <w:tblStyle w:val="20"/>
        <w:tblW w:w="83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4"/>
        <w:gridCol w:w="76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2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yellow"/>
              </w:rPr>
            </w:pPr>
            <w:r>
              <w:rPr>
                <w:rFonts w:hint="default" w:ascii="Times New Roman" w:hAnsi="Times New Roman" w:eastAsia="宋体" w:cs="Times New Roman"/>
                <w:kern w:val="0"/>
                <w:szCs w:val="21"/>
                <w:highlight w:val="none"/>
              </w:rPr>
              <w:t>生态环境现状</w:t>
            </w:r>
          </w:p>
        </w:tc>
        <w:tc>
          <w:tcPr>
            <w:tcW w:w="7611" w:type="dxa"/>
            <w:noWrap w:val="0"/>
            <w:vAlign w:val="center"/>
          </w:tcPr>
          <w:p>
            <w:pPr>
              <w:keepNext w:val="0"/>
              <w:keepLines w:val="0"/>
              <w:suppressLineNumbers w:val="0"/>
              <w:adjustRightInd w:val="0"/>
              <w:snapToGrid w:val="0"/>
              <w:spacing w:before="0" w:beforeAutospacing="0" w:after="0" w:afterAutospacing="0" w:line="360" w:lineRule="auto"/>
              <w:ind w:left="0" w:leftChars="0" w:right="0" w:firstLine="422" w:firstLineChars="200"/>
              <w:jc w:val="both"/>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rPr>
              <w:t>1.项目周边油气井勘探及开发情况</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b w:val="0"/>
                <w:bCs w:val="0"/>
                <w:kern w:val="0"/>
                <w:szCs w:val="21"/>
                <w:highlight w:val="none"/>
                <w:lang w:val="en-US" w:eastAsia="zh-CN"/>
              </w:rPr>
            </w:pPr>
            <w:r>
              <w:rPr>
                <w:rFonts w:hint="eastAsia" w:cs="Times New Roman"/>
                <w:b w:val="0"/>
                <w:bCs w:val="0"/>
                <w:kern w:val="0"/>
                <w:szCs w:val="21"/>
                <w:highlight w:val="none"/>
                <w:lang w:val="en-US" w:eastAsia="zh-CN"/>
              </w:rPr>
              <w:t>（1）勘探情况</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b w:val="0"/>
                <w:bCs w:val="0"/>
                <w:kern w:val="0"/>
                <w:szCs w:val="21"/>
                <w:highlight w:val="none"/>
                <w:lang w:val="en-US" w:eastAsia="zh-CN"/>
              </w:rPr>
            </w:pPr>
            <w:r>
              <w:rPr>
                <w:rFonts w:hint="eastAsia" w:cs="Times New Roman"/>
                <w:b w:val="0"/>
                <w:bCs w:val="0"/>
                <w:kern w:val="0"/>
                <w:szCs w:val="21"/>
                <w:highlight w:val="none"/>
                <w:lang w:val="en-US" w:eastAsia="zh-CN"/>
              </w:rPr>
              <w:t>本项目所在的永进油田共有6口井试油，其中永1、永2、永3、永6井在清水河组、齐古组及西山窑组地层试油，日油0～34.2t/d；永8井2006年6月在西山窑组试油不出，解释为干层。5口老油井在试油过程中发生落物、套错等情况，认为试油不彻底。永301井于2019年12月试油，日油41t/d，解释为油层，含油性较好。</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b w:val="0"/>
                <w:bCs w:val="0"/>
                <w:kern w:val="0"/>
                <w:szCs w:val="21"/>
                <w:highlight w:val="none"/>
                <w:lang w:val="en-US" w:eastAsia="zh-CN"/>
              </w:rPr>
            </w:pPr>
            <w:r>
              <w:rPr>
                <w:rFonts w:hint="eastAsia" w:cs="Times New Roman"/>
                <w:b w:val="0"/>
                <w:bCs w:val="0"/>
                <w:kern w:val="0"/>
                <w:szCs w:val="21"/>
                <w:highlight w:val="none"/>
                <w:lang w:val="en-US" w:eastAsia="zh-CN"/>
              </w:rPr>
              <w:t>（2）开发情况</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b w:val="0"/>
                <w:bCs w:val="0"/>
                <w:kern w:val="0"/>
                <w:szCs w:val="21"/>
                <w:highlight w:val="none"/>
                <w:lang w:val="en-US" w:eastAsia="zh-CN"/>
              </w:rPr>
            </w:pPr>
            <w:r>
              <w:rPr>
                <w:rFonts w:hint="eastAsia" w:cs="Times New Roman"/>
                <w:b w:val="0"/>
                <w:bCs w:val="0"/>
                <w:kern w:val="0"/>
                <w:szCs w:val="21"/>
                <w:highlight w:val="none"/>
                <w:lang w:val="en-US" w:eastAsia="zh-CN"/>
              </w:rPr>
              <w:t>本项目所在的永进油田共有6口试采井（永1、永3、永1-平1、永3-侧平1、永301、永3-平1），其中永1井投产初期日产液19.2t/d，日产油18.0t/d，含水6.2%，2010年12月27日套坏封井，累油3779t；永3井投产初期日产液25.7t/d，日产油25.7t/d，不含水，2006年10月发现油层中部套错，作业后关井，累油1689t；永1-平1井投产初期日产液19.6t/d，日产油16.7t/d，含水14.7%，2013年8月13日关井，累油4034t。永3-侧平1井于2018年12月13日投产，初期1.8mm油嘴自喷，油压53MPa，日油34t/d，不含水，气油比248m</w:t>
            </w:r>
            <w:r>
              <w:rPr>
                <w:rFonts w:hint="eastAsia" w:cs="Times New Roman"/>
                <w:b w:val="0"/>
                <w:bCs w:val="0"/>
                <w:kern w:val="0"/>
                <w:szCs w:val="21"/>
                <w:highlight w:val="none"/>
                <w:vertAlign w:val="superscript"/>
                <w:lang w:val="en-US" w:eastAsia="zh-CN"/>
              </w:rPr>
              <w:t>3</w:t>
            </w:r>
            <w:r>
              <w:rPr>
                <w:rFonts w:hint="eastAsia" w:cs="Times New Roman"/>
                <w:b w:val="0"/>
                <w:bCs w:val="0"/>
                <w:kern w:val="0"/>
                <w:szCs w:val="21"/>
                <w:highlight w:val="none"/>
                <w:lang w:val="en-US" w:eastAsia="zh-CN"/>
              </w:rPr>
              <w:t>/t；2020年5月31日，2mm油嘴自喷，油压39.7MPa，日油29.8 t/d，含水0.1%，气油比298m</w:t>
            </w:r>
            <w:r>
              <w:rPr>
                <w:rFonts w:hint="eastAsia" w:cs="Times New Roman"/>
                <w:b w:val="0"/>
                <w:bCs w:val="0"/>
                <w:kern w:val="0"/>
                <w:szCs w:val="21"/>
                <w:highlight w:val="none"/>
                <w:vertAlign w:val="superscript"/>
                <w:lang w:val="en-US" w:eastAsia="zh-CN"/>
              </w:rPr>
              <w:t>3</w:t>
            </w:r>
            <w:r>
              <w:rPr>
                <w:rFonts w:hint="eastAsia" w:cs="Times New Roman"/>
                <w:b w:val="0"/>
                <w:bCs w:val="0"/>
                <w:kern w:val="0"/>
                <w:szCs w:val="21"/>
                <w:highlight w:val="none"/>
                <w:lang w:val="en-US" w:eastAsia="zh-CN"/>
              </w:rPr>
              <w:t>/t，累油20084t。永301井于2019年12月1日投产，初期2.3mm油嘴自喷，油压41MPa，日油35.9t/d，含水0.1%；2020年5月31日，1.4mm油嘴自喷，油压37MPa，日油15.3t/d，含水0.1%，累油3750t。永3-平1井于2019年12月19日投产，初期2.2mm油嘴自喷，油压45MPa，日油34t/d，含水9.1%；2020年5月31日，1.3mm油嘴自喷，油压36.5MPa，日油10.2/d，含水0.1%，累油2203t。</w:t>
            </w:r>
          </w:p>
          <w:p>
            <w:pPr>
              <w:keepNext w:val="0"/>
              <w:keepLines w:val="0"/>
              <w:suppressLineNumbers w:val="0"/>
              <w:adjustRightInd w:val="0"/>
              <w:snapToGrid w:val="0"/>
              <w:spacing w:before="0" w:beforeAutospacing="0" w:after="0" w:afterAutospacing="0" w:line="360" w:lineRule="auto"/>
              <w:ind w:left="0" w:leftChars="0" w:right="0" w:firstLine="422" w:firstLineChars="200"/>
              <w:jc w:val="both"/>
              <w:rPr>
                <w:rFonts w:hint="default" w:ascii="Times New Roman" w:hAnsi="Times New Roman" w:eastAsia="宋体" w:cs="Times New Roman"/>
                <w:b/>
                <w:bCs/>
                <w:kern w:val="0"/>
                <w:szCs w:val="21"/>
                <w:highlight w:val="none"/>
              </w:rPr>
            </w:pPr>
            <w:r>
              <w:rPr>
                <w:rFonts w:hint="eastAsia" w:cs="Times New Roman"/>
                <w:b/>
                <w:bCs/>
                <w:kern w:val="0"/>
                <w:szCs w:val="21"/>
                <w:highlight w:val="none"/>
                <w:lang w:val="en-US" w:eastAsia="zh-CN"/>
              </w:rPr>
              <w:t>2</w:t>
            </w:r>
            <w:r>
              <w:rPr>
                <w:rFonts w:hint="default" w:ascii="Times New Roman" w:hAnsi="Times New Roman" w:eastAsia="宋体" w:cs="Times New Roman"/>
                <w:b/>
                <w:bCs/>
                <w:kern w:val="0"/>
                <w:szCs w:val="21"/>
                <w:highlight w:val="none"/>
              </w:rPr>
              <w:t>.主体功能区规划</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ascii="Times New Roman" w:hAnsi="Times New Roman" w:eastAsia="宋体" w:cs="Times New Roman"/>
                <w:b/>
                <w:bCs/>
                <w:kern w:val="0"/>
                <w:szCs w:val="21"/>
                <w:highlight w:val="none"/>
                <w:lang w:eastAsia="zh-CN"/>
              </w:rPr>
            </w:pPr>
            <w:r>
              <w:rPr>
                <w:rFonts w:hint="default" w:ascii="Times New Roman" w:hAnsi="Times New Roman" w:eastAsia="宋体" w:cs="Times New Roman"/>
                <w:b w:val="0"/>
                <w:bCs w:val="0"/>
                <w:kern w:val="0"/>
                <w:szCs w:val="21"/>
                <w:highlight w:val="none"/>
              </w:rPr>
              <w:t>本</w:t>
            </w:r>
            <w:r>
              <w:rPr>
                <w:rFonts w:hint="eastAsia" w:cs="Times New Roman"/>
                <w:b w:val="0"/>
                <w:bCs w:val="0"/>
                <w:kern w:val="0"/>
                <w:szCs w:val="21"/>
                <w:highlight w:val="none"/>
                <w:lang w:val="en-US" w:eastAsia="zh-CN"/>
              </w:rPr>
              <w:t>项目</w:t>
            </w:r>
            <w:r>
              <w:rPr>
                <w:rFonts w:hint="default" w:ascii="Times New Roman" w:hAnsi="Times New Roman" w:eastAsia="宋体" w:cs="Times New Roman"/>
                <w:b w:val="0"/>
                <w:bCs w:val="0"/>
                <w:kern w:val="0"/>
                <w:szCs w:val="21"/>
                <w:highlight w:val="none"/>
              </w:rPr>
              <w:t>位于昌吉州玛纳斯县北五岔镇永进油田永1</w:t>
            </w:r>
            <w:r>
              <w:rPr>
                <w:rFonts w:hint="eastAsia" w:cs="Times New Roman"/>
                <w:b w:val="0"/>
                <w:bCs w:val="0"/>
                <w:kern w:val="0"/>
                <w:szCs w:val="21"/>
                <w:highlight w:val="none"/>
                <w:lang w:eastAsia="zh-CN"/>
              </w:rPr>
              <w:t>、永3</w:t>
            </w:r>
            <w:r>
              <w:rPr>
                <w:rFonts w:hint="default" w:ascii="Times New Roman" w:hAnsi="Times New Roman" w:eastAsia="宋体" w:cs="Times New Roman"/>
                <w:b w:val="0"/>
                <w:bCs w:val="0"/>
                <w:kern w:val="0"/>
                <w:szCs w:val="21"/>
                <w:highlight w:val="none"/>
              </w:rPr>
              <w:t>区块，属于天山北坡地区，是国家层面重点开发区。主要保护目标为“改善城市生产生活环境、保护荒漠植被”，主要发展方向为“建设现代化石油工业基地和良好的人居环境，实现经济、社会、环境和谐与健康发展”。</w:t>
            </w:r>
            <w:r>
              <w:rPr>
                <w:rFonts w:hint="eastAsia" w:cs="Times New Roman"/>
                <w:b w:val="0"/>
                <w:bCs w:val="0"/>
                <w:kern w:val="0"/>
                <w:szCs w:val="21"/>
                <w:highlight w:val="none"/>
                <w:lang w:val="en-US" w:eastAsia="zh-CN"/>
              </w:rPr>
              <w:t>项目</w:t>
            </w:r>
            <w:r>
              <w:rPr>
                <w:rFonts w:hint="default" w:ascii="Times New Roman" w:hAnsi="Times New Roman" w:eastAsia="宋体" w:cs="Times New Roman"/>
                <w:b w:val="0"/>
                <w:bCs w:val="0"/>
                <w:kern w:val="0"/>
                <w:szCs w:val="21"/>
                <w:highlight w:val="none"/>
              </w:rPr>
              <w:t>周边主要为</w:t>
            </w:r>
            <w:r>
              <w:rPr>
                <w:rFonts w:hint="eastAsia" w:cs="Times New Roman"/>
                <w:b w:val="0"/>
                <w:bCs w:val="0"/>
                <w:kern w:val="0"/>
                <w:szCs w:val="21"/>
                <w:highlight w:val="none"/>
                <w:lang w:val="en-US" w:eastAsia="zh-CN"/>
              </w:rPr>
              <w:t>荒漠</w:t>
            </w:r>
            <w:r>
              <w:rPr>
                <w:rFonts w:hint="default" w:ascii="Times New Roman" w:hAnsi="Times New Roman" w:eastAsia="宋体" w:cs="Times New Roman"/>
                <w:b w:val="0"/>
                <w:bCs w:val="0"/>
                <w:kern w:val="0"/>
                <w:szCs w:val="21"/>
                <w:highlight w:val="none"/>
              </w:rPr>
              <w:t>，结合本</w:t>
            </w:r>
            <w:r>
              <w:rPr>
                <w:rFonts w:hint="eastAsia" w:cs="Times New Roman"/>
                <w:b w:val="0"/>
                <w:bCs w:val="0"/>
                <w:kern w:val="0"/>
                <w:szCs w:val="21"/>
                <w:highlight w:val="none"/>
                <w:lang w:val="en-US" w:eastAsia="zh-CN"/>
              </w:rPr>
              <w:t>项目</w:t>
            </w:r>
            <w:r>
              <w:rPr>
                <w:rFonts w:hint="default" w:ascii="Times New Roman" w:hAnsi="Times New Roman" w:eastAsia="宋体" w:cs="Times New Roman"/>
                <w:b w:val="0"/>
                <w:bCs w:val="0"/>
                <w:kern w:val="0"/>
                <w:szCs w:val="21"/>
                <w:highlight w:val="none"/>
              </w:rPr>
              <w:t>所处地理位置，本</w:t>
            </w:r>
            <w:r>
              <w:rPr>
                <w:rFonts w:hint="eastAsia" w:cs="Times New Roman"/>
                <w:b w:val="0"/>
                <w:bCs w:val="0"/>
                <w:kern w:val="0"/>
                <w:szCs w:val="21"/>
                <w:highlight w:val="none"/>
                <w:lang w:val="en-US" w:eastAsia="zh-CN"/>
              </w:rPr>
              <w:t>项目</w:t>
            </w:r>
            <w:r>
              <w:rPr>
                <w:rFonts w:hint="default" w:ascii="Times New Roman" w:hAnsi="Times New Roman" w:eastAsia="宋体" w:cs="Times New Roman"/>
                <w:b w:val="0"/>
                <w:bCs w:val="0"/>
                <w:kern w:val="0"/>
                <w:szCs w:val="21"/>
                <w:highlight w:val="none"/>
              </w:rPr>
              <w:t>评价范围内无风景名胜区、自然保护区、饮用水水源保护区、原始天然林等生态敏感区，周围无地表水，符合《新疆维吾尔自治区主体功能区规划》</w:t>
            </w:r>
            <w:r>
              <w:rPr>
                <w:rFonts w:hint="eastAsia" w:cs="Times New Roman"/>
                <w:b w:val="0"/>
                <w:bCs w:val="0"/>
                <w:kern w:val="0"/>
                <w:szCs w:val="21"/>
                <w:highlight w:val="none"/>
                <w:lang w:eastAsia="zh-CN"/>
              </w:rPr>
              <w:t>。</w:t>
            </w:r>
          </w:p>
          <w:p>
            <w:pPr>
              <w:keepNext w:val="0"/>
              <w:keepLines w:val="0"/>
              <w:suppressLineNumbers w:val="0"/>
              <w:adjustRightInd w:val="0"/>
              <w:snapToGrid w:val="0"/>
              <w:spacing w:before="0" w:beforeAutospacing="0" w:after="0" w:afterAutospacing="0" w:line="360" w:lineRule="auto"/>
              <w:ind w:left="0" w:leftChars="0" w:right="0" w:firstLine="422" w:firstLineChars="200"/>
              <w:jc w:val="both"/>
              <w:rPr>
                <w:rFonts w:hint="default" w:ascii="Times New Roman" w:hAnsi="Times New Roman" w:eastAsia="宋体" w:cs="Times New Roman"/>
                <w:b/>
                <w:bCs/>
                <w:kern w:val="0"/>
                <w:szCs w:val="21"/>
                <w:highlight w:val="none"/>
              </w:rPr>
            </w:pPr>
            <w:r>
              <w:rPr>
                <w:rFonts w:hint="eastAsia" w:cs="Times New Roman"/>
                <w:b/>
                <w:bCs/>
                <w:kern w:val="0"/>
                <w:szCs w:val="21"/>
                <w:highlight w:val="none"/>
                <w:lang w:val="en-US" w:eastAsia="zh-CN"/>
              </w:rPr>
              <w:t>3</w:t>
            </w:r>
            <w:r>
              <w:rPr>
                <w:rFonts w:hint="eastAsia" w:ascii="Times New Roman" w:hAnsi="Times New Roman" w:eastAsia="宋体" w:cs="Times New Roman"/>
                <w:b/>
                <w:bCs/>
                <w:kern w:val="0"/>
                <w:szCs w:val="21"/>
                <w:highlight w:val="none"/>
                <w:lang w:val="en-US" w:eastAsia="zh-CN"/>
              </w:rPr>
              <w:t>.</w:t>
            </w:r>
            <w:r>
              <w:rPr>
                <w:rFonts w:hint="default" w:ascii="Times New Roman" w:hAnsi="Times New Roman" w:eastAsia="宋体" w:cs="Times New Roman"/>
                <w:b/>
                <w:bCs/>
                <w:kern w:val="0"/>
                <w:szCs w:val="21"/>
                <w:highlight w:val="none"/>
              </w:rPr>
              <w:t>生态功能区划</w:t>
            </w:r>
          </w:p>
          <w:p>
            <w:pPr>
              <w:keepNext w:val="0"/>
              <w:keepLines w:val="0"/>
              <w:suppressLineNumbers w:val="0"/>
              <w:adjustRightInd w:val="0"/>
              <w:snapToGrid w:val="0"/>
              <w:spacing w:before="0" w:beforeAutospacing="0" w:after="0" w:afterAutospacing="0" w:line="360" w:lineRule="auto"/>
              <w:ind w:left="0" w:leftChars="0" w:right="0" w:rightChars="0" w:firstLine="420" w:firstLineChars="200"/>
              <w:jc w:val="both"/>
              <w:rPr>
                <w:rFonts w:hint="eastAsia" w:cs="Times New Roman"/>
                <w:kern w:val="0"/>
                <w:szCs w:val="21"/>
                <w:highlight w:val="none"/>
                <w:lang w:eastAsia="zh-CN"/>
              </w:rPr>
            </w:pPr>
            <w:r>
              <w:rPr>
                <w:rFonts w:hint="eastAsia" w:ascii="Times New Roman" w:hAnsi="Times New Roman" w:eastAsia="宋体" w:cs="Times New Roman"/>
                <w:kern w:val="0"/>
                <w:szCs w:val="21"/>
                <w:highlight w:val="none"/>
                <w:lang w:eastAsia="zh-CN"/>
              </w:rPr>
              <w:t>据《新疆生态功能区划》，工程区属于准噶尔盆地温性荒漠与绿洲农业生态区、准噶尔盆地南部荒漠绿洲农业生态亚区、乌苏—石河子—昌吉城镇与绿洲农业生态功能区。本区域在生态环境敏感性综合评价中，主要敏感因子为生物多样性及其生境中度敏感，土壤盐渍化轻度敏感。主要生态服务功能是：工农畜产品生产、人居环境、荒漠化控制。主要的生态问题是：地下水超采、荒漠植被退化、土地荒漠化与盐渍化、大气和水质及土壤污染、良田减少、绿洲外围受到沙漠化威胁</w:t>
            </w:r>
            <w:r>
              <w:rPr>
                <w:rFonts w:hint="eastAsia" w:cs="Times New Roman"/>
                <w:kern w:val="0"/>
                <w:szCs w:val="21"/>
                <w:highlight w:val="none"/>
                <w:lang w:eastAsia="zh-CN"/>
              </w:rPr>
              <w:t>。</w:t>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default"/>
              </w:rPr>
            </w:pPr>
            <w:r>
              <w:rPr>
                <w:rFonts w:hint="default"/>
              </w:rPr>
              <w:drawing>
                <wp:anchor distT="0" distB="0" distL="114300" distR="114300" simplePos="0" relativeHeight="251665408" behindDoc="0" locked="0" layoutInCell="1" allowOverlap="1">
                  <wp:simplePos x="0" y="0"/>
                  <wp:positionH relativeFrom="column">
                    <wp:posOffset>3057525</wp:posOffset>
                  </wp:positionH>
                  <wp:positionV relativeFrom="paragraph">
                    <wp:posOffset>1804035</wp:posOffset>
                  </wp:positionV>
                  <wp:extent cx="1605280" cy="1331595"/>
                  <wp:effectExtent l="9525" t="9525" r="23495" b="11430"/>
                  <wp:wrapNone/>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5"/>
                          <a:stretch>
                            <a:fillRect/>
                          </a:stretch>
                        </pic:blipFill>
                        <pic:spPr>
                          <a:xfrm>
                            <a:off x="0" y="0"/>
                            <a:ext cx="1605280" cy="1331595"/>
                          </a:xfrm>
                          <a:prstGeom prst="rect">
                            <a:avLst/>
                          </a:prstGeom>
                          <a:noFill/>
                          <a:ln>
                            <a:solidFill>
                              <a:schemeClr val="tx1"/>
                            </a:solidFill>
                          </a:ln>
                        </pic:spPr>
                      </pic:pic>
                    </a:graphicData>
                  </a:graphic>
                </wp:anchor>
              </w:drawing>
            </w:r>
            <w:r>
              <w:rPr>
                <w:rFonts w:hint="default"/>
              </w:rPr>
              <w:drawing>
                <wp:inline distT="0" distB="0" distL="114300" distR="114300">
                  <wp:extent cx="4648835" cy="3148965"/>
                  <wp:effectExtent l="9525" t="9525" r="27940" b="228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648835" cy="3148965"/>
                          </a:xfrm>
                          <a:prstGeom prst="rect">
                            <a:avLst/>
                          </a:prstGeom>
                          <a:noFill/>
                          <a:ln>
                            <a:solidFill>
                              <a:schemeClr val="tx1"/>
                            </a:solidFill>
                          </a:ln>
                        </pic:spPr>
                      </pic:pic>
                    </a:graphicData>
                  </a:graphic>
                </wp:inline>
              </w:drawing>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eastAsia" w:eastAsia="宋体" w:cs="Times New Roman"/>
                <w:kern w:val="0"/>
                <w:szCs w:val="21"/>
                <w:highlight w:val="none"/>
                <w:lang w:eastAsia="zh-CN"/>
              </w:rPr>
            </w:pPr>
            <w:r>
              <w:rPr>
                <w:rFonts w:hint="eastAsia" w:ascii="黑体" w:hAnsi="黑体" w:eastAsia="黑体" w:cs="黑体"/>
                <w:kern w:val="0"/>
                <w:szCs w:val="21"/>
                <w:highlight w:val="none"/>
                <w:lang w:val="en-US" w:eastAsia="zh-CN"/>
              </w:rPr>
              <w:t>图3.1生态功能区划图</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ascii="Times New Roman" w:hAnsi="Times New Roman" w:eastAsia="宋体" w:cs="Times New Roman"/>
                <w:b/>
                <w:bCs/>
                <w:kern w:val="0"/>
                <w:szCs w:val="21"/>
                <w:highlight w:val="none"/>
                <w:lang w:val="en-US" w:eastAsia="zh-CN"/>
              </w:rPr>
            </w:pPr>
            <w:r>
              <w:rPr>
                <w:rFonts w:hint="eastAsia" w:ascii="黑体" w:hAnsi="黑体" w:eastAsia="黑体" w:cs="黑体"/>
                <w:kern w:val="0"/>
                <w:szCs w:val="21"/>
                <w:highlight w:val="none"/>
                <w:lang w:val="en-US" w:eastAsia="zh-CN"/>
              </w:rPr>
              <w:t>4</w:t>
            </w:r>
            <w:r>
              <w:rPr>
                <w:rFonts w:hint="eastAsia" w:ascii="Times New Roman" w:hAnsi="Times New Roman" w:eastAsia="宋体" w:cs="Times New Roman"/>
                <w:b/>
                <w:bCs/>
                <w:kern w:val="0"/>
                <w:szCs w:val="21"/>
                <w:highlight w:val="none"/>
                <w:lang w:val="en-US" w:eastAsia="zh-CN"/>
              </w:rPr>
              <w:t>.土地利用现状</w:t>
            </w:r>
          </w:p>
          <w:p>
            <w:pPr>
              <w:keepNext w:val="0"/>
              <w:keepLines w:val="0"/>
              <w:suppressLineNumbers w:val="0"/>
              <w:adjustRightInd w:val="0"/>
              <w:snapToGrid w:val="0"/>
              <w:spacing w:before="0" w:beforeAutospacing="0" w:after="0" w:afterAutospacing="0" w:line="360" w:lineRule="auto"/>
              <w:ind w:left="0" w:leftChars="0" w:right="0" w:rightChars="0" w:firstLine="420" w:firstLineChars="200"/>
              <w:jc w:val="both"/>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Cs w:val="21"/>
                <w:highlight w:val="none"/>
                <w:lang w:val="en-US" w:eastAsia="zh-CN"/>
              </w:rPr>
              <w:t>参照全国土地利用现状调查技术规程和全国土地利用现状分类系统，</w:t>
            </w:r>
            <w:r>
              <w:rPr>
                <w:rFonts w:hint="eastAsia" w:ascii="Times New Roman" w:hAnsi="Times New Roman" w:eastAsia="宋体" w:cs="Times New Roman"/>
                <w:kern w:val="0"/>
                <w:szCs w:val="21"/>
                <w:highlight w:val="none"/>
                <w:lang w:val="en-US" w:eastAsia="zh-CN"/>
              </w:rPr>
              <w:t>结合</w:t>
            </w:r>
            <w:r>
              <w:rPr>
                <w:rFonts w:hint="default" w:ascii="Times New Roman" w:hAnsi="Times New Roman" w:eastAsia="宋体" w:cs="Times New Roman"/>
                <w:kern w:val="0"/>
                <w:szCs w:val="21"/>
                <w:highlight w:val="none"/>
                <w:lang w:val="en-US" w:eastAsia="zh-CN"/>
              </w:rPr>
              <w:t>实地调查和遥感卫星影像，</w:t>
            </w:r>
            <w:r>
              <w:rPr>
                <w:rFonts w:hint="eastAsia" w:ascii="Times New Roman" w:hAnsi="Times New Roman" w:eastAsia="宋体" w:cs="Times New Roman"/>
                <w:kern w:val="0"/>
                <w:szCs w:val="21"/>
                <w:highlight w:val="none"/>
                <w:lang w:val="en-US" w:eastAsia="zh-CN"/>
              </w:rPr>
              <w:t>本评价区土地利用类型为</w:t>
            </w:r>
            <w:r>
              <w:rPr>
                <w:rFonts w:hint="eastAsia" w:cs="Times New Roman"/>
                <w:kern w:val="0"/>
                <w:szCs w:val="21"/>
                <w:highlight w:val="none"/>
                <w:lang w:val="en-US" w:eastAsia="zh-CN"/>
              </w:rPr>
              <w:t>低覆盖度</w:t>
            </w:r>
            <w:r>
              <w:rPr>
                <w:rFonts w:hint="eastAsia" w:ascii="Times New Roman" w:hAnsi="Times New Roman" w:eastAsia="宋体" w:cs="Times New Roman"/>
                <w:kern w:val="0"/>
                <w:szCs w:val="21"/>
                <w:highlight w:val="none"/>
                <w:lang w:val="en-US" w:eastAsia="zh-CN"/>
              </w:rPr>
              <w:t>草地</w:t>
            </w:r>
            <w:r>
              <w:rPr>
                <w:rFonts w:hint="default" w:ascii="Times New Roman" w:hAnsi="Times New Roman" w:eastAsia="宋体" w:cs="Times New Roman"/>
                <w:kern w:val="0"/>
                <w:sz w:val="21"/>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rightChars="0" w:firstLine="420" w:firstLineChars="200"/>
              <w:jc w:val="both"/>
              <w:rPr>
                <w:rFonts w:hint="eastAsia"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评价区</w:t>
            </w:r>
            <w:r>
              <w:rPr>
                <w:rFonts w:hint="eastAsia" w:cs="Times New Roman"/>
                <w:kern w:val="0"/>
                <w:sz w:val="21"/>
                <w:szCs w:val="21"/>
                <w:highlight w:val="none"/>
                <w:lang w:val="en-US" w:eastAsia="zh-CN"/>
              </w:rPr>
              <w:t>域</w:t>
            </w:r>
            <w:r>
              <w:rPr>
                <w:rFonts w:hint="default" w:ascii="Times New Roman" w:hAnsi="Times New Roman" w:eastAsia="宋体" w:cs="Times New Roman"/>
                <w:kern w:val="0"/>
                <w:sz w:val="21"/>
                <w:szCs w:val="21"/>
                <w:highlight w:val="none"/>
                <w:lang w:val="en-US" w:eastAsia="zh-CN"/>
              </w:rPr>
              <w:t>土地利用现状图见图</w:t>
            </w:r>
            <w:r>
              <w:rPr>
                <w:rFonts w:hint="eastAsia" w:ascii="Times New Roman" w:hAnsi="Times New Roman" w:eastAsia="宋体" w:cs="Times New Roman"/>
                <w:kern w:val="0"/>
                <w:sz w:val="21"/>
                <w:szCs w:val="21"/>
                <w:highlight w:val="none"/>
                <w:lang w:val="en-US" w:eastAsia="zh-CN"/>
              </w:rPr>
              <w:t>3.</w:t>
            </w:r>
            <w:r>
              <w:rPr>
                <w:rFonts w:hint="eastAsia" w:cs="Times New Roman"/>
                <w:kern w:val="0"/>
                <w:sz w:val="21"/>
                <w:szCs w:val="21"/>
                <w:highlight w:val="none"/>
                <w:lang w:val="en-US" w:eastAsia="zh-CN"/>
              </w:rPr>
              <w:t>2。</w:t>
            </w:r>
          </w:p>
          <w:p>
            <w:pPr>
              <w:keepNext w:val="0"/>
              <w:keepLines w:val="0"/>
              <w:suppressLineNumbers w:val="0"/>
              <w:adjustRightInd w:val="0"/>
              <w:snapToGrid w:val="0"/>
              <w:spacing w:before="0" w:beforeAutospacing="0" w:after="0" w:afterAutospacing="0" w:line="360" w:lineRule="auto"/>
              <w:ind w:left="0" w:leftChars="0" w:right="0" w:firstLine="422" w:firstLineChars="200"/>
              <w:jc w:val="both"/>
              <w:rPr>
                <w:rFonts w:hint="eastAsia" w:ascii="Times New Roman" w:hAnsi="Times New Roman" w:eastAsia="宋体" w:cs="Times New Roman"/>
                <w:b/>
                <w:bCs/>
                <w:kern w:val="0"/>
                <w:szCs w:val="21"/>
                <w:highlight w:val="none"/>
                <w:lang w:eastAsia="zh-CN"/>
              </w:rPr>
            </w:pPr>
            <w:r>
              <w:rPr>
                <w:rFonts w:hint="eastAsia" w:cs="Times New Roman"/>
                <w:b/>
                <w:bCs/>
                <w:kern w:val="0"/>
                <w:szCs w:val="21"/>
                <w:highlight w:val="none"/>
                <w:lang w:val="en-US" w:eastAsia="zh-CN"/>
              </w:rPr>
              <w:t>5</w:t>
            </w:r>
            <w:r>
              <w:rPr>
                <w:rFonts w:hint="eastAsia" w:ascii="Times New Roman" w:hAnsi="Times New Roman" w:eastAsia="宋体" w:cs="Times New Roman"/>
                <w:b/>
                <w:bCs/>
                <w:kern w:val="0"/>
                <w:szCs w:val="21"/>
                <w:highlight w:val="none"/>
                <w:lang w:val="en-US" w:eastAsia="zh-CN"/>
              </w:rPr>
              <w:t>.</w:t>
            </w:r>
            <w:r>
              <w:rPr>
                <w:rFonts w:hint="eastAsia" w:ascii="Times New Roman" w:hAnsi="Times New Roman" w:eastAsia="宋体" w:cs="Times New Roman"/>
                <w:b/>
                <w:bCs/>
                <w:kern w:val="0"/>
                <w:szCs w:val="21"/>
                <w:highlight w:val="none"/>
                <w:lang w:eastAsia="zh-CN"/>
              </w:rPr>
              <w:t>植物区系</w:t>
            </w:r>
          </w:p>
          <w:p>
            <w:pPr>
              <w:keepNext w:val="0"/>
              <w:keepLines w:val="0"/>
              <w:suppressLineNumbers w:val="0"/>
              <w:adjustRightInd w:val="0"/>
              <w:snapToGrid w:val="0"/>
              <w:spacing w:before="0" w:beforeAutospacing="0" w:after="0" w:afterAutospacing="0" w:line="360" w:lineRule="auto"/>
              <w:ind w:left="0" w:leftChars="0" w:right="0" w:rightChars="0" w:firstLine="420" w:firstLineChars="200"/>
              <w:jc w:val="both"/>
              <w:rPr>
                <w:rFonts w:hint="eastAsia" w:ascii="Times New Roman" w:hAnsi="Times New Roman" w:eastAsia="宋体" w:cs="Times New Roman"/>
                <w:kern w:val="0"/>
                <w:szCs w:val="21"/>
                <w:highlight w:val="none"/>
                <w:lang w:eastAsia="zh-CN"/>
              </w:rPr>
            </w:pPr>
            <w:r>
              <w:rPr>
                <w:rFonts w:hint="eastAsia" w:ascii="Times New Roman" w:hAnsi="Times New Roman" w:eastAsia="宋体" w:cs="Times New Roman"/>
                <w:kern w:val="0"/>
                <w:szCs w:val="21"/>
                <w:highlight w:val="none"/>
                <w:lang w:eastAsia="zh-CN"/>
              </w:rPr>
              <w:t>根据现场勘察和</w:t>
            </w:r>
            <w:r>
              <w:rPr>
                <w:rFonts w:hint="eastAsia" w:cs="Times New Roman"/>
                <w:kern w:val="0"/>
                <w:szCs w:val="21"/>
                <w:highlight w:val="none"/>
                <w:lang w:val="en-US" w:eastAsia="zh-CN"/>
              </w:rPr>
              <w:t>相关</w:t>
            </w:r>
            <w:r>
              <w:rPr>
                <w:rFonts w:hint="eastAsia" w:ascii="Times New Roman" w:hAnsi="Times New Roman" w:eastAsia="宋体" w:cs="Times New Roman"/>
                <w:kern w:val="0"/>
                <w:szCs w:val="21"/>
                <w:highlight w:val="none"/>
                <w:lang w:eastAsia="zh-CN"/>
              </w:rPr>
              <w:t>资料，</w:t>
            </w:r>
            <w:r>
              <w:rPr>
                <w:rFonts w:hint="eastAsia" w:cs="Times New Roman"/>
                <w:kern w:val="0"/>
                <w:szCs w:val="21"/>
                <w:highlight w:val="none"/>
                <w:lang w:val="en-US" w:eastAsia="zh-CN"/>
              </w:rPr>
              <w:t>本项目所在区域无保护植被，</w:t>
            </w:r>
            <w:r>
              <w:rPr>
                <w:rFonts w:hint="eastAsia" w:ascii="Times New Roman" w:hAnsi="Times New Roman" w:eastAsia="宋体" w:cs="Times New Roman"/>
                <w:kern w:val="0"/>
                <w:szCs w:val="21"/>
                <w:highlight w:val="none"/>
                <w:lang w:eastAsia="zh-CN"/>
              </w:rPr>
              <w:t>分布的自然植被主要有粗枝猪毛菜、琵琶柴等植被，植被覆盖度5-20%；人工植被主要是棉花等经济作物。项目区植被类型详见图3</w:t>
            </w:r>
            <w:r>
              <w:rPr>
                <w:rFonts w:hint="eastAsia" w:cs="Times New Roman"/>
                <w:kern w:val="0"/>
                <w:szCs w:val="21"/>
                <w:highlight w:val="none"/>
                <w:lang w:val="en-US" w:eastAsia="zh-CN"/>
              </w:rPr>
              <w:t>.3</w:t>
            </w:r>
            <w:r>
              <w:rPr>
                <w:rFonts w:hint="eastAsia" w:ascii="Times New Roman" w:hAnsi="Times New Roman" w:eastAsia="宋体" w:cs="Times New Roman"/>
                <w:kern w:val="0"/>
                <w:szCs w:val="21"/>
                <w:highlight w:val="none"/>
                <w:lang w:eastAsia="zh-CN"/>
              </w:rPr>
              <w:t>。</w:t>
            </w:r>
          </w:p>
          <w:p>
            <w:pPr>
              <w:keepNext w:val="0"/>
              <w:keepLines w:val="0"/>
              <w:suppressLineNumbers w:val="0"/>
              <w:adjustRightInd w:val="0"/>
              <w:snapToGrid w:val="0"/>
              <w:spacing w:before="0" w:beforeAutospacing="0" w:after="0" w:afterAutospacing="0" w:line="360" w:lineRule="auto"/>
              <w:ind w:left="0" w:leftChars="0" w:right="0" w:firstLine="422" w:firstLineChars="200"/>
              <w:jc w:val="both"/>
              <w:rPr>
                <w:rFonts w:hint="eastAsia" w:ascii="Times New Roman" w:hAnsi="Times New Roman" w:eastAsia="宋体" w:cs="Times New Roman"/>
                <w:b/>
                <w:bCs/>
                <w:kern w:val="0"/>
                <w:szCs w:val="21"/>
                <w:highlight w:val="none"/>
                <w:lang w:val="en-US" w:eastAsia="zh-CN"/>
              </w:rPr>
            </w:pPr>
            <w:r>
              <w:rPr>
                <w:rFonts w:hint="eastAsia" w:cs="Times New Roman"/>
                <w:b/>
                <w:bCs/>
                <w:kern w:val="0"/>
                <w:szCs w:val="21"/>
                <w:highlight w:val="none"/>
                <w:lang w:val="en-US" w:eastAsia="zh-CN"/>
              </w:rPr>
              <w:t>6</w:t>
            </w:r>
            <w:r>
              <w:rPr>
                <w:rFonts w:hint="eastAsia" w:ascii="Times New Roman" w:hAnsi="Times New Roman" w:eastAsia="宋体" w:cs="Times New Roman"/>
                <w:b/>
                <w:bCs/>
                <w:kern w:val="0"/>
                <w:szCs w:val="21"/>
                <w:highlight w:val="none"/>
                <w:lang w:val="en-US" w:eastAsia="zh-CN"/>
              </w:rPr>
              <w:t>.野生动物</w:t>
            </w:r>
          </w:p>
          <w:p>
            <w:pPr>
              <w:keepNext w:val="0"/>
              <w:keepLines w:val="0"/>
              <w:suppressLineNumbers w:val="0"/>
              <w:adjustRightInd w:val="0"/>
              <w:snapToGrid w:val="0"/>
              <w:spacing w:before="0" w:beforeAutospacing="0" w:after="0" w:afterAutospacing="0" w:line="360" w:lineRule="auto"/>
              <w:ind w:left="0" w:leftChars="0" w:right="0" w:rightChars="0" w:firstLine="420" w:firstLineChars="200"/>
              <w:jc w:val="both"/>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按中国动物地理区划的分级标准，项目区属古北界、中亚亚界、蒙新区、西部荒漠亚区、准噶尔盆地小区。因该区域地处内陆盆地，气候极端干燥，按气候区划为酷热干旱区，野生动物的栖息生境极为单一，主要为荒漠。严酷的自然环境及地势平坦的地形地貌，导致项目区野生动物分布种类少，没有区域特有种，也无保护动物，主要动物为爬行动物和啮齿动物（荒漠麻蜥、快步麻蜥、沙鼠等）及鸟类（角百灵、凤头百灵等）。</w:t>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drawing>
                <wp:inline distT="0" distB="0" distL="114300" distR="114300">
                  <wp:extent cx="4076065" cy="6446520"/>
                  <wp:effectExtent l="0" t="0" r="635" b="11430"/>
                  <wp:docPr id="14" name="图片 14" descr="评价区域土地利用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评价区域土地利用现状图"/>
                          <pic:cNvPicPr>
                            <a:picLocks noChangeAspect="1"/>
                          </pic:cNvPicPr>
                        </pic:nvPicPr>
                        <pic:blipFill>
                          <a:blip r:embed="rId17"/>
                          <a:srcRect l="2666" t="1577" r="3825" b="5435"/>
                          <a:stretch>
                            <a:fillRect/>
                          </a:stretch>
                        </pic:blipFill>
                        <pic:spPr>
                          <a:xfrm>
                            <a:off x="0" y="0"/>
                            <a:ext cx="4076065" cy="6446520"/>
                          </a:xfrm>
                          <a:prstGeom prst="rect">
                            <a:avLst/>
                          </a:prstGeom>
                        </pic:spPr>
                      </pic:pic>
                    </a:graphicData>
                  </a:graphic>
                </wp:inline>
              </w:drawing>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kern w:val="0"/>
                <w:szCs w:val="21"/>
                <w:highlight w:val="yellow"/>
                <w:lang w:val="en-US" w:eastAsia="zh-CN"/>
              </w:rPr>
            </w:pPr>
            <w:r>
              <w:rPr>
                <w:rFonts w:hint="eastAsia" w:ascii="黑体" w:hAnsi="黑体" w:eastAsia="黑体" w:cs="黑体"/>
                <w:kern w:val="0"/>
                <w:szCs w:val="21"/>
                <w:highlight w:val="none"/>
                <w:lang w:val="en-US" w:eastAsia="zh-CN"/>
              </w:rPr>
              <w:t>图3.2评价区土地利用现状图</w:t>
            </w:r>
          </w:p>
          <w:p>
            <w:pPr>
              <w:keepNext w:val="0"/>
              <w:keepLines w:val="0"/>
              <w:suppressLineNumbers w:val="0"/>
              <w:adjustRightInd w:val="0"/>
              <w:snapToGrid w:val="0"/>
              <w:spacing w:before="0" w:beforeAutospacing="0" w:after="0" w:afterAutospacing="0" w:line="360" w:lineRule="auto"/>
              <w:ind w:left="0" w:leftChars="0" w:right="0" w:firstLine="422" w:firstLineChars="200"/>
              <w:jc w:val="both"/>
              <w:rPr>
                <w:rFonts w:hint="eastAsia" w:ascii="Times New Roman" w:hAnsi="Times New Roman" w:eastAsia="宋体" w:cs="Times New Roman"/>
                <w:b/>
                <w:bCs/>
                <w:kern w:val="0"/>
                <w:szCs w:val="21"/>
                <w:highlight w:val="none"/>
                <w:lang w:val="en-US" w:eastAsia="zh-CN"/>
              </w:rPr>
            </w:pPr>
            <w:r>
              <w:rPr>
                <w:rFonts w:hint="eastAsia" w:cs="Times New Roman"/>
                <w:b/>
                <w:bCs/>
                <w:kern w:val="0"/>
                <w:szCs w:val="21"/>
                <w:highlight w:val="none"/>
                <w:lang w:val="en-US" w:eastAsia="zh-CN"/>
              </w:rPr>
              <w:t>7</w:t>
            </w:r>
            <w:r>
              <w:rPr>
                <w:rFonts w:hint="eastAsia" w:ascii="Times New Roman" w:hAnsi="Times New Roman" w:eastAsia="宋体" w:cs="Times New Roman"/>
                <w:b/>
                <w:bCs/>
                <w:kern w:val="0"/>
                <w:szCs w:val="21"/>
                <w:highlight w:val="none"/>
                <w:lang w:val="en-US" w:eastAsia="zh-CN"/>
              </w:rPr>
              <w:t>.项目区流体特征</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ascii="Times New Roman" w:hAnsi="Times New Roman" w:eastAsia="宋体" w:cs="Times New Roman"/>
                <w:b w:val="0"/>
                <w:bCs w:val="0"/>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（1）原油性质</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ascii="Times New Roman" w:hAnsi="Times New Roman" w:eastAsia="宋体" w:cs="Times New Roman"/>
                <w:b w:val="0"/>
                <w:bCs w:val="0"/>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根据永1、永3、永1-侧平1井原油分析资料，煤上油藏地面原油密度0.869-0.8894g/cm</w:t>
            </w:r>
            <w:r>
              <w:rPr>
                <w:rFonts w:hint="eastAsia" w:ascii="Times New Roman" w:hAnsi="Times New Roman" w:eastAsia="宋体" w:cs="Times New Roman"/>
                <w:b w:val="0"/>
                <w:bCs w:val="0"/>
                <w:kern w:val="0"/>
                <w:szCs w:val="21"/>
                <w:highlight w:val="none"/>
                <w:vertAlign w:val="superscript"/>
                <w:lang w:val="en-US" w:eastAsia="zh-CN"/>
              </w:rPr>
              <w:t>3</w:t>
            </w:r>
            <w:r>
              <w:rPr>
                <w:rFonts w:hint="eastAsia" w:ascii="Times New Roman" w:hAnsi="Times New Roman" w:eastAsia="宋体" w:cs="Times New Roman"/>
                <w:b w:val="0"/>
                <w:bCs w:val="0"/>
                <w:kern w:val="0"/>
                <w:szCs w:val="21"/>
                <w:highlight w:val="none"/>
                <w:lang w:val="en-US" w:eastAsia="zh-CN"/>
              </w:rPr>
              <w:t>，地面原油粘度44.54-47.19mPa.s，地下原油粘度0.82mPa.s，凝固点为9.5-10℃，含硫0.12%，含蜡10.63-17.41%，饱和压力33.83Mpa，气油比335m</w:t>
            </w:r>
            <w:r>
              <w:rPr>
                <w:rFonts w:hint="eastAsia" w:ascii="Times New Roman" w:hAnsi="Times New Roman" w:eastAsia="宋体" w:cs="Times New Roman"/>
                <w:b w:val="0"/>
                <w:bCs w:val="0"/>
                <w:kern w:val="0"/>
                <w:szCs w:val="21"/>
                <w:highlight w:val="none"/>
                <w:vertAlign w:val="superscript"/>
                <w:lang w:val="en-US" w:eastAsia="zh-CN"/>
              </w:rPr>
              <w:t>3</w:t>
            </w:r>
            <w:r>
              <w:rPr>
                <w:rFonts w:hint="eastAsia" w:ascii="Times New Roman" w:hAnsi="Times New Roman" w:eastAsia="宋体" w:cs="Times New Roman"/>
                <w:b w:val="0"/>
                <w:bCs w:val="0"/>
                <w:kern w:val="0"/>
                <w:szCs w:val="21"/>
                <w:highlight w:val="none"/>
                <w:lang w:val="en-US" w:eastAsia="zh-CN"/>
              </w:rPr>
              <w:t>/t，胶质沥青含量16.96-21.21%，原油含蜡量高，胶质沥青质高。油藏类型为构造岩性控制的高蜡高沥青质异常高压稀油油藏。</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ascii="Times New Roman" w:hAnsi="Times New Roman" w:eastAsia="宋体" w:cs="Times New Roman"/>
                <w:b w:val="0"/>
                <w:bCs w:val="0"/>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（2）地层水性质</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ascii="Times New Roman" w:hAnsi="Times New Roman" w:eastAsia="宋体" w:cs="Times New Roman"/>
                <w:kern w:val="0"/>
                <w:szCs w:val="21"/>
                <w:highlight w:val="none"/>
                <w:lang w:eastAsia="zh-CN"/>
              </w:rPr>
            </w:pPr>
            <w:r>
              <w:rPr>
                <w:rFonts w:hint="eastAsia" w:ascii="Times New Roman" w:hAnsi="Times New Roman" w:eastAsia="宋体" w:cs="Times New Roman"/>
                <w:b w:val="0"/>
                <w:bCs w:val="0"/>
                <w:kern w:val="0"/>
                <w:szCs w:val="21"/>
                <w:highlight w:val="none"/>
                <w:lang w:val="en-US" w:eastAsia="zh-CN"/>
              </w:rPr>
              <w:t>据永1井原油脱水水样分析结果，Cl</w:t>
            </w:r>
            <w:r>
              <w:rPr>
                <w:rFonts w:hint="eastAsia" w:ascii="Times New Roman" w:hAnsi="Times New Roman" w:eastAsia="宋体" w:cs="Times New Roman"/>
                <w:b w:val="0"/>
                <w:bCs w:val="0"/>
                <w:kern w:val="0"/>
                <w:szCs w:val="21"/>
                <w:highlight w:val="none"/>
                <w:vertAlign w:val="superscript"/>
                <w:lang w:val="en-US" w:eastAsia="zh-CN"/>
              </w:rPr>
              <w:t>－</w:t>
            </w:r>
            <w:r>
              <w:rPr>
                <w:rFonts w:hint="eastAsia" w:ascii="Times New Roman" w:hAnsi="Times New Roman" w:eastAsia="宋体" w:cs="Times New Roman"/>
                <w:b w:val="0"/>
                <w:bCs w:val="0"/>
                <w:kern w:val="0"/>
                <w:szCs w:val="21"/>
                <w:highlight w:val="none"/>
                <w:lang w:val="en-US" w:eastAsia="zh-CN"/>
              </w:rPr>
              <w:t>含量为1512mg/L，总矿化度5720mg/L，水型为NaHCO</w:t>
            </w:r>
            <w:r>
              <w:rPr>
                <w:rFonts w:hint="eastAsia" w:ascii="Times New Roman" w:hAnsi="Times New Roman" w:eastAsia="宋体" w:cs="Times New Roman"/>
                <w:b w:val="0"/>
                <w:bCs w:val="0"/>
                <w:kern w:val="0"/>
                <w:szCs w:val="21"/>
                <w:highlight w:val="none"/>
                <w:vertAlign w:val="subscript"/>
                <w:lang w:val="en-US" w:eastAsia="zh-CN"/>
              </w:rPr>
              <w:t>3</w:t>
            </w:r>
            <w:r>
              <w:rPr>
                <w:rFonts w:hint="eastAsia" w:ascii="Times New Roman" w:hAnsi="Times New Roman" w:eastAsia="宋体" w:cs="Times New Roman"/>
                <w:b w:val="0"/>
                <w:bCs w:val="0"/>
                <w:kern w:val="0"/>
                <w:szCs w:val="21"/>
                <w:highlight w:val="none"/>
                <w:lang w:val="en-US" w:eastAsia="zh-CN"/>
              </w:rPr>
              <w:t>型</w:t>
            </w:r>
            <w:r>
              <w:rPr>
                <w:rFonts w:hint="eastAsia" w:cs="Times New Roman"/>
                <w:b w:val="0"/>
                <w:bCs w:val="0"/>
                <w:kern w:val="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drawing>
                <wp:inline distT="0" distB="0" distL="114300" distR="114300">
                  <wp:extent cx="3803650" cy="5313045"/>
                  <wp:effectExtent l="0" t="0" r="6350" b="1905"/>
                  <wp:docPr id="18" name="图片 16" descr="D:\汪东\【2021】\1-报告表\2021永进6口单井\shp\amp\（永进6井）评价区域植被类型图.jpg（永进6井）评价区域植被类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D:\汪东\【2021】\1-报告表\2021永进6口单井\shp\amp\（永进6井）评价区域植被类型图.jpg（永进6井）评价区域植被类型图"/>
                          <pic:cNvPicPr>
                            <a:picLocks noChangeAspect="1"/>
                          </pic:cNvPicPr>
                        </pic:nvPicPr>
                        <pic:blipFill>
                          <a:blip r:embed="rId18"/>
                          <a:srcRect l="2761" t="1757" r="3865" b="5075"/>
                          <a:stretch>
                            <a:fillRect/>
                          </a:stretch>
                        </pic:blipFill>
                        <pic:spPr>
                          <a:xfrm>
                            <a:off x="0" y="0"/>
                            <a:ext cx="3803650" cy="531304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kern w:val="0"/>
                <w:szCs w:val="21"/>
                <w:highlight w:val="yellow"/>
                <w:lang w:val="en-US" w:eastAsia="zh-CN"/>
              </w:rPr>
            </w:pPr>
            <w:r>
              <w:rPr>
                <w:rFonts w:hint="eastAsia" w:ascii="黑体" w:hAnsi="黑体" w:eastAsia="黑体" w:cs="黑体"/>
                <w:kern w:val="0"/>
                <w:szCs w:val="21"/>
                <w:highlight w:val="none"/>
                <w:lang w:val="en-US" w:eastAsia="zh-CN"/>
              </w:rPr>
              <w:t>图3.3评价区域植被类型图</w:t>
            </w:r>
          </w:p>
          <w:p>
            <w:pPr>
              <w:keepNext w:val="0"/>
              <w:keepLines w:val="0"/>
              <w:suppressLineNumbers w:val="0"/>
              <w:adjustRightInd w:val="0"/>
              <w:snapToGrid w:val="0"/>
              <w:spacing w:before="0" w:beforeAutospacing="0" w:after="0" w:afterAutospacing="0" w:line="360" w:lineRule="auto"/>
              <w:ind w:left="0" w:leftChars="0" w:right="0" w:firstLine="422" w:firstLineChars="200"/>
              <w:jc w:val="both"/>
              <w:rPr>
                <w:rFonts w:hint="eastAsia" w:ascii="Times New Roman" w:hAnsi="Times New Roman" w:eastAsia="宋体" w:cs="Times New Roman"/>
                <w:b/>
                <w:bCs/>
                <w:kern w:val="0"/>
                <w:szCs w:val="21"/>
                <w:highlight w:val="none"/>
                <w:lang w:val="en-US" w:eastAsia="zh-CN"/>
              </w:rPr>
            </w:pPr>
            <w:r>
              <w:rPr>
                <w:rFonts w:hint="eastAsia" w:cs="Times New Roman"/>
                <w:b/>
                <w:bCs/>
                <w:kern w:val="0"/>
                <w:szCs w:val="21"/>
                <w:highlight w:val="none"/>
                <w:lang w:val="en-US" w:eastAsia="zh-CN"/>
              </w:rPr>
              <w:t>8</w:t>
            </w:r>
            <w:r>
              <w:rPr>
                <w:rFonts w:hint="eastAsia" w:ascii="Times New Roman" w:hAnsi="Times New Roman" w:eastAsia="宋体" w:cs="Times New Roman"/>
                <w:b/>
                <w:bCs/>
                <w:kern w:val="0"/>
                <w:szCs w:val="21"/>
                <w:highlight w:val="none"/>
                <w:lang w:val="en-US" w:eastAsia="zh-CN"/>
              </w:rPr>
              <w:t>.大气环境质量现状评价</w:t>
            </w:r>
          </w:p>
          <w:p>
            <w:pPr>
              <w:keepNext w:val="0"/>
              <w:keepLines w:val="0"/>
              <w:suppressLineNumbers w:val="0"/>
              <w:adjustRightInd w:val="0"/>
              <w:snapToGrid w:val="0"/>
              <w:spacing w:before="0" w:beforeAutospacing="0" w:after="0" w:afterAutospacing="0" w:line="360" w:lineRule="auto"/>
              <w:ind w:left="0" w:leftChars="0" w:right="0" w:firstLine="422" w:firstLineChars="200"/>
              <w:jc w:val="both"/>
              <w:rPr>
                <w:rFonts w:hint="default" w:ascii="Times New Roman" w:hAnsi="Times New Roman" w:eastAsia="宋体" w:cs="Times New Roman"/>
                <w:color w:val="000000"/>
                <w:kern w:val="0"/>
                <w:highlight w:val="none"/>
                <w:lang w:val="en-US" w:eastAsia="zh-CN"/>
              </w:rPr>
            </w:pPr>
            <w:r>
              <w:rPr>
                <w:rFonts w:hint="eastAsia" w:cs="Times New Roman"/>
                <w:b/>
                <w:bCs/>
                <w:color w:val="000000"/>
                <w:kern w:val="0"/>
                <w:highlight w:val="none"/>
                <w:lang w:val="en-US" w:eastAsia="zh-CN"/>
              </w:rPr>
              <w:t>8.1环境空气质量达标区判定</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ascii="Times New Roman" w:hAnsi="Times New Roman" w:eastAsia="宋体" w:cs="Times New Roman"/>
                <w:kern w:val="0"/>
                <w:szCs w:val="21"/>
                <w:highlight w:val="none"/>
                <w:lang w:val="en-US" w:eastAsia="zh-CN"/>
              </w:rPr>
            </w:pPr>
            <w:r>
              <w:rPr>
                <w:rFonts w:hint="default" w:ascii="Times New Roman" w:hAnsi="Times New Roman" w:eastAsia="宋体" w:cs="Times New Roman"/>
                <w:color w:val="000000"/>
                <w:kern w:val="0"/>
                <w:highlight w:val="none"/>
                <w:lang w:val="zh-CN"/>
              </w:rPr>
              <w:t>根据</w:t>
            </w:r>
            <w:r>
              <w:rPr>
                <w:rFonts w:hint="default" w:ascii="Times New Roman" w:hAnsi="Times New Roman" w:eastAsia="宋体" w:cs="Times New Roman"/>
                <w:color w:val="000000"/>
                <w:kern w:val="0"/>
                <w:highlight w:val="none"/>
                <w:lang w:val="zh-CN" w:eastAsia="zh-CN"/>
              </w:rPr>
              <w:t>昌吉州新区政务中心监测站点2019年</w:t>
            </w:r>
            <w:r>
              <w:rPr>
                <w:rFonts w:hint="eastAsia" w:ascii="Times New Roman" w:hAnsi="Times New Roman" w:eastAsia="宋体" w:cs="Times New Roman"/>
                <w:color w:val="000000"/>
                <w:kern w:val="0"/>
                <w:highlight w:val="none"/>
                <w:lang w:val="en-US" w:eastAsia="zh-CN"/>
              </w:rPr>
              <w:t>全</w:t>
            </w:r>
            <w:r>
              <w:rPr>
                <w:rFonts w:hint="default" w:ascii="Times New Roman" w:hAnsi="Times New Roman" w:eastAsia="宋体" w:cs="Times New Roman"/>
                <w:color w:val="000000"/>
                <w:kern w:val="0"/>
                <w:highlight w:val="none"/>
                <w:lang w:val="zh-CN" w:eastAsia="zh-CN"/>
              </w:rPr>
              <w:t>年的监测数据</w:t>
            </w:r>
            <w:r>
              <w:rPr>
                <w:rFonts w:hint="default" w:ascii="Times New Roman" w:hAnsi="Times New Roman" w:eastAsia="宋体" w:cs="Times New Roman"/>
                <w:color w:val="000000"/>
                <w:kern w:val="0"/>
                <w:highlight w:val="none"/>
                <w:lang w:val="zh-CN"/>
              </w:rPr>
              <w:t>：</w:t>
            </w:r>
            <w:r>
              <w:rPr>
                <w:rFonts w:hint="default" w:ascii="Times New Roman" w:hAnsi="Times New Roman" w:eastAsia="宋体" w:cs="Times New Roman"/>
                <w:color w:val="000000"/>
                <w:kern w:val="0"/>
                <w:highlight w:val="none"/>
                <w:lang w:val="zh-CN" w:eastAsia="zh-CN"/>
              </w:rPr>
              <w:t>昌吉州2019年SO</w:t>
            </w:r>
            <w:r>
              <w:rPr>
                <w:rFonts w:hint="default" w:ascii="Times New Roman" w:hAnsi="Times New Roman" w:eastAsia="宋体" w:cs="Times New Roman"/>
                <w:color w:val="000000"/>
                <w:kern w:val="0"/>
                <w:highlight w:val="none"/>
                <w:vertAlign w:val="subscript"/>
                <w:lang w:val="zh-CN" w:eastAsia="zh-CN"/>
              </w:rPr>
              <w:t>2</w:t>
            </w:r>
            <w:r>
              <w:rPr>
                <w:rFonts w:hint="default" w:ascii="Times New Roman" w:hAnsi="Times New Roman" w:eastAsia="宋体" w:cs="Times New Roman"/>
                <w:color w:val="000000"/>
                <w:kern w:val="0"/>
                <w:highlight w:val="none"/>
                <w:lang w:val="zh-CN" w:eastAsia="zh-CN"/>
              </w:rPr>
              <w:t>、NO</w:t>
            </w:r>
            <w:r>
              <w:rPr>
                <w:rFonts w:hint="default" w:ascii="Times New Roman" w:hAnsi="Times New Roman" w:eastAsia="宋体" w:cs="Times New Roman"/>
                <w:color w:val="000000"/>
                <w:kern w:val="0"/>
                <w:highlight w:val="none"/>
                <w:vertAlign w:val="subscript"/>
                <w:lang w:val="zh-CN" w:eastAsia="zh-CN"/>
              </w:rPr>
              <w:t>2</w:t>
            </w:r>
            <w:r>
              <w:rPr>
                <w:rFonts w:hint="default" w:ascii="Times New Roman" w:hAnsi="Times New Roman" w:eastAsia="宋体" w:cs="Times New Roman"/>
                <w:color w:val="000000"/>
                <w:kern w:val="0"/>
                <w:highlight w:val="none"/>
                <w:lang w:val="zh-CN" w:eastAsia="zh-CN"/>
              </w:rPr>
              <w:t>、PM</w:t>
            </w:r>
            <w:r>
              <w:rPr>
                <w:rFonts w:hint="default" w:ascii="Times New Roman" w:hAnsi="Times New Roman" w:eastAsia="宋体" w:cs="Times New Roman"/>
                <w:color w:val="000000"/>
                <w:kern w:val="0"/>
                <w:highlight w:val="none"/>
                <w:vertAlign w:val="subscript"/>
                <w:lang w:val="zh-CN" w:eastAsia="zh-CN"/>
              </w:rPr>
              <w:t>10</w:t>
            </w:r>
            <w:r>
              <w:rPr>
                <w:rFonts w:hint="default" w:ascii="Times New Roman" w:hAnsi="Times New Roman" w:eastAsia="宋体" w:cs="Times New Roman"/>
                <w:color w:val="000000"/>
                <w:kern w:val="0"/>
                <w:highlight w:val="none"/>
                <w:lang w:val="zh-CN" w:eastAsia="zh-CN"/>
              </w:rPr>
              <w:t>、PM</w:t>
            </w:r>
            <w:r>
              <w:rPr>
                <w:rFonts w:hint="default" w:ascii="Times New Roman" w:hAnsi="Times New Roman" w:eastAsia="宋体" w:cs="Times New Roman"/>
                <w:color w:val="000000"/>
                <w:kern w:val="0"/>
                <w:highlight w:val="none"/>
                <w:vertAlign w:val="subscript"/>
                <w:lang w:val="zh-CN" w:eastAsia="zh-CN"/>
              </w:rPr>
              <w:t>2.5</w:t>
            </w:r>
            <w:r>
              <w:rPr>
                <w:rFonts w:hint="default" w:ascii="Times New Roman" w:hAnsi="Times New Roman" w:eastAsia="宋体" w:cs="Times New Roman"/>
                <w:color w:val="000000"/>
                <w:kern w:val="0"/>
                <w:highlight w:val="none"/>
                <w:lang w:val="zh-CN" w:eastAsia="zh-CN"/>
              </w:rPr>
              <w:t>年均浓度分别为</w:t>
            </w:r>
            <w:r>
              <w:rPr>
                <w:rFonts w:hint="eastAsia" w:ascii="Times New Roman" w:hAnsi="Times New Roman" w:eastAsia="宋体" w:cs="Times New Roman"/>
                <w:color w:val="000000"/>
                <w:kern w:val="0"/>
                <w:highlight w:val="none"/>
                <w:lang w:val="en-US" w:eastAsia="zh-CN"/>
              </w:rPr>
              <w:t>10</w:t>
            </w:r>
            <w:r>
              <w:rPr>
                <w:rFonts w:hint="default" w:ascii="Times New Roman" w:hAnsi="Times New Roman" w:eastAsia="宋体" w:cs="Times New Roman"/>
                <w:color w:val="000000"/>
                <w:kern w:val="0"/>
                <w:highlight w:val="none"/>
                <w:lang w:val="zh-CN" w:eastAsia="zh-CN"/>
              </w:rPr>
              <w:t>µg/m</w:t>
            </w:r>
            <w:r>
              <w:rPr>
                <w:rFonts w:hint="default" w:ascii="Times New Roman" w:hAnsi="Times New Roman" w:eastAsia="宋体" w:cs="Times New Roman"/>
                <w:color w:val="000000"/>
                <w:kern w:val="0"/>
                <w:highlight w:val="none"/>
                <w:vertAlign w:val="superscript"/>
                <w:lang w:val="zh-CN" w:eastAsia="zh-CN"/>
              </w:rPr>
              <w:t>3</w:t>
            </w:r>
            <w:r>
              <w:rPr>
                <w:rFonts w:hint="default" w:ascii="Times New Roman" w:hAnsi="Times New Roman" w:eastAsia="宋体" w:cs="Times New Roman"/>
                <w:color w:val="000000"/>
                <w:kern w:val="0"/>
                <w:highlight w:val="none"/>
                <w:lang w:val="zh-CN" w:eastAsia="zh-CN"/>
              </w:rPr>
              <w:t>、3</w:t>
            </w:r>
            <w:r>
              <w:rPr>
                <w:rFonts w:hint="eastAsia" w:ascii="Times New Roman" w:hAnsi="Times New Roman" w:eastAsia="宋体" w:cs="Times New Roman"/>
                <w:color w:val="000000"/>
                <w:kern w:val="0"/>
                <w:highlight w:val="none"/>
                <w:lang w:val="en-US" w:eastAsia="zh-CN"/>
              </w:rPr>
              <w:t>8</w:t>
            </w:r>
            <w:r>
              <w:rPr>
                <w:rFonts w:hint="default" w:ascii="Times New Roman" w:hAnsi="Times New Roman" w:eastAsia="宋体" w:cs="Times New Roman"/>
                <w:color w:val="000000"/>
                <w:kern w:val="0"/>
                <w:highlight w:val="none"/>
                <w:lang w:val="zh-CN" w:eastAsia="zh-CN"/>
              </w:rPr>
              <w:t>µg/m</w:t>
            </w:r>
            <w:r>
              <w:rPr>
                <w:rFonts w:hint="default" w:ascii="Times New Roman" w:hAnsi="Times New Roman" w:eastAsia="宋体" w:cs="Times New Roman"/>
                <w:color w:val="000000"/>
                <w:kern w:val="0"/>
                <w:highlight w:val="none"/>
                <w:vertAlign w:val="superscript"/>
                <w:lang w:val="zh-CN" w:eastAsia="zh-CN"/>
              </w:rPr>
              <w:t>3</w:t>
            </w:r>
            <w:r>
              <w:rPr>
                <w:rFonts w:hint="default" w:ascii="Times New Roman" w:hAnsi="Times New Roman" w:eastAsia="宋体" w:cs="Times New Roman"/>
                <w:color w:val="000000"/>
                <w:kern w:val="0"/>
                <w:highlight w:val="none"/>
                <w:lang w:val="zh-CN"/>
              </w:rPr>
              <w:t>、</w:t>
            </w:r>
            <w:r>
              <w:rPr>
                <w:rFonts w:hint="eastAsia" w:ascii="Times New Roman" w:hAnsi="Times New Roman" w:eastAsia="宋体" w:cs="Times New Roman"/>
                <w:color w:val="000000"/>
                <w:kern w:val="0"/>
                <w:highlight w:val="none"/>
                <w:lang w:val="en-US" w:eastAsia="zh-CN"/>
              </w:rPr>
              <w:t>98</w:t>
            </w:r>
            <w:r>
              <w:rPr>
                <w:rFonts w:hint="default" w:ascii="Times New Roman" w:hAnsi="Times New Roman" w:eastAsia="宋体" w:cs="Times New Roman"/>
                <w:color w:val="000000"/>
                <w:kern w:val="0"/>
                <w:highlight w:val="none"/>
                <w:lang w:val="zh-CN" w:eastAsia="zh-CN"/>
              </w:rPr>
              <w:t>µg/m</w:t>
            </w:r>
            <w:r>
              <w:rPr>
                <w:rFonts w:hint="default" w:ascii="Times New Roman" w:hAnsi="Times New Roman" w:eastAsia="宋体" w:cs="Times New Roman"/>
                <w:color w:val="000000"/>
                <w:kern w:val="0"/>
                <w:highlight w:val="none"/>
                <w:vertAlign w:val="superscript"/>
                <w:lang w:val="zh-CN" w:eastAsia="zh-CN"/>
              </w:rPr>
              <w:t>3</w:t>
            </w:r>
            <w:r>
              <w:rPr>
                <w:rFonts w:hint="default" w:ascii="Times New Roman" w:hAnsi="Times New Roman" w:eastAsia="宋体" w:cs="Times New Roman"/>
                <w:color w:val="000000"/>
                <w:kern w:val="0"/>
                <w:highlight w:val="none"/>
                <w:lang w:val="zh-CN" w:eastAsia="zh-CN"/>
              </w:rPr>
              <w:t>、</w:t>
            </w:r>
            <w:r>
              <w:rPr>
                <w:rFonts w:hint="default" w:ascii="Times New Roman" w:hAnsi="Times New Roman" w:eastAsia="宋体" w:cs="Times New Roman"/>
                <w:color w:val="000000"/>
                <w:highlight w:val="none"/>
              </w:rPr>
              <w:t>5</w:t>
            </w:r>
            <w:r>
              <w:rPr>
                <w:rFonts w:hint="eastAsia" w:ascii="Times New Roman" w:hAnsi="Times New Roman" w:eastAsia="宋体" w:cs="Times New Roman"/>
                <w:color w:val="000000"/>
                <w:highlight w:val="none"/>
                <w:lang w:val="en-US" w:eastAsia="zh-CN"/>
              </w:rPr>
              <w:t>7</w:t>
            </w:r>
            <w:r>
              <w:rPr>
                <w:rFonts w:hint="default" w:ascii="Times New Roman" w:hAnsi="Times New Roman" w:eastAsia="宋体" w:cs="Times New Roman"/>
                <w:color w:val="000000"/>
                <w:highlight w:val="none"/>
              </w:rPr>
              <w:t>µg/m</w:t>
            </w:r>
            <w:r>
              <w:rPr>
                <w:rFonts w:hint="default" w:ascii="Times New Roman" w:hAnsi="Times New Roman" w:eastAsia="宋体" w:cs="Times New Roman"/>
                <w:color w:val="000000"/>
                <w:highlight w:val="none"/>
                <w:vertAlign w:val="superscript"/>
              </w:rPr>
              <w:t>3</w:t>
            </w:r>
            <w:r>
              <w:rPr>
                <w:rFonts w:hint="default" w:ascii="Times New Roman" w:hAnsi="Times New Roman" w:eastAsia="宋体" w:cs="Times New Roman"/>
                <w:color w:val="000000"/>
                <w:highlight w:val="none"/>
              </w:rPr>
              <w:t>；CO 24小时平均第95百分位数为</w:t>
            </w:r>
            <w:r>
              <w:rPr>
                <w:rFonts w:hint="eastAsia" w:ascii="Times New Roman" w:hAnsi="Times New Roman" w:eastAsia="宋体" w:cs="Times New Roman"/>
                <w:color w:val="000000"/>
                <w:highlight w:val="none"/>
                <w:lang w:val="en-US" w:eastAsia="zh-CN"/>
              </w:rPr>
              <w:t>2.4</w:t>
            </w:r>
            <w:r>
              <w:rPr>
                <w:rFonts w:hint="default" w:ascii="Times New Roman" w:hAnsi="Times New Roman" w:eastAsia="宋体" w:cs="Times New Roman"/>
                <w:color w:val="000000"/>
                <w:highlight w:val="none"/>
              </w:rPr>
              <w:t>mg/m</w:t>
            </w:r>
            <w:r>
              <w:rPr>
                <w:rFonts w:hint="default" w:ascii="Times New Roman" w:hAnsi="Times New Roman" w:eastAsia="宋体" w:cs="Times New Roman"/>
                <w:color w:val="000000"/>
                <w:highlight w:val="none"/>
                <w:vertAlign w:val="superscript"/>
              </w:rPr>
              <w:t>3</w:t>
            </w:r>
            <w:r>
              <w:rPr>
                <w:rFonts w:hint="default" w:ascii="Times New Roman" w:hAnsi="Times New Roman" w:eastAsia="宋体" w:cs="Times New Roman"/>
                <w:color w:val="000000"/>
                <w:highlight w:val="none"/>
              </w:rPr>
              <w:t>，O</w:t>
            </w:r>
            <w:r>
              <w:rPr>
                <w:rFonts w:hint="default" w:ascii="Times New Roman" w:hAnsi="Times New Roman" w:eastAsia="宋体" w:cs="Times New Roman"/>
                <w:color w:val="000000"/>
                <w:highlight w:val="none"/>
                <w:vertAlign w:val="subscript"/>
              </w:rPr>
              <w:t>3</w:t>
            </w:r>
            <w:r>
              <w:rPr>
                <w:rFonts w:hint="default" w:ascii="Times New Roman" w:hAnsi="Times New Roman" w:eastAsia="宋体" w:cs="Times New Roman"/>
                <w:color w:val="000000"/>
                <w:highlight w:val="none"/>
              </w:rPr>
              <w:t>日最大8小时平均第90百分位数为</w:t>
            </w:r>
            <w:r>
              <w:rPr>
                <w:rFonts w:hint="eastAsia" w:ascii="Times New Roman" w:hAnsi="Times New Roman" w:eastAsia="宋体" w:cs="Times New Roman"/>
                <w:color w:val="000000"/>
                <w:highlight w:val="none"/>
                <w:lang w:val="en-US" w:eastAsia="zh-CN"/>
              </w:rPr>
              <w:t>122</w:t>
            </w:r>
            <w:r>
              <w:rPr>
                <w:rFonts w:hint="default" w:ascii="Times New Roman" w:hAnsi="Times New Roman" w:eastAsia="宋体" w:cs="Times New Roman"/>
                <w:color w:val="000000"/>
                <w:highlight w:val="none"/>
              </w:rPr>
              <w:t>µg/m</w:t>
            </w:r>
            <w:r>
              <w:rPr>
                <w:rFonts w:hint="default" w:ascii="Times New Roman" w:hAnsi="Times New Roman" w:eastAsia="宋体" w:cs="Times New Roman"/>
                <w:color w:val="000000"/>
                <w:highlight w:val="none"/>
                <w:vertAlign w:val="superscript"/>
              </w:rPr>
              <w:t>3</w:t>
            </w:r>
            <w:r>
              <w:rPr>
                <w:rFonts w:hint="default" w:ascii="Times New Roman" w:hAnsi="Times New Roman" w:eastAsia="宋体" w:cs="Times New Roman"/>
                <w:color w:val="000000"/>
                <w:highlight w:val="none"/>
              </w:rPr>
              <w:t>；</w:t>
            </w:r>
            <w:r>
              <w:rPr>
                <w:rFonts w:hint="default" w:ascii="Times New Roman" w:hAnsi="Times New Roman" w:eastAsia="宋体" w:cs="Times New Roman"/>
                <w:color w:val="000000"/>
                <w:kern w:val="0"/>
                <w:highlight w:val="none"/>
              </w:rPr>
              <w:t>空气质量达标区判定结果见</w:t>
            </w:r>
            <w:r>
              <w:rPr>
                <w:rFonts w:hint="eastAsia" w:ascii="Times New Roman" w:hAnsi="Times New Roman" w:eastAsia="宋体" w:cs="Times New Roman"/>
                <w:color w:val="000000"/>
                <w:kern w:val="0"/>
                <w:highlight w:val="none"/>
                <w:lang w:val="en-US" w:eastAsia="zh-CN"/>
              </w:rPr>
              <w:t>下</w:t>
            </w:r>
            <w:r>
              <w:rPr>
                <w:rFonts w:hint="default" w:ascii="Times New Roman" w:hAnsi="Times New Roman" w:eastAsia="宋体" w:cs="Times New Roman"/>
                <w:color w:val="000000"/>
                <w:kern w:val="0"/>
                <w:highlight w:val="none"/>
              </w:rPr>
              <w:t>表</w:t>
            </w:r>
            <w:r>
              <w:rPr>
                <w:rFonts w:hint="eastAsia" w:cs="Times New Roman"/>
                <w:color w:val="000000"/>
                <w:kern w:val="0"/>
                <w:highlight w:val="none"/>
                <w:lang w:eastAsia="zh-CN"/>
              </w:rPr>
              <w:t>。</w:t>
            </w:r>
          </w:p>
          <w:p>
            <w:pPr>
              <w:pStyle w:val="33"/>
              <w:keepNext w:val="0"/>
              <w:keepLines w:val="0"/>
              <w:suppressLineNumbers w:val="0"/>
              <w:spacing w:before="0" w:beforeLines="0" w:beforeAutospacing="0" w:after="0" w:afterLines="0" w:afterAutospacing="0"/>
              <w:ind w:left="0" w:leftChars="0" w:right="0" w:rightChars="0" w:firstLine="0" w:firstLineChars="0"/>
              <w:jc w:val="center"/>
              <w:rPr>
                <w:rFonts w:hint="eastAsia" w:cs="Times New Roman"/>
                <w:color w:val="000000"/>
                <w:sz w:val="21"/>
                <w:highlight w:val="none"/>
              </w:rPr>
            </w:pPr>
            <w:r>
              <w:rPr>
                <w:rFonts w:hint="default" w:ascii="Times New Roman" w:hAnsi="Times New Roman" w:eastAsia="黑体" w:cs="Times New Roman"/>
                <w:b w:val="0"/>
                <w:bCs/>
                <w:color w:val="000000"/>
                <w:sz w:val="21"/>
                <w:highlight w:val="none"/>
              </w:rPr>
              <w:t>表</w:t>
            </w:r>
            <w:r>
              <w:rPr>
                <w:rFonts w:hint="default" w:ascii="Times New Roman" w:hAnsi="Times New Roman" w:eastAsia="黑体" w:cs="Times New Roman"/>
                <w:b w:val="0"/>
                <w:bCs/>
                <w:color w:val="000000"/>
                <w:sz w:val="21"/>
                <w:highlight w:val="none"/>
                <w:lang w:val="en-US" w:eastAsia="zh-CN"/>
              </w:rPr>
              <w:t>3.</w:t>
            </w:r>
            <w:r>
              <w:rPr>
                <w:rFonts w:hint="eastAsia" w:ascii="Times New Roman" w:hAnsi="Times New Roman" w:eastAsia="黑体" w:cs="Times New Roman"/>
                <w:b w:val="0"/>
                <w:bCs/>
                <w:color w:val="000000"/>
                <w:sz w:val="21"/>
                <w:highlight w:val="none"/>
                <w:lang w:val="en-US" w:eastAsia="zh-CN"/>
              </w:rPr>
              <w:t>1</w:t>
            </w:r>
            <w:r>
              <w:rPr>
                <w:rFonts w:hint="default" w:ascii="Times New Roman" w:hAnsi="Times New Roman" w:eastAsia="黑体" w:cs="Times New Roman"/>
                <w:b w:val="0"/>
                <w:bCs/>
                <w:color w:val="000000"/>
                <w:sz w:val="21"/>
                <w:highlight w:val="none"/>
              </w:rPr>
              <w:t>昌吉州环境空气质量达标判定结果</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602"/>
              <w:gridCol w:w="1157"/>
              <w:gridCol w:w="1065"/>
              <w:gridCol w:w="975"/>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95"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监测</w:t>
                  </w:r>
                </w:p>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因子</w:t>
                  </w:r>
                </w:p>
              </w:tc>
              <w:tc>
                <w:tcPr>
                  <w:tcW w:w="1762"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评价指标</w:t>
                  </w:r>
                </w:p>
              </w:tc>
              <w:tc>
                <w:tcPr>
                  <w:tcW w:w="784"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现状浓度</w:t>
                  </w:r>
                </w:p>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µg/m</w:t>
                  </w:r>
                  <w:r>
                    <w:rPr>
                      <w:rFonts w:hint="default" w:ascii="Times New Roman" w:hAnsi="Times New Roman" w:eastAsia="宋体" w:cs="Times New Roman"/>
                      <w:b w:val="0"/>
                      <w:bCs/>
                      <w:color w:val="000000"/>
                      <w:sz w:val="21"/>
                      <w:szCs w:val="21"/>
                      <w:highlight w:val="none"/>
                      <w:vertAlign w:val="superscript"/>
                    </w:rPr>
                    <w:t>3</w:t>
                  </w:r>
                </w:p>
              </w:tc>
              <w:tc>
                <w:tcPr>
                  <w:tcW w:w="721"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标准值</w:t>
                  </w:r>
                </w:p>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（μg/m</w:t>
                  </w:r>
                  <w:r>
                    <w:rPr>
                      <w:rFonts w:hint="default" w:ascii="Times New Roman" w:hAnsi="Times New Roman" w:eastAsia="宋体" w:cs="Times New Roman"/>
                      <w:b w:val="0"/>
                      <w:bCs/>
                      <w:color w:val="000000"/>
                      <w:sz w:val="21"/>
                      <w:szCs w:val="21"/>
                      <w:highlight w:val="none"/>
                      <w:vertAlign w:val="superscript"/>
                    </w:rPr>
                    <w:t>3</w:t>
                  </w:r>
                  <w:r>
                    <w:rPr>
                      <w:rFonts w:hint="default" w:ascii="Times New Roman" w:hAnsi="Times New Roman" w:eastAsia="宋体" w:cs="Times New Roman"/>
                      <w:b w:val="0"/>
                      <w:bCs/>
                      <w:color w:val="000000"/>
                      <w:sz w:val="21"/>
                      <w:szCs w:val="21"/>
                      <w:highlight w:val="none"/>
                    </w:rPr>
                    <w:t>）</w:t>
                  </w:r>
                </w:p>
              </w:tc>
              <w:tc>
                <w:tcPr>
                  <w:tcW w:w="660"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占标率</w:t>
                  </w:r>
                </w:p>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w:t>
                  </w:r>
                </w:p>
              </w:tc>
              <w:tc>
                <w:tcPr>
                  <w:tcW w:w="478"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达标</w:t>
                  </w:r>
                </w:p>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SO</w:t>
                  </w:r>
                  <w:r>
                    <w:rPr>
                      <w:rFonts w:hint="default" w:ascii="Times New Roman" w:hAnsi="Times New Roman" w:eastAsia="宋体" w:cs="Times New Roman"/>
                      <w:b w:val="0"/>
                      <w:bCs/>
                      <w:color w:val="000000"/>
                      <w:sz w:val="21"/>
                      <w:szCs w:val="21"/>
                      <w:highlight w:val="none"/>
                      <w:vertAlign w:val="subscript"/>
                    </w:rPr>
                    <w:t>2</w:t>
                  </w:r>
                </w:p>
              </w:tc>
              <w:tc>
                <w:tcPr>
                  <w:tcW w:w="1762"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年平均值</w:t>
                  </w:r>
                </w:p>
              </w:tc>
              <w:tc>
                <w:tcPr>
                  <w:tcW w:w="784"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10</w:t>
                  </w:r>
                </w:p>
              </w:tc>
              <w:tc>
                <w:tcPr>
                  <w:tcW w:w="721"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60</w:t>
                  </w:r>
                </w:p>
              </w:tc>
              <w:tc>
                <w:tcPr>
                  <w:tcW w:w="660"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17</w:t>
                  </w:r>
                </w:p>
              </w:tc>
              <w:tc>
                <w:tcPr>
                  <w:tcW w:w="478"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NO</w:t>
                  </w:r>
                  <w:r>
                    <w:rPr>
                      <w:rFonts w:hint="default" w:ascii="Times New Roman" w:hAnsi="Times New Roman" w:eastAsia="宋体" w:cs="Times New Roman"/>
                      <w:b w:val="0"/>
                      <w:bCs/>
                      <w:color w:val="000000"/>
                      <w:sz w:val="21"/>
                      <w:szCs w:val="21"/>
                      <w:highlight w:val="none"/>
                      <w:vertAlign w:val="subscript"/>
                    </w:rPr>
                    <w:t>2</w:t>
                  </w:r>
                </w:p>
              </w:tc>
              <w:tc>
                <w:tcPr>
                  <w:tcW w:w="1762"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年平均值</w:t>
                  </w:r>
                </w:p>
              </w:tc>
              <w:tc>
                <w:tcPr>
                  <w:tcW w:w="784"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38</w:t>
                  </w:r>
                </w:p>
              </w:tc>
              <w:tc>
                <w:tcPr>
                  <w:tcW w:w="721"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40</w:t>
                  </w:r>
                </w:p>
              </w:tc>
              <w:tc>
                <w:tcPr>
                  <w:tcW w:w="660"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9</w:t>
                  </w:r>
                  <w:r>
                    <w:rPr>
                      <w:rFonts w:hint="eastAsia" w:ascii="Times New Roman" w:hAnsi="Times New Roman" w:eastAsia="宋体" w:cs="Times New Roman"/>
                      <w:b w:val="0"/>
                      <w:bCs/>
                      <w:color w:val="000000"/>
                      <w:sz w:val="21"/>
                      <w:szCs w:val="21"/>
                      <w:highlight w:val="none"/>
                      <w:lang w:val="en-US" w:eastAsia="zh-CN"/>
                    </w:rPr>
                    <w:t>5</w:t>
                  </w:r>
                  <w:r>
                    <w:rPr>
                      <w:rFonts w:hint="default" w:ascii="Times New Roman" w:hAnsi="Times New Roman" w:eastAsia="宋体" w:cs="Times New Roman"/>
                      <w:b w:val="0"/>
                      <w:bCs/>
                      <w:color w:val="000000"/>
                      <w:sz w:val="21"/>
                      <w:szCs w:val="21"/>
                      <w:highlight w:val="none"/>
                    </w:rPr>
                    <w:t xml:space="preserve"> </w:t>
                  </w:r>
                </w:p>
              </w:tc>
              <w:tc>
                <w:tcPr>
                  <w:tcW w:w="478"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PM</w:t>
                  </w:r>
                  <w:r>
                    <w:rPr>
                      <w:rFonts w:hint="default" w:ascii="Times New Roman" w:hAnsi="Times New Roman" w:eastAsia="宋体" w:cs="Times New Roman"/>
                      <w:b w:val="0"/>
                      <w:bCs/>
                      <w:color w:val="000000"/>
                      <w:sz w:val="21"/>
                      <w:szCs w:val="21"/>
                      <w:highlight w:val="none"/>
                      <w:vertAlign w:val="subscript"/>
                    </w:rPr>
                    <w:t>10</w:t>
                  </w:r>
                </w:p>
              </w:tc>
              <w:tc>
                <w:tcPr>
                  <w:tcW w:w="1762"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年平均值</w:t>
                  </w:r>
                </w:p>
              </w:tc>
              <w:tc>
                <w:tcPr>
                  <w:tcW w:w="784"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98</w:t>
                  </w:r>
                </w:p>
              </w:tc>
              <w:tc>
                <w:tcPr>
                  <w:tcW w:w="721"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70</w:t>
                  </w:r>
                </w:p>
              </w:tc>
              <w:tc>
                <w:tcPr>
                  <w:tcW w:w="660"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 xml:space="preserve">140 </w:t>
                  </w:r>
                </w:p>
              </w:tc>
              <w:tc>
                <w:tcPr>
                  <w:tcW w:w="478"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PM</w:t>
                  </w:r>
                  <w:r>
                    <w:rPr>
                      <w:rFonts w:hint="default" w:ascii="Times New Roman" w:hAnsi="Times New Roman" w:eastAsia="宋体" w:cs="Times New Roman"/>
                      <w:b w:val="0"/>
                      <w:bCs/>
                      <w:color w:val="000000"/>
                      <w:sz w:val="21"/>
                      <w:szCs w:val="21"/>
                      <w:highlight w:val="none"/>
                      <w:vertAlign w:val="subscript"/>
                    </w:rPr>
                    <w:t>2.5</w:t>
                  </w:r>
                </w:p>
              </w:tc>
              <w:tc>
                <w:tcPr>
                  <w:tcW w:w="1762"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年平均值</w:t>
                  </w:r>
                </w:p>
              </w:tc>
              <w:tc>
                <w:tcPr>
                  <w:tcW w:w="784"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57</w:t>
                  </w:r>
                </w:p>
              </w:tc>
              <w:tc>
                <w:tcPr>
                  <w:tcW w:w="721"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35</w:t>
                  </w:r>
                </w:p>
              </w:tc>
              <w:tc>
                <w:tcPr>
                  <w:tcW w:w="660"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 xml:space="preserve">163 </w:t>
                  </w:r>
                </w:p>
              </w:tc>
              <w:tc>
                <w:tcPr>
                  <w:tcW w:w="478"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95"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CO</w:t>
                  </w:r>
                </w:p>
              </w:tc>
              <w:tc>
                <w:tcPr>
                  <w:tcW w:w="1762"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24小时平均第95百分位数</w:t>
                  </w:r>
                </w:p>
              </w:tc>
              <w:tc>
                <w:tcPr>
                  <w:tcW w:w="784"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eastAsia" w:ascii="Times New Roman" w:hAnsi="Times New Roman" w:eastAsia="宋体" w:cs="Times New Roman"/>
                      <w:b w:val="0"/>
                      <w:bCs/>
                      <w:color w:val="000000"/>
                      <w:sz w:val="21"/>
                      <w:szCs w:val="21"/>
                      <w:highlight w:val="none"/>
                      <w:lang w:val="en-US" w:eastAsia="zh-CN"/>
                    </w:rPr>
                    <w:t>2.4</w:t>
                  </w:r>
                  <w:r>
                    <w:rPr>
                      <w:rFonts w:hint="default" w:ascii="Times New Roman" w:hAnsi="Times New Roman" w:eastAsia="宋体" w:cs="Times New Roman"/>
                      <w:b w:val="0"/>
                      <w:bCs/>
                      <w:color w:val="000000"/>
                      <w:sz w:val="21"/>
                      <w:szCs w:val="21"/>
                      <w:highlight w:val="none"/>
                    </w:rPr>
                    <w:t>mg/m</w:t>
                  </w:r>
                  <w:r>
                    <w:rPr>
                      <w:rFonts w:hint="default" w:ascii="Times New Roman" w:hAnsi="Times New Roman" w:eastAsia="宋体" w:cs="Times New Roman"/>
                      <w:b w:val="0"/>
                      <w:bCs/>
                      <w:color w:val="000000"/>
                      <w:sz w:val="21"/>
                      <w:szCs w:val="21"/>
                      <w:highlight w:val="none"/>
                      <w:vertAlign w:val="superscript"/>
                    </w:rPr>
                    <w:t>3</w:t>
                  </w:r>
                </w:p>
              </w:tc>
              <w:tc>
                <w:tcPr>
                  <w:tcW w:w="721"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4mg/m</w:t>
                  </w:r>
                  <w:r>
                    <w:rPr>
                      <w:rFonts w:hint="default" w:ascii="Times New Roman" w:hAnsi="Times New Roman" w:eastAsia="宋体" w:cs="Times New Roman"/>
                      <w:b w:val="0"/>
                      <w:bCs/>
                      <w:color w:val="000000"/>
                      <w:sz w:val="21"/>
                      <w:szCs w:val="21"/>
                      <w:highlight w:val="none"/>
                      <w:vertAlign w:val="superscript"/>
                    </w:rPr>
                    <w:t>3</w:t>
                  </w:r>
                </w:p>
              </w:tc>
              <w:tc>
                <w:tcPr>
                  <w:tcW w:w="660"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eastAsia" w:ascii="Times New Roman" w:hAnsi="Times New Roman" w:eastAsia="宋体" w:cs="Times New Roman"/>
                      <w:b w:val="0"/>
                      <w:bCs/>
                      <w:color w:val="000000"/>
                      <w:sz w:val="21"/>
                      <w:szCs w:val="21"/>
                      <w:highlight w:val="none"/>
                      <w:lang w:val="en-US" w:eastAsia="zh-CN"/>
                    </w:rPr>
                    <w:t>60</w:t>
                  </w:r>
                  <w:r>
                    <w:rPr>
                      <w:rFonts w:hint="default" w:ascii="Times New Roman" w:hAnsi="Times New Roman" w:eastAsia="宋体" w:cs="Times New Roman"/>
                      <w:b w:val="0"/>
                      <w:bCs/>
                      <w:color w:val="000000"/>
                      <w:sz w:val="21"/>
                      <w:szCs w:val="21"/>
                      <w:highlight w:val="none"/>
                    </w:rPr>
                    <w:t xml:space="preserve"> </w:t>
                  </w:r>
                </w:p>
              </w:tc>
              <w:tc>
                <w:tcPr>
                  <w:tcW w:w="478"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O</w:t>
                  </w:r>
                  <w:r>
                    <w:rPr>
                      <w:rFonts w:hint="default" w:ascii="Times New Roman" w:hAnsi="Times New Roman" w:eastAsia="宋体" w:cs="Times New Roman"/>
                      <w:b w:val="0"/>
                      <w:bCs/>
                      <w:color w:val="000000"/>
                      <w:sz w:val="21"/>
                      <w:szCs w:val="21"/>
                      <w:highlight w:val="none"/>
                      <w:vertAlign w:val="subscript"/>
                    </w:rPr>
                    <w:t>3</w:t>
                  </w:r>
                </w:p>
              </w:tc>
              <w:tc>
                <w:tcPr>
                  <w:tcW w:w="1762"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pacing w:val="-11"/>
                      <w:sz w:val="21"/>
                      <w:szCs w:val="21"/>
                      <w:highlight w:val="none"/>
                    </w:rPr>
                    <w:t>最大8小时平均第90百分位数</w:t>
                  </w:r>
                </w:p>
              </w:tc>
              <w:tc>
                <w:tcPr>
                  <w:tcW w:w="784"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122</w:t>
                  </w:r>
                </w:p>
              </w:tc>
              <w:tc>
                <w:tcPr>
                  <w:tcW w:w="721"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160</w:t>
                  </w:r>
                </w:p>
              </w:tc>
              <w:tc>
                <w:tcPr>
                  <w:tcW w:w="660"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eastAsia" w:ascii="Times New Roman" w:hAnsi="Times New Roman" w:eastAsia="宋体" w:cs="Times New Roman"/>
                      <w:b w:val="0"/>
                      <w:bCs/>
                      <w:color w:val="000000"/>
                      <w:sz w:val="21"/>
                      <w:szCs w:val="21"/>
                      <w:highlight w:val="none"/>
                      <w:lang w:val="en-US" w:eastAsia="zh-CN"/>
                    </w:rPr>
                    <w:t>76</w:t>
                  </w:r>
                  <w:r>
                    <w:rPr>
                      <w:rFonts w:hint="default" w:ascii="Times New Roman" w:hAnsi="Times New Roman" w:eastAsia="宋体" w:cs="Times New Roman"/>
                      <w:b w:val="0"/>
                      <w:bCs/>
                      <w:color w:val="000000"/>
                      <w:sz w:val="21"/>
                      <w:szCs w:val="21"/>
                      <w:highlight w:val="none"/>
                    </w:rPr>
                    <w:t xml:space="preserve"> </w:t>
                  </w:r>
                </w:p>
              </w:tc>
              <w:tc>
                <w:tcPr>
                  <w:tcW w:w="478" w:type="pct"/>
                  <w:tcBorders>
                    <w:tl2br w:val="nil"/>
                    <w:tr2bl w:val="nil"/>
                  </w:tcBorders>
                  <w:noWrap w:val="0"/>
                  <w:vAlign w:val="center"/>
                </w:tcPr>
                <w:p>
                  <w:pPr>
                    <w:pStyle w:val="36"/>
                    <w:keepNext w:val="0"/>
                    <w:keepLines w:val="0"/>
                    <w:suppressLineNumbers w:val="0"/>
                    <w:spacing w:before="0" w:beforeLines="0" w:beforeAutospacing="0" w:after="0" w:afterLines="0" w:afterAutospacing="0"/>
                    <w:ind w:left="-120" w:right="-120"/>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达标</w:t>
                  </w:r>
                </w:p>
              </w:tc>
            </w:tr>
          </w:tbl>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监测数据</w:t>
            </w:r>
            <w:r>
              <w:rPr>
                <w:rFonts w:hint="eastAsia" w:cs="Times New Roman"/>
                <w:kern w:val="0"/>
                <w:szCs w:val="21"/>
                <w:highlight w:val="none"/>
                <w:lang w:val="en-US" w:eastAsia="zh-CN"/>
              </w:rPr>
              <w:t>显示，</w:t>
            </w:r>
            <w:r>
              <w:rPr>
                <w:rFonts w:hint="eastAsia" w:ascii="Times New Roman" w:hAnsi="Times New Roman" w:eastAsia="宋体" w:cs="Times New Roman"/>
                <w:kern w:val="0"/>
                <w:szCs w:val="21"/>
                <w:highlight w:val="none"/>
                <w:lang w:val="en-US" w:eastAsia="zh-CN"/>
              </w:rPr>
              <w:t>PM</w:t>
            </w:r>
            <w:r>
              <w:rPr>
                <w:rFonts w:hint="eastAsia" w:ascii="Times New Roman" w:hAnsi="Times New Roman" w:eastAsia="宋体" w:cs="Times New Roman"/>
                <w:kern w:val="0"/>
                <w:szCs w:val="21"/>
                <w:highlight w:val="none"/>
                <w:vertAlign w:val="subscript"/>
                <w:lang w:val="en-US" w:eastAsia="zh-CN"/>
              </w:rPr>
              <w:t>10</w:t>
            </w:r>
            <w:r>
              <w:rPr>
                <w:rFonts w:hint="eastAsia" w:ascii="Times New Roman" w:hAnsi="Times New Roman" w:eastAsia="宋体" w:cs="Times New Roman"/>
                <w:kern w:val="0"/>
                <w:szCs w:val="21"/>
                <w:highlight w:val="none"/>
                <w:lang w:val="en-US" w:eastAsia="zh-CN"/>
              </w:rPr>
              <w:t>、PM</w:t>
            </w:r>
            <w:r>
              <w:rPr>
                <w:rFonts w:hint="eastAsia" w:ascii="Times New Roman" w:hAnsi="Times New Roman" w:eastAsia="宋体" w:cs="Times New Roman"/>
                <w:kern w:val="0"/>
                <w:szCs w:val="21"/>
                <w:highlight w:val="none"/>
                <w:vertAlign w:val="subscript"/>
                <w:lang w:val="en-US" w:eastAsia="zh-CN"/>
              </w:rPr>
              <w:t>2.5</w:t>
            </w:r>
            <w:r>
              <w:rPr>
                <w:rFonts w:hint="eastAsia" w:ascii="Times New Roman" w:hAnsi="Times New Roman" w:eastAsia="宋体" w:cs="Times New Roman"/>
                <w:kern w:val="0"/>
                <w:szCs w:val="21"/>
                <w:highlight w:val="none"/>
                <w:lang w:val="en-US" w:eastAsia="zh-CN"/>
              </w:rPr>
              <w:t>超过《环境空气质量标准》（GB3095-2012）中二级标准限值。因此判定昌吉州为环境空气质量不达标区</w:t>
            </w:r>
            <w:r>
              <w:rPr>
                <w:rFonts w:hint="eastAsia" w:cs="Times New Roman"/>
                <w:kern w:val="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422" w:firstLineChars="200"/>
              <w:jc w:val="both"/>
              <w:rPr>
                <w:rFonts w:hint="default" w:ascii="Times New Roman" w:hAnsi="Times New Roman" w:eastAsia="宋体" w:cs="Times New Roman"/>
                <w:color w:val="000000"/>
                <w:kern w:val="0"/>
                <w:highlight w:val="none"/>
                <w:lang w:val="en-US" w:eastAsia="zh-CN"/>
              </w:rPr>
            </w:pPr>
            <w:r>
              <w:rPr>
                <w:rFonts w:hint="eastAsia" w:cs="Times New Roman"/>
                <w:b/>
                <w:bCs/>
                <w:color w:val="000000"/>
                <w:kern w:val="0"/>
                <w:highlight w:val="none"/>
                <w:lang w:val="en-US" w:eastAsia="zh-CN"/>
              </w:rPr>
              <w:t>8.2其他污染物环境质量现状评价</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color w:val="000000"/>
                <w:kern w:val="0"/>
                <w:highlight w:val="none"/>
                <w:lang w:val="en-US" w:eastAsia="zh-CN"/>
              </w:rPr>
            </w:pPr>
            <w:r>
              <w:rPr>
                <w:rFonts w:hint="default" w:ascii="Times New Roman" w:hAnsi="Times New Roman" w:eastAsia="宋体" w:cs="Times New Roman"/>
                <w:color w:val="000000"/>
                <w:kern w:val="0"/>
                <w:highlight w:val="none"/>
                <w:lang w:val="zh-CN"/>
              </w:rPr>
              <w:t>本项目环境空气质量现状调查中</w:t>
            </w:r>
            <w:r>
              <w:rPr>
                <w:rFonts w:hint="eastAsia" w:cs="Times New Roman"/>
                <w:color w:val="000000"/>
                <w:kern w:val="0"/>
                <w:highlight w:val="none"/>
                <w:lang w:val="en-US" w:eastAsia="zh-CN"/>
              </w:rPr>
              <w:t>引用</w:t>
            </w:r>
            <w:r>
              <w:rPr>
                <w:rFonts w:hint="default" w:ascii="Times New Roman" w:hAnsi="Times New Roman" w:eastAsia="宋体" w:cs="Times New Roman"/>
                <w:color w:val="000000"/>
                <w:kern w:val="0"/>
                <w:highlight w:val="none"/>
                <w:lang w:val="zh-CN"/>
              </w:rPr>
              <w:t>核工业二一六大队检测研究院</w:t>
            </w:r>
            <w:r>
              <w:rPr>
                <w:rFonts w:hint="eastAsia" w:cs="Times New Roman"/>
                <w:color w:val="000000"/>
                <w:kern w:val="0"/>
                <w:highlight w:val="none"/>
                <w:lang w:val="en-US" w:eastAsia="zh-CN"/>
              </w:rPr>
              <w:t>于</w:t>
            </w:r>
            <w:r>
              <w:rPr>
                <w:rFonts w:hint="default" w:ascii="Times New Roman" w:hAnsi="Times New Roman" w:eastAsia="宋体" w:cs="Times New Roman"/>
                <w:color w:val="000000"/>
                <w:kern w:val="0"/>
                <w:highlight w:val="none"/>
                <w:lang w:val="zh-CN"/>
              </w:rPr>
              <w:t>2020年12月10日～12月16日</w:t>
            </w:r>
            <w:r>
              <w:rPr>
                <w:rFonts w:hint="eastAsia" w:cs="Times New Roman"/>
                <w:color w:val="000000"/>
                <w:kern w:val="0"/>
                <w:highlight w:val="none"/>
                <w:lang w:val="en-US" w:eastAsia="zh-CN"/>
              </w:rPr>
              <w:t>对</w:t>
            </w:r>
            <w:r>
              <w:rPr>
                <w:rFonts w:hint="default" w:ascii="Times New Roman" w:hAnsi="Times New Roman" w:eastAsia="宋体" w:cs="Times New Roman"/>
                <w:color w:val="000000"/>
                <w:kern w:val="0"/>
                <w:highlight w:val="none"/>
                <w:lang w:val="zh-CN"/>
              </w:rPr>
              <w:t>永进1-3井</w:t>
            </w:r>
            <w:r>
              <w:rPr>
                <w:rFonts w:hint="eastAsia" w:cs="Times New Roman"/>
                <w:color w:val="000000"/>
                <w:kern w:val="0"/>
                <w:highlight w:val="none"/>
                <w:lang w:val="en-US" w:eastAsia="zh-CN"/>
              </w:rPr>
              <w:t>区域环境空气质量特征污染物</w:t>
            </w:r>
            <w:r>
              <w:rPr>
                <w:rFonts w:hint="default" w:ascii="Times New Roman" w:hAnsi="Times New Roman" w:eastAsia="宋体" w:cs="Times New Roman"/>
                <w:color w:val="000000"/>
                <w:kern w:val="0"/>
                <w:highlight w:val="none"/>
                <w:lang w:val="zh-CN"/>
              </w:rPr>
              <w:t>监测</w:t>
            </w:r>
            <w:r>
              <w:rPr>
                <w:rFonts w:hint="eastAsia" w:cs="Times New Roman"/>
                <w:color w:val="000000"/>
                <w:kern w:val="0"/>
                <w:highlight w:val="none"/>
                <w:lang w:val="en-US" w:eastAsia="zh-CN"/>
              </w:rPr>
              <w:t>的数据对其他污染物环境质量进行现状评价</w:t>
            </w:r>
            <w:r>
              <w:rPr>
                <w:rFonts w:hint="default" w:ascii="Times New Roman" w:hAnsi="Times New Roman" w:eastAsia="宋体" w:cs="Times New Roman"/>
                <w:color w:val="000000"/>
                <w:kern w:val="0"/>
                <w:highlight w:val="none"/>
                <w:lang w:val="zh-CN"/>
              </w:rPr>
              <w:t>。监测报告单见附件7。</w:t>
            </w:r>
            <w:r>
              <w:rPr>
                <w:rFonts w:hint="eastAsia" w:cs="Times New Roman"/>
                <w:color w:val="000000"/>
                <w:kern w:val="0"/>
                <w:highlight w:val="none"/>
                <w:lang w:val="en-US" w:eastAsia="zh-CN"/>
              </w:rPr>
              <w:t>引用数据监测点与本项目位置关系见图3.4。引用数据监测点区域与本项目区域环境空气质量相似，距离适中，具有代表性。</w:t>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default"/>
              </w:rPr>
            </w:pPr>
            <w:r>
              <w:rPr>
                <w:rFonts w:hint="default"/>
              </w:rPr>
              <w:drawing>
                <wp:inline distT="0" distB="0" distL="114300" distR="114300">
                  <wp:extent cx="4671695" cy="3179445"/>
                  <wp:effectExtent l="9525" t="9525" r="24130"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4671695" cy="3179445"/>
                          </a:xfrm>
                          <a:prstGeom prst="rect">
                            <a:avLst/>
                          </a:prstGeom>
                          <a:noFill/>
                          <a:ln>
                            <a:solidFill>
                              <a:schemeClr val="tx1"/>
                            </a:solidFill>
                          </a:ln>
                        </pic:spPr>
                      </pic:pic>
                    </a:graphicData>
                  </a:graphic>
                </wp:inline>
              </w:drawing>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000000"/>
                <w:kern w:val="0"/>
                <w:highlight w:val="none"/>
                <w:lang w:val="en-US" w:eastAsia="zh-CN"/>
              </w:rPr>
            </w:pPr>
            <w:r>
              <w:rPr>
                <w:rFonts w:hint="eastAsia" w:ascii="黑体" w:hAnsi="黑体" w:eastAsia="黑体" w:cs="黑体"/>
              </w:rPr>
              <w:t>图3.4</w:t>
            </w:r>
            <w:r>
              <w:rPr>
                <w:rFonts w:hint="eastAsia" w:ascii="黑体" w:hAnsi="黑体" w:eastAsia="黑体" w:cs="黑体"/>
                <w:lang w:val="en-US" w:eastAsia="zh-CN"/>
              </w:rPr>
              <w:t xml:space="preserve"> </w:t>
            </w:r>
            <w:r>
              <w:rPr>
                <w:rFonts w:hint="eastAsia" w:ascii="黑体" w:hAnsi="黑体" w:eastAsia="黑体" w:cs="黑体"/>
              </w:rPr>
              <w:t>引用监测点与本项目位置关系</w:t>
            </w:r>
            <w:r>
              <w:rPr>
                <w:rFonts w:hint="eastAsia" w:ascii="黑体" w:hAnsi="黑体" w:eastAsia="黑体" w:cs="黑体"/>
                <w:lang w:val="en-US" w:eastAsia="zh-CN"/>
              </w:rPr>
              <w:t>示意</w:t>
            </w:r>
            <w:r>
              <w:rPr>
                <w:rFonts w:hint="eastAsia" w:ascii="黑体" w:hAnsi="黑体" w:eastAsia="黑体" w:cs="黑体"/>
              </w:rPr>
              <w:t>图</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eastAsia="宋体" w:cs="Times New Roman"/>
                <w:color w:val="000000"/>
                <w:kern w:val="0"/>
                <w:highlight w:val="none"/>
                <w:lang w:val="zh-CN"/>
              </w:rPr>
            </w:pPr>
            <w:r>
              <w:rPr>
                <w:rFonts w:hint="default" w:ascii="Times New Roman" w:hAnsi="Times New Roman" w:eastAsia="宋体" w:cs="Times New Roman"/>
                <w:color w:val="000000"/>
                <w:kern w:val="0"/>
                <w:highlight w:val="none"/>
                <w:lang w:val="zh-CN"/>
              </w:rPr>
              <w:t>（1）监测点位</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eastAsia="宋体" w:cs="Times New Roman"/>
                <w:color w:val="000000"/>
                <w:kern w:val="0"/>
                <w:highlight w:val="none"/>
                <w:lang w:val="zh-CN"/>
              </w:rPr>
            </w:pPr>
            <w:r>
              <w:rPr>
                <w:rFonts w:hint="eastAsia" w:cs="Times New Roman"/>
                <w:color w:val="000000"/>
                <w:kern w:val="0"/>
                <w:highlight w:val="none"/>
                <w:lang w:val="en-US" w:eastAsia="zh-CN"/>
              </w:rPr>
              <w:t>引用监测点点</w:t>
            </w:r>
            <w:r>
              <w:rPr>
                <w:rFonts w:hint="default" w:ascii="Times New Roman" w:hAnsi="Times New Roman" w:eastAsia="宋体" w:cs="Times New Roman"/>
                <w:color w:val="000000"/>
                <w:kern w:val="0"/>
                <w:highlight w:val="none"/>
                <w:lang w:val="zh-CN"/>
              </w:rPr>
              <w:t>位信息详见表3</w:t>
            </w:r>
            <w:r>
              <w:rPr>
                <w:rFonts w:hint="eastAsia" w:cs="Times New Roman"/>
                <w:color w:val="000000"/>
                <w:kern w:val="0"/>
                <w:highlight w:val="none"/>
                <w:lang w:val="en-US" w:eastAsia="zh-CN"/>
              </w:rPr>
              <w:t>.</w:t>
            </w:r>
            <w:r>
              <w:rPr>
                <w:rFonts w:hint="default" w:ascii="Times New Roman" w:hAnsi="Times New Roman" w:eastAsia="宋体" w:cs="Times New Roman"/>
                <w:color w:val="000000"/>
                <w:kern w:val="0"/>
                <w:highlight w:val="none"/>
                <w:lang w:val="zh-CN"/>
              </w:rPr>
              <w:t>2</w:t>
            </w:r>
            <w:r>
              <w:rPr>
                <w:rFonts w:hint="eastAsia" w:cs="Times New Roman"/>
                <w:color w:val="000000"/>
                <w:kern w:val="0"/>
                <w:highlight w:val="none"/>
                <w:lang w:val="zh-CN"/>
              </w:rPr>
              <w:t>。</w:t>
            </w:r>
          </w:p>
          <w:p>
            <w:pPr>
              <w:keepNext w:val="0"/>
              <w:keepLines w:val="0"/>
              <w:suppressLineNumbers w:val="0"/>
              <w:spacing w:before="0" w:beforeAutospacing="0" w:after="0" w:afterAutospacing="0"/>
              <w:ind w:left="0" w:right="0"/>
              <w:jc w:val="center"/>
              <w:rPr>
                <w:rFonts w:hint="eastAsia" w:ascii="黑体" w:hAnsi="黑体" w:eastAsia="黑体" w:cs="Times New Roman"/>
                <w:b/>
                <w:bCs/>
                <w:kern w:val="24"/>
                <w:szCs w:val="21"/>
              </w:rPr>
            </w:pPr>
            <w:r>
              <w:rPr>
                <w:rFonts w:hint="eastAsia" w:ascii="黑体" w:hAnsi="黑体" w:eastAsia="黑体" w:cs="Times New Roman"/>
                <w:b w:val="0"/>
                <w:bCs w:val="0"/>
                <w:kern w:val="24"/>
                <w:szCs w:val="21"/>
              </w:rPr>
              <w:t>表3</w:t>
            </w:r>
            <w:r>
              <w:rPr>
                <w:rFonts w:hint="eastAsia" w:ascii="黑体" w:hAnsi="黑体" w:eastAsia="黑体" w:cs="Times New Roman"/>
                <w:b w:val="0"/>
                <w:bCs w:val="0"/>
                <w:kern w:val="24"/>
                <w:szCs w:val="21"/>
                <w:lang w:val="en-US" w:eastAsia="zh-CN"/>
              </w:rPr>
              <w:t>.</w:t>
            </w:r>
            <w:r>
              <w:rPr>
                <w:rFonts w:hint="default" w:ascii="黑体" w:hAnsi="黑体" w:eastAsia="黑体" w:cs="Times New Roman"/>
                <w:b w:val="0"/>
                <w:bCs w:val="0"/>
                <w:kern w:val="24"/>
                <w:szCs w:val="21"/>
              </w:rPr>
              <w:t>2</w:t>
            </w:r>
            <w:r>
              <w:rPr>
                <w:rFonts w:hint="eastAsia" w:ascii="黑体" w:hAnsi="黑体" w:eastAsia="黑体" w:cs="Times New Roman"/>
                <w:b w:val="0"/>
                <w:bCs w:val="0"/>
                <w:kern w:val="24"/>
                <w:szCs w:val="21"/>
              </w:rPr>
              <w:t xml:space="preserve">    其他污染物监测点位基本信息</w:t>
            </w:r>
          </w:p>
          <w:tbl>
            <w:tblPr>
              <w:tblStyle w:val="20"/>
              <w:tblW w:w="7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642"/>
              <w:gridCol w:w="1079"/>
              <w:gridCol w:w="1410"/>
              <w:gridCol w:w="1157"/>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atLeast"/>
                <w:jc w:val="center"/>
              </w:trPr>
              <w:tc>
                <w:tcPr>
                  <w:tcW w:w="914"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监测点名称</w:t>
                  </w:r>
                </w:p>
              </w:tc>
              <w:tc>
                <w:tcPr>
                  <w:tcW w:w="1642"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监测点坐标</w:t>
                  </w:r>
                </w:p>
              </w:tc>
              <w:tc>
                <w:tcPr>
                  <w:tcW w:w="1079"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监测因子</w:t>
                  </w:r>
                </w:p>
              </w:tc>
              <w:tc>
                <w:tcPr>
                  <w:tcW w:w="1410"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监测时段</w:t>
                  </w:r>
                </w:p>
              </w:tc>
              <w:tc>
                <w:tcPr>
                  <w:tcW w:w="1157"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相对项目区方位</w:t>
                  </w:r>
                </w:p>
              </w:tc>
              <w:tc>
                <w:tcPr>
                  <w:tcW w:w="1079"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相对距离/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14"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永进1-3井</w:t>
                  </w:r>
                </w:p>
              </w:tc>
              <w:tc>
                <w:tcPr>
                  <w:tcW w:w="1642"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E:86°18′54.60"</w:t>
                  </w:r>
                </w:p>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N:44°35′13.67"</w:t>
                  </w:r>
                </w:p>
              </w:tc>
              <w:tc>
                <w:tcPr>
                  <w:tcW w:w="1079"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非甲烷总烃、H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w:t>
                  </w:r>
                </w:p>
              </w:tc>
              <w:tc>
                <w:tcPr>
                  <w:tcW w:w="1410" w:type="dxa"/>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spacing w:val="-17"/>
                      <w:lang w:val="en-US" w:eastAsia="zh-CN"/>
                    </w:rPr>
                    <w:t>2020年12月10日～12月16日，监测7天；</w:t>
                  </w:r>
                </w:p>
              </w:tc>
              <w:tc>
                <w:tcPr>
                  <w:tcW w:w="1157" w:type="dxa"/>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SW</w:t>
                  </w:r>
                </w:p>
              </w:tc>
              <w:tc>
                <w:tcPr>
                  <w:tcW w:w="1079" w:type="dxa"/>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lang w:val="en-US" w:eastAsia="zh-CN"/>
                    </w:rPr>
                  </w:pPr>
                  <w:r>
                    <w:rPr>
                      <w:rFonts w:hint="eastAsia" w:cs="Times New Roman"/>
                      <w:lang w:val="en-US" w:eastAsia="zh-CN"/>
                    </w:rPr>
                    <w:t>3.6</w:t>
                  </w:r>
                </w:p>
              </w:tc>
            </w:tr>
          </w:tbl>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eastAsia="宋体" w:cs="Times New Roman"/>
                <w:color w:val="000000"/>
                <w:kern w:val="0"/>
                <w:highlight w:val="none"/>
                <w:lang w:val="zh-CN"/>
              </w:rPr>
            </w:pPr>
            <w:r>
              <w:rPr>
                <w:rFonts w:hint="default" w:ascii="Times New Roman" w:hAnsi="Times New Roman" w:eastAsia="宋体" w:cs="Times New Roman"/>
                <w:color w:val="000000"/>
                <w:kern w:val="0"/>
                <w:highlight w:val="none"/>
                <w:lang w:val="zh-CN"/>
              </w:rPr>
              <w:t>（</w:t>
            </w:r>
            <w:r>
              <w:rPr>
                <w:rFonts w:hint="eastAsia" w:cs="Times New Roman"/>
                <w:color w:val="000000"/>
                <w:kern w:val="0"/>
                <w:highlight w:val="none"/>
                <w:lang w:val="en-US" w:eastAsia="zh-CN"/>
              </w:rPr>
              <w:t>2</w:t>
            </w:r>
            <w:r>
              <w:rPr>
                <w:rFonts w:hint="default" w:ascii="Times New Roman" w:hAnsi="Times New Roman" w:eastAsia="宋体" w:cs="Times New Roman"/>
                <w:color w:val="000000"/>
                <w:kern w:val="0"/>
                <w:highlight w:val="none"/>
                <w:lang w:val="zh-CN"/>
              </w:rPr>
              <w:t>）评价标准</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eastAsia="宋体" w:cs="Times New Roman"/>
                <w:color w:val="000000"/>
                <w:kern w:val="0"/>
                <w:highlight w:val="none"/>
                <w:lang w:val="zh-CN"/>
              </w:rPr>
            </w:pPr>
            <w:r>
              <w:rPr>
                <w:rFonts w:hint="default" w:ascii="Times New Roman" w:hAnsi="Times New Roman" w:eastAsia="宋体" w:cs="Times New Roman"/>
                <w:color w:val="000000"/>
                <w:kern w:val="0"/>
                <w:highlight w:val="none"/>
                <w:lang w:val="zh-CN"/>
              </w:rPr>
              <w:t>非甲烷总烃参考《大气污染物综合排放标准详解》，以2.0mg/m</w:t>
            </w:r>
            <w:r>
              <w:rPr>
                <w:rFonts w:hint="eastAsia" w:cs="Times New Roman"/>
                <w:color w:val="000000"/>
                <w:kern w:val="0"/>
                <w:highlight w:val="none"/>
                <w:vertAlign w:val="superscript"/>
                <w:lang w:val="en-US" w:eastAsia="zh-CN"/>
              </w:rPr>
              <w:t>3</w:t>
            </w:r>
            <w:r>
              <w:rPr>
                <w:rFonts w:hint="default" w:ascii="Times New Roman" w:hAnsi="Times New Roman" w:eastAsia="宋体" w:cs="Times New Roman"/>
                <w:color w:val="000000"/>
                <w:kern w:val="0"/>
                <w:highlight w:val="none"/>
                <w:lang w:val="zh-CN"/>
              </w:rPr>
              <w:t>作为环境质量标准限值。H</w:t>
            </w:r>
            <w:r>
              <w:rPr>
                <w:rFonts w:hint="default" w:ascii="Times New Roman" w:hAnsi="Times New Roman" w:eastAsia="宋体" w:cs="Times New Roman"/>
                <w:color w:val="000000"/>
                <w:kern w:val="0"/>
                <w:highlight w:val="none"/>
                <w:vertAlign w:val="subscript"/>
                <w:lang w:val="zh-CN"/>
              </w:rPr>
              <w:t>2</w:t>
            </w:r>
            <w:r>
              <w:rPr>
                <w:rFonts w:hint="default" w:ascii="Times New Roman" w:hAnsi="Times New Roman" w:eastAsia="宋体" w:cs="Times New Roman"/>
                <w:color w:val="000000"/>
                <w:kern w:val="0"/>
                <w:highlight w:val="none"/>
                <w:lang w:val="zh-CN"/>
              </w:rPr>
              <w:t>S参照《环境影响评价技术导则 大气环境》（HJ2.2-2018）附录D中的浓度限值（10μg/m</w:t>
            </w:r>
            <w:r>
              <w:rPr>
                <w:rFonts w:hint="default" w:ascii="Times New Roman" w:hAnsi="Times New Roman" w:eastAsia="宋体" w:cs="Times New Roman"/>
                <w:color w:val="000000"/>
                <w:kern w:val="0"/>
                <w:highlight w:val="none"/>
                <w:vertAlign w:val="superscript"/>
                <w:lang w:val="zh-CN"/>
              </w:rPr>
              <w:t>3</w:t>
            </w:r>
            <w:r>
              <w:rPr>
                <w:rFonts w:hint="default" w:ascii="Times New Roman" w:hAnsi="Times New Roman" w:eastAsia="宋体" w:cs="Times New Roman"/>
                <w:color w:val="000000"/>
                <w:kern w:val="0"/>
                <w:highlight w:val="none"/>
                <w:lang w:val="zh-CN"/>
              </w:rPr>
              <w:t>）</w:t>
            </w:r>
            <w:r>
              <w:rPr>
                <w:rFonts w:hint="eastAsia" w:cs="Times New Roman"/>
                <w:color w:val="000000"/>
                <w:kern w:val="0"/>
                <w:highlight w:val="none"/>
                <w:lang w:val="zh-CN"/>
              </w:rPr>
              <w:t>。</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ascii="Times New Roman" w:hAnsi="Times New Roman" w:eastAsia="宋体" w:cs="Times New Roman"/>
                <w:color w:val="000000"/>
                <w:kern w:val="0"/>
                <w:highlight w:val="none"/>
                <w:lang w:val="en-US" w:eastAsia="zh-CN"/>
              </w:rPr>
            </w:pPr>
            <w:r>
              <w:rPr>
                <w:rFonts w:hint="eastAsia" w:cs="Times New Roman"/>
                <w:color w:val="000000"/>
                <w:kern w:val="0"/>
                <w:highlight w:val="none"/>
                <w:lang w:val="zh-CN"/>
              </w:rPr>
              <w:t>（</w:t>
            </w:r>
            <w:r>
              <w:rPr>
                <w:rFonts w:hint="eastAsia" w:cs="Times New Roman"/>
                <w:color w:val="000000"/>
                <w:kern w:val="0"/>
                <w:highlight w:val="none"/>
                <w:lang w:val="en-US" w:eastAsia="zh-CN"/>
              </w:rPr>
              <w:t>3</w:t>
            </w:r>
            <w:r>
              <w:rPr>
                <w:rFonts w:hint="eastAsia" w:cs="Times New Roman"/>
                <w:color w:val="000000"/>
                <w:kern w:val="0"/>
                <w:highlight w:val="none"/>
                <w:lang w:val="zh-CN"/>
              </w:rPr>
              <w:t>）评价</w:t>
            </w:r>
            <w:r>
              <w:rPr>
                <w:rFonts w:hint="eastAsia" w:cs="Times New Roman"/>
                <w:color w:val="000000"/>
                <w:kern w:val="0"/>
                <w:highlight w:val="none"/>
                <w:lang w:val="en-US" w:eastAsia="zh-CN"/>
              </w:rPr>
              <w:t>结果</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color w:val="000000"/>
                <w:kern w:val="0"/>
                <w:highlight w:val="none"/>
                <w:lang w:val="en-US" w:eastAsia="zh-CN"/>
              </w:rPr>
            </w:pPr>
            <w:r>
              <w:rPr>
                <w:rFonts w:hint="default" w:ascii="Times New Roman" w:hAnsi="Times New Roman" w:eastAsia="宋体" w:cs="Times New Roman"/>
                <w:color w:val="000000"/>
                <w:kern w:val="0"/>
                <w:highlight w:val="none"/>
                <w:lang w:val="zh-CN"/>
              </w:rPr>
              <w:t>其他污染物环境质量现状监测及评价结果详见表3</w:t>
            </w:r>
            <w:r>
              <w:rPr>
                <w:rFonts w:hint="eastAsia" w:cs="Times New Roman"/>
                <w:color w:val="000000"/>
                <w:kern w:val="0"/>
                <w:highlight w:val="none"/>
                <w:lang w:val="en-US" w:eastAsia="zh-CN"/>
              </w:rPr>
              <w:t>.3。</w:t>
            </w:r>
          </w:p>
          <w:p>
            <w:pPr>
              <w:keepNext w:val="0"/>
              <w:keepLines w:val="0"/>
              <w:suppressLineNumbers w:val="0"/>
              <w:spacing w:before="0" w:beforeLines="0" w:beforeAutospacing="0" w:after="0" w:afterLines="0" w:afterAutospacing="0"/>
              <w:ind w:left="0" w:right="0"/>
              <w:jc w:val="center"/>
              <w:rPr>
                <w:rFonts w:hint="default" w:ascii="Times New Roman" w:hAnsi="Times New Roman" w:eastAsia="黑体"/>
                <w:b/>
                <w:kern w:val="24"/>
                <w:sz w:val="28"/>
              </w:rPr>
            </w:pPr>
            <w:r>
              <w:rPr>
                <w:rFonts w:hint="eastAsia" w:ascii="Times New Roman" w:hAnsi="Times New Roman" w:eastAsia="黑体"/>
                <w:b w:val="0"/>
                <w:bCs/>
                <w:kern w:val="24"/>
                <w:sz w:val="21"/>
              </w:rPr>
              <w:t>表3</w:t>
            </w:r>
            <w:r>
              <w:rPr>
                <w:rFonts w:hint="eastAsia" w:eastAsia="黑体"/>
                <w:b w:val="0"/>
                <w:bCs/>
                <w:kern w:val="24"/>
                <w:sz w:val="21"/>
                <w:lang w:val="en-US" w:eastAsia="zh-CN"/>
              </w:rPr>
              <w:t>.</w:t>
            </w:r>
            <w:r>
              <w:rPr>
                <w:rFonts w:hint="eastAsia" w:ascii="Times New Roman" w:hAnsi="Times New Roman" w:eastAsia="黑体"/>
                <w:b w:val="0"/>
                <w:bCs/>
                <w:kern w:val="24"/>
                <w:sz w:val="21"/>
                <w:lang w:val="en-US" w:eastAsia="zh-CN"/>
              </w:rPr>
              <w:t>3</w:t>
            </w:r>
            <w:r>
              <w:rPr>
                <w:rFonts w:hint="eastAsia" w:ascii="Times New Roman" w:hAnsi="Times New Roman" w:eastAsia="黑体"/>
                <w:b w:val="0"/>
                <w:bCs/>
                <w:kern w:val="24"/>
                <w:sz w:val="21"/>
              </w:rPr>
              <w:t xml:space="preserve">  其他污染物环境质量现状（监测结果）表 </w:t>
            </w:r>
            <w:r>
              <w:rPr>
                <w:rFonts w:hint="default" w:ascii="Times New Roman" w:hAnsi="Times New Roman" w:eastAsia="黑体"/>
                <w:b w:val="0"/>
                <w:bCs/>
                <w:kern w:val="24"/>
                <w:sz w:val="21"/>
              </w:rPr>
              <w:t xml:space="preserve">   </w:t>
            </w:r>
            <w:r>
              <w:rPr>
                <w:rFonts w:hint="eastAsia" w:eastAsia="宋体"/>
                <w:b w:val="0"/>
                <w:bCs/>
                <w:kern w:val="0"/>
                <w:sz w:val="21"/>
              </w:rPr>
              <w:t>单位为</w:t>
            </w:r>
            <w:r>
              <w:rPr>
                <w:rFonts w:hint="default" w:ascii="Times New Roman" w:hAnsi="Times New Roman" w:eastAsia="宋体" w:cs="Times New Roman"/>
                <w:color w:val="000000"/>
                <w:kern w:val="0"/>
                <w:highlight w:val="none"/>
                <w:lang w:val="zh-CN"/>
              </w:rPr>
              <w:t>μ</w:t>
            </w:r>
            <w:r>
              <w:rPr>
                <w:rFonts w:hint="eastAsia" w:eastAsia="宋体"/>
                <w:b w:val="0"/>
                <w:bCs/>
                <w:kern w:val="0"/>
                <w:sz w:val="21"/>
              </w:rPr>
              <w:t>g/m</w:t>
            </w:r>
            <w:r>
              <w:rPr>
                <w:rFonts w:hint="default"/>
                <w:b w:val="0"/>
                <w:bCs/>
                <w:kern w:val="0"/>
                <w:sz w:val="21"/>
                <w:vertAlign w:val="superscript"/>
              </w:rPr>
              <w:t>3</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961"/>
              <w:gridCol w:w="898"/>
              <w:gridCol w:w="1064"/>
              <w:gridCol w:w="1113"/>
              <w:gridCol w:w="1064"/>
              <w:gridCol w:w="721"/>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54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eastAsia" w:eastAsia="宋体"/>
                      <w:kern w:val="24"/>
                      <w:sz w:val="21"/>
                    </w:rPr>
                    <w:t>监测点位</w:t>
                  </w:r>
                </w:p>
              </w:tc>
              <w:tc>
                <w:tcPr>
                  <w:tcW w:w="65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eastAsia" w:eastAsia="宋体"/>
                      <w:kern w:val="24"/>
                      <w:sz w:val="21"/>
                    </w:rPr>
                    <w:t>污染物</w:t>
                  </w:r>
                </w:p>
              </w:tc>
              <w:tc>
                <w:tcPr>
                  <w:tcW w:w="60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eastAsia" w:eastAsia="宋体"/>
                      <w:kern w:val="24"/>
                      <w:sz w:val="21"/>
                    </w:rPr>
                    <w:t>平均</w:t>
                  </w:r>
                </w:p>
                <w:p>
                  <w:pPr>
                    <w:keepNext w:val="0"/>
                    <w:keepLines w:val="0"/>
                    <w:suppressLineNumbers w:val="0"/>
                    <w:spacing w:before="0" w:beforeLines="0" w:beforeAutospacing="0" w:after="0" w:afterLines="0" w:afterAutospacing="0"/>
                    <w:ind w:left="0" w:right="0"/>
                    <w:jc w:val="center"/>
                    <w:rPr>
                      <w:rFonts w:hint="default"/>
                      <w:kern w:val="24"/>
                      <w:sz w:val="21"/>
                    </w:rPr>
                  </w:pPr>
                  <w:r>
                    <w:rPr>
                      <w:rFonts w:hint="eastAsia" w:eastAsia="宋体"/>
                      <w:kern w:val="24"/>
                      <w:sz w:val="21"/>
                    </w:rPr>
                    <w:t>时间</w:t>
                  </w:r>
                </w:p>
              </w:tc>
              <w:tc>
                <w:tcPr>
                  <w:tcW w:w="72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eastAsia" w:eastAsia="宋体"/>
                      <w:kern w:val="24"/>
                      <w:sz w:val="21"/>
                    </w:rPr>
                    <w:t>评价标准</w:t>
                  </w: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eastAsia" w:eastAsia="宋体"/>
                      <w:kern w:val="24"/>
                      <w:sz w:val="21"/>
                    </w:rPr>
                    <w:t>监测浓度范围</w:t>
                  </w:r>
                </w:p>
              </w:tc>
              <w:tc>
                <w:tcPr>
                  <w:tcW w:w="72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eastAsia" w:eastAsia="宋体"/>
                      <w:kern w:val="24"/>
                      <w:sz w:val="21"/>
                    </w:rPr>
                    <w:t>最大浓度占标率</w:t>
                  </w:r>
                </w:p>
              </w:tc>
              <w:tc>
                <w:tcPr>
                  <w:tcW w:w="48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eastAsia" w:eastAsia="宋体"/>
                      <w:kern w:val="24"/>
                      <w:sz w:val="21"/>
                    </w:rPr>
                    <w:t>超标率</w:t>
                  </w:r>
                </w:p>
              </w:tc>
              <w:tc>
                <w:tcPr>
                  <w:tcW w:w="5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eastAsia" w:eastAsia="宋体"/>
                      <w:kern w:val="24"/>
                      <w:sz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47"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0"/>
                      <w:sz w:val="21"/>
                    </w:rPr>
                  </w:pPr>
                  <w:r>
                    <w:rPr>
                      <w:rFonts w:hint="eastAsia" w:eastAsia="宋体"/>
                      <w:kern w:val="0"/>
                      <w:sz w:val="21"/>
                    </w:rPr>
                    <w:t>永进1-3井</w:t>
                  </w:r>
                </w:p>
              </w:tc>
              <w:tc>
                <w:tcPr>
                  <w:tcW w:w="65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eastAsia" w:eastAsia="宋体"/>
                      <w:kern w:val="24"/>
                      <w:sz w:val="21"/>
                    </w:rPr>
                    <w:t>非甲烷总烃</w:t>
                  </w:r>
                </w:p>
              </w:tc>
              <w:tc>
                <w:tcPr>
                  <w:tcW w:w="60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default"/>
                      <w:kern w:val="0"/>
                      <w:sz w:val="21"/>
                    </w:rPr>
                    <w:t>1h</w:t>
                  </w:r>
                  <w:r>
                    <w:rPr>
                      <w:rFonts w:hint="eastAsia" w:eastAsia="宋体"/>
                      <w:kern w:val="0"/>
                      <w:sz w:val="21"/>
                    </w:rPr>
                    <w:t>平均</w:t>
                  </w:r>
                </w:p>
              </w:tc>
              <w:tc>
                <w:tcPr>
                  <w:tcW w:w="72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eastAsia="宋体"/>
                      <w:kern w:val="24"/>
                      <w:sz w:val="21"/>
                      <w:lang w:val="en-US" w:eastAsia="zh-CN"/>
                    </w:rPr>
                  </w:pPr>
                  <w:r>
                    <w:rPr>
                      <w:rFonts w:hint="default"/>
                      <w:kern w:val="0"/>
                      <w:sz w:val="21"/>
                    </w:rPr>
                    <w:t>2</w:t>
                  </w:r>
                  <w:r>
                    <w:rPr>
                      <w:rFonts w:hint="eastAsia"/>
                      <w:kern w:val="0"/>
                      <w:sz w:val="21"/>
                      <w:lang w:val="en-US" w:eastAsia="zh-CN"/>
                    </w:rPr>
                    <w:t>000</w:t>
                  </w: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sz w:val="21"/>
                    </w:rPr>
                  </w:pPr>
                  <w:r>
                    <w:rPr>
                      <w:rFonts w:hint="default"/>
                      <w:sz w:val="21"/>
                    </w:rPr>
                    <w:t>2</w:t>
                  </w:r>
                  <w:r>
                    <w:rPr>
                      <w:rFonts w:hint="eastAsia"/>
                      <w:sz w:val="21"/>
                      <w:lang w:val="en-US" w:eastAsia="zh-CN"/>
                    </w:rPr>
                    <w:t>00</w:t>
                  </w:r>
                  <w:bookmarkStart w:id="23" w:name="_GoBack"/>
                  <w:bookmarkEnd w:id="23"/>
                  <w:r>
                    <w:rPr>
                      <w:rFonts w:hint="default"/>
                      <w:sz w:val="21"/>
                    </w:rPr>
                    <w:t>~</w:t>
                  </w:r>
                  <w:r>
                    <w:rPr>
                      <w:rFonts w:hint="eastAsia"/>
                      <w:sz w:val="21"/>
                      <w:lang w:val="en-US" w:eastAsia="zh-CN"/>
                    </w:rPr>
                    <w:t>446</w:t>
                  </w:r>
                </w:p>
              </w:tc>
              <w:tc>
                <w:tcPr>
                  <w:tcW w:w="72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default"/>
                      <w:kern w:val="24"/>
                      <w:sz w:val="21"/>
                    </w:rPr>
                    <w:t>20.2%</w:t>
                  </w:r>
                </w:p>
              </w:tc>
              <w:tc>
                <w:tcPr>
                  <w:tcW w:w="48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default"/>
                      <w:kern w:val="24"/>
                      <w:sz w:val="21"/>
                    </w:rPr>
                    <w:t>0</w:t>
                  </w:r>
                </w:p>
              </w:tc>
              <w:tc>
                <w:tcPr>
                  <w:tcW w:w="5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eastAsia" w:eastAsia="宋体"/>
                      <w:kern w:val="24"/>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4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0"/>
                      <w:sz w:val="21"/>
                    </w:rPr>
                  </w:pPr>
                </w:p>
              </w:tc>
              <w:tc>
                <w:tcPr>
                  <w:tcW w:w="65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default"/>
                      <w:kern w:val="0"/>
                      <w:sz w:val="21"/>
                    </w:rPr>
                    <w:t>H</w:t>
                  </w:r>
                  <w:r>
                    <w:rPr>
                      <w:rFonts w:hint="default"/>
                      <w:kern w:val="0"/>
                      <w:sz w:val="21"/>
                      <w:vertAlign w:val="subscript"/>
                    </w:rPr>
                    <w:t>2</w:t>
                  </w:r>
                  <w:r>
                    <w:rPr>
                      <w:rFonts w:hint="default"/>
                      <w:kern w:val="0"/>
                      <w:sz w:val="21"/>
                    </w:rPr>
                    <w:t>S</w:t>
                  </w:r>
                </w:p>
              </w:tc>
              <w:tc>
                <w:tcPr>
                  <w:tcW w:w="60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default"/>
                      <w:kern w:val="0"/>
                      <w:sz w:val="21"/>
                    </w:rPr>
                    <w:t>1h</w:t>
                  </w:r>
                  <w:r>
                    <w:rPr>
                      <w:rFonts w:hint="eastAsia" w:eastAsia="宋体"/>
                      <w:kern w:val="0"/>
                      <w:sz w:val="21"/>
                    </w:rPr>
                    <w:t>平均</w:t>
                  </w:r>
                </w:p>
              </w:tc>
              <w:tc>
                <w:tcPr>
                  <w:tcW w:w="72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eastAsia="宋体"/>
                      <w:kern w:val="24"/>
                      <w:sz w:val="21"/>
                      <w:lang w:val="en-US" w:eastAsia="zh-CN"/>
                    </w:rPr>
                  </w:pPr>
                  <w:r>
                    <w:rPr>
                      <w:rFonts w:hint="default"/>
                      <w:kern w:val="0"/>
                      <w:sz w:val="21"/>
                    </w:rPr>
                    <w:t>1</w:t>
                  </w:r>
                  <w:r>
                    <w:rPr>
                      <w:rFonts w:hint="eastAsia"/>
                      <w:kern w:val="0"/>
                      <w:sz w:val="21"/>
                      <w:lang w:val="en-US" w:eastAsia="zh-CN"/>
                    </w:rPr>
                    <w:t>0</w:t>
                  </w:r>
                </w:p>
              </w:tc>
              <w:tc>
                <w:tcPr>
                  <w:tcW w:w="75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sz w:val="21"/>
                    </w:rPr>
                  </w:pPr>
                  <w:r>
                    <w:rPr>
                      <w:rFonts w:hint="default"/>
                      <w:sz w:val="21"/>
                    </w:rPr>
                    <w:t>ND~5</w:t>
                  </w:r>
                </w:p>
              </w:tc>
              <w:tc>
                <w:tcPr>
                  <w:tcW w:w="72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default"/>
                      <w:kern w:val="24"/>
                      <w:sz w:val="21"/>
                    </w:rPr>
                    <w:t>50%</w:t>
                  </w:r>
                </w:p>
              </w:tc>
              <w:tc>
                <w:tcPr>
                  <w:tcW w:w="48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default"/>
                      <w:kern w:val="24"/>
                      <w:sz w:val="21"/>
                    </w:rPr>
                    <w:t>0</w:t>
                  </w:r>
                </w:p>
              </w:tc>
              <w:tc>
                <w:tcPr>
                  <w:tcW w:w="5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kern w:val="24"/>
                      <w:sz w:val="21"/>
                    </w:rPr>
                  </w:pPr>
                  <w:r>
                    <w:rPr>
                      <w:rFonts w:hint="eastAsia" w:eastAsia="宋体"/>
                      <w:kern w:val="24"/>
                      <w:sz w:val="21"/>
                    </w:rPr>
                    <w:t>达标</w:t>
                  </w:r>
                </w:p>
              </w:tc>
            </w:tr>
          </w:tbl>
          <w:p>
            <w:pPr>
              <w:keepNext w:val="0"/>
              <w:keepLines w:val="0"/>
              <w:suppressLineNumbers w:val="0"/>
              <w:adjustRightInd w:val="0"/>
              <w:snapToGrid w:val="0"/>
              <w:spacing w:before="0" w:beforeAutospacing="0" w:after="0" w:afterAutospacing="0" w:line="360" w:lineRule="auto"/>
              <w:ind w:left="0" w:leftChars="0" w:right="0" w:firstLine="400" w:firstLineChars="200"/>
              <w:jc w:val="both"/>
              <w:rPr>
                <w:rFonts w:hint="default" w:ascii="Times New Roman" w:hAnsi="Times New Roman" w:eastAsia="宋体" w:cs="Times New Roman"/>
                <w:color w:val="000000"/>
                <w:kern w:val="0"/>
                <w:highlight w:val="none"/>
                <w:lang w:val="zh-CN"/>
              </w:rPr>
            </w:pPr>
            <w:r>
              <w:rPr>
                <w:rFonts w:hint="eastAsia" w:ascii="楷体" w:hAnsi="楷体" w:eastAsia="楷体" w:cs="楷体"/>
                <w:color w:val="000000"/>
                <w:kern w:val="0"/>
                <w:sz w:val="20"/>
                <w:szCs w:val="22"/>
                <w:highlight w:val="none"/>
                <w:lang w:val="zh-CN"/>
              </w:rPr>
              <w:t>注：ND为未检出</w:t>
            </w:r>
            <w:r>
              <w:rPr>
                <w:rFonts w:hint="eastAsia" w:cs="Times New Roman"/>
                <w:color w:val="000000"/>
                <w:kern w:val="0"/>
                <w:highlight w:val="none"/>
                <w:lang w:val="zh-CN"/>
              </w:rPr>
              <w:t>。</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r>
              <w:rPr>
                <w:rFonts w:hint="default" w:ascii="Times New Roman" w:hAnsi="Times New Roman" w:eastAsia="宋体" w:cs="Times New Roman"/>
                <w:color w:val="000000"/>
                <w:kern w:val="0"/>
                <w:highlight w:val="none"/>
                <w:lang w:val="zh-CN"/>
              </w:rPr>
              <w:t>根据表3</w:t>
            </w:r>
            <w:r>
              <w:rPr>
                <w:rFonts w:hint="eastAsia" w:cs="Times New Roman"/>
                <w:color w:val="000000"/>
                <w:kern w:val="0"/>
                <w:highlight w:val="none"/>
                <w:lang w:val="en-US" w:eastAsia="zh-CN"/>
              </w:rPr>
              <w:t>.3</w:t>
            </w:r>
            <w:r>
              <w:rPr>
                <w:rFonts w:hint="default" w:ascii="Times New Roman" w:hAnsi="Times New Roman" w:eastAsia="宋体" w:cs="Times New Roman"/>
                <w:color w:val="000000"/>
                <w:kern w:val="0"/>
                <w:highlight w:val="none"/>
                <w:lang w:val="zh-CN"/>
              </w:rPr>
              <w:t>，监测期间各监测点非甲烷总烃浓度未超过《大气污染物综合排放标准详解》中参考限值，H</w:t>
            </w:r>
            <w:r>
              <w:rPr>
                <w:rFonts w:hint="default" w:ascii="Times New Roman" w:hAnsi="Times New Roman" w:eastAsia="宋体" w:cs="Times New Roman"/>
                <w:color w:val="000000"/>
                <w:kern w:val="0"/>
                <w:highlight w:val="none"/>
                <w:vertAlign w:val="subscript"/>
                <w:lang w:val="zh-CN"/>
              </w:rPr>
              <w:t>2</w:t>
            </w:r>
            <w:r>
              <w:rPr>
                <w:rFonts w:hint="default" w:ascii="Times New Roman" w:hAnsi="Times New Roman" w:eastAsia="宋体" w:cs="Times New Roman"/>
                <w:color w:val="000000"/>
                <w:kern w:val="0"/>
                <w:highlight w:val="none"/>
                <w:lang w:val="zh-CN"/>
              </w:rPr>
              <w:t>S 1小时平均浓度未超过《环境影响评价技术导则 大气环境》（HJ2.2-2018）附录D中的浓度限值</w:t>
            </w:r>
            <w:r>
              <w:rPr>
                <w:rFonts w:hint="eastAsia" w:cs="Times New Roman"/>
                <w:color w:val="000000"/>
                <w:kern w:val="0"/>
                <w:highlight w:val="none"/>
                <w:lang w:val="zh-CN"/>
              </w:rPr>
              <w:t>。</w:t>
            </w:r>
          </w:p>
          <w:p>
            <w:pPr>
              <w:keepNext w:val="0"/>
              <w:keepLines w:val="0"/>
              <w:suppressLineNumbers w:val="0"/>
              <w:adjustRightInd w:val="0"/>
              <w:snapToGrid w:val="0"/>
              <w:spacing w:before="0" w:beforeAutospacing="0" w:after="0" w:afterAutospacing="0" w:line="360" w:lineRule="auto"/>
              <w:ind w:left="0" w:leftChars="0" w:right="0" w:firstLine="422" w:firstLineChars="200"/>
              <w:jc w:val="both"/>
              <w:rPr>
                <w:rFonts w:hint="eastAsia" w:ascii="Times New Roman" w:hAnsi="Times New Roman" w:eastAsia="宋体" w:cs="Times New Roman"/>
                <w:b/>
                <w:bCs/>
                <w:kern w:val="0"/>
                <w:szCs w:val="21"/>
                <w:highlight w:val="none"/>
                <w:lang w:val="en-US" w:eastAsia="zh-CN"/>
              </w:rPr>
            </w:pPr>
            <w:r>
              <w:rPr>
                <w:rFonts w:hint="eastAsia" w:cs="Times New Roman"/>
                <w:b/>
                <w:bCs/>
                <w:kern w:val="0"/>
                <w:szCs w:val="21"/>
                <w:highlight w:val="none"/>
                <w:lang w:val="en-US" w:eastAsia="zh-CN"/>
              </w:rPr>
              <w:t>9</w:t>
            </w:r>
            <w:r>
              <w:rPr>
                <w:rFonts w:hint="eastAsia" w:ascii="Times New Roman" w:hAnsi="Times New Roman" w:eastAsia="宋体" w:cs="Times New Roman"/>
                <w:b/>
                <w:bCs/>
                <w:kern w:val="0"/>
                <w:szCs w:val="21"/>
                <w:highlight w:val="none"/>
                <w:lang w:val="en-US" w:eastAsia="zh-CN"/>
              </w:rPr>
              <w:t>.地表水环境质量现状评价</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本</w:t>
            </w:r>
            <w:r>
              <w:rPr>
                <w:rFonts w:hint="eastAsia" w:cs="Times New Roman"/>
                <w:kern w:val="0"/>
                <w:szCs w:val="21"/>
                <w:highlight w:val="none"/>
                <w:lang w:val="en-US" w:eastAsia="zh-CN"/>
              </w:rPr>
              <w:t>项目</w:t>
            </w:r>
            <w:r>
              <w:rPr>
                <w:rFonts w:hint="eastAsia" w:ascii="Times New Roman" w:hAnsi="Times New Roman" w:eastAsia="宋体" w:cs="Times New Roman"/>
                <w:kern w:val="0"/>
                <w:szCs w:val="21"/>
                <w:highlight w:val="none"/>
                <w:lang w:val="en-US" w:eastAsia="zh-CN"/>
              </w:rPr>
              <w:t>区周边5km范围内无常年天然地表水体分布，与地表水体无水力联系，正常情况下，不会对地表水环境产生不利影响。且本</w:t>
            </w:r>
            <w:r>
              <w:rPr>
                <w:rFonts w:hint="eastAsia" w:cs="Times New Roman"/>
                <w:kern w:val="0"/>
                <w:szCs w:val="21"/>
                <w:highlight w:val="none"/>
                <w:lang w:val="en-US" w:eastAsia="zh-CN"/>
              </w:rPr>
              <w:t>项目</w:t>
            </w:r>
            <w:r>
              <w:rPr>
                <w:rFonts w:hint="eastAsia" w:ascii="Times New Roman" w:hAnsi="Times New Roman" w:eastAsia="宋体" w:cs="Times New Roman"/>
                <w:kern w:val="0"/>
                <w:szCs w:val="21"/>
                <w:highlight w:val="none"/>
                <w:lang w:val="en-US" w:eastAsia="zh-CN"/>
              </w:rPr>
              <w:t>施工期生活污水排入环保厕所，定期拉运至中石化新疆新春采油厂生产管理区污水处理站进行处理，不外排，按照《环境影响评价技术导则 地表水环境》（HJ2.3-2018），“间接排放建设项目评价等级为三级B”，只分析其依托污水处理设施环境可行性。</w:t>
            </w:r>
          </w:p>
          <w:p>
            <w:pPr>
              <w:keepNext w:val="0"/>
              <w:keepLines w:val="0"/>
              <w:suppressLineNumbers w:val="0"/>
              <w:adjustRightInd w:val="0"/>
              <w:snapToGrid w:val="0"/>
              <w:spacing w:before="0" w:beforeAutospacing="0" w:after="0" w:afterAutospacing="0" w:line="360" w:lineRule="auto"/>
              <w:ind w:left="0" w:leftChars="0" w:right="0" w:firstLine="422" w:firstLineChars="200"/>
              <w:jc w:val="both"/>
              <w:rPr>
                <w:rFonts w:hint="eastAsia" w:ascii="Times New Roman" w:hAnsi="Times New Roman" w:eastAsia="宋体" w:cs="Times New Roman"/>
                <w:kern w:val="0"/>
                <w:szCs w:val="21"/>
                <w:highlight w:val="none"/>
                <w:lang w:val="en-US" w:eastAsia="zh-CN"/>
              </w:rPr>
            </w:pPr>
            <w:r>
              <w:rPr>
                <w:rFonts w:hint="eastAsia" w:cs="Times New Roman"/>
                <w:b/>
                <w:bCs/>
                <w:kern w:val="0"/>
                <w:szCs w:val="21"/>
                <w:highlight w:val="none"/>
                <w:lang w:val="en-US" w:eastAsia="zh-CN"/>
              </w:rPr>
              <w:t>10</w:t>
            </w:r>
            <w:r>
              <w:rPr>
                <w:rFonts w:hint="eastAsia" w:ascii="Times New Roman" w:hAnsi="Times New Roman" w:eastAsia="宋体" w:cs="Times New Roman"/>
                <w:b/>
                <w:bCs/>
                <w:kern w:val="0"/>
                <w:szCs w:val="21"/>
                <w:highlight w:val="none"/>
                <w:lang w:val="en-US" w:eastAsia="zh-CN"/>
              </w:rPr>
              <w:t>.地下水环境质量现状评价</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本</w:t>
            </w:r>
            <w:r>
              <w:rPr>
                <w:rFonts w:hint="eastAsia" w:cs="Times New Roman"/>
                <w:kern w:val="0"/>
                <w:szCs w:val="21"/>
                <w:highlight w:val="none"/>
                <w:lang w:val="en-US" w:eastAsia="zh-CN"/>
              </w:rPr>
              <w:t>项目</w:t>
            </w:r>
            <w:r>
              <w:rPr>
                <w:rFonts w:hint="eastAsia" w:ascii="Times New Roman" w:hAnsi="Times New Roman" w:eastAsia="宋体" w:cs="Times New Roman"/>
                <w:kern w:val="0"/>
                <w:szCs w:val="21"/>
                <w:highlight w:val="none"/>
                <w:lang w:val="en-US" w:eastAsia="zh-CN"/>
              </w:rPr>
              <w:t>属于矿产资源勘查活动，按照《环境影响评价技术导则 地下水环境》（HJ610-2016）附录A，属于</w:t>
            </w:r>
            <w:r>
              <w:rPr>
                <w:rFonts w:hint="default" w:ascii="Times New Roman" w:hAnsi="Times New Roman" w:eastAsia="宋体" w:cs="Times New Roman"/>
                <w:kern w:val="0"/>
                <w:szCs w:val="21"/>
                <w:highlight w:val="none"/>
                <w:lang w:val="en-US" w:eastAsia="zh-CN"/>
              </w:rPr>
              <w:t>Ⅳ</w:t>
            </w:r>
            <w:r>
              <w:rPr>
                <w:rFonts w:hint="eastAsia" w:ascii="Times New Roman" w:hAnsi="Times New Roman" w:eastAsia="宋体" w:cs="Times New Roman"/>
                <w:kern w:val="0"/>
                <w:szCs w:val="21"/>
                <w:highlight w:val="none"/>
                <w:lang w:val="en-US" w:eastAsia="zh-CN"/>
              </w:rPr>
              <w:t>类项目，可不开展地下水环境影响评价，只定性分析对地下水的可能的影响</w:t>
            </w:r>
            <w:r>
              <w:rPr>
                <w:rFonts w:hint="eastAsia" w:cs="Times New Roman"/>
                <w:kern w:val="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422" w:firstLineChars="200"/>
              <w:jc w:val="both"/>
              <w:rPr>
                <w:rFonts w:hint="eastAsia" w:ascii="Times New Roman" w:hAnsi="Times New Roman" w:eastAsia="宋体" w:cs="Times New Roman"/>
                <w:b/>
                <w:bCs/>
                <w:kern w:val="0"/>
                <w:szCs w:val="21"/>
                <w:highlight w:val="none"/>
                <w:lang w:val="en-US" w:eastAsia="zh-CN"/>
              </w:rPr>
            </w:pPr>
            <w:r>
              <w:rPr>
                <w:rFonts w:hint="eastAsia" w:cs="Times New Roman"/>
                <w:b/>
                <w:bCs/>
                <w:kern w:val="0"/>
                <w:szCs w:val="21"/>
                <w:highlight w:val="none"/>
                <w:lang w:val="en-US" w:eastAsia="zh-CN"/>
              </w:rPr>
              <w:t>11</w:t>
            </w:r>
            <w:r>
              <w:rPr>
                <w:rFonts w:hint="eastAsia" w:ascii="Times New Roman" w:hAnsi="Times New Roman" w:eastAsia="宋体" w:cs="Times New Roman"/>
                <w:b/>
                <w:bCs/>
                <w:kern w:val="0"/>
                <w:szCs w:val="21"/>
                <w:highlight w:val="none"/>
                <w:lang w:val="en-US" w:eastAsia="zh-CN"/>
              </w:rPr>
              <w:t>.土壤现状调查与评价</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r>
              <w:rPr>
                <w:rFonts w:hint="eastAsia" w:cs="Times New Roman"/>
                <w:kern w:val="0"/>
                <w:szCs w:val="21"/>
                <w:highlight w:val="none"/>
                <w:lang w:val="en-US" w:eastAsia="zh-CN"/>
              </w:rPr>
              <w:t>根据《环境影响评价技术导则 土壤环境（试行）》（HJ964-2018）附表A.1土壤环境影响评价项目类别中无矿产资源地质勘查行业，本项目为109 矿产资源地质勘查（含勘探活动和油气资源勘探），“行业类别”属于“其他行业”，土壤环境影响评价项目类别为IV类，不需要进行土壤环境影响评价，仅进行简要的定性分析。</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r>
              <w:rPr>
                <w:rFonts w:hint="eastAsia" w:cs="Times New Roman"/>
                <w:kern w:val="0"/>
                <w:szCs w:val="21"/>
                <w:highlight w:val="none"/>
                <w:lang w:val="en-US" w:eastAsia="zh-CN"/>
              </w:rPr>
              <w:t>根据调查，项目所在区域主要土壤类型为风沙土（永进1-5井、永进3-斜11井、永进3-斜12井、永进3-平16井）、漠境盐土（永进3-斜14井）及草甸土（永进3-斜17井），详见图3.5.</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ascii="Times New Roman" w:hAnsi="Times New Roman" w:eastAsia="宋体" w:cs="Times New Roman"/>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default"/>
              </w:rPr>
            </w:pPr>
            <w:r>
              <w:rPr>
                <w:rFonts w:hint="default"/>
              </w:rPr>
              <w:drawing>
                <wp:anchor distT="0" distB="0" distL="114300" distR="114300" simplePos="0" relativeHeight="251688960" behindDoc="0" locked="0" layoutInCell="1" allowOverlap="1">
                  <wp:simplePos x="0" y="0"/>
                  <wp:positionH relativeFrom="column">
                    <wp:posOffset>3689350</wp:posOffset>
                  </wp:positionH>
                  <wp:positionV relativeFrom="paragraph">
                    <wp:posOffset>1793240</wp:posOffset>
                  </wp:positionV>
                  <wp:extent cx="494030" cy="629285"/>
                  <wp:effectExtent l="0" t="0" r="1270" b="1841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494030" cy="629285"/>
                          </a:xfrm>
                          <a:prstGeom prst="rect">
                            <a:avLst/>
                          </a:prstGeom>
                          <a:noFill/>
                          <a:ln>
                            <a:noFill/>
                          </a:ln>
                        </pic:spPr>
                      </pic:pic>
                    </a:graphicData>
                  </a:graphic>
                </wp:anchor>
              </w:drawing>
            </w:r>
            <w:r>
              <w:rPr>
                <w:rFonts w:hint="default"/>
              </w:rPr>
              <w:drawing>
                <wp:anchor distT="0" distB="0" distL="114300" distR="114300" simplePos="0" relativeHeight="251687936" behindDoc="0" locked="0" layoutInCell="1" allowOverlap="1">
                  <wp:simplePos x="0" y="0"/>
                  <wp:positionH relativeFrom="column">
                    <wp:posOffset>2545715</wp:posOffset>
                  </wp:positionH>
                  <wp:positionV relativeFrom="paragraph">
                    <wp:posOffset>2180590</wp:posOffset>
                  </wp:positionV>
                  <wp:extent cx="495935" cy="210820"/>
                  <wp:effectExtent l="0" t="0" r="18415" b="1778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1"/>
                          <a:stretch>
                            <a:fillRect/>
                          </a:stretch>
                        </pic:blipFill>
                        <pic:spPr>
                          <a:xfrm>
                            <a:off x="0" y="0"/>
                            <a:ext cx="495935" cy="210820"/>
                          </a:xfrm>
                          <a:prstGeom prst="rect">
                            <a:avLst/>
                          </a:prstGeom>
                          <a:noFill/>
                          <a:ln>
                            <a:noFill/>
                          </a:ln>
                        </pic:spPr>
                      </pic:pic>
                    </a:graphicData>
                  </a:graphic>
                </wp:anchor>
              </w:drawing>
            </w:r>
            <w:r>
              <w:rPr>
                <w:rFonts w:hint="default"/>
              </w:rPr>
              <w:drawing>
                <wp:anchor distT="0" distB="0" distL="114300" distR="114300" simplePos="0" relativeHeight="251686912" behindDoc="0" locked="0" layoutInCell="1" allowOverlap="1">
                  <wp:simplePos x="0" y="0"/>
                  <wp:positionH relativeFrom="column">
                    <wp:posOffset>701040</wp:posOffset>
                  </wp:positionH>
                  <wp:positionV relativeFrom="paragraph">
                    <wp:posOffset>14605</wp:posOffset>
                  </wp:positionV>
                  <wp:extent cx="191135" cy="305435"/>
                  <wp:effectExtent l="0" t="0" r="18415" b="1841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191135" cy="305435"/>
                          </a:xfrm>
                          <a:prstGeom prst="rect">
                            <a:avLst/>
                          </a:prstGeom>
                          <a:noFill/>
                          <a:ln>
                            <a:noFill/>
                          </a:ln>
                        </pic:spPr>
                      </pic:pic>
                    </a:graphicData>
                  </a:graphic>
                </wp:anchor>
              </w:drawing>
            </w:r>
            <w:r>
              <w:rPr>
                <w:rFonts w:hint="default"/>
              </w:rPr>
              <w:drawing>
                <wp:inline distT="0" distB="0" distL="114300" distR="114300">
                  <wp:extent cx="3691255" cy="2416175"/>
                  <wp:effectExtent l="9525" t="9525" r="1397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3691255" cy="2416175"/>
                          </a:xfrm>
                          <a:prstGeom prst="rect">
                            <a:avLst/>
                          </a:prstGeom>
                          <a:noFill/>
                          <a:ln>
                            <a:solidFill>
                              <a:schemeClr val="tx1"/>
                            </a:solidFill>
                          </a:ln>
                        </pic:spPr>
                      </pic:pic>
                    </a:graphicData>
                  </a:graphic>
                </wp:inline>
              </w:drawing>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kern w:val="0"/>
                <w:szCs w:val="21"/>
                <w:highlight w:val="none"/>
                <w:lang w:val="en-US" w:eastAsia="zh-CN"/>
              </w:rPr>
            </w:pPr>
            <w:r>
              <w:rPr>
                <w:rFonts w:hint="eastAsia" w:ascii="黑体" w:hAnsi="黑体" w:eastAsia="黑体" w:cs="黑体"/>
              </w:rPr>
              <w:t>图3.</w:t>
            </w:r>
            <w:r>
              <w:rPr>
                <w:rFonts w:hint="eastAsia" w:ascii="黑体" w:hAnsi="黑体" w:eastAsia="黑体" w:cs="黑体"/>
                <w:lang w:val="en-US" w:eastAsia="zh-CN"/>
              </w:rPr>
              <w:t>5 评价区域土壤类型图</w:t>
            </w:r>
          </w:p>
          <w:p>
            <w:pPr>
              <w:keepNext w:val="0"/>
              <w:keepLines w:val="0"/>
              <w:suppressLineNumbers w:val="0"/>
              <w:adjustRightInd w:val="0"/>
              <w:snapToGrid w:val="0"/>
              <w:spacing w:before="0" w:beforeAutospacing="0" w:after="0" w:afterAutospacing="0" w:line="360" w:lineRule="auto"/>
              <w:ind w:left="0" w:leftChars="0" w:right="0" w:firstLine="422" w:firstLineChars="200"/>
              <w:jc w:val="both"/>
              <w:rPr>
                <w:rFonts w:hint="eastAsia" w:ascii="Times New Roman" w:hAnsi="Times New Roman" w:eastAsia="宋体" w:cs="Times New Roman"/>
                <w:b/>
                <w:bCs/>
                <w:kern w:val="0"/>
                <w:szCs w:val="21"/>
                <w:highlight w:val="none"/>
                <w:lang w:val="en-US" w:eastAsia="zh-CN"/>
              </w:rPr>
            </w:pPr>
            <w:r>
              <w:rPr>
                <w:rFonts w:hint="eastAsia" w:cs="Times New Roman"/>
                <w:b/>
                <w:bCs/>
                <w:kern w:val="0"/>
                <w:szCs w:val="21"/>
                <w:highlight w:val="none"/>
                <w:lang w:val="en-US" w:eastAsia="zh-CN"/>
              </w:rPr>
              <w:t>12</w:t>
            </w:r>
            <w:r>
              <w:rPr>
                <w:rFonts w:hint="eastAsia" w:ascii="Times New Roman" w:hAnsi="Times New Roman" w:eastAsia="宋体" w:cs="Times New Roman"/>
                <w:b/>
                <w:bCs/>
                <w:kern w:val="0"/>
                <w:szCs w:val="21"/>
                <w:highlight w:val="none"/>
                <w:lang w:val="en-US" w:eastAsia="zh-CN"/>
              </w:rPr>
              <w:t>.声环境</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本项目所在区为油田开发区，目前暂未进行声环境功能区划，厂界外周边50m无GB3096中的医院、康复疗养区、学校、住宅等声环境保护目标</w:t>
            </w:r>
            <w:r>
              <w:rPr>
                <w:rFonts w:hint="eastAsia" w:cs="Times New Roman"/>
                <w:kern w:val="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eastAsia" w:cs="Times New Roman"/>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leftChars="0" w:right="0" w:firstLine="420" w:firstLineChars="200"/>
              <w:jc w:val="both"/>
              <w:rPr>
                <w:rFonts w:hint="default" w:ascii="Times New Roman" w:hAnsi="Times New Roman" w:eastAsia="宋体" w:cs="Times New Roman"/>
                <w:kern w:val="0"/>
                <w:szCs w:val="21"/>
                <w:highlight w:val="yellow"/>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8" w:hRule="atLeast"/>
          <w:jc w:val="center"/>
        </w:trPr>
        <w:tc>
          <w:tcPr>
            <w:tcW w:w="72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bCs/>
                <w:szCs w:val="21"/>
                <w:highlight w:val="none"/>
              </w:rPr>
              <w:t>与项目有关的原有环境污染和生态破坏问题</w:t>
            </w:r>
          </w:p>
        </w:tc>
        <w:tc>
          <w:tcPr>
            <w:tcW w:w="7611" w:type="dxa"/>
            <w:noWrap w:val="0"/>
            <w:vAlign w:val="center"/>
          </w:tcPr>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val="en-US" w:eastAsia="zh-CN"/>
              </w:rPr>
              <w:t>本项目为新建项目，不存在与本项目有关的原有污染情况及主要环境问题。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5" w:hRule="atLeast"/>
          <w:jc w:val="center"/>
        </w:trPr>
        <w:tc>
          <w:tcPr>
            <w:tcW w:w="72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yellow"/>
              </w:rPr>
            </w:pPr>
            <w:r>
              <w:rPr>
                <w:rFonts w:hint="default" w:ascii="Times New Roman" w:hAnsi="Times New Roman" w:eastAsia="宋体" w:cs="Times New Roman"/>
                <w:kern w:val="0"/>
                <w:szCs w:val="21"/>
                <w:highlight w:val="none"/>
              </w:rPr>
              <w:t>生态环境保护目标</w:t>
            </w:r>
          </w:p>
        </w:tc>
        <w:tc>
          <w:tcPr>
            <w:tcW w:w="7611" w:type="dxa"/>
            <w:noWrap w:val="0"/>
            <w:vAlign w:val="center"/>
          </w:tcPr>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highlight w:val="none"/>
                <w:lang w:eastAsia="zh-CN"/>
              </w:rPr>
              <w:t>本项目</w:t>
            </w:r>
            <w:r>
              <w:rPr>
                <w:rFonts w:hint="default" w:ascii="Times New Roman" w:hAnsi="Times New Roman" w:eastAsia="宋体" w:cs="Times New Roman"/>
                <w:kern w:val="0"/>
                <w:szCs w:val="21"/>
                <w:highlight w:val="none"/>
              </w:rPr>
              <w:t>环境敏感目标详见下表</w:t>
            </w:r>
            <w:r>
              <w:rPr>
                <w:rFonts w:hint="eastAsia" w:ascii="Times New Roman" w:hAnsi="Times New Roman" w:eastAsia="宋体" w:cs="Times New Roman"/>
                <w:kern w:val="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eastAsia" w:ascii="Times New Roman" w:hAnsi="Times New Roman" w:eastAsia="宋体" w:cs="Times New Roman"/>
                <w:kern w:val="0"/>
                <w:szCs w:val="21"/>
                <w:highlight w:val="none"/>
                <w:lang w:eastAsia="zh-CN"/>
              </w:rPr>
            </w:pPr>
            <w:r>
              <w:rPr>
                <w:rFonts w:hint="eastAsia" w:ascii="Times New Roman" w:hAnsi="Times New Roman" w:eastAsia="黑体" w:cs="Times New Roman"/>
                <w:color w:val="000000"/>
                <w:sz w:val="21"/>
                <w:highlight w:val="none"/>
              </w:rPr>
              <w:t>表</w:t>
            </w:r>
            <w:r>
              <w:rPr>
                <w:rFonts w:hint="eastAsia" w:ascii="Times New Roman" w:hAnsi="Times New Roman" w:eastAsia="黑体" w:cs="Times New Roman"/>
                <w:color w:val="000000"/>
                <w:sz w:val="21"/>
                <w:highlight w:val="none"/>
                <w:lang w:val="en-US" w:eastAsia="zh-CN"/>
              </w:rPr>
              <w:t xml:space="preserve">3.11  </w:t>
            </w:r>
            <w:r>
              <w:rPr>
                <w:rFonts w:hint="eastAsia" w:ascii="Times New Roman" w:hAnsi="Times New Roman" w:eastAsia="黑体" w:cs="Times New Roman"/>
                <w:color w:val="000000"/>
                <w:sz w:val="21"/>
                <w:highlight w:val="none"/>
              </w:rPr>
              <w:t>项目区环境敏感目标表</w:t>
            </w:r>
          </w:p>
          <w:tbl>
            <w:tblPr>
              <w:tblStyle w:val="20"/>
              <w:tblW w:w="48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465"/>
              <w:gridCol w:w="3150"/>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5" w:type="dxa"/>
                  <w:gridSpan w:val="2"/>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Calibri" w:eastAsia="宋体" w:cs="Times New Roman"/>
                      <w:kern w:val="2"/>
                      <w:sz w:val="18"/>
                      <w:szCs w:val="18"/>
                      <w:highlight w:val="none"/>
                      <w:lang w:val="en-US" w:eastAsia="zh-CN" w:bidi="ar"/>
                    </w:rPr>
                  </w:pPr>
                  <w:r>
                    <w:rPr>
                      <w:rFonts w:hint="default" w:ascii="Times New Roman" w:hAnsi="Calibri" w:eastAsia="宋体" w:cs="Times New Roman"/>
                      <w:kern w:val="2"/>
                      <w:sz w:val="18"/>
                      <w:szCs w:val="18"/>
                      <w:highlight w:val="none"/>
                      <w:lang w:val="en-US" w:eastAsia="zh-CN" w:bidi="ar"/>
                    </w:rPr>
                    <w:t>要素</w:t>
                  </w:r>
                </w:p>
              </w:tc>
              <w:tc>
                <w:tcPr>
                  <w:tcW w:w="3424" w:type="dxa"/>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Calibri" w:eastAsia="宋体" w:cs="Times New Roman"/>
                      <w:kern w:val="2"/>
                      <w:sz w:val="18"/>
                      <w:szCs w:val="18"/>
                      <w:highlight w:val="none"/>
                    </w:rPr>
                  </w:pPr>
                  <w:r>
                    <w:rPr>
                      <w:rFonts w:hint="default" w:ascii="Times New Roman" w:hAnsi="Calibri" w:eastAsia="宋体" w:cs="Times New Roman"/>
                      <w:kern w:val="2"/>
                      <w:sz w:val="18"/>
                      <w:szCs w:val="18"/>
                      <w:highlight w:val="none"/>
                      <w:lang w:val="en-US" w:eastAsia="zh-CN" w:bidi="ar"/>
                    </w:rPr>
                    <w:t>环境保护目标</w:t>
                  </w:r>
                </w:p>
              </w:tc>
              <w:tc>
                <w:tcPr>
                  <w:tcW w:w="2134" w:type="dxa"/>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Calibri" w:eastAsia="宋体" w:cs="Times New Roman"/>
                      <w:kern w:val="2"/>
                      <w:sz w:val="18"/>
                      <w:szCs w:val="18"/>
                      <w:highlight w:val="none"/>
                    </w:rPr>
                  </w:pPr>
                  <w:r>
                    <w:rPr>
                      <w:rFonts w:hint="default" w:ascii="Times New Roman" w:hAnsi="Calibri" w:eastAsia="宋体" w:cs="Times New Roman"/>
                      <w:kern w:val="2"/>
                      <w:sz w:val="18"/>
                      <w:szCs w:val="18"/>
                      <w:highlight w:val="none"/>
                      <w:lang w:val="en-US" w:eastAsia="zh-CN" w:bidi="ar"/>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2" w:type="dxa"/>
                  <w:vMerge w:val="restar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Calibri" w:eastAsia="宋体" w:cs="Times New Roman"/>
                      <w:kern w:val="2"/>
                      <w:sz w:val="18"/>
                      <w:szCs w:val="18"/>
                      <w:highlight w:val="none"/>
                    </w:rPr>
                  </w:pPr>
                  <w:r>
                    <w:rPr>
                      <w:rFonts w:hint="default" w:ascii="Times New Roman" w:hAnsi="Calibri" w:eastAsia="宋体" w:cs="Times New Roman"/>
                      <w:kern w:val="2"/>
                      <w:sz w:val="18"/>
                      <w:szCs w:val="18"/>
                      <w:highlight w:val="none"/>
                      <w:lang w:val="en-US" w:eastAsia="zh-CN" w:bidi="ar"/>
                    </w:rPr>
                    <w:t>生态</w:t>
                  </w:r>
                  <w:r>
                    <w:rPr>
                      <w:rFonts w:hint="eastAsia" w:ascii="Times New Roman" w:hAnsi="Calibri" w:eastAsia="宋体" w:cs="Times New Roman"/>
                      <w:kern w:val="2"/>
                      <w:sz w:val="18"/>
                      <w:szCs w:val="18"/>
                      <w:highlight w:val="none"/>
                      <w:lang w:val="en-US" w:eastAsia="zh-CN" w:bidi="ar"/>
                    </w:rPr>
                    <w:t>环境</w:t>
                  </w:r>
                </w:p>
              </w:tc>
              <w:tc>
                <w:tcPr>
                  <w:tcW w:w="1593" w:type="dxa"/>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Calibri" w:eastAsia="宋体" w:cs="Times New Roman"/>
                      <w:kern w:val="2"/>
                      <w:sz w:val="18"/>
                      <w:szCs w:val="18"/>
                      <w:highlight w:val="none"/>
                    </w:rPr>
                  </w:pPr>
                  <w:r>
                    <w:rPr>
                      <w:rFonts w:hint="default" w:ascii="Times New Roman" w:hAnsi="Calibri" w:eastAsia="宋体" w:cs="Times New Roman"/>
                      <w:kern w:val="2"/>
                      <w:sz w:val="18"/>
                      <w:szCs w:val="18"/>
                      <w:highlight w:val="none"/>
                    </w:rPr>
                    <w:t>农田</w:t>
                  </w:r>
                </w:p>
                <w:p>
                  <w:pPr>
                    <w:keepNext w:val="0"/>
                    <w:keepLines w:val="0"/>
                    <w:widowControl w:val="0"/>
                    <w:suppressLineNumbers w:val="0"/>
                    <w:spacing w:before="0" w:beforeAutospacing="0" w:after="0" w:afterAutospacing="0"/>
                    <w:ind w:left="0" w:right="0"/>
                    <w:jc w:val="center"/>
                    <w:rPr>
                      <w:rFonts w:hint="default" w:ascii="Times New Roman" w:hAnsi="Calibri" w:eastAsia="宋体" w:cs="Times New Roman"/>
                      <w:kern w:val="2"/>
                      <w:sz w:val="18"/>
                      <w:szCs w:val="18"/>
                      <w:highlight w:val="none"/>
                    </w:rPr>
                  </w:pPr>
                  <w:r>
                    <w:rPr>
                      <w:rFonts w:hint="default" w:ascii="Times New Roman" w:hAnsi="Calibri" w:eastAsia="宋体" w:cs="Times New Roman"/>
                      <w:kern w:val="2"/>
                      <w:sz w:val="18"/>
                      <w:szCs w:val="18"/>
                      <w:highlight w:val="none"/>
                    </w:rPr>
                    <w:t>（非基本农田）</w:t>
                  </w:r>
                </w:p>
              </w:tc>
              <w:tc>
                <w:tcPr>
                  <w:tcW w:w="3424" w:type="dxa"/>
                  <w:noWrap w:val="0"/>
                  <w:vAlign w:val="center"/>
                </w:tcPr>
                <w:p>
                  <w:pPr>
                    <w:keepNext w:val="0"/>
                    <w:keepLines w:val="0"/>
                    <w:widowControl w:val="0"/>
                    <w:suppressLineNumbers w:val="0"/>
                    <w:spacing w:before="0" w:beforeAutospacing="0" w:after="0" w:afterAutospacing="0"/>
                    <w:ind w:left="0" w:right="0"/>
                    <w:jc w:val="left"/>
                    <w:rPr>
                      <w:rFonts w:hint="default" w:ascii="Times New Roman" w:hAnsi="Calibri" w:eastAsia="宋体" w:cs="Times New Roman"/>
                      <w:kern w:val="2"/>
                      <w:sz w:val="18"/>
                      <w:szCs w:val="18"/>
                      <w:highlight w:val="none"/>
                      <w:lang w:val="en-US" w:eastAsia="zh-CN"/>
                    </w:rPr>
                  </w:pPr>
                  <w:r>
                    <w:rPr>
                      <w:rFonts w:hint="eastAsia" w:hAnsi="Calibri" w:cs="Times New Roman"/>
                      <w:kern w:val="2"/>
                      <w:sz w:val="18"/>
                      <w:szCs w:val="18"/>
                      <w:highlight w:val="none"/>
                      <w:lang w:val="en-US" w:eastAsia="zh-CN"/>
                    </w:rPr>
                    <w:t>永进1-5井周边分布有农田，不涉及基本农田，主要作物为棉花等</w:t>
                  </w:r>
                </w:p>
              </w:tc>
              <w:tc>
                <w:tcPr>
                  <w:tcW w:w="2134" w:type="dxa"/>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Calibri" w:eastAsia="宋体" w:cs="Times New Roman"/>
                      <w:kern w:val="2"/>
                      <w:sz w:val="18"/>
                      <w:szCs w:val="18"/>
                      <w:highlight w:val="none"/>
                      <w:lang w:val="en-US"/>
                    </w:rPr>
                  </w:pPr>
                  <w:r>
                    <w:rPr>
                      <w:rFonts w:hint="default" w:ascii="Times New Roman" w:hAnsi="Calibri" w:eastAsia="宋体" w:cs="Times New Roman"/>
                      <w:kern w:val="2"/>
                      <w:sz w:val="18"/>
                      <w:szCs w:val="18"/>
                      <w:highlight w:val="none"/>
                      <w:lang w:val="en-US" w:eastAsia="zh-CN" w:bidi="ar"/>
                    </w:rPr>
                    <w:t>尽量避免占用农田，避让不了时应按规定进行补偿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2" w:type="dxa"/>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18"/>
                      <w:szCs w:val="18"/>
                      <w:highlight w:val="yellow"/>
                    </w:rPr>
                  </w:pPr>
                </w:p>
              </w:tc>
              <w:tc>
                <w:tcPr>
                  <w:tcW w:w="1593" w:type="dxa"/>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Calibri" w:eastAsia="宋体" w:cs="Times New Roman"/>
                      <w:kern w:val="2"/>
                      <w:sz w:val="18"/>
                      <w:szCs w:val="18"/>
                      <w:highlight w:val="none"/>
                    </w:rPr>
                  </w:pPr>
                  <w:r>
                    <w:rPr>
                      <w:rFonts w:hint="default" w:ascii="Times New Roman" w:hAnsi="Calibri" w:eastAsia="宋体" w:cs="Times New Roman"/>
                      <w:kern w:val="2"/>
                      <w:sz w:val="18"/>
                      <w:szCs w:val="18"/>
                      <w:highlight w:val="none"/>
                    </w:rPr>
                    <w:t>植被</w:t>
                  </w:r>
                </w:p>
              </w:tc>
              <w:tc>
                <w:tcPr>
                  <w:tcW w:w="3424" w:type="dxa"/>
                  <w:noWrap w:val="0"/>
                  <w:vAlign w:val="center"/>
                </w:tcPr>
                <w:p>
                  <w:pPr>
                    <w:keepNext w:val="0"/>
                    <w:keepLines w:val="0"/>
                    <w:widowControl w:val="0"/>
                    <w:suppressLineNumbers w:val="0"/>
                    <w:spacing w:before="0" w:beforeAutospacing="0" w:after="0" w:afterAutospacing="0"/>
                    <w:ind w:left="0" w:right="0"/>
                    <w:jc w:val="left"/>
                    <w:rPr>
                      <w:rFonts w:hint="default" w:ascii="Times New Roman" w:hAnsi="Calibri" w:eastAsia="宋体" w:cs="Times New Roman"/>
                      <w:kern w:val="2"/>
                      <w:sz w:val="18"/>
                      <w:szCs w:val="18"/>
                      <w:highlight w:val="none"/>
                      <w:lang w:val="en-US"/>
                    </w:rPr>
                  </w:pPr>
                  <w:r>
                    <w:rPr>
                      <w:rFonts w:hint="eastAsia" w:ascii="Times New Roman" w:hAnsi="Calibri" w:eastAsia="宋体" w:cs="Times New Roman"/>
                      <w:kern w:val="2"/>
                      <w:sz w:val="18"/>
                      <w:szCs w:val="18"/>
                      <w:highlight w:val="none"/>
                      <w:lang w:val="en-US" w:eastAsia="zh-CN"/>
                    </w:rPr>
                    <w:t>根据土地利用现状，</w:t>
                  </w:r>
                  <w:r>
                    <w:rPr>
                      <w:rFonts w:hint="eastAsia" w:hAnsi="Calibri" w:cs="Times New Roman"/>
                      <w:kern w:val="2"/>
                      <w:sz w:val="18"/>
                      <w:szCs w:val="18"/>
                      <w:highlight w:val="none"/>
                      <w:lang w:val="en-US" w:eastAsia="zh-CN"/>
                    </w:rPr>
                    <w:t>项目所在区域为低覆盖度草地，自然植被主要有琵琶柴、粗枝猪毛菜等</w:t>
                  </w:r>
                </w:p>
              </w:tc>
              <w:tc>
                <w:tcPr>
                  <w:tcW w:w="2134" w:type="dxa"/>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18"/>
                      <w:szCs w:val="18"/>
                      <w:highlight w:val="none"/>
                      <w:lang w:val="en-US" w:eastAsia="zh-CN"/>
                    </w:rPr>
                  </w:pPr>
                  <w:r>
                    <w:rPr>
                      <w:rFonts w:hint="default" w:ascii="Times New Roman" w:hAnsi="Calibri" w:eastAsia="宋体" w:cs="Times New Roman"/>
                      <w:kern w:val="2"/>
                      <w:sz w:val="18"/>
                      <w:szCs w:val="18"/>
                      <w:highlight w:val="none"/>
                      <w:lang w:val="en-US" w:eastAsia="zh-CN" w:bidi="ar"/>
                    </w:rPr>
                    <w:t>工程选址及占地避开植被覆盖度较高的区域，如需占用则应到当地国土部门办理相关手续</w:t>
                  </w:r>
                  <w:r>
                    <w:rPr>
                      <w:rFonts w:hint="eastAsia" w:hAnsi="Calibri" w:cs="Times New Roman"/>
                      <w:kern w:val="2"/>
                      <w:sz w:val="18"/>
                      <w:szCs w:val="18"/>
                      <w:highlight w:val="none"/>
                      <w:lang w:val="en-US" w:eastAsia="zh-CN" w:bidi="ar"/>
                    </w:rPr>
                    <w:t>。</w:t>
                  </w:r>
                  <w:r>
                    <w:rPr>
                      <w:rFonts w:hint="eastAsia" w:ascii="Times New Roman" w:hAnsi="Times New Roman" w:eastAsia="宋体" w:cs="Times New Roman"/>
                      <w:sz w:val="18"/>
                      <w:szCs w:val="18"/>
                      <w:highlight w:val="none"/>
                      <w:lang w:val="en-US" w:eastAsia="zh-CN"/>
                    </w:rPr>
                    <w:t>保护区域内植被生境不受影响，物种多样性不减小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2" w:type="dxa"/>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18"/>
                      <w:szCs w:val="18"/>
                      <w:highlight w:val="yellow"/>
                    </w:rPr>
                  </w:pPr>
                </w:p>
              </w:tc>
              <w:tc>
                <w:tcPr>
                  <w:tcW w:w="1593" w:type="dxa"/>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Calibri" w:eastAsia="宋体" w:cs="Times New Roman"/>
                      <w:kern w:val="2"/>
                      <w:sz w:val="18"/>
                      <w:szCs w:val="18"/>
                      <w:highlight w:val="none"/>
                    </w:rPr>
                  </w:pPr>
                  <w:r>
                    <w:rPr>
                      <w:rFonts w:hint="default" w:ascii="Times New Roman" w:hAnsi="Calibri" w:eastAsia="宋体" w:cs="Times New Roman"/>
                      <w:kern w:val="2"/>
                      <w:sz w:val="18"/>
                      <w:szCs w:val="18"/>
                      <w:highlight w:val="none"/>
                    </w:rPr>
                    <w:t>野生动物</w:t>
                  </w:r>
                </w:p>
              </w:tc>
              <w:tc>
                <w:tcPr>
                  <w:tcW w:w="3424" w:type="dxa"/>
                  <w:noWrap w:val="0"/>
                  <w:vAlign w:val="center"/>
                </w:tcPr>
                <w:p>
                  <w:pPr>
                    <w:keepNext w:val="0"/>
                    <w:keepLines w:val="0"/>
                    <w:widowControl w:val="0"/>
                    <w:suppressLineNumbers w:val="0"/>
                    <w:spacing w:before="0" w:beforeAutospacing="0" w:after="0" w:afterAutospacing="0"/>
                    <w:ind w:left="0" w:right="0"/>
                    <w:jc w:val="left"/>
                    <w:rPr>
                      <w:rFonts w:hint="default" w:ascii="Times New Roman" w:hAnsi="Calibri" w:eastAsia="宋体" w:cs="Times New Roman"/>
                      <w:kern w:val="2"/>
                      <w:sz w:val="18"/>
                      <w:szCs w:val="18"/>
                      <w:highlight w:val="none"/>
                      <w:lang w:val="en-US" w:eastAsia="zh-CN"/>
                    </w:rPr>
                  </w:pPr>
                  <w:r>
                    <w:rPr>
                      <w:rFonts w:hint="eastAsia" w:hAnsi="Calibri" w:cs="Times New Roman"/>
                      <w:kern w:val="2"/>
                      <w:sz w:val="18"/>
                      <w:szCs w:val="18"/>
                      <w:highlight w:val="none"/>
                      <w:lang w:val="en-US" w:eastAsia="zh-CN"/>
                    </w:rPr>
                    <w:t>区域</w:t>
                  </w:r>
                  <w:r>
                    <w:rPr>
                      <w:rFonts w:hint="eastAsia" w:ascii="Times New Roman" w:hAnsi="Calibri" w:eastAsia="宋体" w:cs="Times New Roman"/>
                      <w:kern w:val="2"/>
                      <w:sz w:val="18"/>
                      <w:szCs w:val="18"/>
                      <w:highlight w:val="none"/>
                      <w:lang w:val="en-US" w:eastAsia="zh-CN"/>
                    </w:rPr>
                    <w:t>主要动物为爬行动物和啮齿动物（荒漠麻蜥、快步麻蜥、沙鼠等）及鸟类（角百灵、凤头百灵等）</w:t>
                  </w:r>
                </w:p>
              </w:tc>
              <w:tc>
                <w:tcPr>
                  <w:tcW w:w="2134" w:type="dxa"/>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保护</w:t>
                  </w:r>
                  <w:r>
                    <w:rPr>
                      <w:rFonts w:hint="default" w:ascii="Times New Roman" w:hAnsi="Times New Roman" w:eastAsia="宋体" w:cs="Times New Roman"/>
                      <w:sz w:val="18"/>
                      <w:szCs w:val="18"/>
                      <w:highlight w:val="none"/>
                    </w:rPr>
                    <w:t>区域内</w:t>
                  </w:r>
                  <w:r>
                    <w:rPr>
                      <w:rFonts w:hint="eastAsia" w:ascii="Times New Roman" w:hAnsi="Times New Roman" w:eastAsia="宋体" w:cs="Times New Roman"/>
                      <w:sz w:val="18"/>
                      <w:szCs w:val="18"/>
                      <w:highlight w:val="none"/>
                      <w:lang w:val="en-US" w:eastAsia="zh-CN"/>
                    </w:rPr>
                    <w:t>野生动物</w:t>
                  </w:r>
                  <w:r>
                    <w:rPr>
                      <w:rFonts w:hint="default" w:ascii="Times New Roman" w:hAnsi="Times New Roman" w:eastAsia="宋体" w:cs="Times New Roman"/>
                      <w:sz w:val="18"/>
                      <w:szCs w:val="18"/>
                      <w:highlight w:val="none"/>
                    </w:rPr>
                    <w:t>生境不受影响</w:t>
                  </w:r>
                </w:p>
              </w:tc>
            </w:tr>
          </w:tbl>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kern w:val="0"/>
                <w:szCs w:val="21"/>
                <w:highlight w:val="yellow"/>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83" w:hRule="atLeast"/>
          <w:jc w:val="center"/>
        </w:trPr>
        <w:tc>
          <w:tcPr>
            <w:tcW w:w="72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评价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标准</w:t>
            </w:r>
          </w:p>
        </w:tc>
        <w:tc>
          <w:tcPr>
            <w:tcW w:w="7611" w:type="dxa"/>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 w:val="0"/>
                <w:bCs w:val="0"/>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1.环境质量标准：</w:t>
            </w:r>
          </w:p>
          <w:p>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 w:val="0"/>
                <w:bCs w:val="0"/>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《环境空气质量标准》(GB3095-2012）的二级标准；非甲烷总烃参考《大气污染物综合排放标准详解》，以2.0mg/m</w:t>
            </w:r>
            <w:r>
              <w:rPr>
                <w:rFonts w:hint="eastAsia" w:ascii="Times New Roman" w:hAnsi="Times New Roman" w:eastAsia="宋体" w:cs="Times New Roman"/>
                <w:b w:val="0"/>
                <w:bCs w:val="0"/>
                <w:kern w:val="0"/>
                <w:szCs w:val="21"/>
                <w:highlight w:val="none"/>
                <w:vertAlign w:val="superscript"/>
                <w:lang w:val="en-US" w:eastAsia="zh-CN"/>
              </w:rPr>
              <w:t>3</w:t>
            </w:r>
            <w:r>
              <w:rPr>
                <w:rFonts w:hint="eastAsia" w:ascii="Times New Roman" w:hAnsi="Times New Roman" w:eastAsia="宋体" w:cs="Times New Roman"/>
                <w:b w:val="0"/>
                <w:bCs w:val="0"/>
                <w:kern w:val="0"/>
                <w:szCs w:val="21"/>
                <w:highlight w:val="none"/>
                <w:lang w:val="en-US" w:eastAsia="zh-CN"/>
              </w:rPr>
              <w:t>作为环境质量标准限值。H</w:t>
            </w:r>
            <w:r>
              <w:rPr>
                <w:rFonts w:hint="eastAsia" w:ascii="Times New Roman" w:hAnsi="Times New Roman" w:eastAsia="宋体" w:cs="Times New Roman"/>
                <w:b w:val="0"/>
                <w:bCs w:val="0"/>
                <w:kern w:val="0"/>
                <w:szCs w:val="21"/>
                <w:highlight w:val="none"/>
                <w:vertAlign w:val="subscript"/>
                <w:lang w:val="en-US" w:eastAsia="zh-CN"/>
              </w:rPr>
              <w:t>2</w:t>
            </w:r>
            <w:r>
              <w:rPr>
                <w:rFonts w:hint="eastAsia" w:ascii="Times New Roman" w:hAnsi="Times New Roman" w:eastAsia="宋体" w:cs="Times New Roman"/>
                <w:b w:val="0"/>
                <w:bCs w:val="0"/>
                <w:kern w:val="0"/>
                <w:szCs w:val="21"/>
                <w:highlight w:val="none"/>
                <w:lang w:val="en-US" w:eastAsia="zh-CN"/>
              </w:rPr>
              <w:t>S参照《环境影响评价技术导则 大气环境》（HJ2.2-2018）附录D中的浓度限值（10</w:t>
            </w:r>
            <w:r>
              <w:rPr>
                <w:rFonts w:hint="default" w:ascii="Times New Roman" w:hAnsi="Times New Roman" w:eastAsia="宋体" w:cs="Times New Roman"/>
                <w:b w:val="0"/>
                <w:bCs w:val="0"/>
                <w:kern w:val="0"/>
                <w:szCs w:val="21"/>
                <w:highlight w:val="none"/>
                <w:lang w:val="en-US" w:eastAsia="zh-CN"/>
              </w:rPr>
              <w:t>μ</w:t>
            </w:r>
            <w:r>
              <w:rPr>
                <w:rFonts w:hint="eastAsia" w:ascii="Times New Roman" w:hAnsi="Times New Roman" w:eastAsia="宋体" w:cs="Times New Roman"/>
                <w:b w:val="0"/>
                <w:bCs w:val="0"/>
                <w:kern w:val="0"/>
                <w:szCs w:val="21"/>
                <w:highlight w:val="none"/>
                <w:lang w:val="en-US" w:eastAsia="zh-CN"/>
              </w:rPr>
              <w:t>g/m</w:t>
            </w:r>
            <w:r>
              <w:rPr>
                <w:rFonts w:hint="eastAsia" w:ascii="Times New Roman" w:hAnsi="Times New Roman" w:eastAsia="宋体" w:cs="Times New Roman"/>
                <w:b w:val="0"/>
                <w:bCs w:val="0"/>
                <w:kern w:val="0"/>
                <w:szCs w:val="21"/>
                <w:highlight w:val="none"/>
                <w:vertAlign w:val="superscript"/>
                <w:lang w:val="en-US" w:eastAsia="zh-CN"/>
              </w:rPr>
              <w:t>3</w:t>
            </w:r>
            <w:r>
              <w:rPr>
                <w:rFonts w:hint="eastAsia" w:ascii="Times New Roman" w:hAnsi="Times New Roman" w:eastAsia="宋体" w:cs="Times New Roman"/>
                <w:b w:val="0"/>
                <w:bCs w:val="0"/>
                <w:kern w:val="0"/>
                <w:szCs w:val="21"/>
                <w:highlight w:val="none"/>
                <w:lang w:val="en-US" w:eastAsia="zh-CN"/>
              </w:rPr>
              <w:t>）</w:t>
            </w:r>
            <w:r>
              <w:rPr>
                <w:rFonts w:hint="eastAsia" w:cs="Times New Roman"/>
                <w:b w:val="0"/>
                <w:bCs w:val="0"/>
                <w:kern w:val="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 w:val="0"/>
                <w:bCs w:val="0"/>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《声环境质量标准》(GB3096-2008）2类功能区标准；</w:t>
            </w:r>
          </w:p>
          <w:p>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 w:val="0"/>
                <w:bCs w:val="0"/>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2.污染物排放标准：</w:t>
            </w:r>
          </w:p>
          <w:p>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 w:val="0"/>
                <w:bCs w:val="0"/>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《建筑施工场界环境噪声排放标准》（GB12523-2011）中噪声排放限值；</w:t>
            </w:r>
          </w:p>
          <w:p>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 w:val="0"/>
                <w:bCs w:val="0"/>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《一般工业固体废物贮存、处置场污染控制标准》（GB18599-2020）及修改单要求；</w:t>
            </w:r>
          </w:p>
          <w:p>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 w:val="0"/>
                <w:bCs w:val="0"/>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《危险废物贮存污染控制标准》（GB18597-2001）及其修改单要求；</w:t>
            </w:r>
          </w:p>
          <w:p>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 w:val="0"/>
                <w:bCs w:val="0"/>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《生活垃圾填埋场污染控制标准》（GB16889-2008）中相关要求；</w:t>
            </w:r>
          </w:p>
          <w:p>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 w:val="0"/>
                <w:bCs w:val="0"/>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《油气田钻井固体废物综合利用污染控制要求》（DB65/T3997-2017）；</w:t>
            </w:r>
          </w:p>
          <w:p>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 w:val="0"/>
                <w:bCs w:val="0"/>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《油气田含油污泥综合利用污染控制要求》（DB65/T3998-2017）；</w:t>
            </w:r>
          </w:p>
          <w:p>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 w:val="0"/>
                <w:bCs w:val="0"/>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《油气田含油污泥及钻井固体废物处理处置技术规范》（DB65/T3999-2017）；</w:t>
            </w:r>
          </w:p>
          <w:p>
            <w:pPr>
              <w:keepNext w:val="0"/>
              <w:keepLines w:val="0"/>
              <w:suppressLineNumbers w:val="0"/>
              <w:adjustRightInd w:val="0"/>
              <w:snapToGrid w:val="0"/>
              <w:spacing w:before="0" w:beforeAutospacing="0" w:after="0" w:afterAutospacing="0" w:line="360" w:lineRule="auto"/>
              <w:ind w:left="0" w:right="0"/>
              <w:rPr>
                <w:rFonts w:hint="eastAsia" w:cs="Times New Roman"/>
                <w:b w:val="0"/>
                <w:bCs w:val="0"/>
                <w:kern w:val="0"/>
                <w:szCs w:val="21"/>
                <w:highlight w:val="none"/>
                <w:lang w:val="en-US" w:eastAsia="zh-CN"/>
              </w:rPr>
            </w:pPr>
            <w:r>
              <w:rPr>
                <w:rFonts w:hint="eastAsia" w:ascii="Times New Roman" w:hAnsi="Times New Roman" w:eastAsia="宋体" w:cs="Times New Roman"/>
                <w:b w:val="0"/>
                <w:bCs w:val="0"/>
                <w:kern w:val="0"/>
                <w:szCs w:val="21"/>
                <w:highlight w:val="none"/>
                <w:lang w:val="en-US" w:eastAsia="zh-CN"/>
              </w:rPr>
              <w:t>《碎屑岩油藏注水水质指标及分析方法》（SY/T5329-2012）</w:t>
            </w:r>
            <w:r>
              <w:rPr>
                <w:rFonts w:hint="eastAsia" w:cs="Times New Roman"/>
                <w:b w:val="0"/>
                <w:bCs w:val="0"/>
                <w:kern w:val="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right="0"/>
              <w:rPr>
                <w:rFonts w:hint="eastAsia" w:cs="Times New Roman"/>
                <w:b w:val="0"/>
                <w:bCs w:val="0"/>
                <w:kern w:val="0"/>
                <w:szCs w:val="21"/>
                <w:highlight w:val="none"/>
                <w:lang w:val="en-US" w:eastAsia="zh-CN"/>
              </w:rPr>
            </w:pP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kern w:val="0"/>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8" w:hRule="atLeast"/>
          <w:jc w:val="center"/>
        </w:trPr>
        <w:tc>
          <w:tcPr>
            <w:tcW w:w="72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其他</w:t>
            </w:r>
          </w:p>
        </w:tc>
        <w:tc>
          <w:tcPr>
            <w:tcW w:w="7611" w:type="dxa"/>
            <w:noWrap w:val="0"/>
            <w:vAlign w:val="center"/>
          </w:tcPr>
          <w:p>
            <w:pPr>
              <w:keepNext w:val="0"/>
              <w:keepLines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kern w:val="0"/>
                <w:szCs w:val="21"/>
                <w:highlight w:val="none"/>
              </w:rPr>
            </w:pPr>
            <w:r>
              <w:rPr>
                <w:rFonts w:hint="eastAsia" w:ascii="Times New Roman" w:hAnsi="Times New Roman" w:eastAsia="宋体" w:cs="Times New Roman"/>
                <w:kern w:val="0"/>
                <w:szCs w:val="21"/>
                <w:highlight w:val="none"/>
                <w:lang w:val="en-US" w:eastAsia="zh-CN"/>
              </w:rPr>
              <w:t>无</w:t>
            </w:r>
            <w:r>
              <w:rPr>
                <w:rFonts w:hint="default" w:ascii="Times New Roman" w:hAnsi="Times New Roman" w:eastAsia="宋体" w:cs="Times New Roman"/>
                <w:kern w:val="0"/>
                <w:szCs w:val="21"/>
                <w:highlight w:val="none"/>
              </w:rPr>
              <w:t>总量控制指标。</w:t>
            </w:r>
          </w:p>
        </w:tc>
      </w:tr>
    </w:tbl>
    <w:p>
      <w:pPr>
        <w:rPr>
          <w:rFonts w:hint="default"/>
          <w:highlight w:val="yellow"/>
        </w:rPr>
      </w:pPr>
    </w:p>
    <w:p>
      <w:pPr>
        <w:pStyle w:val="17"/>
        <w:jc w:val="center"/>
        <w:outlineLvl w:val="0"/>
        <w:rPr>
          <w:rFonts w:hint="default" w:ascii="Times New Roman" w:hAnsi="Times New Roman" w:eastAsia="黑体" w:cs="Times New Roman"/>
          <w:snapToGrid w:val="0"/>
          <w:sz w:val="30"/>
          <w:szCs w:val="30"/>
          <w:highlight w:val="none"/>
        </w:rPr>
      </w:pPr>
      <w:r>
        <w:rPr>
          <w:rFonts w:hint="default" w:ascii="Times New Roman" w:hAnsi="Times New Roman" w:eastAsia="黑体" w:cs="Times New Roman"/>
          <w:snapToGrid w:val="0"/>
          <w:kern w:val="2"/>
          <w:sz w:val="36"/>
          <w:szCs w:val="36"/>
          <w:highlight w:val="yellow"/>
        </w:rPr>
        <w:br w:type="page"/>
      </w:r>
      <w:bookmarkStart w:id="9" w:name="_Toc19607"/>
      <w:r>
        <w:rPr>
          <w:rFonts w:hint="default" w:ascii="Times New Roman" w:hAnsi="Times New Roman" w:eastAsia="黑体" w:cs="Times New Roman"/>
          <w:snapToGrid w:val="0"/>
          <w:sz w:val="30"/>
          <w:szCs w:val="30"/>
          <w:highlight w:val="none"/>
        </w:rPr>
        <w:t>四、生态环境影响分析</w:t>
      </w:r>
      <w:bookmarkEnd w:id="9"/>
    </w:p>
    <w:tbl>
      <w:tblPr>
        <w:tblStyle w:val="20"/>
        <w:tblW w:w="82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5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dxa"/>
            <w:noWrap w:val="0"/>
            <w:tcMar>
              <w:left w:w="28" w:type="dxa"/>
              <w:right w:w="28" w:type="dxa"/>
            </w:tcMar>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2"/>
                <w:sz w:val="21"/>
                <w:szCs w:val="21"/>
                <w:highlight w:val="yellow"/>
              </w:rPr>
            </w:pPr>
            <w:bookmarkStart w:id="10" w:name="_Hlk49796138"/>
            <w:r>
              <w:rPr>
                <w:rFonts w:hint="default" w:ascii="Times New Roman" w:hAnsi="Times New Roman" w:eastAsia="宋体" w:cs="Times New Roman"/>
                <w:bCs/>
                <w:spacing w:val="10"/>
                <w:kern w:val="2"/>
                <w:sz w:val="21"/>
                <w:szCs w:val="21"/>
                <w:highlight w:val="none"/>
              </w:rPr>
              <w:t>施工期生态环境影响分析</w:t>
            </w:r>
            <w:bookmarkEnd w:id="10"/>
          </w:p>
        </w:tc>
        <w:tc>
          <w:tcPr>
            <w:tcW w:w="7511" w:type="dxa"/>
            <w:noWrap w:val="0"/>
            <w:vAlign w:val="top"/>
          </w:tcPr>
          <w:p>
            <w:pPr>
              <w:keepNext w:val="0"/>
              <w:keepLines w:val="0"/>
              <w:suppressLineNumbers w:val="0"/>
              <w:adjustRightInd w:val="0"/>
              <w:snapToGrid w:val="0"/>
              <w:spacing w:before="0" w:beforeAutospacing="0" w:after="0" w:afterAutospacing="0" w:line="360" w:lineRule="auto"/>
              <w:ind w:left="0" w:leftChars="0" w:right="0" w:firstLine="422" w:firstLineChars="200"/>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
                <w:bCs w:val="0"/>
                <w:szCs w:val="21"/>
                <w:highlight w:val="none"/>
                <w:lang w:val="en-US" w:eastAsia="zh-CN"/>
              </w:rPr>
              <w:t>1.占地影响分析</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本项目为勘探井建设项目，在钻井、测试过程中占用土地对区域生态环境有一定程度的影响。</w:t>
            </w:r>
            <w:r>
              <w:rPr>
                <w:rFonts w:hint="eastAsia" w:cs="Times New Roman"/>
                <w:bCs/>
                <w:szCs w:val="21"/>
                <w:highlight w:val="none"/>
                <w:lang w:val="en-US" w:eastAsia="zh-CN"/>
              </w:rPr>
              <w:t>本项目</w:t>
            </w:r>
            <w:r>
              <w:rPr>
                <w:rFonts w:hint="eastAsia" w:ascii="Times New Roman" w:hAnsi="Times New Roman" w:eastAsia="宋体" w:cs="Times New Roman"/>
                <w:bCs/>
                <w:szCs w:val="21"/>
                <w:highlight w:val="none"/>
                <w:lang w:val="en-US" w:eastAsia="zh-CN"/>
              </w:rPr>
              <w:t>临时占地面积143617m</w:t>
            </w:r>
            <w:r>
              <w:rPr>
                <w:rFonts w:hint="eastAsia" w:ascii="Times New Roman" w:hAnsi="Times New Roman" w:eastAsia="宋体" w:cs="Times New Roman"/>
                <w:bCs/>
                <w:szCs w:val="21"/>
                <w:highlight w:val="none"/>
                <w:vertAlign w:val="superscript"/>
                <w:lang w:val="en-US" w:eastAsia="zh-CN"/>
              </w:rPr>
              <w:t>2</w:t>
            </w:r>
            <w:r>
              <w:rPr>
                <w:rFonts w:hint="eastAsia" w:ascii="Times New Roman" w:hAnsi="Times New Roman" w:eastAsia="宋体" w:cs="Times New Roman"/>
                <w:bCs/>
                <w:szCs w:val="21"/>
                <w:highlight w:val="none"/>
                <w:lang w:val="en-US" w:eastAsia="zh-CN"/>
              </w:rPr>
              <w:t>，占地类型为</w:t>
            </w:r>
            <w:r>
              <w:rPr>
                <w:rFonts w:hint="eastAsia" w:cs="Times New Roman"/>
                <w:bCs/>
                <w:szCs w:val="21"/>
                <w:highlight w:val="none"/>
                <w:lang w:val="en-US" w:eastAsia="zh-CN"/>
              </w:rPr>
              <w:t>低覆盖度草地</w:t>
            </w:r>
            <w:r>
              <w:rPr>
                <w:rFonts w:hint="eastAsia" w:ascii="Times New Roman" w:hAnsi="Times New Roman" w:eastAsia="宋体" w:cs="Times New Roman"/>
                <w:bCs/>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本项目占地详见表4.1。</w:t>
            </w:r>
          </w:p>
          <w:p>
            <w:pPr>
              <w:keepNext w:val="0"/>
              <w:keepLines w:val="0"/>
              <w:suppressLineNumbers w:val="0"/>
              <w:adjustRightInd w:val="0"/>
              <w:snapToGrid w:val="0"/>
              <w:spacing w:before="0" w:beforeAutospacing="0" w:after="0" w:afterAutospacing="0" w:line="288" w:lineRule="auto"/>
              <w:ind w:left="0" w:leftChars="0" w:right="0" w:rightChars="0" w:firstLine="0" w:firstLineChars="0"/>
              <w:jc w:val="center"/>
              <w:rPr>
                <w:rFonts w:hint="default" w:ascii="Times New Roman" w:hAnsi="Times New Roman" w:eastAsia="黑体" w:cs="Times New Roman"/>
                <w:color w:val="000000"/>
                <w:szCs w:val="21"/>
                <w:highlight w:val="none"/>
              </w:rPr>
            </w:pPr>
            <w:r>
              <w:rPr>
                <w:rFonts w:hint="default" w:ascii="Times New Roman" w:hAnsi="Times New Roman" w:eastAsia="黑体" w:cs="Times New Roman"/>
                <w:color w:val="000000"/>
                <w:szCs w:val="21"/>
                <w:highlight w:val="none"/>
              </w:rPr>
              <w:t>表</w:t>
            </w:r>
            <w:r>
              <w:rPr>
                <w:rFonts w:hint="eastAsia" w:ascii="Times New Roman" w:hAnsi="Times New Roman" w:eastAsia="黑体" w:cs="Times New Roman"/>
                <w:color w:val="000000"/>
                <w:szCs w:val="21"/>
                <w:highlight w:val="none"/>
                <w:lang w:val="en-US" w:eastAsia="zh-CN"/>
              </w:rPr>
              <w:t>4.1</w:t>
            </w:r>
            <w:r>
              <w:rPr>
                <w:rFonts w:hint="default" w:ascii="Times New Roman" w:hAnsi="Times New Roman" w:eastAsia="黑体" w:cs="Times New Roman"/>
                <w:color w:val="000000"/>
                <w:szCs w:val="21"/>
                <w:highlight w:val="none"/>
              </w:rPr>
              <w:t xml:space="preserve">  本项目占地一览表</w:t>
            </w:r>
          </w:p>
          <w:tbl>
            <w:tblPr>
              <w:tblStyle w:val="20"/>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1291"/>
              <w:gridCol w:w="709"/>
              <w:gridCol w:w="1064"/>
              <w:gridCol w:w="1009"/>
              <w:gridCol w:w="2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序号</w:t>
                  </w:r>
                </w:p>
              </w:tc>
              <w:tc>
                <w:tcPr>
                  <w:tcW w:w="129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工程内容</w:t>
                  </w:r>
                </w:p>
              </w:tc>
              <w:tc>
                <w:tcPr>
                  <w:tcW w:w="2782"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占地面积（m</w:t>
                  </w:r>
                  <w:r>
                    <w:rPr>
                      <w:rFonts w:hint="default" w:ascii="Times New Roman" w:hAnsi="Times New Roman" w:cs="Times New Roman"/>
                      <w:color w:val="auto"/>
                      <w:sz w:val="21"/>
                      <w:highlight w:val="none"/>
                      <w:vertAlign w:val="superscript"/>
                    </w:rPr>
                    <w:t>2</w:t>
                  </w:r>
                  <w:r>
                    <w:rPr>
                      <w:rFonts w:hint="default" w:ascii="Times New Roman" w:hAnsi="Times New Roman" w:cs="Times New Roman"/>
                      <w:color w:val="auto"/>
                      <w:sz w:val="21"/>
                      <w:highlight w:val="none"/>
                    </w:rPr>
                    <w:t>）</w:t>
                  </w:r>
                </w:p>
              </w:tc>
              <w:tc>
                <w:tcPr>
                  <w:tcW w:w="2603"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p>
              </w:tc>
              <w:tc>
                <w:tcPr>
                  <w:tcW w:w="129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永久</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临时</w:t>
                  </w:r>
                </w:p>
              </w:tc>
              <w:tc>
                <w:tcPr>
                  <w:tcW w:w="10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总占地</w:t>
                  </w:r>
                </w:p>
              </w:tc>
              <w:tc>
                <w:tcPr>
                  <w:tcW w:w="260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1</w:t>
                  </w:r>
                </w:p>
              </w:tc>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井场</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85800</w:t>
                  </w:r>
                </w:p>
              </w:tc>
              <w:tc>
                <w:tcPr>
                  <w:tcW w:w="10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85800</w:t>
                  </w:r>
                </w:p>
              </w:tc>
              <w:tc>
                <w:tcPr>
                  <w:tcW w:w="26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rPr>
                    <w:t>单井井场110m×130m</w:t>
                  </w:r>
                  <w:r>
                    <w:rPr>
                      <w:rFonts w:hint="eastAsia" w:ascii="Times New Roman" w:hAnsi="Times New Roman" w:cs="Times New Roman"/>
                      <w:color w:val="auto"/>
                      <w:sz w:val="21"/>
                      <w:lang w:eastAsia="zh-CN"/>
                    </w:rPr>
                    <w:t>，</w:t>
                  </w:r>
                  <w:r>
                    <w:rPr>
                      <w:rFonts w:hint="eastAsia" w:ascii="Times New Roman" w:hAnsi="Times New Roman" w:cs="Times New Roman"/>
                      <w:color w:val="auto"/>
                      <w:sz w:val="21"/>
                      <w:lang w:val="en-US" w:eastAsia="zh-CN"/>
                    </w:rPr>
                    <w:t>占用低覆盖度草地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2</w:t>
                  </w:r>
                </w:p>
              </w:tc>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放喷池</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eastAsia" w:ascii="Times New Roman" w:hAnsi="Times New Roman" w:cs="Times New Roman"/>
                      <w:color w:val="auto"/>
                      <w:sz w:val="21"/>
                      <w:lang w:val="en-US" w:eastAsia="zh-CN"/>
                    </w:rPr>
                    <w:t>240</w:t>
                  </w:r>
                  <w:r>
                    <w:rPr>
                      <w:rFonts w:hint="default" w:ascii="Times New Roman" w:hAnsi="Times New Roman" w:cs="Times New Roman"/>
                      <w:color w:val="auto"/>
                      <w:sz w:val="21"/>
                    </w:rPr>
                    <w:t>0</w:t>
                  </w:r>
                </w:p>
              </w:tc>
              <w:tc>
                <w:tcPr>
                  <w:tcW w:w="10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2400</w:t>
                  </w:r>
                </w:p>
              </w:tc>
              <w:tc>
                <w:tcPr>
                  <w:tcW w:w="26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rPr>
                    <w:t>单井放喷池</w:t>
                  </w:r>
                  <w:r>
                    <w:rPr>
                      <w:rFonts w:hint="eastAsia" w:ascii="Times New Roman" w:hAnsi="Times New Roman" w:cs="Times New Roman"/>
                      <w:color w:val="auto"/>
                      <w:sz w:val="21"/>
                      <w:lang w:val="en-US" w:eastAsia="zh-CN"/>
                    </w:rPr>
                    <w:t>20</w:t>
                  </w:r>
                  <w:r>
                    <w:rPr>
                      <w:rFonts w:hint="default" w:ascii="Times New Roman" w:hAnsi="Times New Roman" w:cs="Times New Roman"/>
                      <w:color w:val="auto"/>
                      <w:sz w:val="21"/>
                    </w:rPr>
                    <w:t>0m</w:t>
                  </w:r>
                  <w:r>
                    <w:rPr>
                      <w:rFonts w:hint="default" w:ascii="Times New Roman" w:hAnsi="Times New Roman" w:cs="Times New Roman"/>
                      <w:color w:val="auto"/>
                      <w:sz w:val="21"/>
                      <w:vertAlign w:val="superscript"/>
                    </w:rPr>
                    <w:t>2</w:t>
                  </w:r>
                  <w:r>
                    <w:rPr>
                      <w:rFonts w:hint="eastAsia" w:ascii="Times New Roman" w:hAnsi="Times New Roman" w:cs="Times New Roman"/>
                      <w:color w:val="auto"/>
                      <w:sz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3</w:t>
                  </w:r>
                </w:p>
              </w:tc>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kern w:val="2"/>
                      <w:sz w:val="21"/>
                    </w:rPr>
                    <w:t>放喷管线</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1800</w:t>
                  </w:r>
                </w:p>
              </w:tc>
              <w:tc>
                <w:tcPr>
                  <w:tcW w:w="10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1800</w:t>
                  </w:r>
                </w:p>
              </w:tc>
              <w:tc>
                <w:tcPr>
                  <w:tcW w:w="26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jc w:val="left"/>
                    <w:rPr>
                      <w:rFonts w:hint="default" w:ascii="Times New Roman" w:hAnsi="Times New Roman" w:cs="Times New Roman"/>
                      <w:color w:val="auto"/>
                      <w:sz w:val="21"/>
                    </w:rPr>
                  </w:pPr>
                  <w:r>
                    <w:rPr>
                      <w:rFonts w:hint="default" w:ascii="Times New Roman" w:hAnsi="Times New Roman" w:cs="Times New Roman"/>
                      <w:color w:val="auto"/>
                      <w:sz w:val="21"/>
                    </w:rPr>
                    <w:t>各井场外长度75m×2，临时占地宽度2m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4</w:t>
                  </w:r>
                </w:p>
              </w:tc>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pacing w:val="-11"/>
                      <w:sz w:val="21"/>
                    </w:rPr>
                    <w:t>临时生活区</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19800</w:t>
                  </w:r>
                </w:p>
              </w:tc>
              <w:tc>
                <w:tcPr>
                  <w:tcW w:w="10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19800</w:t>
                  </w:r>
                </w:p>
              </w:tc>
              <w:tc>
                <w:tcPr>
                  <w:tcW w:w="26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jc w:val="left"/>
                    <w:rPr>
                      <w:rFonts w:hint="default" w:ascii="Times New Roman" w:hAnsi="Times New Roman" w:cs="Times New Roman"/>
                      <w:color w:val="auto"/>
                      <w:sz w:val="21"/>
                    </w:rPr>
                  </w:pPr>
                  <w:r>
                    <w:rPr>
                      <w:rFonts w:hint="default" w:ascii="Times New Roman" w:hAnsi="Times New Roman" w:cs="Times New Roman"/>
                      <w:color w:val="auto"/>
                      <w:sz w:val="21"/>
                    </w:rPr>
                    <w:t>单座规格55m×60m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5</w:t>
                  </w:r>
                </w:p>
              </w:tc>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道路</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33817</w:t>
                  </w:r>
                </w:p>
              </w:tc>
              <w:tc>
                <w:tcPr>
                  <w:tcW w:w="10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33817</w:t>
                  </w:r>
                </w:p>
              </w:tc>
              <w:tc>
                <w:tcPr>
                  <w:tcW w:w="26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sz w:val="21"/>
                      <w:lang w:eastAsia="zh-CN"/>
                    </w:rPr>
                  </w:pPr>
                  <w:r>
                    <w:rPr>
                      <w:rFonts w:hint="default" w:ascii="Times New Roman" w:hAnsi="Times New Roman" w:cs="Times New Roman"/>
                      <w:color w:val="auto"/>
                      <w:sz w:val="21"/>
                    </w:rPr>
                    <w:t>本项目共修临时进场道路4.831km</w:t>
                  </w:r>
                  <w:r>
                    <w:rPr>
                      <w:rFonts w:hint="eastAsia" w:ascii="Times New Roman" w:hAnsi="Times New Roman" w:cs="Times New Roman"/>
                      <w:color w:val="auto"/>
                      <w:sz w:val="21"/>
                      <w:lang w:eastAsia="zh-CN"/>
                    </w:rPr>
                    <w:t>，宽7m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合计</w:t>
                  </w:r>
                </w:p>
              </w:tc>
              <w:tc>
                <w:tcPr>
                  <w:tcW w:w="7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143617</w:t>
                  </w:r>
                </w:p>
              </w:tc>
              <w:tc>
                <w:tcPr>
                  <w:tcW w:w="100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right="0"/>
                    <w:rPr>
                      <w:rFonts w:hint="default" w:ascii="Times New Roman" w:hAnsi="Times New Roman" w:cs="Times New Roman"/>
                      <w:color w:val="auto"/>
                      <w:sz w:val="21"/>
                    </w:rPr>
                  </w:pPr>
                  <w:r>
                    <w:rPr>
                      <w:rFonts w:hint="default" w:ascii="Times New Roman" w:hAnsi="Times New Roman" w:cs="Times New Roman"/>
                      <w:color w:val="auto"/>
                      <w:sz w:val="21"/>
                    </w:rPr>
                    <w:t>143617</w:t>
                  </w:r>
                </w:p>
              </w:tc>
              <w:tc>
                <w:tcPr>
                  <w:tcW w:w="260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val="en-US" w:eastAsia="zh-CN"/>
                    </w:rPr>
                    <w:t>/</w:t>
                  </w:r>
                </w:p>
              </w:tc>
            </w:tr>
          </w:tbl>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bCs/>
                <w:szCs w:val="21"/>
                <w:highlight w:val="none"/>
                <w:lang w:val="en-US" w:eastAsia="zh-CN"/>
              </w:rPr>
            </w:pPr>
            <w:r>
              <w:rPr>
                <w:rFonts w:hint="eastAsia" w:cs="Times New Roman"/>
                <w:bCs/>
                <w:szCs w:val="21"/>
                <w:highlight w:val="none"/>
                <w:lang w:val="en-US" w:eastAsia="zh-CN"/>
              </w:rPr>
              <w:t>本项目</w:t>
            </w:r>
            <w:r>
              <w:rPr>
                <w:rFonts w:hint="eastAsia" w:ascii="Times New Roman" w:hAnsi="Times New Roman" w:eastAsia="宋体" w:cs="Times New Roman"/>
                <w:bCs/>
                <w:szCs w:val="21"/>
                <w:highlight w:val="none"/>
                <w:lang w:val="en-US" w:eastAsia="zh-CN"/>
              </w:rPr>
              <w:t>在钻前施工期间，影响环境的因素主要是在井场的建设阶段，在此期间会对场地进行平整，可能引起水土流失。同时，因开挖的土石方临时就近堆放，以及挖填方不平衡而产生弃土，若防护措施不当也会引起水土流失。因此</w:t>
            </w:r>
            <w:r>
              <w:rPr>
                <w:rFonts w:hint="eastAsia" w:cs="Times New Roman"/>
                <w:bCs/>
                <w:szCs w:val="21"/>
                <w:highlight w:val="none"/>
                <w:lang w:val="en-US" w:eastAsia="zh-CN"/>
              </w:rPr>
              <w:t>本项目</w:t>
            </w:r>
            <w:r>
              <w:rPr>
                <w:rFonts w:hint="eastAsia" w:ascii="Times New Roman" w:hAnsi="Times New Roman" w:eastAsia="宋体" w:cs="Times New Roman"/>
                <w:bCs/>
                <w:szCs w:val="21"/>
                <w:highlight w:val="none"/>
                <w:lang w:val="en-US" w:eastAsia="zh-CN"/>
              </w:rPr>
              <w:t>实施过程中，应落实好水土保持措施，使水土流失将得到有效控制。</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bCs/>
                <w:szCs w:val="21"/>
                <w:highlight w:val="yellow"/>
                <w:lang w:val="en-US" w:eastAsia="zh-CN"/>
              </w:rPr>
            </w:pPr>
            <w:r>
              <w:rPr>
                <w:rFonts w:hint="eastAsia" w:ascii="Times New Roman" w:hAnsi="Times New Roman" w:eastAsia="宋体" w:cs="Times New Roman"/>
                <w:bCs/>
                <w:szCs w:val="21"/>
                <w:highlight w:val="none"/>
                <w:lang w:val="en-US" w:eastAsia="zh-CN"/>
              </w:rPr>
              <w:t>工程施工区域严格控制在临时占地范围内。工程弃土必须妥善处置，完井后做好地貌恢复措施，避免水土流失对自然环境造成危害。工程占地小，对当地土地资源的影响是可接受的。</w:t>
            </w:r>
          </w:p>
          <w:p>
            <w:pPr>
              <w:keepNext w:val="0"/>
              <w:keepLines w:val="0"/>
              <w:suppressLineNumbers w:val="0"/>
              <w:spacing w:before="0" w:beforeAutospacing="0" w:after="0" w:afterAutospacing="0" w:line="360" w:lineRule="auto"/>
              <w:ind w:left="0" w:leftChars="0" w:right="0" w:firstLine="369" w:firstLineChars="175"/>
              <w:rPr>
                <w:rFonts w:hint="eastAsia"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2</w:t>
            </w:r>
            <w:r>
              <w:rPr>
                <w:rFonts w:hint="default" w:ascii="Times New Roman" w:hAnsi="Times New Roman" w:eastAsia="宋体" w:cs="Times New Roman"/>
                <w:b/>
                <w:bCs/>
                <w:color w:val="000000"/>
                <w:sz w:val="21"/>
                <w:szCs w:val="21"/>
                <w:highlight w:val="none"/>
              </w:rPr>
              <w:t>.对植被影响</w:t>
            </w:r>
            <w:r>
              <w:rPr>
                <w:rFonts w:hint="eastAsia" w:ascii="Times New Roman" w:hAnsi="Times New Roman" w:eastAsia="宋体" w:cs="Times New Roman"/>
                <w:b/>
                <w:bCs/>
                <w:color w:val="000000"/>
                <w:sz w:val="21"/>
                <w:szCs w:val="21"/>
                <w:highlight w:val="none"/>
                <w:lang w:val="en-US" w:eastAsia="zh-CN"/>
              </w:rPr>
              <w:t>分析</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自然植被主要是琵琶柴、粗枝猪毛菜，其植被分布及发育好坏随生境的土壤类型（水分和盐分条件）而变化。本</w:t>
            </w:r>
            <w:r>
              <w:rPr>
                <w:rFonts w:hint="eastAsia" w:cs="Times New Roman"/>
                <w:color w:val="000000"/>
                <w:sz w:val="21"/>
                <w:szCs w:val="21"/>
                <w:highlight w:val="none"/>
                <w:lang w:val="en-US" w:eastAsia="zh-CN"/>
              </w:rPr>
              <w:t>项目</w:t>
            </w:r>
            <w:r>
              <w:rPr>
                <w:rFonts w:hint="eastAsia" w:ascii="Times New Roman" w:hAnsi="Times New Roman" w:eastAsia="宋体" w:cs="Times New Roman"/>
                <w:color w:val="000000"/>
                <w:sz w:val="21"/>
                <w:szCs w:val="21"/>
                <w:highlight w:val="none"/>
                <w:lang w:val="en-US" w:eastAsia="zh-CN"/>
              </w:rPr>
              <w:t>临时占地主要是影响项目分布区的荒漠植被，待</w:t>
            </w:r>
            <w:r>
              <w:rPr>
                <w:rFonts w:hint="eastAsia" w:cs="Times New Roman"/>
                <w:color w:val="000000"/>
                <w:sz w:val="21"/>
                <w:szCs w:val="21"/>
                <w:highlight w:val="none"/>
                <w:lang w:val="en-US" w:eastAsia="zh-CN"/>
              </w:rPr>
              <w:t>项目</w:t>
            </w:r>
            <w:r>
              <w:rPr>
                <w:rFonts w:hint="eastAsia" w:ascii="Times New Roman" w:hAnsi="Times New Roman" w:eastAsia="宋体" w:cs="Times New Roman"/>
                <w:color w:val="000000"/>
                <w:sz w:val="21"/>
                <w:szCs w:val="21"/>
                <w:highlight w:val="none"/>
                <w:lang w:val="en-US" w:eastAsia="zh-CN"/>
              </w:rPr>
              <w:t>完工后，对临时占地进行平整，待其自然恢复</w:t>
            </w:r>
            <w:r>
              <w:rPr>
                <w:rFonts w:hint="eastAsia" w:cs="Times New Roman"/>
                <w:color w:val="000000"/>
                <w:sz w:val="21"/>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钻井过程中遇到地下油、气、水层时，油、气或水窜进井内的钻井液里，加快了钻井液流动和循环的速度。如果井底压力小于地层压力，地层流体将进入井筒并推动钻井液外溢，即发生溢流。此时，如果对地下油、气压力平衡控制不当，不能及时控制溢流，会造成油、气、水或其他混合物迅速喷到地面，即发生井喷。井喷会引发油气泄漏及火灾爆炸，对钻井区域周边农田植被、空气环境、水环境及生态环境造成危害，严重时可能致使人员伤亡和财产损失。</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本项目永进1-5井等个别井位紧邻农田，作物以棉花为主。井喷等事故泄漏的采出液渗入土壤孔隙，则使土壤透气性和呼吸作用减弱，使周边农田土壤透气性下降，影响土壤中的微生物生存，土壤理化性状发生变化，造成土壤盐碱化，破坏土壤结构，造成耕地肥力下降。泄漏的油品如果进入农田土壤，使土壤质地、结构发生改变，将影响到耕地的土地功能，进而影响棉花等作物的生长，并可影响局部的农业景观。</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bCs/>
                <w:sz w:val="21"/>
                <w:szCs w:val="21"/>
                <w:highlight w:val="yellow"/>
                <w:lang w:val="en-US" w:eastAsia="zh-CN"/>
              </w:rPr>
            </w:pPr>
            <w:r>
              <w:rPr>
                <w:rFonts w:hint="eastAsia" w:ascii="Times New Roman" w:hAnsi="Times New Roman" w:eastAsia="宋体" w:cs="Times New Roman"/>
                <w:color w:val="000000"/>
                <w:sz w:val="21"/>
                <w:szCs w:val="21"/>
                <w:highlight w:val="none"/>
                <w:lang w:eastAsia="zh-CN"/>
              </w:rPr>
              <w:t>本项目钻井区域铺设防渗膜进行分区防渗，井喷事故发生后，及时清理污染物，受污染的土壤应集中收集后交由有相应处理资质的单位进行回收处置。发生井喷事故后，及时采取相应的措施，最大程度减少对周边农田的不利影响。</w:t>
            </w:r>
          </w:p>
          <w:p>
            <w:pPr>
              <w:keepNext w:val="0"/>
              <w:keepLines w:val="0"/>
              <w:suppressLineNumbers w:val="0"/>
              <w:spacing w:before="0" w:beforeAutospacing="0" w:after="0" w:afterAutospacing="0" w:line="360" w:lineRule="auto"/>
              <w:ind w:left="0" w:leftChars="0" w:right="0" w:firstLine="369" w:firstLineChars="175"/>
              <w:rPr>
                <w:rFonts w:hint="default" w:ascii="Times New Roman" w:hAnsi="Times New Roman" w:eastAsia="宋体" w:cs="Times New Roman"/>
                <w:b/>
                <w:bCs/>
                <w:color w:val="000000"/>
                <w:sz w:val="21"/>
                <w:szCs w:val="21"/>
                <w:highlight w:val="none"/>
              </w:rPr>
            </w:pPr>
            <w:r>
              <w:rPr>
                <w:rFonts w:hint="eastAsia" w:cs="Times New Roman"/>
                <w:b/>
                <w:bCs/>
                <w:color w:val="000000"/>
                <w:sz w:val="21"/>
                <w:szCs w:val="21"/>
                <w:highlight w:val="none"/>
                <w:lang w:val="en-US" w:eastAsia="zh-CN"/>
              </w:rPr>
              <w:t>3</w:t>
            </w:r>
            <w:r>
              <w:rPr>
                <w:rFonts w:hint="default" w:ascii="Times New Roman" w:hAnsi="Times New Roman" w:eastAsia="宋体" w:cs="Times New Roman"/>
                <w:b/>
                <w:bCs/>
                <w:color w:val="000000"/>
                <w:sz w:val="21"/>
                <w:szCs w:val="21"/>
                <w:highlight w:val="none"/>
              </w:rPr>
              <w:t>.</w:t>
            </w:r>
            <w:r>
              <w:rPr>
                <w:rFonts w:hint="eastAsia" w:ascii="Times New Roman" w:hAnsi="Times New Roman" w:eastAsia="宋体" w:cs="Times New Roman"/>
                <w:b/>
                <w:bCs/>
                <w:color w:val="000000"/>
                <w:sz w:val="21"/>
                <w:szCs w:val="21"/>
                <w:highlight w:val="none"/>
              </w:rPr>
              <w:t>野生动物影响分析</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由于本区域气候干旱、生存环境恶劣，动物种类组成贫乏，少有大中型野生动物在本区域出现。现有的小型动物可能会因为工程的实施被迫离开工程区域，但其种群结构、数量不会产生明显变化，</w:t>
            </w:r>
            <w:r>
              <w:rPr>
                <w:rFonts w:hint="eastAsia" w:cs="Times New Roman"/>
                <w:color w:val="000000"/>
                <w:sz w:val="21"/>
                <w:szCs w:val="21"/>
                <w:highlight w:val="none"/>
                <w:lang w:val="en-US" w:eastAsia="zh-CN"/>
              </w:rPr>
              <w:t>项目</w:t>
            </w:r>
            <w:r>
              <w:rPr>
                <w:rFonts w:hint="eastAsia" w:ascii="Times New Roman" w:hAnsi="Times New Roman" w:eastAsia="宋体" w:cs="Times New Roman"/>
                <w:color w:val="000000"/>
                <w:sz w:val="21"/>
                <w:szCs w:val="21"/>
                <w:highlight w:val="none"/>
                <w:lang w:val="en-US" w:eastAsia="zh-CN"/>
              </w:rPr>
              <w:t>对野生动物的影响较小</w:t>
            </w:r>
            <w:r>
              <w:rPr>
                <w:rFonts w:hint="eastAsia" w:cs="Times New Roman"/>
                <w:color w:val="000000"/>
                <w:sz w:val="21"/>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422" w:firstLineChars="200"/>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4</w:t>
            </w:r>
            <w:r>
              <w:rPr>
                <w:rFonts w:hint="eastAsia" w:cs="Times New Roman"/>
                <w:b/>
                <w:bCs/>
                <w:color w:val="000000"/>
                <w:sz w:val="21"/>
                <w:szCs w:val="21"/>
                <w:highlight w:val="none"/>
                <w:lang w:val="en-US" w:eastAsia="zh-CN"/>
              </w:rPr>
              <w:t>.</w:t>
            </w:r>
            <w:r>
              <w:rPr>
                <w:rFonts w:hint="eastAsia" w:ascii="Times New Roman" w:hAnsi="Times New Roman" w:eastAsia="宋体" w:cs="Times New Roman"/>
                <w:b/>
                <w:bCs/>
                <w:color w:val="000000"/>
                <w:sz w:val="21"/>
                <w:szCs w:val="21"/>
                <w:highlight w:val="none"/>
                <w:lang w:val="en-US" w:eastAsia="zh-CN"/>
              </w:rPr>
              <w:t>水土流失</w:t>
            </w:r>
            <w:r>
              <w:rPr>
                <w:rFonts w:hint="eastAsia" w:cs="Times New Roman"/>
                <w:b/>
                <w:bCs/>
                <w:color w:val="000000"/>
                <w:sz w:val="21"/>
                <w:szCs w:val="21"/>
                <w:highlight w:val="none"/>
                <w:lang w:val="en-US" w:eastAsia="zh-CN"/>
              </w:rPr>
              <w:t>影响</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井场区域构建筑物的修建，都将不同程度的扰动表土，在大雨和大风天气条件下，如不采取水土保持措施，会引发土壤侵蚀</w:t>
            </w:r>
            <w:r>
              <w:rPr>
                <w:rFonts w:hint="eastAsia" w:cs="Times New Roman"/>
                <w:color w:val="000000"/>
                <w:sz w:val="21"/>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422" w:firstLineChars="200"/>
              <w:rPr>
                <w:rFonts w:hint="eastAsia" w:ascii="Times New Roman" w:hAnsi="Times New Roman" w:eastAsia="宋体" w:cs="Times New Roman"/>
                <w:b/>
                <w:bCs/>
                <w:color w:val="000000"/>
                <w:sz w:val="21"/>
                <w:szCs w:val="21"/>
                <w:highlight w:val="yellow"/>
                <w:lang w:val="en-US" w:eastAsia="zh-CN"/>
              </w:rPr>
            </w:pPr>
            <w:r>
              <w:rPr>
                <w:rFonts w:hint="eastAsia" w:ascii="Times New Roman" w:hAnsi="Times New Roman" w:eastAsia="宋体" w:cs="Times New Roman"/>
                <w:b/>
                <w:bCs/>
                <w:color w:val="000000"/>
                <w:sz w:val="21"/>
                <w:szCs w:val="21"/>
                <w:highlight w:val="none"/>
                <w:lang w:val="en-US" w:eastAsia="zh-CN"/>
              </w:rPr>
              <w:t>5</w:t>
            </w:r>
            <w:r>
              <w:rPr>
                <w:rFonts w:hint="eastAsia" w:cs="Times New Roman"/>
                <w:b/>
                <w:bCs/>
                <w:color w:val="000000"/>
                <w:sz w:val="21"/>
                <w:szCs w:val="21"/>
                <w:highlight w:val="none"/>
                <w:lang w:val="en-US" w:eastAsia="zh-CN"/>
              </w:rPr>
              <w:t>.</w:t>
            </w:r>
            <w:r>
              <w:rPr>
                <w:rFonts w:hint="eastAsia" w:ascii="Times New Roman" w:hAnsi="Times New Roman" w:eastAsia="宋体" w:cs="Times New Roman"/>
                <w:b/>
                <w:bCs/>
                <w:color w:val="000000"/>
                <w:sz w:val="21"/>
                <w:szCs w:val="21"/>
                <w:highlight w:val="none"/>
                <w:lang w:val="en-US" w:eastAsia="zh-CN"/>
              </w:rPr>
              <w:t>大气环境影响分析</w:t>
            </w:r>
          </w:p>
          <w:p>
            <w:pPr>
              <w:pStyle w:val="5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施工期间废气主要为施工扬尘、柴油发电机废气及伴生气放空燃烧废气。</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eastAsia="宋体" w:cs="Times New Roman"/>
                <w:color w:val="auto"/>
                <w:kern w:val="0"/>
                <w:sz w:val="21"/>
                <w:szCs w:val="21"/>
                <w:highlight w:val="none"/>
                <w:lang w:val="en-US" w:eastAsia="zh-CN" w:bidi="ar-SA"/>
              </w:rPr>
              <w:t>）废气污染源</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钻井过程中钻机使用大功率柴油机带动，由于燃料燃烧将向大气中排放废气，其中主要的污染物为烃类、CO、NO</w:t>
            </w:r>
            <w:r>
              <w:rPr>
                <w:rFonts w:hint="default" w:ascii="Times New Roman" w:hAnsi="Times New Roman" w:eastAsia="宋体" w:cs="Times New Roman"/>
                <w:color w:val="auto"/>
                <w:kern w:val="0"/>
                <w:sz w:val="21"/>
                <w:szCs w:val="21"/>
                <w:highlight w:val="none"/>
                <w:vertAlign w:val="sub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、SO</w:t>
            </w:r>
            <w:r>
              <w:rPr>
                <w:rFonts w:hint="default" w:ascii="Times New Roman" w:hAnsi="Times New Roman" w:eastAsia="宋体" w:cs="Times New Roman"/>
                <w:color w:val="auto"/>
                <w:kern w:val="0"/>
                <w:sz w:val="21"/>
                <w:szCs w:val="21"/>
                <w:highlight w:val="none"/>
                <w:vertAlign w:val="sub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等。井队配备柴油机</w:t>
            </w:r>
            <w:r>
              <w:rPr>
                <w:rFonts w:hint="eastAsia" w:cs="Times New Roman"/>
                <w:color w:val="auto"/>
                <w:kern w:val="0"/>
                <w:sz w:val="21"/>
                <w:szCs w:val="21"/>
                <w:highlight w:val="none"/>
                <w:lang w:val="en-US" w:eastAsia="zh-CN" w:bidi="ar-SA"/>
              </w:rPr>
              <w:t>4</w:t>
            </w:r>
            <w:r>
              <w:rPr>
                <w:rFonts w:hint="default" w:ascii="Times New Roman" w:hAnsi="Times New Roman" w:eastAsia="宋体" w:cs="Times New Roman"/>
                <w:color w:val="auto"/>
                <w:kern w:val="0"/>
                <w:sz w:val="21"/>
                <w:szCs w:val="21"/>
                <w:highlight w:val="none"/>
                <w:lang w:val="en-US" w:eastAsia="zh-CN" w:bidi="ar-SA"/>
              </w:rPr>
              <w:t>台，柴油消耗量平均2t/d，</w:t>
            </w:r>
            <w:r>
              <w:rPr>
                <w:rFonts w:hint="eastAsia" w:ascii="Times New Roman" w:hAnsi="Times New Roman" w:eastAsia="宋体" w:cs="Times New Roman"/>
                <w:color w:val="auto"/>
                <w:kern w:val="0"/>
                <w:sz w:val="21"/>
                <w:szCs w:val="21"/>
                <w:highlight w:val="none"/>
                <w:lang w:val="en-US" w:eastAsia="zh-CN" w:bidi="ar-SA"/>
              </w:rPr>
              <w:t>单井</w:t>
            </w:r>
            <w:r>
              <w:rPr>
                <w:rFonts w:hint="default" w:ascii="Times New Roman" w:hAnsi="Times New Roman" w:eastAsia="宋体" w:cs="Times New Roman"/>
                <w:color w:val="auto"/>
                <w:kern w:val="0"/>
                <w:sz w:val="21"/>
                <w:szCs w:val="21"/>
                <w:highlight w:val="none"/>
                <w:lang w:val="en-US" w:eastAsia="zh-CN" w:bidi="ar-SA"/>
              </w:rPr>
              <w:t>钻井期为</w:t>
            </w:r>
            <w:r>
              <w:rPr>
                <w:rFonts w:hint="eastAsia" w:ascii="Times New Roman" w:hAnsi="Times New Roman" w:eastAsia="宋体" w:cs="Times New Roman"/>
                <w:color w:val="auto"/>
                <w:kern w:val="0"/>
                <w:sz w:val="21"/>
                <w:szCs w:val="21"/>
                <w:highlight w:val="none"/>
                <w:lang w:val="en-US" w:eastAsia="zh-CN" w:bidi="ar-SA"/>
              </w:rPr>
              <w:t>90</w:t>
            </w:r>
            <w:r>
              <w:rPr>
                <w:rFonts w:hint="default" w:ascii="Times New Roman" w:hAnsi="Times New Roman" w:eastAsia="宋体" w:cs="Times New Roman"/>
                <w:color w:val="auto"/>
                <w:kern w:val="0"/>
                <w:sz w:val="21"/>
                <w:szCs w:val="21"/>
                <w:highlight w:val="none"/>
                <w:lang w:val="en-US" w:eastAsia="zh-CN" w:bidi="ar-SA"/>
              </w:rPr>
              <w:t>天，</w:t>
            </w:r>
            <w:r>
              <w:rPr>
                <w:rFonts w:hint="eastAsia" w:ascii="Times New Roman" w:hAnsi="Times New Roman" w:eastAsia="宋体" w:cs="Times New Roman"/>
                <w:color w:val="auto"/>
                <w:kern w:val="0"/>
                <w:sz w:val="21"/>
                <w:szCs w:val="21"/>
                <w:highlight w:val="none"/>
                <w:lang w:val="en-US" w:eastAsia="zh-CN" w:bidi="ar-SA"/>
              </w:rPr>
              <w:t>6</w:t>
            </w:r>
            <w:r>
              <w:rPr>
                <w:rFonts w:hint="default" w:ascii="Times New Roman" w:hAnsi="Times New Roman" w:eastAsia="宋体" w:cs="Times New Roman"/>
                <w:color w:val="auto"/>
                <w:kern w:val="0"/>
                <w:sz w:val="21"/>
                <w:szCs w:val="21"/>
                <w:highlight w:val="none"/>
                <w:lang w:val="en-US" w:eastAsia="zh-CN" w:bidi="ar-SA"/>
              </w:rPr>
              <w:t>口</w:t>
            </w:r>
            <w:r>
              <w:rPr>
                <w:rFonts w:hint="default" w:ascii="Times New Roman" w:hAnsi="Times New Roman" w:eastAsia="宋体" w:cs="Times New Roman"/>
                <w:bCs/>
                <w:color w:val="auto"/>
                <w:kern w:val="0"/>
                <w:sz w:val="21"/>
                <w:szCs w:val="21"/>
                <w:highlight w:val="none"/>
                <w:lang w:val="en-US" w:eastAsia="zh-CN" w:bidi="ar-SA"/>
              </w:rPr>
              <w:t>钻井施工</w:t>
            </w:r>
            <w:r>
              <w:rPr>
                <w:rFonts w:hint="default" w:ascii="Times New Roman" w:hAnsi="Times New Roman" w:eastAsia="宋体" w:cs="Times New Roman"/>
                <w:color w:val="auto"/>
                <w:kern w:val="0"/>
                <w:sz w:val="21"/>
                <w:szCs w:val="21"/>
                <w:highlight w:val="none"/>
                <w:lang w:val="en-US" w:eastAsia="zh-CN" w:bidi="ar-SA"/>
              </w:rPr>
              <w:t>期累计为</w:t>
            </w:r>
            <w:r>
              <w:rPr>
                <w:rFonts w:hint="eastAsia" w:ascii="Times New Roman" w:hAnsi="Times New Roman" w:eastAsia="宋体" w:cs="Times New Roman"/>
                <w:color w:val="auto"/>
                <w:kern w:val="0"/>
                <w:sz w:val="21"/>
                <w:szCs w:val="21"/>
                <w:highlight w:val="none"/>
                <w:lang w:val="en-US" w:eastAsia="zh-CN" w:bidi="ar-SA"/>
              </w:rPr>
              <w:t>540</w:t>
            </w:r>
            <w:r>
              <w:rPr>
                <w:rFonts w:hint="default" w:ascii="Times New Roman" w:hAnsi="Times New Roman" w:eastAsia="宋体" w:cs="Times New Roman"/>
                <w:color w:val="auto"/>
                <w:kern w:val="0"/>
                <w:sz w:val="21"/>
                <w:szCs w:val="21"/>
                <w:highlight w:val="none"/>
                <w:lang w:val="en-US" w:eastAsia="zh-CN" w:bidi="ar-SA"/>
              </w:rPr>
              <w:t>天，共耗柴油</w:t>
            </w:r>
            <w:r>
              <w:rPr>
                <w:rFonts w:hint="eastAsia" w:ascii="Times New Roman" w:hAnsi="Times New Roman" w:eastAsia="宋体" w:cs="Times New Roman"/>
                <w:color w:val="auto"/>
                <w:kern w:val="0"/>
                <w:sz w:val="21"/>
                <w:szCs w:val="21"/>
                <w:highlight w:val="none"/>
                <w:lang w:val="en-US" w:eastAsia="zh-CN" w:bidi="ar-SA"/>
              </w:rPr>
              <w:t>1080</w:t>
            </w:r>
            <w:r>
              <w:rPr>
                <w:rFonts w:hint="default" w:ascii="Times New Roman" w:hAnsi="Times New Roman" w:eastAsia="宋体" w:cs="Times New Roman"/>
                <w:color w:val="auto"/>
                <w:kern w:val="0"/>
                <w:sz w:val="21"/>
                <w:szCs w:val="21"/>
                <w:highlight w:val="none"/>
                <w:lang w:val="en-US" w:eastAsia="zh-CN" w:bidi="ar-SA"/>
              </w:rPr>
              <w:t>t。</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根据《油田开发环境影响评价文集》，柴油机每马力小时耗柴油175g，产生CO 2.4g、NO</w:t>
            </w:r>
            <w:r>
              <w:rPr>
                <w:rFonts w:hint="default" w:ascii="Times New Roman" w:hAnsi="Times New Roman" w:eastAsia="宋体" w:cs="Times New Roman"/>
                <w:color w:val="auto"/>
                <w:kern w:val="0"/>
                <w:sz w:val="21"/>
                <w:szCs w:val="21"/>
                <w:highlight w:val="none"/>
                <w:vertAlign w:val="subscript"/>
                <w:lang w:val="en-US" w:eastAsia="zh-CN" w:bidi="ar-SA"/>
              </w:rPr>
              <w:t xml:space="preserve">2 </w:t>
            </w:r>
            <w:r>
              <w:rPr>
                <w:rFonts w:hint="default" w:ascii="Times New Roman" w:hAnsi="Times New Roman" w:eastAsia="宋体" w:cs="Times New Roman"/>
                <w:color w:val="auto"/>
                <w:kern w:val="0"/>
                <w:sz w:val="21"/>
                <w:szCs w:val="21"/>
                <w:highlight w:val="none"/>
                <w:lang w:val="en-US" w:eastAsia="zh-CN" w:bidi="ar-SA"/>
              </w:rPr>
              <w:t>10.99g、烃类4.08g。据此，柴油机运转过程中排入大气中的CO、NO</w:t>
            </w:r>
            <w:r>
              <w:rPr>
                <w:rFonts w:hint="default" w:ascii="Times New Roman" w:hAnsi="Times New Roman" w:eastAsia="宋体" w:cs="Times New Roman"/>
                <w:color w:val="auto"/>
                <w:kern w:val="0"/>
                <w:sz w:val="21"/>
                <w:szCs w:val="21"/>
                <w:highlight w:val="none"/>
                <w:vertAlign w:val="sub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和总烃量可用下式计算：</w:t>
            </w:r>
          </w:p>
          <w:p>
            <w:pPr>
              <w:keepNext w:val="0"/>
              <w:keepLines w:val="0"/>
              <w:widowControl/>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drawing>
                <wp:inline distT="0" distB="0" distL="114300" distR="114300">
                  <wp:extent cx="1095375" cy="390525"/>
                  <wp:effectExtent l="0" t="0" r="0" b="698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4"/>
                          <a:stretch>
                            <a:fillRect/>
                          </a:stretch>
                        </pic:blipFill>
                        <pic:spPr>
                          <a:xfrm>
                            <a:off x="0" y="0"/>
                            <a:ext cx="1095375" cy="390525"/>
                          </a:xfrm>
                          <a:prstGeom prst="rect">
                            <a:avLst/>
                          </a:prstGeom>
                          <a:noFill/>
                          <a:ln>
                            <a:noFill/>
                          </a:ln>
                        </pic:spPr>
                      </pic:pic>
                    </a:graphicData>
                  </a:graphic>
                </wp:inline>
              </w:drawing>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drawing>
                <wp:inline distT="0" distB="0" distL="114300" distR="114300">
                  <wp:extent cx="1190625" cy="390525"/>
                  <wp:effectExtent l="0" t="0" r="0" b="698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5"/>
                          <a:stretch>
                            <a:fillRect/>
                          </a:stretch>
                        </pic:blipFill>
                        <pic:spPr>
                          <a:xfrm>
                            <a:off x="0" y="0"/>
                            <a:ext cx="1190625" cy="390525"/>
                          </a:xfrm>
                          <a:prstGeom prst="rect">
                            <a:avLst/>
                          </a:prstGeom>
                          <a:noFill/>
                          <a:ln>
                            <a:noFill/>
                          </a:ln>
                        </pic:spPr>
                      </pic:pic>
                    </a:graphicData>
                  </a:graphic>
                </wp:inline>
              </w:drawing>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drawing>
                <wp:inline distT="0" distB="0" distL="114300" distR="114300">
                  <wp:extent cx="1190625" cy="390525"/>
                  <wp:effectExtent l="0" t="0" r="0" b="698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6"/>
                          <a:stretch>
                            <a:fillRect/>
                          </a:stretch>
                        </pic:blipFill>
                        <pic:spPr>
                          <a:xfrm>
                            <a:off x="0" y="0"/>
                            <a:ext cx="1190625" cy="390525"/>
                          </a:xfrm>
                          <a:prstGeom prst="rect">
                            <a:avLst/>
                          </a:prstGeom>
                          <a:noFill/>
                          <a:ln>
                            <a:noFill/>
                          </a:ln>
                        </pic:spPr>
                      </pic:pic>
                    </a:graphicData>
                  </a:graphic>
                </wp:inline>
              </w:drawing>
            </w:r>
            <w:r>
              <w:rPr>
                <w:rFonts w:hint="eastAsia" w:cs="Times New Roman"/>
                <w:color w:val="auto"/>
                <w:kern w:val="0"/>
                <w:sz w:val="21"/>
                <w:szCs w:val="21"/>
                <w:highlight w:val="none"/>
                <w:lang w:val="en-US" w:eastAsia="zh-CN" w:bidi="ar-SA"/>
              </w:rPr>
              <w:t>；</w:t>
            </w:r>
          </w:p>
          <w:p>
            <w:pPr>
              <w:keepNext w:val="0"/>
              <w:keepLines w:val="0"/>
              <w:widowControl/>
              <w:suppressLineNumbers w:val="0"/>
              <w:spacing w:before="156" w:beforeLines="5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式中：m—柴油机消耗柴油量t。</w:t>
            </w:r>
          </w:p>
          <w:p>
            <w:pPr>
              <w:keepNext w:val="0"/>
              <w:keepLines w:val="0"/>
              <w:widowControl/>
              <w:suppressLineNumbers w:val="0"/>
              <w:spacing w:before="0" w:beforeAutospacing="0" w:after="0" w:afterAutospacing="0" w:line="360" w:lineRule="auto"/>
              <w:ind w:left="0" w:right="0" w:firstLine="420" w:firstLineChars="200"/>
              <w:jc w:val="both"/>
              <w:rPr>
                <w:rFonts w:hint="eastAsia"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我国目前的柴油标准，不大于0.035%，在此按柴油中硫含量为0.035%估算，燃烧1t柴油产生的SO</w:t>
            </w:r>
            <w:r>
              <w:rPr>
                <w:rFonts w:hint="default" w:ascii="Times New Roman" w:hAnsi="Times New Roman" w:eastAsia="宋体" w:cs="Times New Roman"/>
                <w:color w:val="auto"/>
                <w:kern w:val="0"/>
                <w:sz w:val="21"/>
                <w:szCs w:val="21"/>
                <w:highlight w:val="none"/>
                <w:vertAlign w:val="sub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为0.70kg。因此，</w:t>
            </w:r>
            <w:r>
              <w:rPr>
                <w:rFonts w:hint="eastAsia" w:cs="Times New Roman"/>
                <w:color w:val="auto"/>
                <w:kern w:val="0"/>
                <w:sz w:val="21"/>
                <w:szCs w:val="21"/>
                <w:highlight w:val="none"/>
                <w:lang w:val="en-US" w:eastAsia="zh-CN" w:bidi="ar-SA"/>
              </w:rPr>
              <w:t>本项目</w:t>
            </w:r>
            <w:r>
              <w:rPr>
                <w:rFonts w:hint="default" w:ascii="Times New Roman" w:hAnsi="Times New Roman" w:eastAsia="宋体" w:cs="Times New Roman"/>
                <w:color w:val="auto"/>
                <w:kern w:val="0"/>
                <w:sz w:val="21"/>
                <w:szCs w:val="21"/>
                <w:highlight w:val="none"/>
                <w:lang w:val="en-US" w:eastAsia="zh-CN" w:bidi="ar-SA"/>
              </w:rPr>
              <w:t>钻井期间</w:t>
            </w:r>
            <w:r>
              <w:rPr>
                <w:rFonts w:hint="eastAsia" w:cs="Times New Roman"/>
                <w:color w:val="auto"/>
                <w:kern w:val="0"/>
                <w:sz w:val="21"/>
                <w:szCs w:val="21"/>
                <w:highlight w:val="none"/>
                <w:lang w:val="en-US" w:eastAsia="zh-CN" w:bidi="ar-SA"/>
              </w:rPr>
              <w:t>污染物排放量为烃类0.047t/d，NO</w:t>
            </w:r>
            <w:r>
              <w:rPr>
                <w:rFonts w:hint="eastAsia" w:cs="Times New Roman"/>
                <w:color w:val="auto"/>
                <w:kern w:val="0"/>
                <w:sz w:val="21"/>
                <w:szCs w:val="21"/>
                <w:highlight w:val="none"/>
                <w:vertAlign w:val="subscript"/>
                <w:lang w:val="en-US" w:eastAsia="zh-CN" w:bidi="ar-SA"/>
              </w:rPr>
              <w:t>2</w:t>
            </w:r>
            <w:r>
              <w:rPr>
                <w:rFonts w:hint="eastAsia" w:cs="Times New Roman"/>
                <w:color w:val="auto"/>
                <w:kern w:val="0"/>
                <w:sz w:val="21"/>
                <w:szCs w:val="21"/>
                <w:highlight w:val="none"/>
                <w:lang w:val="en-US" w:eastAsia="zh-CN" w:bidi="ar-SA"/>
              </w:rPr>
              <w:t xml:space="preserve"> 0.126t/d，CO 0.027t/d，SO</w:t>
            </w:r>
            <w:r>
              <w:rPr>
                <w:rFonts w:hint="eastAsia" w:cs="Times New Roman"/>
                <w:color w:val="auto"/>
                <w:kern w:val="0"/>
                <w:sz w:val="21"/>
                <w:szCs w:val="21"/>
                <w:highlight w:val="none"/>
                <w:vertAlign w:val="subscript"/>
                <w:lang w:val="en-US" w:eastAsia="zh-CN" w:bidi="ar-SA"/>
              </w:rPr>
              <w:t>2</w:t>
            </w:r>
            <w:r>
              <w:rPr>
                <w:rFonts w:hint="eastAsia" w:cs="Times New Roman"/>
                <w:color w:val="auto"/>
                <w:kern w:val="0"/>
                <w:sz w:val="21"/>
                <w:szCs w:val="21"/>
                <w:highlight w:val="none"/>
                <w:lang w:val="en-US" w:eastAsia="zh-CN" w:bidi="ar-SA"/>
              </w:rPr>
              <w:t>约0.0014t/d</w:t>
            </w:r>
            <w:r>
              <w:rPr>
                <w:rFonts w:hint="default" w:ascii="Times New Roman" w:hAnsi="Times New Roman" w:eastAsia="宋体" w:cs="Times New Roman"/>
                <w:color w:val="auto"/>
                <w:kern w:val="0"/>
                <w:sz w:val="21"/>
                <w:szCs w:val="21"/>
                <w:highlight w:val="none"/>
                <w:lang w:val="en-US" w:eastAsia="zh-CN" w:bidi="ar-SA"/>
              </w:rPr>
              <w:t>。钻井期间排放的大气污染物将随钻井工程的结束而消失</w:t>
            </w:r>
            <w:r>
              <w:rPr>
                <w:rFonts w:hint="eastAsia" w:cs="Times New Roman"/>
                <w:color w:val="auto"/>
                <w:kern w:val="0"/>
                <w:sz w:val="21"/>
                <w:szCs w:val="21"/>
                <w:highlight w:val="none"/>
                <w:lang w:val="en-US" w:eastAsia="zh-CN" w:bidi="ar-SA"/>
              </w:rPr>
              <w:t>。</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单井试油期配备柴油发电机1台，柴油消耗量平均0.4t/井，主要用于井场照明，每口井试油期间共向大气中排放烃类：0.009t/井，CO：0.005t/井，NOx：0.025t/井，SO</w:t>
            </w:r>
            <w:r>
              <w:rPr>
                <w:rFonts w:hint="default" w:ascii="Times New Roman" w:hAnsi="Times New Roman" w:eastAsia="宋体" w:cs="Times New Roman"/>
                <w:color w:val="auto"/>
                <w:kern w:val="0"/>
                <w:sz w:val="21"/>
                <w:szCs w:val="21"/>
                <w:highlight w:val="none"/>
                <w:vertAlign w:val="sub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：0.0003t/井。试油期排放大气污染物将随工程的结束而消失。</w:t>
            </w:r>
          </w:p>
          <w:p>
            <w:pPr>
              <w:pStyle w:val="58"/>
              <w:keepNext w:val="0"/>
              <w:keepLines w:val="0"/>
              <w:pageBreakBefore w:val="0"/>
              <w:suppressLineNumbers w:val="0"/>
              <w:kinsoku/>
              <w:wordWrap/>
              <w:overflowPunct/>
              <w:topLinePunct w:val="0"/>
              <w:autoSpaceDE/>
              <w:autoSpaceDN/>
              <w:bidi w:val="0"/>
              <w:adjustRightInd/>
              <w:spacing w:before="0" w:beforeLines="-2147483648" w:beforeAutospacing="0" w:after="0" w:afterLines="-2147483648" w:afterAutospacing="0" w:line="360" w:lineRule="auto"/>
              <w:ind w:left="0" w:right="0" w:firstLine="480"/>
              <w:jc w:val="both"/>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环评要求钻井及试油期间定期对柴油机、柴油发电机等设备进行维护，并且采用高品质的柴油，使用检测合格的设备等措施，在很大程度上可降低柴油燃烧污染物的排放，减轻对大气环境的影响，使其污染排放浓度满足《大气污染物综合排放标准》（GB 16297-1996）无组织排放浓度限值。</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（2）施工期扬尘</w:t>
            </w:r>
          </w:p>
          <w:p>
            <w:pPr>
              <w:pStyle w:val="5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钻前工程井场、施工营地、探临道路及放喷管线施工过程中会产生施工扬尘，以及钻井期及试油期所用材料的装卸、运输、堆放以及施工车辆运输扬尘等，污染物主要为TSP。</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扬尘的产生及影响程度跟施工季节、施工管理和风力等气候因素有一定关系，如遇干旱大风扬尘影响则较为严重。根据类比资料，在一般气象条件下，平均风速2.6m/s的施工扬尘污染有如下特点：施工区域内TSP浓度为上风向对照点的1.5-2.3倍；在施工场地下风向150m处，TSP平均浓度可达0.49mg/N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左右，相当大气质量标准1.6倍。据有关研究，车辆行驶产生的扬尘占总扬尘的60%以上。扬尘的产生量及扬尘污染程度与车辆运输方式、路面状况、天气条件等因素关系密切，影响可达150-300m。如果在施工期间对车辆行驶的路面实施洒水抑尘，可使扬尘量减少，扬尘造成的TSP污染距离可缩小到20-50m范围。根据现场调查，本项目周边无</w:t>
            </w:r>
            <w:r>
              <w:rPr>
                <w:rFonts w:hint="default" w:ascii="Times New Roman" w:hAnsi="Times New Roman" w:cs="Times New Roman"/>
                <w:bCs/>
                <w:color w:val="auto"/>
                <w:sz w:val="21"/>
                <w:szCs w:val="21"/>
                <w:highlight w:val="none"/>
              </w:rPr>
              <w:t>居民居住区，施工扬尘随施工结束消失，对周边环境影响较小</w:t>
            </w:r>
            <w:r>
              <w:rPr>
                <w:rFonts w:hint="eastAsia" w:cs="Times New Roman"/>
                <w:bCs/>
                <w:color w:val="auto"/>
                <w:sz w:val="21"/>
                <w:szCs w:val="21"/>
                <w:highlight w:val="none"/>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3</w:t>
            </w:r>
            <w:r>
              <w:rPr>
                <w:rFonts w:hint="eastAsia"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伴生气</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由于本次评价主要针对钻井期，仅在试油过程中产生少量伴生气。伴生气是一种与石油共生的天然气，根据已钻井资料，井区无H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S等有害气体</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试油过程具有很大的不确定性，根据</w:t>
            </w:r>
            <w:r>
              <w:rPr>
                <w:rFonts w:hint="default" w:ascii="Times New Roman" w:hAnsi="Times New Roman" w:cs="Times New Roman"/>
                <w:color w:val="auto"/>
                <w:sz w:val="21"/>
                <w:szCs w:val="21"/>
                <w:highlight w:val="none"/>
                <w:lang w:val="en-US" w:eastAsia="zh-CN"/>
              </w:rPr>
              <w:t>《陆上石油天然气开采工业大气污染物排放标准》（GB39728-2020）</w:t>
            </w:r>
            <w:r>
              <w:rPr>
                <w:rFonts w:hint="default" w:ascii="Times New Roman" w:hAnsi="Times New Roman" w:cs="Times New Roman"/>
                <w:color w:val="auto"/>
                <w:sz w:val="21"/>
                <w:szCs w:val="21"/>
                <w:highlight w:val="none"/>
              </w:rPr>
              <w:t>要求，</w:t>
            </w:r>
            <w:r>
              <w:rPr>
                <w:rFonts w:hint="eastAsia" w:cs="Times New Roman"/>
                <w:color w:val="auto"/>
                <w:sz w:val="21"/>
                <w:szCs w:val="21"/>
                <w:highlight w:val="none"/>
                <w:lang w:val="en-US" w:eastAsia="zh-CN"/>
              </w:rPr>
              <w:t>本项目伴生气</w:t>
            </w:r>
            <w:r>
              <w:rPr>
                <w:rFonts w:hint="default" w:ascii="Times New Roman" w:hAnsi="Times New Roman" w:cs="Times New Roman"/>
                <w:color w:val="auto"/>
                <w:sz w:val="21"/>
                <w:szCs w:val="21"/>
                <w:highlight w:val="none"/>
              </w:rPr>
              <w:t>通过燃烧放空，伴生气主要成分为甲烷，通过放散管燃烧放空产生的废气主要有NO</w:t>
            </w:r>
            <w:r>
              <w:rPr>
                <w:rFonts w:hint="default" w:ascii="Times New Roman" w:hAnsi="Times New Roman" w:cs="Times New Roman"/>
                <w:color w:val="auto"/>
                <w:sz w:val="21"/>
                <w:szCs w:val="21"/>
                <w:highlight w:val="none"/>
                <w:vertAlign w:val="subscript"/>
              </w:rPr>
              <w:t>x</w:t>
            </w: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及</w:t>
            </w:r>
            <w:r>
              <w:rPr>
                <w:rFonts w:hint="eastAsia" w:cs="Times New Roman"/>
                <w:color w:val="auto"/>
                <w:sz w:val="21"/>
                <w:szCs w:val="21"/>
                <w:highlight w:val="none"/>
                <w:lang w:val="en-US" w:eastAsia="zh-CN"/>
              </w:rPr>
              <w:t>颗粒物</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本项目伴生气燃烧放空</w:t>
            </w:r>
            <w:r>
              <w:rPr>
                <w:rFonts w:hint="default" w:ascii="Times New Roman" w:hAnsi="Times New Roman" w:cs="Times New Roman"/>
                <w:color w:val="auto"/>
                <w:sz w:val="21"/>
                <w:szCs w:val="21"/>
                <w:highlight w:val="none"/>
              </w:rPr>
              <w:t>产生的污染物较少，随试油期结束而终止。</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伴生气（天然气）放空属于偶发工况，燃烧后污染物排放浓度很小，污染物排放量少，排放时间短，对环境空气质量影响小。</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bCs/>
                <w:color w:val="auto"/>
                <w:sz w:val="21"/>
                <w:szCs w:val="21"/>
                <w:highlight w:val="none"/>
                <w:lang w:eastAsia="zh-CN"/>
              </w:rPr>
            </w:pPr>
            <w:r>
              <w:rPr>
                <w:rFonts w:hint="default" w:ascii="Times New Roman" w:hAnsi="Times New Roman" w:cs="Times New Roman"/>
                <w:bCs/>
                <w:color w:val="auto"/>
                <w:sz w:val="21"/>
                <w:szCs w:val="21"/>
                <w:highlight w:val="none"/>
              </w:rPr>
              <w:t>施工期产生的污染是暂时性的，对环境的影响随着施工期的结束而消失，项目周边无集中固定人群居住，从影响时间、范围和程度来看，施工期废气对周围大气环境质量影响较小</w:t>
            </w:r>
            <w:r>
              <w:rPr>
                <w:rFonts w:hint="eastAsia" w:cs="Times New Roman"/>
                <w:bCs/>
                <w:color w:val="auto"/>
                <w:sz w:val="21"/>
                <w:szCs w:val="21"/>
                <w:highlight w:val="none"/>
                <w:lang w:eastAsia="zh-CN"/>
              </w:rPr>
              <w:t>。</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bCs/>
                <w:color w:val="auto"/>
                <w:sz w:val="21"/>
                <w:szCs w:val="21"/>
                <w:highlight w:val="none"/>
                <w:lang w:eastAsia="zh-CN"/>
              </w:rPr>
            </w:pPr>
          </w:p>
          <w:p>
            <w:pPr>
              <w:keepNext w:val="0"/>
              <w:keepLines w:val="0"/>
              <w:suppressLineNumbers w:val="0"/>
              <w:adjustRightInd w:val="0"/>
              <w:snapToGrid w:val="0"/>
              <w:spacing w:before="0" w:beforeAutospacing="0" w:after="0" w:afterAutospacing="0" w:line="360" w:lineRule="auto"/>
              <w:ind w:left="0" w:leftChars="0" w:right="0" w:firstLine="422" w:firstLineChars="200"/>
              <w:rPr>
                <w:rFonts w:hint="eastAsia" w:ascii="Times New Roman" w:hAnsi="Times New Roman" w:eastAsia="宋体" w:cs="Times New Roman"/>
                <w:color w:val="000000"/>
                <w:sz w:val="21"/>
                <w:szCs w:val="21"/>
                <w:highlight w:val="none"/>
                <w:lang w:val="en-US" w:eastAsia="zh-CN"/>
              </w:rPr>
            </w:pPr>
            <w:r>
              <w:rPr>
                <w:rFonts w:hint="eastAsia" w:cs="Times New Roman"/>
                <w:b/>
                <w:bCs/>
                <w:color w:val="000000"/>
                <w:sz w:val="21"/>
                <w:szCs w:val="21"/>
                <w:highlight w:val="none"/>
                <w:lang w:val="en-US" w:eastAsia="zh-CN"/>
              </w:rPr>
              <w:t>6</w:t>
            </w:r>
            <w:r>
              <w:rPr>
                <w:rFonts w:hint="eastAsia" w:ascii="Times New Roman" w:hAnsi="Times New Roman" w:eastAsia="宋体" w:cs="Times New Roman"/>
                <w:b/>
                <w:bCs/>
                <w:color w:val="000000"/>
                <w:sz w:val="21"/>
                <w:szCs w:val="21"/>
                <w:highlight w:val="none"/>
                <w:lang w:val="en-US" w:eastAsia="zh-CN"/>
              </w:rPr>
              <w:t>.水环境影响</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本项目</w:t>
            </w:r>
            <w:r>
              <w:rPr>
                <w:rFonts w:hint="default" w:ascii="Times New Roman" w:hAnsi="Times New Roman" w:eastAsia="宋体" w:cs="Times New Roman"/>
                <w:color w:val="auto"/>
                <w:kern w:val="0"/>
                <w:sz w:val="21"/>
                <w:szCs w:val="21"/>
                <w:highlight w:val="none"/>
                <w:lang w:val="en-US" w:eastAsia="zh-CN" w:bidi="ar-SA"/>
              </w:rPr>
              <w:t>产生的废水主要包括钻井废水、</w:t>
            </w:r>
            <w:r>
              <w:rPr>
                <w:rFonts w:hint="eastAsia" w:ascii="Times New Roman" w:hAnsi="Times New Roman" w:eastAsia="宋体" w:cs="Times New Roman"/>
                <w:color w:val="auto"/>
                <w:kern w:val="0"/>
                <w:sz w:val="21"/>
                <w:szCs w:val="21"/>
                <w:highlight w:val="none"/>
                <w:lang w:val="en-US" w:eastAsia="zh-CN" w:bidi="ar-SA"/>
              </w:rPr>
              <w:t>试油期井下作业废水</w:t>
            </w:r>
            <w:r>
              <w:rPr>
                <w:rFonts w:hint="default" w:ascii="Times New Roman" w:hAnsi="Times New Roman" w:eastAsia="宋体" w:cs="Times New Roman"/>
                <w:color w:val="auto"/>
                <w:kern w:val="0"/>
                <w:sz w:val="21"/>
                <w:szCs w:val="21"/>
                <w:highlight w:val="none"/>
                <w:lang w:val="en-US" w:eastAsia="zh-CN" w:bidi="ar-SA"/>
              </w:rPr>
              <w:t>以及生活污水。</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w:t>
            </w:r>
            <w:r>
              <w:rPr>
                <w:rFonts w:hint="default" w:ascii="Times New Roman" w:hAnsi="Times New Roman" w:eastAsia="宋体" w:cs="Times New Roman"/>
                <w:color w:val="auto"/>
                <w:kern w:val="0"/>
                <w:sz w:val="21"/>
                <w:szCs w:val="21"/>
                <w:highlight w:val="none"/>
                <w:lang w:val="en-US" w:eastAsia="zh-CN" w:bidi="ar-SA"/>
              </w:rPr>
              <w:t>钻井废水</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钻井废水由冲洗钻台、钻具、地面、设备用水及下钻时的泥浆流失物、泥浆循环系统的渗透物组成。根据类比调查，钻井废水中主要污染物浓度见表</w:t>
            </w:r>
            <w:r>
              <w:rPr>
                <w:rFonts w:hint="eastAsia" w:ascii="Times New Roman" w:hAnsi="Times New Roman" w:eastAsia="宋体" w:cs="Times New Roman"/>
                <w:color w:val="auto"/>
                <w:kern w:val="0"/>
                <w:sz w:val="21"/>
                <w:szCs w:val="21"/>
                <w:highlight w:val="none"/>
                <w:lang w:val="en-US" w:eastAsia="zh-CN" w:bidi="ar-SA"/>
              </w:rPr>
              <w:t>4.2</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center"/>
              <w:textAlignment w:val="auto"/>
              <w:rPr>
                <w:rFonts w:hint="default" w:ascii="黑体" w:hAnsi="黑体" w:eastAsia="黑体" w:cs="黑体"/>
                <w:color w:val="auto"/>
                <w:kern w:val="0"/>
                <w:sz w:val="21"/>
                <w:szCs w:val="21"/>
                <w:highlight w:val="none"/>
                <w:lang w:val="en-GB" w:eastAsia="zh-CN"/>
              </w:rPr>
            </w:pPr>
            <w:r>
              <w:rPr>
                <w:rFonts w:hint="default" w:ascii="黑体" w:hAnsi="黑体" w:eastAsia="黑体" w:cs="黑体"/>
                <w:color w:val="auto"/>
                <w:kern w:val="0"/>
                <w:sz w:val="21"/>
                <w:szCs w:val="21"/>
                <w:highlight w:val="none"/>
                <w:lang w:val="en-GB" w:eastAsia="zh-CN"/>
              </w:rPr>
              <w:t>表</w:t>
            </w:r>
            <w:r>
              <w:rPr>
                <w:rFonts w:hint="eastAsia" w:ascii="黑体" w:hAnsi="黑体" w:eastAsia="黑体" w:cs="黑体"/>
                <w:color w:val="auto"/>
                <w:kern w:val="0"/>
                <w:sz w:val="21"/>
                <w:szCs w:val="21"/>
                <w:highlight w:val="none"/>
                <w:lang w:val="en-US" w:eastAsia="zh-CN"/>
              </w:rPr>
              <w:t>4.2</w:t>
            </w:r>
            <w:r>
              <w:rPr>
                <w:rFonts w:hint="default" w:ascii="黑体" w:hAnsi="黑体" w:eastAsia="黑体" w:cs="黑体"/>
                <w:color w:val="auto"/>
                <w:kern w:val="0"/>
                <w:sz w:val="21"/>
                <w:szCs w:val="21"/>
                <w:highlight w:val="none"/>
                <w:lang w:val="en-GB" w:eastAsia="zh-CN"/>
              </w:rPr>
              <w:t xml:space="preserve">    钻井废水水质表</w:t>
            </w:r>
          </w:p>
          <w:tbl>
            <w:tblPr>
              <w:tblStyle w:val="20"/>
              <w:tblW w:w="48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218"/>
              <w:gridCol w:w="1218"/>
              <w:gridCol w:w="1200"/>
              <w:gridCol w:w="1205"/>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9" w:type="dxa"/>
                  <w:noWrap w:val="0"/>
                  <w:vAlign w:val="center"/>
                </w:tcPr>
                <w:p>
                  <w:pPr>
                    <w:keepNext w:val="0"/>
                    <w:keepLines w:val="0"/>
                    <w:widowControl w:val="0"/>
                    <w:suppressLineNumbers w:val="0"/>
                    <w:bidi w:val="0"/>
                    <w:adjustRightInd w:val="0"/>
                    <w:snapToGrid w:val="0"/>
                    <w:spacing w:before="10" w:beforeLines="10" w:beforeAutospacing="0" w:after="10" w:afterLines="10" w:afterAutospacing="0" w:line="259"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污染物</w:t>
                  </w:r>
                </w:p>
              </w:tc>
              <w:tc>
                <w:tcPr>
                  <w:tcW w:w="1218" w:type="dxa"/>
                  <w:noWrap w:val="0"/>
                  <w:vAlign w:val="center"/>
                </w:tcPr>
                <w:p>
                  <w:pPr>
                    <w:keepNext w:val="0"/>
                    <w:keepLines w:val="0"/>
                    <w:widowControl w:val="0"/>
                    <w:suppressLineNumbers w:val="0"/>
                    <w:bidi w:val="0"/>
                    <w:adjustRightInd w:val="0"/>
                    <w:snapToGrid w:val="0"/>
                    <w:spacing w:before="10" w:beforeLines="10" w:beforeAutospacing="0" w:after="10" w:afterLines="10" w:afterAutospacing="0" w:line="259"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SS</w:t>
                  </w:r>
                </w:p>
              </w:tc>
              <w:tc>
                <w:tcPr>
                  <w:tcW w:w="1218" w:type="dxa"/>
                  <w:noWrap w:val="0"/>
                  <w:vAlign w:val="center"/>
                </w:tcPr>
                <w:p>
                  <w:pPr>
                    <w:keepNext w:val="0"/>
                    <w:keepLines w:val="0"/>
                    <w:widowControl w:val="0"/>
                    <w:suppressLineNumbers w:val="0"/>
                    <w:bidi w:val="0"/>
                    <w:adjustRightInd w:val="0"/>
                    <w:snapToGrid w:val="0"/>
                    <w:spacing w:before="10" w:beforeLines="10" w:beforeAutospacing="0" w:after="10" w:afterLines="10" w:afterAutospacing="0" w:line="259"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COD</w:t>
                  </w:r>
                </w:p>
              </w:tc>
              <w:tc>
                <w:tcPr>
                  <w:tcW w:w="1200" w:type="dxa"/>
                  <w:noWrap w:val="0"/>
                  <w:vAlign w:val="center"/>
                </w:tcPr>
                <w:p>
                  <w:pPr>
                    <w:keepNext w:val="0"/>
                    <w:keepLines w:val="0"/>
                    <w:widowControl w:val="0"/>
                    <w:suppressLineNumbers w:val="0"/>
                    <w:bidi w:val="0"/>
                    <w:adjustRightInd w:val="0"/>
                    <w:snapToGrid w:val="0"/>
                    <w:spacing w:before="10" w:beforeLines="10" w:beforeAutospacing="0" w:after="10" w:afterLines="10" w:afterAutospacing="0" w:line="259"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石油类</w:t>
                  </w:r>
                </w:p>
              </w:tc>
              <w:tc>
                <w:tcPr>
                  <w:tcW w:w="1205" w:type="dxa"/>
                  <w:noWrap w:val="0"/>
                  <w:vAlign w:val="center"/>
                </w:tcPr>
                <w:p>
                  <w:pPr>
                    <w:keepNext w:val="0"/>
                    <w:keepLines w:val="0"/>
                    <w:widowControl w:val="0"/>
                    <w:suppressLineNumbers w:val="0"/>
                    <w:bidi w:val="0"/>
                    <w:adjustRightInd w:val="0"/>
                    <w:snapToGrid w:val="0"/>
                    <w:spacing w:before="10" w:beforeLines="10" w:beforeAutospacing="0" w:after="10" w:afterLines="10" w:afterAutospacing="0" w:line="259"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挥发酚</w:t>
                  </w:r>
                </w:p>
              </w:tc>
              <w:tc>
                <w:tcPr>
                  <w:tcW w:w="980" w:type="dxa"/>
                  <w:noWrap w:val="0"/>
                  <w:vAlign w:val="center"/>
                </w:tcPr>
                <w:p>
                  <w:pPr>
                    <w:keepNext w:val="0"/>
                    <w:keepLines w:val="0"/>
                    <w:widowControl w:val="0"/>
                    <w:suppressLineNumbers w:val="0"/>
                    <w:bidi w:val="0"/>
                    <w:adjustRightInd w:val="0"/>
                    <w:snapToGrid w:val="0"/>
                    <w:spacing w:before="10" w:beforeLines="10" w:beforeAutospacing="0" w:after="10" w:afterLines="10" w:afterAutospacing="0" w:line="259"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硫化物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9" w:type="dxa"/>
                  <w:noWrap w:val="0"/>
                  <w:vAlign w:val="center"/>
                </w:tcPr>
                <w:p>
                  <w:pPr>
                    <w:keepNext w:val="0"/>
                    <w:keepLines w:val="0"/>
                    <w:widowControl w:val="0"/>
                    <w:suppressLineNumbers w:val="0"/>
                    <w:bidi w:val="0"/>
                    <w:adjustRightInd w:val="0"/>
                    <w:snapToGrid w:val="0"/>
                    <w:spacing w:before="10" w:beforeLines="10" w:beforeAutospacing="0" w:after="10" w:afterLines="10" w:afterAutospacing="0" w:line="259"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浓度（mg/L）</w:t>
                  </w:r>
                </w:p>
              </w:tc>
              <w:tc>
                <w:tcPr>
                  <w:tcW w:w="1218" w:type="dxa"/>
                  <w:noWrap w:val="0"/>
                  <w:vAlign w:val="center"/>
                </w:tcPr>
                <w:p>
                  <w:pPr>
                    <w:keepNext w:val="0"/>
                    <w:keepLines w:val="0"/>
                    <w:widowControl w:val="0"/>
                    <w:suppressLineNumbers w:val="0"/>
                    <w:bidi w:val="0"/>
                    <w:adjustRightInd w:val="0"/>
                    <w:snapToGrid w:val="0"/>
                    <w:spacing w:before="10" w:beforeLines="10" w:beforeAutospacing="0" w:after="10" w:afterLines="10" w:afterAutospacing="0" w:line="259"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2000~2500</w:t>
                  </w:r>
                </w:p>
              </w:tc>
              <w:tc>
                <w:tcPr>
                  <w:tcW w:w="1218" w:type="dxa"/>
                  <w:noWrap w:val="0"/>
                  <w:vAlign w:val="center"/>
                </w:tcPr>
                <w:p>
                  <w:pPr>
                    <w:keepNext w:val="0"/>
                    <w:keepLines w:val="0"/>
                    <w:widowControl w:val="0"/>
                    <w:suppressLineNumbers w:val="0"/>
                    <w:bidi w:val="0"/>
                    <w:adjustRightInd w:val="0"/>
                    <w:snapToGrid w:val="0"/>
                    <w:spacing w:before="10" w:beforeLines="10" w:beforeAutospacing="0" w:after="10" w:afterLines="10" w:afterAutospacing="0" w:line="259"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3000~4000</w:t>
                  </w:r>
                </w:p>
              </w:tc>
              <w:tc>
                <w:tcPr>
                  <w:tcW w:w="1200" w:type="dxa"/>
                  <w:noWrap w:val="0"/>
                  <w:vAlign w:val="center"/>
                </w:tcPr>
                <w:p>
                  <w:pPr>
                    <w:keepNext w:val="0"/>
                    <w:keepLines w:val="0"/>
                    <w:widowControl w:val="0"/>
                    <w:suppressLineNumbers w:val="0"/>
                    <w:bidi w:val="0"/>
                    <w:adjustRightInd w:val="0"/>
                    <w:snapToGrid w:val="0"/>
                    <w:spacing w:before="10" w:beforeLines="10" w:beforeAutospacing="0" w:after="10" w:afterLines="10" w:afterAutospacing="0" w:line="259"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60~70</w:t>
                  </w:r>
                </w:p>
              </w:tc>
              <w:tc>
                <w:tcPr>
                  <w:tcW w:w="1205" w:type="dxa"/>
                  <w:noWrap w:val="0"/>
                  <w:vAlign w:val="center"/>
                </w:tcPr>
                <w:p>
                  <w:pPr>
                    <w:keepNext w:val="0"/>
                    <w:keepLines w:val="0"/>
                    <w:widowControl w:val="0"/>
                    <w:suppressLineNumbers w:val="0"/>
                    <w:bidi w:val="0"/>
                    <w:adjustRightInd w:val="0"/>
                    <w:snapToGrid w:val="0"/>
                    <w:spacing w:before="10" w:beforeLines="10" w:beforeAutospacing="0" w:after="10" w:afterLines="10" w:afterAutospacing="0" w:line="259"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0.1~0.2</w:t>
                  </w:r>
                </w:p>
              </w:tc>
              <w:tc>
                <w:tcPr>
                  <w:tcW w:w="980" w:type="dxa"/>
                  <w:noWrap w:val="0"/>
                  <w:vAlign w:val="center"/>
                </w:tcPr>
                <w:p>
                  <w:pPr>
                    <w:keepNext w:val="0"/>
                    <w:keepLines w:val="0"/>
                    <w:widowControl w:val="0"/>
                    <w:suppressLineNumbers w:val="0"/>
                    <w:bidi w:val="0"/>
                    <w:adjustRightInd w:val="0"/>
                    <w:snapToGrid w:val="0"/>
                    <w:spacing w:before="10" w:beforeLines="10" w:beforeAutospacing="0" w:after="10" w:afterLines="10" w:afterAutospacing="0" w:line="259"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0.2~0.3</w:t>
                  </w:r>
                </w:p>
              </w:tc>
            </w:tr>
          </w:tbl>
          <w:p>
            <w:pPr>
              <w:keepNext w:val="0"/>
              <w:keepLines w:val="0"/>
              <w:widowControl/>
              <w:suppressLineNumbers w:val="0"/>
              <w:spacing w:before="0" w:beforeAutospacing="0" w:after="0" w:afterAutospacing="0" w:line="360" w:lineRule="auto"/>
              <w:ind w:left="0" w:right="0" w:firstLine="396"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pacing w:val="-6"/>
                <w:kern w:val="0"/>
                <w:sz w:val="21"/>
                <w:szCs w:val="21"/>
                <w:highlight w:val="none"/>
                <w:lang w:val="en-US" w:eastAsia="zh-CN" w:bidi="ar-SA"/>
              </w:rPr>
              <w:t>根据环境统计结果，每百米进尺排放生产废水11.28m</w:t>
            </w:r>
            <w:r>
              <w:rPr>
                <w:rFonts w:hint="eastAsia" w:ascii="Times New Roman" w:hAnsi="Times New Roman" w:eastAsia="宋体" w:cs="Times New Roman"/>
                <w:color w:val="auto"/>
                <w:kern w:val="0"/>
                <w:sz w:val="21"/>
                <w:szCs w:val="21"/>
                <w:highlight w:val="none"/>
                <w:lang w:val="en-US" w:eastAsia="zh-CN" w:bidi="ar-SA"/>
              </w:rPr>
              <w:t>³。</w:t>
            </w:r>
            <w:r>
              <w:rPr>
                <w:rFonts w:hint="default" w:ascii="Times New Roman" w:hAnsi="Times New Roman" w:eastAsia="宋体" w:cs="Times New Roman"/>
                <w:color w:val="auto"/>
                <w:kern w:val="0"/>
                <w:sz w:val="21"/>
                <w:szCs w:val="21"/>
                <w:highlight w:val="none"/>
                <w:lang w:val="en-US" w:eastAsia="zh-CN" w:bidi="ar-SA"/>
              </w:rPr>
              <w:t>本次按总进尺深</w:t>
            </w:r>
            <w:r>
              <w:rPr>
                <w:rFonts w:hint="eastAsia" w:ascii="Times New Roman" w:hAnsi="Times New Roman" w:eastAsia="宋体" w:cs="Times New Roman"/>
                <w:color w:val="auto"/>
                <w:kern w:val="0"/>
                <w:sz w:val="21"/>
                <w:szCs w:val="21"/>
                <w:highlight w:val="none"/>
                <w:lang w:val="en-US" w:eastAsia="zh-CN" w:bidi="ar-SA"/>
              </w:rPr>
              <w:t>34366</w:t>
            </w:r>
            <w:r>
              <w:rPr>
                <w:rFonts w:hint="default" w:ascii="Times New Roman" w:hAnsi="Times New Roman" w:eastAsia="宋体" w:cs="Times New Roman"/>
                <w:color w:val="auto"/>
                <w:kern w:val="0"/>
                <w:sz w:val="21"/>
                <w:szCs w:val="21"/>
                <w:highlight w:val="none"/>
                <w:lang w:val="en-US" w:eastAsia="zh-CN" w:bidi="ar-SA"/>
              </w:rPr>
              <w:t>m计算，则钻井废水产生量为</w:t>
            </w:r>
            <w:r>
              <w:rPr>
                <w:rFonts w:hint="eastAsia" w:ascii="Times New Roman" w:hAnsi="Times New Roman" w:eastAsia="宋体" w:cs="Times New Roman"/>
                <w:color w:val="auto"/>
                <w:kern w:val="0"/>
                <w:sz w:val="21"/>
                <w:szCs w:val="21"/>
                <w:highlight w:val="none"/>
                <w:lang w:val="en-US" w:eastAsia="zh-CN" w:bidi="ar-SA"/>
              </w:rPr>
              <w:t>3877</w:t>
            </w:r>
            <w:r>
              <w:rPr>
                <w:rFonts w:hint="default" w:ascii="Times New Roman" w:hAnsi="Times New Roman" w:eastAsia="宋体" w:cs="Times New Roman"/>
                <w:color w:val="auto"/>
                <w:kern w:val="0"/>
                <w:sz w:val="21"/>
                <w:szCs w:val="21"/>
                <w:highlight w:val="none"/>
                <w:lang w:val="en-US" w:eastAsia="zh-CN" w:bidi="ar-SA"/>
              </w:rPr>
              <w:t>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。钻井废水与钻井泥浆、岩屑一同进入不落地系统处理，处理后的液相全部回用于钻井液配制，不外排。</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（2）施工期</w:t>
            </w:r>
            <w:r>
              <w:rPr>
                <w:rFonts w:hint="default" w:ascii="Times New Roman" w:hAnsi="Times New Roman" w:eastAsia="宋体" w:cs="Times New Roman"/>
                <w:color w:val="auto"/>
                <w:kern w:val="0"/>
                <w:sz w:val="21"/>
                <w:szCs w:val="21"/>
                <w:highlight w:val="none"/>
                <w:lang w:val="en-US" w:eastAsia="zh-CN" w:bidi="ar-SA"/>
              </w:rPr>
              <w:t>生活污水</w:t>
            </w:r>
          </w:p>
          <w:p>
            <w:pPr>
              <w:keepNext w:val="0"/>
              <w:keepLines w:val="0"/>
              <w:widowControl/>
              <w:suppressLineNumbers w:val="0"/>
              <w:spacing w:before="0" w:beforeAutospacing="0" w:after="0" w:afterAutospacing="0" w:line="360" w:lineRule="auto"/>
              <w:ind w:left="0" w:right="0" w:firstLine="420" w:firstLineChars="200"/>
              <w:jc w:val="both"/>
              <w:rPr>
                <w:rFonts w:hint="eastAsia" w:hAnsi="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钻井期常驻井场人员按50人，</w:t>
            </w:r>
            <w:r>
              <w:rPr>
                <w:rFonts w:hint="eastAsia" w:ascii="Times New Roman" w:hAnsi="Times New Roman" w:eastAsia="宋体" w:cs="Times New Roman"/>
                <w:color w:val="auto"/>
                <w:kern w:val="0"/>
                <w:sz w:val="21"/>
                <w:szCs w:val="21"/>
                <w:highlight w:val="none"/>
                <w:lang w:val="en-US" w:eastAsia="zh-CN" w:bidi="ar-SA"/>
              </w:rPr>
              <w:t>单井</w:t>
            </w:r>
            <w:r>
              <w:rPr>
                <w:rFonts w:hint="default" w:ascii="Times New Roman" w:hAnsi="Times New Roman" w:eastAsia="宋体" w:cs="Times New Roman"/>
                <w:color w:val="auto"/>
                <w:kern w:val="0"/>
                <w:sz w:val="21"/>
                <w:szCs w:val="21"/>
                <w:highlight w:val="none"/>
                <w:lang w:val="en-US" w:eastAsia="zh-CN" w:bidi="ar-SA"/>
              </w:rPr>
              <w:t>钻井期</w:t>
            </w:r>
            <w:r>
              <w:rPr>
                <w:rFonts w:hint="eastAsia" w:ascii="Times New Roman" w:hAnsi="Times New Roman" w:eastAsia="宋体" w:cs="Times New Roman"/>
                <w:color w:val="auto"/>
                <w:kern w:val="0"/>
                <w:sz w:val="21"/>
                <w:szCs w:val="21"/>
                <w:highlight w:val="none"/>
                <w:lang w:val="en-US" w:eastAsia="zh-CN" w:bidi="ar-SA"/>
              </w:rPr>
              <w:t>90</w:t>
            </w:r>
            <w:r>
              <w:rPr>
                <w:rFonts w:hint="default" w:ascii="Times New Roman" w:hAnsi="Times New Roman" w:eastAsia="宋体" w:cs="Times New Roman"/>
                <w:color w:val="auto"/>
                <w:kern w:val="0"/>
                <w:sz w:val="21"/>
                <w:szCs w:val="21"/>
                <w:highlight w:val="none"/>
                <w:lang w:val="en-US" w:eastAsia="zh-CN" w:bidi="ar-SA"/>
              </w:rPr>
              <w:t>天，每人每天生活用水100L计算，生活用水总量为</w:t>
            </w:r>
            <w:r>
              <w:rPr>
                <w:rFonts w:hint="eastAsia" w:ascii="Times New Roman" w:hAnsi="Times New Roman" w:eastAsia="宋体" w:cs="Times New Roman"/>
                <w:color w:val="auto"/>
                <w:kern w:val="0"/>
                <w:sz w:val="21"/>
                <w:szCs w:val="21"/>
                <w:highlight w:val="none"/>
                <w:lang w:val="en-US" w:eastAsia="zh-CN" w:bidi="ar-SA"/>
              </w:rPr>
              <w:t>2700</w:t>
            </w:r>
            <w:r>
              <w:rPr>
                <w:rFonts w:hint="default" w:ascii="Times New Roman" w:hAnsi="Times New Roman" w:eastAsia="宋体" w:cs="Times New Roman"/>
                <w:color w:val="auto"/>
                <w:kern w:val="0"/>
                <w:sz w:val="21"/>
                <w:szCs w:val="21"/>
                <w:highlight w:val="none"/>
                <w:lang w:val="en-US" w:eastAsia="zh-CN" w:bidi="ar-SA"/>
              </w:rPr>
              <w:t>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，生活污水排放量按用水量的80%计，则钻井期生活污水总产生量为</w:t>
            </w:r>
            <w:r>
              <w:rPr>
                <w:rFonts w:hint="eastAsia" w:ascii="Times New Roman" w:hAnsi="Times New Roman" w:eastAsia="宋体" w:cs="Times New Roman"/>
                <w:color w:val="auto"/>
                <w:kern w:val="0"/>
                <w:sz w:val="21"/>
                <w:szCs w:val="21"/>
                <w:highlight w:val="none"/>
                <w:lang w:val="en-US" w:eastAsia="zh-CN" w:bidi="ar-SA"/>
              </w:rPr>
              <w:t>2160</w:t>
            </w:r>
            <w:r>
              <w:rPr>
                <w:rFonts w:hint="default" w:ascii="Times New Roman" w:hAnsi="Times New Roman" w:eastAsia="宋体" w:cs="Times New Roman"/>
                <w:color w:val="auto"/>
                <w:kern w:val="0"/>
                <w:sz w:val="21"/>
                <w:szCs w:val="21"/>
                <w:highlight w:val="none"/>
                <w:lang w:val="en-US" w:eastAsia="zh-CN" w:bidi="ar-SA"/>
              </w:rPr>
              <w:t>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，生活污水中主要污染物为COD、NH</w:t>
            </w:r>
            <w:r>
              <w:rPr>
                <w:rFonts w:hint="default" w:ascii="Times New Roman" w:hAnsi="Times New Roman" w:eastAsia="宋体" w:cs="Times New Roman"/>
                <w:color w:val="auto"/>
                <w:kern w:val="0"/>
                <w:sz w:val="21"/>
                <w:szCs w:val="21"/>
                <w:highlight w:val="none"/>
                <w:vertAlign w:val="sub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-N、SS等，其主要指标浓度COD为350mg/L，NH</w:t>
            </w:r>
            <w:r>
              <w:rPr>
                <w:rFonts w:hint="default" w:ascii="Times New Roman" w:hAnsi="Times New Roman" w:eastAsia="宋体" w:cs="Times New Roman"/>
                <w:color w:val="auto"/>
                <w:kern w:val="0"/>
                <w:sz w:val="21"/>
                <w:szCs w:val="21"/>
                <w:highlight w:val="none"/>
                <w:vertAlign w:val="sub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-N为60mg/L、SS为240mg/L。</w:t>
            </w:r>
            <w:r>
              <w:rPr>
                <w:rFonts w:hint="eastAsia" w:ascii="Times New Roman" w:hAnsi="Times New Roman" w:eastAsia="宋体" w:cs="Times New Roman"/>
                <w:color w:val="auto"/>
                <w:kern w:val="0"/>
                <w:sz w:val="21"/>
                <w:szCs w:val="21"/>
                <w:highlight w:val="none"/>
                <w:lang w:val="en-US" w:eastAsia="zh-CN" w:bidi="ar-SA"/>
              </w:rPr>
              <w:t>试油期间产生的少量生活污水约</w:t>
            </w:r>
            <w:r>
              <w:rPr>
                <w:rFonts w:hint="default" w:ascii="Times New Roman" w:hAnsi="宋体" w:eastAsia="宋体" w:cs="Times New Roman"/>
                <w:color w:val="auto"/>
                <w:kern w:val="0"/>
                <w:sz w:val="21"/>
                <w:szCs w:val="21"/>
                <w:highlight w:val="none"/>
                <w:lang w:val="en-US" w:eastAsia="zh-CN" w:bidi="ar-SA"/>
              </w:rPr>
              <w:t>为</w:t>
            </w:r>
            <w:r>
              <w:rPr>
                <w:rFonts w:hint="eastAsia" w:ascii="Times New Roman" w:hAnsi="宋体" w:eastAsia="宋体" w:cs="Times New Roman"/>
                <w:color w:val="auto"/>
                <w:kern w:val="0"/>
                <w:sz w:val="21"/>
                <w:szCs w:val="21"/>
                <w:highlight w:val="none"/>
                <w:lang w:val="en-US" w:eastAsia="zh-CN" w:bidi="ar-SA"/>
              </w:rPr>
              <w:t>48</w:t>
            </w:r>
            <w:r>
              <w:rPr>
                <w:rFonts w:hint="default" w:ascii="Times New Roman" w:hAnsi="宋体" w:eastAsia="宋体" w:cs="Times New Roman"/>
                <w:color w:val="auto"/>
                <w:kern w:val="0"/>
                <w:sz w:val="21"/>
                <w:szCs w:val="21"/>
                <w:highlight w:val="none"/>
                <w:lang w:val="en-US" w:eastAsia="zh-CN" w:bidi="ar-SA"/>
              </w:rPr>
              <w:t>m</w:t>
            </w:r>
            <w:r>
              <w:rPr>
                <w:rFonts w:hint="default" w:ascii="Times New Roman" w:hAnsi="宋体" w:eastAsia="宋体" w:cs="Times New Roman"/>
                <w:color w:val="auto"/>
                <w:kern w:val="0"/>
                <w:sz w:val="21"/>
                <w:szCs w:val="21"/>
                <w:highlight w:val="none"/>
                <w:vertAlign w:val="superscript"/>
                <w:lang w:val="en-US" w:eastAsia="zh-CN" w:bidi="ar-SA"/>
              </w:rPr>
              <w:t>3</w:t>
            </w:r>
            <w:r>
              <w:rPr>
                <w:rFonts w:hint="eastAsia" w:hAnsi="宋体" w:cs="Times New Roman"/>
                <w:color w:val="auto"/>
                <w:kern w:val="0"/>
                <w:sz w:val="21"/>
                <w:szCs w:val="21"/>
                <w:highlight w:val="none"/>
                <w:lang w:val="en-US" w:eastAsia="zh-CN" w:bidi="ar-SA"/>
              </w:rPr>
              <w:t>。</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宋体" w:eastAsia="宋体" w:cs="Times New Roman"/>
                <w:color w:val="auto"/>
                <w:kern w:val="0"/>
                <w:sz w:val="21"/>
                <w:szCs w:val="21"/>
                <w:highlight w:val="none"/>
                <w:lang w:val="en-US" w:eastAsia="zh-CN" w:bidi="ar-SA"/>
              </w:rPr>
              <w:t>生活污水排入环保厕所，定期拉运至中石化新疆新春采油厂生产管理区污水处理站进行处理，确保生活污水不外排</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w:t>
            </w:r>
            <w:r>
              <w:rPr>
                <w:rFonts w:hint="eastAsia" w:ascii="Times New Roman" w:hAnsi="宋体" w:eastAsia="宋体" w:cs="Times New Roman"/>
                <w:color w:val="auto"/>
                <w:kern w:val="0"/>
                <w:sz w:val="21"/>
                <w:szCs w:val="21"/>
                <w:highlight w:val="none"/>
                <w:lang w:val="en-US" w:eastAsia="zh-CN" w:bidi="ar-SA"/>
              </w:rPr>
              <w:t>试油期</w:t>
            </w:r>
            <w:r>
              <w:rPr>
                <w:rFonts w:hint="eastAsia" w:hAnsi="宋体" w:cs="Times New Roman"/>
                <w:color w:val="auto"/>
                <w:kern w:val="0"/>
                <w:sz w:val="21"/>
                <w:szCs w:val="21"/>
                <w:highlight w:val="none"/>
                <w:lang w:val="en-US" w:eastAsia="zh-CN" w:bidi="ar-SA"/>
              </w:rPr>
              <w:t>采出水及</w:t>
            </w:r>
            <w:r>
              <w:rPr>
                <w:rFonts w:hint="eastAsia" w:ascii="Times New Roman" w:hAnsi="宋体" w:eastAsia="宋体" w:cs="Times New Roman"/>
                <w:color w:val="auto"/>
                <w:kern w:val="0"/>
                <w:sz w:val="21"/>
                <w:szCs w:val="21"/>
                <w:highlight w:val="none"/>
                <w:lang w:val="en-US" w:eastAsia="zh-CN" w:bidi="ar-SA"/>
              </w:rPr>
              <w:t>井下作业废水</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宋体" w:eastAsia="宋体" w:cs="Times New Roman"/>
                <w:color w:val="auto"/>
                <w:kern w:val="0"/>
                <w:sz w:val="21"/>
                <w:szCs w:val="21"/>
                <w:highlight w:val="none"/>
                <w:lang w:val="en-US" w:eastAsia="zh-CN" w:bidi="ar-SA"/>
              </w:rPr>
            </w:pPr>
            <w:r>
              <w:rPr>
                <w:rFonts w:hint="default" w:ascii="Times New Roman" w:hAnsi="宋体" w:eastAsia="宋体" w:cs="Times New Roman"/>
                <w:color w:val="auto"/>
                <w:kern w:val="0"/>
                <w:sz w:val="21"/>
                <w:szCs w:val="21"/>
                <w:highlight w:val="none"/>
                <w:lang w:val="en-US" w:eastAsia="zh-CN" w:bidi="ar-SA"/>
              </w:rPr>
              <w:t>根据设计资料，</w:t>
            </w:r>
            <w:r>
              <w:rPr>
                <w:rFonts w:hint="eastAsia" w:ascii="Times New Roman" w:hAnsi="宋体" w:eastAsia="宋体" w:cs="Times New Roman"/>
                <w:color w:val="auto"/>
                <w:kern w:val="0"/>
                <w:sz w:val="21"/>
                <w:szCs w:val="21"/>
                <w:highlight w:val="none"/>
                <w:lang w:val="en-US" w:eastAsia="zh-CN" w:bidi="ar-SA"/>
              </w:rPr>
              <w:t>试油期</w:t>
            </w:r>
            <w:r>
              <w:rPr>
                <w:rFonts w:hint="eastAsia" w:hAnsi="宋体" w:cs="Times New Roman"/>
                <w:color w:val="auto"/>
                <w:kern w:val="0"/>
                <w:sz w:val="21"/>
                <w:szCs w:val="21"/>
                <w:highlight w:val="none"/>
                <w:lang w:val="en-US" w:eastAsia="zh-CN" w:bidi="ar-SA"/>
              </w:rPr>
              <w:t>产生少量</w:t>
            </w:r>
            <w:r>
              <w:rPr>
                <w:rFonts w:hint="eastAsia" w:ascii="Times New Roman" w:hAnsi="宋体" w:eastAsia="宋体" w:cs="Times New Roman"/>
                <w:color w:val="auto"/>
                <w:kern w:val="0"/>
                <w:sz w:val="21"/>
                <w:szCs w:val="21"/>
                <w:highlight w:val="none"/>
                <w:lang w:val="en-US" w:eastAsia="zh-CN" w:bidi="ar-SA"/>
              </w:rPr>
              <w:t>采出水</w:t>
            </w:r>
            <w:r>
              <w:rPr>
                <w:rFonts w:hint="eastAsia" w:hAnsi="宋体" w:cs="Times New Roman"/>
                <w:color w:val="auto"/>
                <w:kern w:val="0"/>
                <w:sz w:val="21"/>
                <w:szCs w:val="21"/>
                <w:highlight w:val="none"/>
                <w:lang w:val="en-US" w:eastAsia="zh-CN" w:bidi="ar-SA"/>
              </w:rPr>
              <w:t>及</w:t>
            </w:r>
            <w:r>
              <w:rPr>
                <w:rFonts w:hint="eastAsia" w:ascii="Times New Roman" w:hAnsi="宋体" w:eastAsia="宋体" w:cs="Times New Roman"/>
                <w:color w:val="auto"/>
                <w:kern w:val="0"/>
                <w:sz w:val="21"/>
                <w:szCs w:val="21"/>
                <w:highlight w:val="none"/>
                <w:lang w:val="en-US" w:eastAsia="zh-CN" w:bidi="ar-SA"/>
              </w:rPr>
              <w:t>360</w:t>
            </w:r>
            <w:r>
              <w:rPr>
                <w:rFonts w:hint="default" w:ascii="Times New Roman" w:hAnsi="宋体" w:eastAsia="宋体" w:cs="Times New Roman"/>
                <w:color w:val="auto"/>
                <w:kern w:val="0"/>
                <w:sz w:val="21"/>
                <w:szCs w:val="21"/>
                <w:highlight w:val="none"/>
                <w:lang w:val="en-US" w:eastAsia="zh-CN" w:bidi="ar-SA"/>
              </w:rPr>
              <w:t>m</w:t>
            </w:r>
            <w:r>
              <w:rPr>
                <w:rFonts w:hint="default" w:ascii="Times New Roman" w:hAnsi="宋体" w:eastAsia="宋体" w:cs="Times New Roman"/>
                <w:color w:val="auto"/>
                <w:kern w:val="0"/>
                <w:sz w:val="21"/>
                <w:szCs w:val="21"/>
                <w:highlight w:val="none"/>
                <w:vertAlign w:val="superscript"/>
                <w:lang w:val="en-US" w:eastAsia="zh-CN" w:bidi="ar-SA"/>
              </w:rPr>
              <w:t>3</w:t>
            </w:r>
            <w:r>
              <w:rPr>
                <w:rFonts w:hint="eastAsia" w:ascii="Times New Roman" w:hAnsi="宋体" w:eastAsia="宋体" w:cs="Times New Roman"/>
                <w:color w:val="auto"/>
                <w:kern w:val="0"/>
                <w:sz w:val="21"/>
                <w:szCs w:val="21"/>
                <w:highlight w:val="none"/>
                <w:lang w:val="en-US" w:eastAsia="zh-CN" w:bidi="ar-SA"/>
              </w:rPr>
              <w:t>井下作业废水</w:t>
            </w:r>
            <w:r>
              <w:rPr>
                <w:rFonts w:hint="default" w:ascii="Times New Roman" w:hAnsi="宋体" w:eastAsia="宋体" w:cs="Times New Roman"/>
                <w:color w:val="auto"/>
                <w:kern w:val="0"/>
                <w:sz w:val="21"/>
                <w:szCs w:val="21"/>
                <w:highlight w:val="none"/>
                <w:lang w:val="en-US" w:eastAsia="zh-CN" w:bidi="ar-SA"/>
              </w:rPr>
              <w:t>，</w:t>
            </w:r>
            <w:r>
              <w:rPr>
                <w:rFonts w:hint="eastAsia" w:ascii="Times New Roman" w:hAnsi="宋体" w:eastAsia="宋体" w:cs="Times New Roman"/>
                <w:color w:val="auto"/>
                <w:kern w:val="0"/>
                <w:sz w:val="21"/>
                <w:szCs w:val="21"/>
                <w:highlight w:val="none"/>
                <w:lang w:val="en-US" w:eastAsia="zh-CN" w:bidi="ar-SA"/>
              </w:rPr>
              <w:t>经春风一号联合站污水处理系统进行处理</w:t>
            </w:r>
            <w:r>
              <w:rPr>
                <w:rFonts w:hint="default" w:ascii="Times New Roman" w:hAnsi="宋体" w:eastAsia="宋体" w:cs="Times New Roman"/>
                <w:color w:val="auto"/>
                <w:kern w:val="0"/>
                <w:sz w:val="21"/>
                <w:szCs w:val="21"/>
                <w:highlight w:val="none"/>
                <w:lang w:val="en-US" w:eastAsia="zh-CN" w:bidi="ar-SA"/>
              </w:rPr>
              <w:t>，处理达到《碎屑岩油藏注水水质指标及分析方法》(SY/T5329-2012)中推荐水质标准要求后回注</w:t>
            </w:r>
            <w:r>
              <w:rPr>
                <w:rFonts w:hint="eastAsia" w:ascii="Times New Roman" w:hAnsi="宋体" w:eastAsia="宋体" w:cs="Times New Roman"/>
                <w:color w:val="auto"/>
                <w:kern w:val="0"/>
                <w:sz w:val="21"/>
                <w:szCs w:val="21"/>
                <w:highlight w:val="none"/>
                <w:lang w:val="en-US" w:eastAsia="zh-CN" w:bidi="ar-SA"/>
              </w:rPr>
              <w:t>。</w:t>
            </w:r>
          </w:p>
          <w:p>
            <w:pPr>
              <w:keepNext w:val="0"/>
              <w:keepLines w:val="0"/>
              <w:suppressLineNumbers w:val="0"/>
              <w:spacing w:before="0" w:beforeLines="0" w:beforeAutospacing="0" w:after="0" w:afterLines="0" w:afterAutospacing="0" w:line="360" w:lineRule="auto"/>
              <w:ind w:left="0" w:right="0" w:firstLine="411" w:firstLineChars="196"/>
              <w:rPr>
                <w:rFonts w:hint="eastAsia"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由于本</w:t>
            </w:r>
            <w:r>
              <w:rPr>
                <w:rFonts w:hint="eastAsia" w:cs="Times New Roman"/>
                <w:color w:val="auto"/>
                <w:kern w:val="0"/>
                <w:sz w:val="21"/>
                <w:szCs w:val="21"/>
                <w:highlight w:val="none"/>
                <w:lang w:val="en-US" w:eastAsia="zh-CN" w:bidi="ar-SA"/>
              </w:rPr>
              <w:t>项目</w:t>
            </w:r>
            <w:r>
              <w:rPr>
                <w:rFonts w:hint="default" w:ascii="Times New Roman" w:hAnsi="Times New Roman" w:eastAsia="宋体" w:cs="Times New Roman"/>
                <w:color w:val="auto"/>
                <w:kern w:val="0"/>
                <w:sz w:val="21"/>
                <w:szCs w:val="21"/>
                <w:highlight w:val="none"/>
                <w:lang w:val="en-US" w:eastAsia="zh-CN" w:bidi="ar-SA"/>
              </w:rPr>
              <w:t>采油目的层与地下水处于不同层系，远远超出本区域地下水含水层深度。</w:t>
            </w:r>
            <w:r>
              <w:rPr>
                <w:rFonts w:hint="eastAsia" w:cs="Times New Roman"/>
                <w:color w:val="auto"/>
                <w:kern w:val="0"/>
                <w:sz w:val="21"/>
                <w:szCs w:val="21"/>
                <w:highlight w:val="none"/>
                <w:lang w:val="en-US" w:eastAsia="zh-CN" w:bidi="ar-SA"/>
              </w:rPr>
              <w:t>本项目</w:t>
            </w:r>
            <w:r>
              <w:rPr>
                <w:rFonts w:hint="default" w:ascii="Times New Roman" w:hAnsi="Times New Roman" w:eastAsia="宋体" w:cs="Times New Roman"/>
                <w:color w:val="auto"/>
                <w:kern w:val="0"/>
                <w:sz w:val="21"/>
                <w:szCs w:val="21"/>
                <w:highlight w:val="none"/>
                <w:lang w:val="en-US" w:eastAsia="zh-CN" w:bidi="ar-SA"/>
              </w:rPr>
              <w:t>在施工过程中采用下套管注水泥浆方式进行了固井，对含水层进行了固封处理，可有效保护地下水层</w:t>
            </w:r>
            <w:r>
              <w:rPr>
                <w:rFonts w:hint="eastAsia" w:cs="Times New Roman"/>
                <w:color w:val="auto"/>
                <w:kern w:val="0"/>
                <w:sz w:val="21"/>
                <w:szCs w:val="21"/>
                <w:highlight w:val="none"/>
                <w:lang w:val="en-US" w:eastAsia="zh-CN" w:bidi="ar-SA"/>
              </w:rPr>
              <w:t>。</w:t>
            </w:r>
          </w:p>
          <w:p>
            <w:pPr>
              <w:keepNext w:val="0"/>
              <w:keepLines w:val="0"/>
              <w:suppressLineNumbers w:val="0"/>
              <w:adjustRightInd w:val="0"/>
              <w:snapToGrid w:val="0"/>
              <w:spacing w:before="0" w:beforeAutospacing="0" w:after="0" w:afterAutospacing="0" w:line="360" w:lineRule="auto"/>
              <w:ind w:left="0" w:leftChars="0" w:right="0" w:firstLine="422" w:firstLineChars="200"/>
              <w:rPr>
                <w:rFonts w:hint="eastAsia" w:ascii="Times New Roman" w:hAnsi="Times New Roman" w:eastAsia="宋体" w:cs="Times New Roman"/>
                <w:color w:val="000000"/>
                <w:sz w:val="21"/>
                <w:szCs w:val="21"/>
                <w:highlight w:val="none"/>
                <w:lang w:val="en-US" w:eastAsia="zh-CN"/>
              </w:rPr>
            </w:pPr>
            <w:r>
              <w:rPr>
                <w:rFonts w:hint="eastAsia" w:cs="Times New Roman"/>
                <w:b/>
                <w:bCs/>
                <w:color w:val="000000"/>
                <w:sz w:val="21"/>
                <w:szCs w:val="21"/>
                <w:highlight w:val="none"/>
                <w:lang w:val="en-US" w:eastAsia="zh-CN"/>
              </w:rPr>
              <w:t>7</w:t>
            </w:r>
            <w:r>
              <w:rPr>
                <w:rFonts w:hint="eastAsia" w:ascii="Times New Roman" w:hAnsi="Times New Roman" w:eastAsia="宋体" w:cs="Times New Roman"/>
                <w:b/>
                <w:bCs/>
                <w:color w:val="000000"/>
                <w:sz w:val="21"/>
                <w:szCs w:val="21"/>
                <w:highlight w:val="none"/>
                <w:lang w:val="en-US" w:eastAsia="zh-CN"/>
              </w:rPr>
              <w:t>.噪声环境影响分析</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钻井过程中的噪声主要来自钻机、泥浆泵等机械设备，排放情况见表</w:t>
            </w:r>
            <w:r>
              <w:rPr>
                <w:rFonts w:hint="eastAsia" w:ascii="Times New Roman" w:hAnsi="Times New Roman" w:eastAsia="宋体" w:cs="Times New Roman"/>
                <w:color w:val="auto"/>
                <w:kern w:val="0"/>
                <w:sz w:val="21"/>
                <w:szCs w:val="21"/>
                <w:highlight w:val="none"/>
                <w:lang w:val="en-US" w:eastAsia="zh-CN" w:bidi="ar-SA"/>
              </w:rPr>
              <w:t>4.3</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center"/>
              <w:textAlignment w:val="auto"/>
              <w:rPr>
                <w:rFonts w:hint="default" w:ascii="黑体" w:hAnsi="黑体" w:eastAsia="黑体" w:cs="黑体"/>
                <w:color w:val="auto"/>
                <w:kern w:val="0"/>
                <w:sz w:val="21"/>
                <w:szCs w:val="21"/>
                <w:highlight w:val="none"/>
                <w:lang w:val="en-GB" w:eastAsia="zh-CN"/>
              </w:rPr>
            </w:pPr>
            <w:r>
              <w:rPr>
                <w:rFonts w:hint="default" w:ascii="黑体" w:hAnsi="黑体" w:eastAsia="黑体" w:cs="黑体"/>
                <w:color w:val="auto"/>
                <w:kern w:val="0"/>
                <w:sz w:val="21"/>
                <w:szCs w:val="21"/>
                <w:highlight w:val="none"/>
                <w:lang w:val="en-GB" w:eastAsia="zh-CN"/>
              </w:rPr>
              <w:t>表</w:t>
            </w:r>
            <w:r>
              <w:rPr>
                <w:rFonts w:hint="eastAsia" w:ascii="黑体" w:hAnsi="黑体" w:eastAsia="黑体" w:cs="黑体"/>
                <w:color w:val="auto"/>
                <w:kern w:val="0"/>
                <w:sz w:val="21"/>
                <w:szCs w:val="21"/>
                <w:highlight w:val="none"/>
                <w:lang w:val="en-US" w:eastAsia="zh-CN"/>
              </w:rPr>
              <w:t>4.3</w:t>
            </w:r>
            <w:r>
              <w:rPr>
                <w:rFonts w:hint="default" w:ascii="黑体" w:hAnsi="黑体" w:eastAsia="黑体" w:cs="黑体"/>
                <w:color w:val="auto"/>
                <w:kern w:val="0"/>
                <w:sz w:val="21"/>
                <w:szCs w:val="21"/>
                <w:highlight w:val="none"/>
                <w:lang w:val="en-GB" w:eastAsia="zh-CN"/>
              </w:rPr>
              <w:t xml:space="preserve">    噪声排放情况</w:t>
            </w:r>
          </w:p>
          <w:tbl>
            <w:tblPr>
              <w:tblStyle w:val="20"/>
              <w:tblW w:w="45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3249"/>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jc w:val="center"/>
              </w:trPr>
              <w:tc>
                <w:tcPr>
                  <w:tcW w:w="1355" w:type="dxa"/>
                  <w:noWrap w:val="0"/>
                  <w:vAlign w:val="center"/>
                </w:tcPr>
                <w:p>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位置</w:t>
                  </w:r>
                </w:p>
              </w:tc>
              <w:tc>
                <w:tcPr>
                  <w:tcW w:w="3249" w:type="dxa"/>
                  <w:noWrap w:val="0"/>
                  <w:vAlign w:val="center"/>
                </w:tcPr>
                <w:p>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噪声源</w:t>
                  </w:r>
                </w:p>
              </w:tc>
              <w:tc>
                <w:tcPr>
                  <w:tcW w:w="2043" w:type="dxa"/>
                  <w:noWrap w:val="0"/>
                  <w:vAlign w:val="center"/>
                </w:tcPr>
                <w:p>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源强dB(A)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 w:hRule="atLeast"/>
                <w:jc w:val="center"/>
              </w:trPr>
              <w:tc>
                <w:tcPr>
                  <w:tcW w:w="1355" w:type="dxa"/>
                  <w:vMerge w:val="restart"/>
                  <w:noWrap w:val="0"/>
                  <w:vAlign w:val="center"/>
                </w:tcPr>
                <w:p>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井场</w:t>
                  </w:r>
                </w:p>
              </w:tc>
              <w:tc>
                <w:tcPr>
                  <w:tcW w:w="3249" w:type="dxa"/>
                  <w:noWrap w:val="0"/>
                  <w:vAlign w:val="center"/>
                </w:tcPr>
                <w:p>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钻机</w:t>
                  </w:r>
                </w:p>
              </w:tc>
              <w:tc>
                <w:tcPr>
                  <w:tcW w:w="2043" w:type="dxa"/>
                  <w:noWrap w:val="0"/>
                  <w:vAlign w:val="center"/>
                </w:tcPr>
                <w:p>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 w:hRule="atLeast"/>
                <w:jc w:val="center"/>
              </w:trPr>
              <w:tc>
                <w:tcPr>
                  <w:tcW w:w="1355" w:type="dxa"/>
                  <w:vMerge w:val="continue"/>
                  <w:noWrap w:val="0"/>
                  <w:vAlign w:val="center"/>
                </w:tcPr>
                <w:p>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p>
              </w:tc>
              <w:tc>
                <w:tcPr>
                  <w:tcW w:w="3249" w:type="dxa"/>
                  <w:noWrap w:val="0"/>
                  <w:vAlign w:val="center"/>
                </w:tcPr>
                <w:p>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泥浆泵</w:t>
                  </w:r>
                </w:p>
              </w:tc>
              <w:tc>
                <w:tcPr>
                  <w:tcW w:w="2043" w:type="dxa"/>
                  <w:noWrap w:val="0"/>
                  <w:vAlign w:val="center"/>
                </w:tcPr>
                <w:p>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95~100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55" w:type="dxa"/>
                  <w:vMerge w:val="restart"/>
                  <w:noWrap w:val="0"/>
                  <w:vAlign w:val="center"/>
                </w:tcPr>
                <w:p>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进场道路</w:t>
                  </w:r>
                </w:p>
              </w:tc>
              <w:tc>
                <w:tcPr>
                  <w:tcW w:w="3249" w:type="dxa"/>
                  <w:noWrap w:val="0"/>
                  <w:vAlign w:val="center"/>
                </w:tcPr>
                <w:p>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运输车辆</w:t>
                  </w:r>
                </w:p>
              </w:tc>
              <w:tc>
                <w:tcPr>
                  <w:tcW w:w="2043" w:type="dxa"/>
                  <w:noWrap w:val="0"/>
                  <w:vAlign w:val="center"/>
                </w:tcPr>
                <w:p>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78~85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jc w:val="center"/>
              </w:trPr>
              <w:tc>
                <w:tcPr>
                  <w:tcW w:w="1355" w:type="dxa"/>
                  <w:vMerge w:val="continue"/>
                  <w:noWrap w:val="0"/>
                  <w:vAlign w:val="center"/>
                </w:tcPr>
                <w:p>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p>
              </w:tc>
              <w:tc>
                <w:tcPr>
                  <w:tcW w:w="3249" w:type="dxa"/>
                  <w:noWrap w:val="0"/>
                  <w:vAlign w:val="center"/>
                </w:tcPr>
                <w:p>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压路机</w:t>
                  </w:r>
                </w:p>
              </w:tc>
              <w:tc>
                <w:tcPr>
                  <w:tcW w:w="2043" w:type="dxa"/>
                  <w:noWrap w:val="0"/>
                  <w:vAlign w:val="center"/>
                </w:tcPr>
                <w:p>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80~85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hAnsi="Times New Roman"/>
                <w:color w:val="auto"/>
                <w:sz w:val="21"/>
                <w:szCs w:val="21"/>
                <w:highlight w:val="none"/>
              </w:rPr>
              <w:t>试油期间噪声主要为测试放喷时产生的高压气流噪声，噪声源强90~100dB(A)</w:t>
            </w:r>
            <w:r>
              <w:rPr>
                <w:rFonts w:hint="eastAsia" w:hAnsi="Times New Roman"/>
                <w:color w:val="auto"/>
                <w:sz w:val="21"/>
                <w:szCs w:val="21"/>
                <w:highlight w:val="none"/>
                <w:lang w:eastAsia="zh-CN"/>
              </w:rPr>
              <w:t>。</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bCs/>
                <w:szCs w:val="21"/>
                <w:highlight w:val="none"/>
                <w:lang w:val="en-US" w:eastAsia="zh-CN"/>
              </w:rPr>
            </w:pPr>
            <w:r>
              <w:rPr>
                <w:rFonts w:hint="eastAsia" w:cs="Times New Roman"/>
                <w:color w:val="auto"/>
                <w:kern w:val="0"/>
                <w:sz w:val="21"/>
                <w:szCs w:val="21"/>
                <w:highlight w:val="none"/>
                <w:lang w:val="en-US" w:eastAsia="zh-CN" w:bidi="ar-SA"/>
              </w:rPr>
              <w:t>本项目</w:t>
            </w:r>
            <w:r>
              <w:rPr>
                <w:rFonts w:hint="eastAsia" w:ascii="Times New Roman" w:hAnsi="Times New Roman" w:eastAsia="宋体" w:cs="Times New Roman"/>
                <w:color w:val="auto"/>
                <w:kern w:val="0"/>
                <w:sz w:val="21"/>
                <w:szCs w:val="21"/>
                <w:highlight w:val="none"/>
                <w:lang w:val="en-US" w:eastAsia="zh-CN" w:bidi="ar-SA"/>
              </w:rPr>
              <w:t>噪声源主要包括钻井用柴油发电机、钻机、柴油机，以及地面建设中各种施工机械及机动车辆。施工期间，钻机的施工场界的噪声按照《建筑施工场界环境噪声排放标准》（GB12523-2011）进行规范管理，对高噪声设备采取隔声措施，并加强机械设备的保养，保证机械设备的正常运转，以降低施工设备运转的噪声</w:t>
            </w:r>
            <w:r>
              <w:rPr>
                <w:rFonts w:hint="eastAsia" w:cs="Times New Roman"/>
                <w:color w:val="auto"/>
                <w:kern w:val="0"/>
                <w:sz w:val="21"/>
                <w:szCs w:val="21"/>
                <w:highlight w:val="none"/>
                <w:lang w:val="en-US" w:eastAsia="zh-CN" w:bidi="ar-SA"/>
              </w:rPr>
              <w:t>。</w:t>
            </w:r>
          </w:p>
          <w:p>
            <w:pPr>
              <w:keepNext w:val="0"/>
              <w:keepLines w:val="0"/>
              <w:suppressLineNumbers w:val="0"/>
              <w:adjustRightInd w:val="0"/>
              <w:snapToGrid w:val="0"/>
              <w:spacing w:before="0" w:beforeAutospacing="0" w:after="0" w:afterAutospacing="0" w:line="360" w:lineRule="auto"/>
              <w:ind w:left="0" w:leftChars="0" w:right="0" w:firstLine="422" w:firstLineChars="200"/>
              <w:rPr>
                <w:rFonts w:hint="eastAsia" w:ascii="Times New Roman" w:hAnsi="Times New Roman" w:eastAsia="宋体" w:cs="Times New Roman"/>
                <w:color w:val="000000"/>
                <w:sz w:val="21"/>
                <w:szCs w:val="21"/>
                <w:highlight w:val="none"/>
                <w:lang w:val="en-US" w:eastAsia="zh-CN"/>
              </w:rPr>
            </w:pPr>
            <w:r>
              <w:rPr>
                <w:rFonts w:hint="eastAsia" w:cs="Times New Roman"/>
                <w:b/>
                <w:bCs/>
                <w:color w:val="000000"/>
                <w:sz w:val="21"/>
                <w:szCs w:val="21"/>
                <w:highlight w:val="none"/>
                <w:lang w:val="en-US" w:eastAsia="zh-CN"/>
              </w:rPr>
              <w:t>8</w:t>
            </w:r>
            <w:r>
              <w:rPr>
                <w:rFonts w:hint="eastAsia" w:ascii="Times New Roman" w:hAnsi="Times New Roman" w:eastAsia="宋体" w:cs="Times New Roman"/>
                <w:b/>
                <w:bCs/>
                <w:color w:val="000000"/>
                <w:sz w:val="21"/>
                <w:szCs w:val="21"/>
                <w:highlight w:val="none"/>
                <w:lang w:val="en-US" w:eastAsia="zh-CN"/>
              </w:rPr>
              <w:t>.固体废物环境影响分析</w:t>
            </w:r>
          </w:p>
          <w:p>
            <w:pPr>
              <w:pStyle w:val="8"/>
              <w:keepNext w:val="0"/>
              <w:keepLines w:val="0"/>
              <w:suppressLineNumbers w:val="0"/>
              <w:spacing w:before="0" w:beforeLines="0" w:beforeAutospacing="0" w:after="0" w:afterLines="0" w:afterAutospacing="0" w:line="360" w:lineRule="auto"/>
              <w:ind w:left="0" w:right="0" w:firstLine="480"/>
              <w:rPr>
                <w:rFonts w:hint="eastAsia"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eastAsia="zh-CN"/>
              </w:rPr>
              <w:t>本项目</w:t>
            </w:r>
            <w:r>
              <w:rPr>
                <w:rFonts w:hint="eastAsia" w:ascii="Times New Roman" w:hAnsi="Times New Roman" w:cs="Times New Roman"/>
                <w:color w:val="000000"/>
                <w:sz w:val="21"/>
                <w:szCs w:val="21"/>
                <w:highlight w:val="none"/>
              </w:rPr>
              <w:t>产生的固体废物主要为钻井岩屑、钻井泥浆、生活垃圾及机械设备废油。</w:t>
            </w:r>
          </w:p>
          <w:p>
            <w:pPr>
              <w:pStyle w:val="8"/>
              <w:keepNext w:val="0"/>
              <w:keepLines w:val="0"/>
              <w:suppressLineNumbers w:val="0"/>
              <w:spacing w:before="0" w:beforeLines="0" w:beforeAutospacing="0" w:after="0" w:afterLines="0" w:afterAutospacing="0" w:line="360" w:lineRule="auto"/>
              <w:ind w:left="0" w:right="0" w:firstLine="480"/>
              <w:rPr>
                <w:rFonts w:hint="eastAsia"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rPr>
              <w:t>（1）钻井泥浆</w:t>
            </w:r>
          </w:p>
          <w:p>
            <w:pPr>
              <w:pStyle w:val="8"/>
              <w:keepNext w:val="0"/>
              <w:keepLines w:val="0"/>
              <w:suppressLineNumbers w:val="0"/>
              <w:spacing w:before="0" w:beforeLines="0" w:beforeAutospacing="0" w:after="0" w:afterLines="0" w:afterAutospacing="0" w:line="360" w:lineRule="auto"/>
              <w:ind w:left="0" w:right="0" w:firstLine="480"/>
              <w:rPr>
                <w:rFonts w:hint="eastAsia" w:ascii="Times New Roman" w:hAnsi="Times New Roman" w:cs="Times New Roman"/>
                <w:color w:val="000000"/>
                <w:sz w:val="21"/>
                <w:szCs w:val="21"/>
                <w:highlight w:val="none"/>
                <w:lang w:eastAsia="zh-CN"/>
              </w:rPr>
            </w:pPr>
            <w:r>
              <w:rPr>
                <w:rFonts w:hint="eastAsia" w:ascii="Times New Roman" w:hAnsi="Times New Roman" w:cs="Times New Roman"/>
                <w:color w:val="000000"/>
                <w:sz w:val="21"/>
                <w:szCs w:val="21"/>
                <w:highlight w:val="none"/>
              </w:rPr>
              <w:t>钻井泥浆的排放量依井的深度而增加，其排放量计算采用《油田开发环境影响评价文集》中的经验公式</w:t>
            </w:r>
            <w:r>
              <w:rPr>
                <w:rFonts w:hint="eastAsia" w:ascii="Times New Roman" w:hAnsi="Times New Roman" w:cs="Times New Roman"/>
                <w:color w:val="000000"/>
                <w:sz w:val="21"/>
                <w:szCs w:val="21"/>
                <w:highlight w:val="none"/>
                <w:lang w:eastAsia="zh-CN"/>
              </w:rPr>
              <w:t>：</w:t>
            </w:r>
          </w:p>
          <w:p>
            <w:pPr>
              <w:pStyle w:val="8"/>
              <w:keepNext w:val="0"/>
              <w:keepLines w:val="0"/>
              <w:suppressLineNumbers w:val="0"/>
              <w:spacing w:before="0" w:beforeLines="0" w:beforeAutospacing="0" w:after="0" w:afterLines="0" w:afterAutospacing="0" w:line="360" w:lineRule="auto"/>
              <w:ind w:left="0" w:leftChars="0" w:right="0" w:rightChars="0" w:firstLine="0" w:firstLineChars="0"/>
              <w:jc w:val="center"/>
              <w:rPr>
                <w:rFonts w:hint="eastAsia" w:ascii="Times New Roman" w:hAnsi="Times New Roman" w:cs="Times New Roman"/>
                <w:color w:val="000000"/>
                <w:sz w:val="21"/>
                <w:szCs w:val="21"/>
                <w:highlight w:val="none"/>
                <w:lang w:eastAsia="zh-CN"/>
              </w:rPr>
            </w:pPr>
            <w:r>
              <w:rPr>
                <w:color w:val="auto"/>
                <w:sz w:val="21"/>
                <w:szCs w:val="21"/>
                <w:highlight w:val="none"/>
              </w:rPr>
              <w:drawing>
                <wp:inline distT="0" distB="0" distL="114300" distR="114300">
                  <wp:extent cx="2026920" cy="392430"/>
                  <wp:effectExtent l="0" t="0" r="0" b="6985"/>
                  <wp:docPr id="22" name="图片 7" descr="C:\DOCUME~1\ADMINI~1\LOCALS~1\Temp\ksohtml\wps_clip_imag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C:\DOCUME~1\ADMINI~1\LOCALS~1\Temp\ksohtml\wps_clip_image1.wmf"/>
                          <pic:cNvPicPr>
                            <a:picLocks noChangeAspect="1"/>
                          </pic:cNvPicPr>
                        </pic:nvPicPr>
                        <pic:blipFill>
                          <a:blip r:embed="rId27"/>
                          <a:stretch>
                            <a:fillRect/>
                          </a:stretch>
                        </pic:blipFill>
                        <pic:spPr>
                          <a:xfrm>
                            <a:off x="0" y="0"/>
                            <a:ext cx="2026920" cy="39243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式中：V——排到地面上的泥浆量（m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      D——井眼的直径（m）；</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 xml:space="preserve">      h——井深（m）；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0"/>
              <w:jc w:val="both"/>
              <w:textAlignment w:val="auto"/>
              <w:rPr>
                <w:rFonts w:hint="default" w:ascii="Times New Roman" w:hAnsi="宋体" w:eastAsia="宋体" w:cs="Times New Roman"/>
                <w:b/>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w:t>
            </w:r>
            <w:r>
              <w:rPr>
                <w:rFonts w:hint="eastAsia" w:ascii="Times New Roman" w:hAnsi="Times New Roman" w:eastAsia="宋体" w:cs="Times New Roman"/>
                <w:color w:val="auto"/>
                <w:kern w:val="0"/>
                <w:sz w:val="21"/>
                <w:szCs w:val="21"/>
                <w:highlight w:val="none"/>
                <w:lang w:val="en-US" w:eastAsia="zh-CN" w:bidi="ar-SA"/>
              </w:rPr>
              <w:t>项目</w:t>
            </w:r>
            <w:r>
              <w:rPr>
                <w:rFonts w:hint="default" w:ascii="Times New Roman" w:hAnsi="Times New Roman" w:eastAsia="宋体" w:cs="Times New Roman"/>
                <w:color w:val="auto"/>
                <w:kern w:val="0"/>
                <w:sz w:val="21"/>
                <w:szCs w:val="21"/>
                <w:highlight w:val="none"/>
                <w:lang w:val="en-US" w:eastAsia="zh-CN" w:bidi="ar-SA"/>
              </w:rPr>
              <w:t>新钻井</w:t>
            </w:r>
            <w:r>
              <w:rPr>
                <w:rFonts w:hint="eastAsia" w:ascii="Times New Roman" w:hAnsi="Times New Roman" w:eastAsia="宋体" w:cs="Times New Roman"/>
                <w:color w:val="auto"/>
                <w:kern w:val="0"/>
                <w:sz w:val="21"/>
                <w:szCs w:val="21"/>
                <w:highlight w:val="none"/>
                <w:lang w:val="en-US" w:eastAsia="zh-CN" w:bidi="ar-SA"/>
              </w:rPr>
              <w:t>6</w:t>
            </w:r>
            <w:r>
              <w:rPr>
                <w:rFonts w:hint="default" w:ascii="Times New Roman" w:hAnsi="Times New Roman" w:eastAsia="宋体" w:cs="Times New Roman"/>
                <w:color w:val="auto"/>
                <w:kern w:val="0"/>
                <w:sz w:val="21"/>
                <w:szCs w:val="21"/>
                <w:highlight w:val="none"/>
                <w:lang w:val="en-US" w:eastAsia="zh-CN" w:bidi="ar-SA"/>
              </w:rPr>
              <w:t>口，</w:t>
            </w:r>
            <w:r>
              <w:rPr>
                <w:rFonts w:hint="eastAsia" w:ascii="Times New Roman" w:hAnsi="Times New Roman" w:eastAsia="宋体" w:cs="Times New Roman"/>
                <w:color w:val="auto"/>
                <w:kern w:val="0"/>
                <w:sz w:val="21"/>
                <w:szCs w:val="21"/>
                <w:highlight w:val="none"/>
                <w:lang w:val="en-US" w:eastAsia="zh-CN" w:bidi="ar-SA"/>
              </w:rPr>
              <w:t>总钻井进尺34366m</w:t>
            </w:r>
            <w:r>
              <w:rPr>
                <w:rFonts w:hint="default" w:ascii="Times New Roman" w:hAnsi="Times New Roman" w:eastAsia="宋体"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一开、二开产生的泥浆均为水基非磺化泥浆，三开为合成基泥浆（油基</w:t>
            </w:r>
            <w:r>
              <w:rPr>
                <w:rFonts w:hint="eastAsia" w:cs="Times New Roman"/>
                <w:color w:val="auto"/>
                <w:kern w:val="0"/>
                <w:sz w:val="21"/>
                <w:szCs w:val="21"/>
                <w:highlight w:val="none"/>
                <w:lang w:val="en-US" w:eastAsia="zh-CN" w:bidi="ar-SA"/>
              </w:rPr>
              <w:t>，废物代码：071-001-08</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钻井泥浆产生量见表</w:t>
            </w:r>
            <w:r>
              <w:rPr>
                <w:rFonts w:hint="eastAsia" w:ascii="Times New Roman" w:hAnsi="Times New Roman" w:eastAsia="宋体" w:cs="Times New Roman"/>
                <w:color w:val="auto"/>
                <w:kern w:val="0"/>
                <w:sz w:val="21"/>
                <w:szCs w:val="21"/>
                <w:highlight w:val="none"/>
                <w:lang w:val="en-US" w:eastAsia="zh-CN" w:bidi="ar-SA"/>
              </w:rPr>
              <w:t>4.4</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center"/>
              <w:textAlignment w:val="auto"/>
              <w:rPr>
                <w:rFonts w:hint="default" w:ascii="黑体" w:hAnsi="黑体" w:eastAsia="黑体" w:cs="黑体"/>
                <w:color w:val="auto"/>
                <w:kern w:val="0"/>
                <w:sz w:val="21"/>
                <w:szCs w:val="21"/>
                <w:highlight w:val="none"/>
                <w:lang w:val="en-GB" w:eastAsia="zh-CN"/>
              </w:rPr>
            </w:pPr>
            <w:r>
              <w:rPr>
                <w:rFonts w:hint="default" w:ascii="黑体" w:hAnsi="黑体" w:eastAsia="黑体" w:cs="黑体"/>
                <w:color w:val="auto"/>
                <w:kern w:val="0"/>
                <w:sz w:val="21"/>
                <w:szCs w:val="21"/>
                <w:highlight w:val="none"/>
                <w:lang w:val="en-GB" w:eastAsia="zh-CN"/>
              </w:rPr>
              <w:t>表</w:t>
            </w:r>
            <w:r>
              <w:rPr>
                <w:rFonts w:hint="eastAsia" w:ascii="黑体" w:hAnsi="黑体" w:eastAsia="黑体" w:cs="黑体"/>
                <w:color w:val="auto"/>
                <w:kern w:val="0"/>
                <w:sz w:val="21"/>
                <w:szCs w:val="21"/>
                <w:highlight w:val="none"/>
                <w:lang w:val="en-US" w:eastAsia="zh-CN"/>
              </w:rPr>
              <w:t>4.4</w:t>
            </w:r>
            <w:r>
              <w:rPr>
                <w:rFonts w:hint="default" w:ascii="黑体" w:hAnsi="黑体" w:eastAsia="黑体" w:cs="黑体"/>
                <w:color w:val="auto"/>
                <w:kern w:val="0"/>
                <w:sz w:val="21"/>
                <w:szCs w:val="21"/>
                <w:highlight w:val="none"/>
                <w:lang w:val="en-GB" w:eastAsia="zh-CN"/>
              </w:rPr>
              <w:t xml:space="preserve">   本</w:t>
            </w:r>
            <w:r>
              <w:rPr>
                <w:rFonts w:hint="eastAsia" w:ascii="黑体" w:hAnsi="黑体" w:eastAsia="黑体" w:cs="黑体"/>
                <w:color w:val="auto"/>
                <w:kern w:val="0"/>
                <w:sz w:val="21"/>
                <w:szCs w:val="21"/>
                <w:highlight w:val="none"/>
                <w:lang w:val="en-US" w:eastAsia="zh-CN"/>
              </w:rPr>
              <w:t>项目</w:t>
            </w:r>
            <w:r>
              <w:rPr>
                <w:rFonts w:hint="default" w:ascii="黑体" w:hAnsi="黑体" w:eastAsia="黑体" w:cs="黑体"/>
                <w:color w:val="auto"/>
                <w:kern w:val="0"/>
                <w:sz w:val="21"/>
                <w:szCs w:val="21"/>
                <w:highlight w:val="none"/>
                <w:lang w:val="en-GB" w:eastAsia="zh-CN"/>
              </w:rPr>
              <w:t>钻井泥浆产生量</w:t>
            </w:r>
          </w:p>
          <w:tbl>
            <w:tblPr>
              <w:tblStyle w:val="20"/>
              <w:tblW w:w="7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035"/>
              <w:gridCol w:w="965"/>
              <w:gridCol w:w="860"/>
              <w:gridCol w:w="1077"/>
              <w:gridCol w:w="682"/>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454"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sz w:val="21"/>
                    </w:rPr>
                  </w:pPr>
                  <w:r>
                    <w:rPr>
                      <w:rFonts w:hint="eastAsia" w:eastAsia="宋体"/>
                      <w:sz w:val="21"/>
                    </w:rPr>
                    <w:t>开钻次序</w:t>
                  </w:r>
                </w:p>
              </w:tc>
              <w:tc>
                <w:tcPr>
                  <w:tcW w:w="712" w:type="pct"/>
                  <w:vMerge w:val="restart"/>
                  <w:tcBorders>
                    <w:top w:val="single" w:color="auto" w:sz="4" w:space="0"/>
                    <w:left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76" w:lineRule="auto"/>
                    <w:ind w:left="0" w:right="0"/>
                    <w:rPr>
                      <w:rFonts w:hint="default"/>
                      <w:sz w:val="21"/>
                    </w:rPr>
                  </w:pPr>
                  <w:r>
                    <w:rPr>
                      <w:rFonts w:hint="eastAsia"/>
                      <w:sz w:val="21"/>
                    </w:rPr>
                    <w:t>钻头尺寸（mm）</w:t>
                  </w:r>
                </w:p>
              </w:tc>
              <w:tc>
                <w:tcPr>
                  <w:tcW w:w="1996"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eastAsia="宋体"/>
                      <w:sz w:val="21"/>
                    </w:rPr>
                  </w:pPr>
                  <w:r>
                    <w:rPr>
                      <w:rFonts w:hint="eastAsia" w:eastAsia="宋体"/>
                      <w:sz w:val="21"/>
                    </w:rPr>
                    <w:t>泥浆量m</w:t>
                  </w:r>
                  <w:r>
                    <w:rPr>
                      <w:rFonts w:hint="default"/>
                      <w:sz w:val="21"/>
                      <w:vertAlign w:val="superscript"/>
                    </w:rPr>
                    <w:t>3</w:t>
                  </w:r>
                </w:p>
              </w:tc>
              <w:tc>
                <w:tcPr>
                  <w:tcW w:w="469"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leftChars="0" w:right="0" w:rightChars="0" w:firstLine="0" w:firstLineChars="0"/>
                    <w:jc w:val="center"/>
                    <w:rPr>
                      <w:rFonts w:hint="default"/>
                      <w:sz w:val="21"/>
                    </w:rPr>
                  </w:pPr>
                  <w:r>
                    <w:rPr>
                      <w:rFonts w:hint="eastAsia" w:eastAsia="宋体"/>
                      <w:sz w:val="21"/>
                    </w:rPr>
                    <w:t>小计</w:t>
                  </w:r>
                </w:p>
              </w:tc>
              <w:tc>
                <w:tcPr>
                  <w:tcW w:w="1367"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sz w:val="21"/>
                    </w:rPr>
                  </w:pPr>
                  <w:r>
                    <w:rPr>
                      <w:rFonts w:hint="eastAsia" w:eastAsia="宋体"/>
                      <w:sz w:val="21"/>
                    </w:rPr>
                    <w:t>钻井液体系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blHeader/>
                <w:jc w:val="center"/>
              </w:trPr>
              <w:tc>
                <w:tcPr>
                  <w:tcW w:w="454"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eastAsia="宋体"/>
                      <w:sz w:val="21"/>
                    </w:rPr>
                  </w:pPr>
                </w:p>
              </w:tc>
              <w:tc>
                <w:tcPr>
                  <w:tcW w:w="712" w:type="pct"/>
                  <w:vMerge w:val="continue"/>
                  <w:tcBorders>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line="276" w:lineRule="auto"/>
                    <w:ind w:left="0" w:right="0"/>
                    <w:rPr>
                      <w:rFonts w:hint="eastAsia"/>
                      <w:sz w:val="21"/>
                    </w:rPr>
                  </w:pPr>
                </w:p>
              </w:tc>
              <w:tc>
                <w:tcPr>
                  <w:tcW w:w="66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eastAsia="宋体"/>
                      <w:sz w:val="21"/>
                    </w:rPr>
                  </w:pPr>
                  <w:r>
                    <w:rPr>
                      <w:rFonts w:hint="eastAsia"/>
                      <w:sz w:val="21"/>
                      <w:lang w:val="en-US" w:eastAsia="zh-CN"/>
                    </w:rPr>
                    <w:t>永进</w:t>
                  </w:r>
                  <w:r>
                    <w:rPr>
                      <w:rFonts w:hint="eastAsia" w:eastAsia="宋体"/>
                      <w:sz w:val="21"/>
                    </w:rPr>
                    <w:t>1-5</w:t>
                  </w:r>
                </w:p>
              </w:tc>
              <w:tc>
                <w:tcPr>
                  <w:tcW w:w="59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eastAsia="宋体"/>
                      <w:sz w:val="21"/>
                    </w:rPr>
                  </w:pPr>
                  <w:r>
                    <w:rPr>
                      <w:rFonts w:hint="eastAsia" w:eastAsia="宋体"/>
                      <w:sz w:val="21"/>
                    </w:rPr>
                    <w:t>3-平16</w:t>
                  </w:r>
                </w:p>
              </w:tc>
              <w:tc>
                <w:tcPr>
                  <w:tcW w:w="741" w:type="pct"/>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ind w:left="0" w:right="0"/>
                    <w:jc w:val="center"/>
                    <w:rPr>
                      <w:rFonts w:hint="eastAsia" w:eastAsia="宋体"/>
                      <w:sz w:val="21"/>
                      <w:lang w:val="en-US" w:eastAsia="zh-CN"/>
                    </w:rPr>
                  </w:pPr>
                  <w:r>
                    <w:rPr>
                      <w:rFonts w:hint="eastAsia" w:eastAsia="宋体"/>
                      <w:sz w:val="21"/>
                    </w:rPr>
                    <w:t>3-斜11</w:t>
                  </w:r>
                  <w:r>
                    <w:rPr>
                      <w:rFonts w:hint="eastAsia"/>
                      <w:sz w:val="21"/>
                      <w:lang w:val="en-US" w:eastAsia="zh-CN"/>
                    </w:rPr>
                    <w:t>等</w:t>
                  </w:r>
                </w:p>
              </w:tc>
              <w:tc>
                <w:tcPr>
                  <w:tcW w:w="469" w:type="pct"/>
                  <w:vMerge w:val="continue"/>
                  <w:tcBorders>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ind w:left="0" w:right="0"/>
                    <w:jc w:val="center"/>
                    <w:rPr>
                      <w:rFonts w:hint="eastAsia" w:eastAsia="宋体"/>
                      <w:sz w:val="21"/>
                    </w:rPr>
                  </w:pPr>
                </w:p>
              </w:tc>
              <w:tc>
                <w:tcPr>
                  <w:tcW w:w="1367"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sz w:val="21"/>
                    </w:rPr>
                  </w:pPr>
                  <w:r>
                    <w:rPr>
                      <w:rFonts w:hint="eastAsia" w:eastAsia="宋体"/>
                      <w:sz w:val="21"/>
                    </w:rPr>
                    <w:t>一开</w:t>
                  </w:r>
                </w:p>
              </w:tc>
              <w:tc>
                <w:tcPr>
                  <w:tcW w:w="71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ind w:left="0" w:right="0"/>
                    <w:rPr>
                      <w:rFonts w:hint="default"/>
                      <w:sz w:val="21"/>
                    </w:rPr>
                  </w:pPr>
                  <w:r>
                    <w:rPr>
                      <w:rFonts w:hint="default"/>
                      <w:sz w:val="21"/>
                    </w:rPr>
                    <w:t>Φ444.5</w:t>
                  </w:r>
                </w:p>
              </w:tc>
              <w:tc>
                <w:tcPr>
                  <w:tcW w:w="66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等线"/>
                      <w:sz w:val="21"/>
                      <w:lang w:val="en-US" w:eastAsia="zh-CN"/>
                    </w:rPr>
                  </w:pPr>
                  <w:r>
                    <w:rPr>
                      <w:rFonts w:hint="eastAsia" w:ascii="Times New Roman" w:hAnsi="Times New Roman" w:eastAsia="等线"/>
                      <w:sz w:val="21"/>
                      <w:lang w:val="en-US" w:eastAsia="zh-CN"/>
                    </w:rPr>
                    <w:t>194</w:t>
                  </w:r>
                </w:p>
              </w:tc>
              <w:tc>
                <w:tcPr>
                  <w:tcW w:w="59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eastAsia="宋体"/>
                      <w:sz w:val="21"/>
                      <w:lang w:val="en-US" w:eastAsia="zh-CN"/>
                    </w:rPr>
                  </w:pPr>
                  <w:r>
                    <w:rPr>
                      <w:rFonts w:hint="eastAsia"/>
                      <w:sz w:val="21"/>
                      <w:lang w:val="en-US" w:eastAsia="zh-CN"/>
                    </w:rPr>
                    <w:t>171</w:t>
                  </w:r>
                </w:p>
              </w:tc>
              <w:tc>
                <w:tcPr>
                  <w:tcW w:w="741" w:type="pct"/>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等线"/>
                      <w:sz w:val="21"/>
                      <w:lang w:val="en-US" w:eastAsia="zh-CN"/>
                    </w:rPr>
                  </w:pPr>
                  <w:r>
                    <w:rPr>
                      <w:rFonts w:hint="eastAsia" w:ascii="Times New Roman" w:hAnsi="Times New Roman" w:eastAsia="等线"/>
                      <w:sz w:val="21"/>
                      <w:lang w:val="en-US" w:eastAsia="zh-CN"/>
                    </w:rPr>
                    <w:t>171</w:t>
                  </w:r>
                </w:p>
              </w:tc>
              <w:tc>
                <w:tcPr>
                  <w:tcW w:w="469" w:type="pct"/>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ind w:left="0" w:right="0"/>
                    <w:jc w:val="center"/>
                    <w:rPr>
                      <w:rFonts w:hint="default" w:eastAsia="宋体"/>
                      <w:sz w:val="21"/>
                      <w:lang w:val="en-US" w:eastAsia="zh-CN"/>
                    </w:rPr>
                  </w:pPr>
                  <w:r>
                    <w:rPr>
                      <w:rFonts w:hint="eastAsia"/>
                      <w:sz w:val="21"/>
                      <w:lang w:val="en-US" w:eastAsia="zh-CN"/>
                    </w:rPr>
                    <w:t>1049</w:t>
                  </w:r>
                </w:p>
              </w:tc>
              <w:tc>
                <w:tcPr>
                  <w:tcW w:w="136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等线"/>
                      <w:sz w:val="21"/>
                    </w:rPr>
                  </w:pPr>
                  <w:r>
                    <w:rPr>
                      <w:rFonts w:hint="eastAsia" w:eastAsia="宋体"/>
                      <w:spacing w:val="-17"/>
                      <w:sz w:val="21"/>
                    </w:rPr>
                    <w:t>水基非磺化泥浆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sz w:val="21"/>
                    </w:rPr>
                  </w:pPr>
                  <w:r>
                    <w:rPr>
                      <w:rFonts w:hint="eastAsia" w:eastAsia="宋体"/>
                      <w:sz w:val="21"/>
                    </w:rPr>
                    <w:t>二开</w:t>
                  </w:r>
                </w:p>
              </w:tc>
              <w:tc>
                <w:tcPr>
                  <w:tcW w:w="71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ind w:left="0" w:right="0"/>
                    <w:rPr>
                      <w:rFonts w:hint="default"/>
                      <w:sz w:val="21"/>
                    </w:rPr>
                  </w:pPr>
                  <w:r>
                    <w:rPr>
                      <w:rFonts w:hint="default"/>
                      <w:sz w:val="21"/>
                    </w:rPr>
                    <w:t>Φ311.2</w:t>
                  </w:r>
                </w:p>
              </w:tc>
              <w:tc>
                <w:tcPr>
                  <w:tcW w:w="66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等线"/>
                      <w:sz w:val="21"/>
                      <w:lang w:val="en-US" w:eastAsia="zh-CN"/>
                    </w:rPr>
                  </w:pPr>
                  <w:r>
                    <w:rPr>
                      <w:rFonts w:hint="eastAsia" w:ascii="Times New Roman" w:hAnsi="Times New Roman" w:eastAsia="等线"/>
                      <w:sz w:val="21"/>
                      <w:lang w:val="en-US" w:eastAsia="zh-CN"/>
                    </w:rPr>
                    <w:t>354</w:t>
                  </w:r>
                </w:p>
              </w:tc>
              <w:tc>
                <w:tcPr>
                  <w:tcW w:w="59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eastAsia="宋体"/>
                      <w:sz w:val="21"/>
                      <w:lang w:val="en-US" w:eastAsia="zh-CN"/>
                    </w:rPr>
                  </w:pPr>
                  <w:r>
                    <w:rPr>
                      <w:rFonts w:hint="eastAsia"/>
                      <w:sz w:val="21"/>
                      <w:lang w:val="en-US" w:eastAsia="zh-CN"/>
                    </w:rPr>
                    <w:t>384</w:t>
                  </w:r>
                </w:p>
              </w:tc>
              <w:tc>
                <w:tcPr>
                  <w:tcW w:w="741" w:type="pct"/>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等线"/>
                      <w:sz w:val="21"/>
                      <w:lang w:val="en-US" w:eastAsia="zh-CN"/>
                    </w:rPr>
                  </w:pPr>
                  <w:r>
                    <w:rPr>
                      <w:rFonts w:hint="eastAsia" w:ascii="Times New Roman" w:hAnsi="Times New Roman" w:eastAsia="等线"/>
                      <w:sz w:val="21"/>
                      <w:lang w:val="en-US" w:eastAsia="zh-CN"/>
                    </w:rPr>
                    <w:t>376</w:t>
                  </w:r>
                </w:p>
              </w:tc>
              <w:tc>
                <w:tcPr>
                  <w:tcW w:w="469" w:type="pct"/>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ind w:left="0" w:right="0"/>
                    <w:jc w:val="center"/>
                    <w:rPr>
                      <w:rFonts w:hint="default" w:eastAsia="宋体"/>
                      <w:sz w:val="21"/>
                      <w:lang w:val="en-US" w:eastAsia="zh-CN"/>
                    </w:rPr>
                  </w:pPr>
                  <w:r>
                    <w:rPr>
                      <w:rFonts w:hint="eastAsia"/>
                      <w:sz w:val="21"/>
                      <w:lang w:val="en-US" w:eastAsia="zh-CN"/>
                    </w:rPr>
                    <w:t>2242</w:t>
                  </w:r>
                </w:p>
              </w:tc>
              <w:tc>
                <w:tcPr>
                  <w:tcW w:w="136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等线"/>
                      <w:sz w:val="21"/>
                    </w:rPr>
                  </w:pPr>
                  <w:r>
                    <w:rPr>
                      <w:rFonts w:hint="eastAsia" w:eastAsia="宋体"/>
                      <w:spacing w:val="-17"/>
                      <w:sz w:val="21"/>
                    </w:rPr>
                    <w:t>水基非磺化泥浆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sz w:val="21"/>
                    </w:rPr>
                  </w:pPr>
                  <w:r>
                    <w:rPr>
                      <w:rFonts w:hint="eastAsia" w:eastAsia="宋体"/>
                      <w:sz w:val="21"/>
                    </w:rPr>
                    <w:t>三开</w:t>
                  </w:r>
                </w:p>
              </w:tc>
              <w:tc>
                <w:tcPr>
                  <w:tcW w:w="71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Lines="0" w:beforeAutospacing="0" w:after="0" w:afterLines="0" w:afterAutospacing="0"/>
                    <w:ind w:left="0" w:right="0"/>
                    <w:rPr>
                      <w:rFonts w:hint="default"/>
                      <w:sz w:val="21"/>
                    </w:rPr>
                  </w:pPr>
                  <w:r>
                    <w:rPr>
                      <w:rFonts w:hint="default"/>
                      <w:sz w:val="21"/>
                    </w:rPr>
                    <w:t>Φ215.9</w:t>
                  </w:r>
                </w:p>
              </w:tc>
              <w:tc>
                <w:tcPr>
                  <w:tcW w:w="66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等线"/>
                      <w:sz w:val="21"/>
                      <w:lang w:val="en-US" w:eastAsia="zh-CN"/>
                    </w:rPr>
                  </w:pPr>
                  <w:r>
                    <w:rPr>
                      <w:rFonts w:hint="eastAsia" w:ascii="Times New Roman" w:hAnsi="Times New Roman" w:eastAsia="等线"/>
                      <w:sz w:val="21"/>
                      <w:lang w:val="en-US" w:eastAsia="zh-CN"/>
                    </w:rPr>
                    <w:t>133</w:t>
                  </w:r>
                </w:p>
              </w:tc>
              <w:tc>
                <w:tcPr>
                  <w:tcW w:w="59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eastAsia="宋体"/>
                      <w:sz w:val="21"/>
                      <w:lang w:val="en-US" w:eastAsia="zh-CN"/>
                    </w:rPr>
                  </w:pPr>
                  <w:r>
                    <w:rPr>
                      <w:rFonts w:hint="eastAsia"/>
                      <w:sz w:val="21"/>
                      <w:lang w:val="en-US" w:eastAsia="zh-CN"/>
                    </w:rPr>
                    <w:t>192</w:t>
                  </w:r>
                </w:p>
              </w:tc>
              <w:tc>
                <w:tcPr>
                  <w:tcW w:w="741" w:type="pct"/>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ind w:left="0" w:right="0"/>
                    <w:jc w:val="center"/>
                    <w:rPr>
                      <w:rFonts w:hint="default" w:ascii="Times New Roman" w:hAnsi="Times New Roman" w:eastAsia="等线"/>
                      <w:sz w:val="21"/>
                      <w:lang w:val="en-US" w:eastAsia="zh-CN"/>
                    </w:rPr>
                  </w:pPr>
                  <w:r>
                    <w:rPr>
                      <w:rFonts w:hint="eastAsia" w:ascii="Times New Roman" w:hAnsi="Times New Roman" w:eastAsia="等线"/>
                      <w:sz w:val="21"/>
                      <w:lang w:val="en-US" w:eastAsia="zh-CN"/>
                    </w:rPr>
                    <w:t>129</w:t>
                  </w:r>
                </w:p>
              </w:tc>
              <w:tc>
                <w:tcPr>
                  <w:tcW w:w="469" w:type="pct"/>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Lines="0" w:beforeAutospacing="0" w:after="0" w:afterLines="0" w:afterAutospacing="0"/>
                    <w:ind w:left="0" w:right="0"/>
                    <w:jc w:val="center"/>
                    <w:rPr>
                      <w:rFonts w:hint="default" w:eastAsia="宋体"/>
                      <w:sz w:val="21"/>
                      <w:lang w:val="en-US" w:eastAsia="zh-CN"/>
                    </w:rPr>
                  </w:pPr>
                  <w:r>
                    <w:rPr>
                      <w:rFonts w:hint="eastAsia"/>
                      <w:sz w:val="21"/>
                      <w:lang w:val="en-US" w:eastAsia="zh-CN"/>
                    </w:rPr>
                    <w:t>841</w:t>
                  </w:r>
                </w:p>
              </w:tc>
              <w:tc>
                <w:tcPr>
                  <w:tcW w:w="136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eastAsia" w:ascii="Times New Roman" w:hAnsi="Times New Roman" w:eastAsia="等线"/>
                      <w:sz w:val="21"/>
                    </w:rPr>
                  </w:pPr>
                  <w:r>
                    <w:rPr>
                      <w:rFonts w:hint="eastAsia" w:eastAsia="宋体"/>
                      <w:sz w:val="21"/>
                    </w:rPr>
                    <w:t>合成基泥浆（油基）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ind w:left="0" w:right="0"/>
                    <w:jc w:val="center"/>
                    <w:rPr>
                      <w:rFonts w:hint="default"/>
                      <w:sz w:val="21"/>
                    </w:rPr>
                  </w:pPr>
                  <w:r>
                    <w:rPr>
                      <w:rFonts w:hint="eastAsia" w:eastAsia="宋体"/>
                      <w:sz w:val="21"/>
                    </w:rPr>
                    <w:t>合计</w:t>
                  </w:r>
                </w:p>
              </w:tc>
              <w:tc>
                <w:tcPr>
                  <w:tcW w:w="66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ind w:left="0" w:right="0"/>
                    <w:jc w:val="center"/>
                    <w:rPr>
                      <w:rFonts w:hint="default" w:ascii="Times New Roman" w:hAnsi="Times New Roman" w:eastAsia="等线"/>
                      <w:kern w:val="0"/>
                      <w:sz w:val="21"/>
                      <w:lang w:val="en-US" w:eastAsia="zh-CN"/>
                    </w:rPr>
                  </w:pPr>
                  <w:r>
                    <w:rPr>
                      <w:rFonts w:hint="eastAsia" w:ascii="Times New Roman" w:hAnsi="Times New Roman" w:eastAsia="等线"/>
                      <w:kern w:val="0"/>
                      <w:sz w:val="21"/>
                      <w:lang w:val="en-US" w:eastAsia="zh-CN"/>
                    </w:rPr>
                    <w:t>681</w:t>
                  </w:r>
                </w:p>
              </w:tc>
              <w:tc>
                <w:tcPr>
                  <w:tcW w:w="591" w:type="pct"/>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suppressLineNumbers w:val="0"/>
                    <w:spacing w:before="0" w:beforeLines="0" w:beforeAutospacing="0" w:after="0" w:afterLines="0" w:afterAutospacing="0"/>
                    <w:ind w:left="0" w:right="0"/>
                    <w:jc w:val="center"/>
                    <w:rPr>
                      <w:rFonts w:hint="default" w:ascii="Times New Roman" w:hAnsi="Times New Roman" w:eastAsia="等线"/>
                      <w:kern w:val="0"/>
                      <w:sz w:val="21"/>
                      <w:lang w:val="en-US" w:eastAsia="zh-CN"/>
                    </w:rPr>
                  </w:pPr>
                  <w:r>
                    <w:rPr>
                      <w:rFonts w:hint="eastAsia" w:ascii="Times New Roman" w:hAnsi="Times New Roman" w:eastAsia="等线"/>
                      <w:kern w:val="0"/>
                      <w:sz w:val="21"/>
                      <w:lang w:val="en-US" w:eastAsia="zh-CN"/>
                    </w:rPr>
                    <w:t>747</w:t>
                  </w:r>
                </w:p>
              </w:tc>
              <w:tc>
                <w:tcPr>
                  <w:tcW w:w="741" w:type="pct"/>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suppressLineNumbers w:val="0"/>
                    <w:spacing w:before="0" w:beforeLines="0" w:beforeAutospacing="0" w:after="0" w:afterLines="0" w:afterAutospacing="0"/>
                    <w:ind w:left="0" w:right="0"/>
                    <w:jc w:val="center"/>
                    <w:rPr>
                      <w:rFonts w:hint="default" w:ascii="Times New Roman" w:hAnsi="Times New Roman" w:eastAsia="等线"/>
                      <w:kern w:val="0"/>
                      <w:sz w:val="21"/>
                      <w:lang w:val="en-US" w:eastAsia="zh-CN"/>
                    </w:rPr>
                  </w:pPr>
                  <w:r>
                    <w:rPr>
                      <w:rFonts w:hint="eastAsia" w:ascii="Times New Roman" w:hAnsi="Times New Roman" w:eastAsia="等线"/>
                      <w:kern w:val="0"/>
                      <w:sz w:val="21"/>
                      <w:lang w:val="en-US" w:eastAsia="zh-CN"/>
                    </w:rPr>
                    <w:t>676</w:t>
                  </w:r>
                </w:p>
              </w:tc>
              <w:tc>
                <w:tcPr>
                  <w:tcW w:w="469" w:type="pct"/>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suppressLineNumbers w:val="0"/>
                    <w:spacing w:before="0" w:beforeLines="0" w:beforeAutospacing="0" w:after="0" w:afterLines="0" w:afterAutospacing="0"/>
                    <w:ind w:left="0" w:right="0"/>
                    <w:jc w:val="center"/>
                    <w:rPr>
                      <w:rFonts w:hint="default" w:ascii="Times New Roman" w:hAnsi="Times New Roman" w:eastAsia="等线"/>
                      <w:kern w:val="0"/>
                      <w:sz w:val="21"/>
                      <w:lang w:val="en-US" w:eastAsia="zh-CN"/>
                    </w:rPr>
                  </w:pPr>
                  <w:r>
                    <w:rPr>
                      <w:rFonts w:hint="eastAsia" w:ascii="Times New Roman" w:hAnsi="Times New Roman" w:eastAsia="等线"/>
                      <w:kern w:val="0"/>
                      <w:sz w:val="21"/>
                      <w:lang w:val="en-US" w:eastAsia="zh-CN"/>
                    </w:rPr>
                    <w:t>4132</w:t>
                  </w:r>
                </w:p>
              </w:tc>
              <w:tc>
                <w:tcPr>
                  <w:tcW w:w="1367" w:type="pct"/>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suppressLineNumbers w:val="0"/>
                    <w:spacing w:before="0" w:beforeLines="0" w:beforeAutospacing="0" w:after="0" w:afterLines="0" w:afterAutospacing="0"/>
                    <w:ind w:left="0" w:right="0"/>
                    <w:jc w:val="center"/>
                    <w:rPr>
                      <w:rFonts w:hint="eastAsia" w:ascii="Times New Roman" w:hAnsi="Times New Roman" w:eastAsia="等线"/>
                      <w:kern w:val="0"/>
                      <w:sz w:val="21"/>
                      <w:lang w:val="en-US" w:eastAsia="zh-CN"/>
                    </w:rPr>
                  </w:pPr>
                  <w:r>
                    <w:rPr>
                      <w:rFonts w:hint="eastAsia" w:ascii="Times New Roman" w:hAnsi="Times New Roman" w:eastAsia="等线"/>
                      <w:kern w:val="0"/>
                      <w:sz w:val="21"/>
                      <w:lang w:val="en-US" w:eastAsia="zh-CN"/>
                    </w:rPr>
                    <w:t>/</w:t>
                  </w:r>
                </w:p>
              </w:tc>
            </w:tr>
          </w:tbl>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钻井岩屑</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钻井过程中，岩石经钻头和泥浆的研磨而破碎成岩屑，并经泥浆携带至地面，进入泥浆不落地系统。本</w:t>
            </w:r>
            <w:r>
              <w:rPr>
                <w:rFonts w:hint="eastAsia" w:ascii="Times New Roman" w:hAnsi="Times New Roman" w:eastAsia="宋体" w:cs="Times New Roman"/>
                <w:color w:val="auto"/>
                <w:kern w:val="0"/>
                <w:sz w:val="21"/>
                <w:szCs w:val="21"/>
                <w:highlight w:val="none"/>
                <w:lang w:val="en-US" w:eastAsia="zh-CN" w:bidi="ar-SA"/>
              </w:rPr>
              <w:t>项目</w:t>
            </w:r>
            <w:r>
              <w:rPr>
                <w:rFonts w:hint="default" w:ascii="Times New Roman" w:hAnsi="Times New Roman" w:eastAsia="宋体" w:cs="Times New Roman"/>
                <w:color w:val="auto"/>
                <w:kern w:val="0"/>
                <w:sz w:val="21"/>
                <w:szCs w:val="21"/>
                <w:highlight w:val="none"/>
                <w:lang w:val="en-US" w:eastAsia="zh-CN" w:bidi="ar-SA"/>
              </w:rPr>
              <w:t>新钻井</w:t>
            </w:r>
            <w:r>
              <w:rPr>
                <w:rFonts w:hint="eastAsia" w:ascii="Times New Roman" w:hAnsi="Times New Roman" w:eastAsia="宋体" w:cs="Times New Roman"/>
                <w:color w:val="auto"/>
                <w:kern w:val="0"/>
                <w:sz w:val="21"/>
                <w:szCs w:val="21"/>
                <w:highlight w:val="none"/>
                <w:lang w:val="en-US" w:eastAsia="zh-CN" w:bidi="ar-SA"/>
              </w:rPr>
              <w:t>6</w:t>
            </w:r>
            <w:r>
              <w:rPr>
                <w:rFonts w:hint="default" w:ascii="Times New Roman" w:hAnsi="Times New Roman" w:eastAsia="宋体" w:cs="Times New Roman"/>
                <w:color w:val="auto"/>
                <w:kern w:val="0"/>
                <w:sz w:val="21"/>
                <w:szCs w:val="21"/>
                <w:highlight w:val="none"/>
                <w:lang w:val="en-US" w:eastAsia="zh-CN" w:bidi="ar-SA"/>
              </w:rPr>
              <w:t>口，钻井岩屑可用下式计算：</w:t>
            </w:r>
          </w:p>
          <w:p>
            <w:pPr>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W=1/4×л×D</w:t>
            </w:r>
            <w:r>
              <w:rPr>
                <w:rFonts w:hint="default" w:ascii="Times New Roman" w:hAnsi="Times New Roman" w:eastAsia="宋体" w:cs="Times New Roman"/>
                <w:snapToGrid w:val="0"/>
                <w:color w:val="auto"/>
                <w:kern w:val="0"/>
                <w:sz w:val="21"/>
                <w:szCs w:val="21"/>
                <w:highlight w:val="none"/>
                <w:vertAlign w:val="superscript"/>
                <w:lang w:val="en-US" w:eastAsia="zh-CN" w:bidi="ar-SA"/>
              </w:rPr>
              <w:t>2</w:t>
            </w:r>
            <w:r>
              <w:rPr>
                <w:rFonts w:hint="default" w:ascii="Times New Roman" w:hAnsi="Times New Roman" w:eastAsia="宋体" w:cs="Times New Roman"/>
                <w:snapToGrid w:val="0"/>
                <w:color w:val="auto"/>
                <w:kern w:val="0"/>
                <w:sz w:val="21"/>
                <w:szCs w:val="21"/>
                <w:highlight w:val="none"/>
                <w:lang w:val="en-US" w:eastAsia="zh-CN" w:bidi="ar-SA"/>
              </w:rPr>
              <w:t>×h×2.2</w:t>
            </w:r>
          </w:p>
          <w:p>
            <w:pPr>
              <w:keepNext w:val="0"/>
              <w:keepLines w:val="0"/>
              <w:widowControl w:val="0"/>
              <w:suppressLineNumbers w:val="0"/>
              <w:spacing w:before="0" w:beforeAutospacing="0" w:after="0" w:afterAutospacing="0" w:line="360" w:lineRule="auto"/>
              <w:ind w:left="0" w:right="0" w:firstLine="472" w:firstLineChars="225"/>
              <w:jc w:val="both"/>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式中：W</w:t>
            </w:r>
            <w:r>
              <w:rPr>
                <w:rFonts w:hint="default"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钻井岩屑排放量，m</w:t>
            </w:r>
            <w:r>
              <w:rPr>
                <w:rFonts w:hint="default" w:ascii="Times New Roman" w:hAnsi="Times New Roman" w:eastAsia="宋体" w:cs="Times New Roman"/>
                <w:snapToGrid w:val="0"/>
                <w:color w:val="auto"/>
                <w:kern w:val="0"/>
                <w:sz w:val="21"/>
                <w:szCs w:val="21"/>
                <w:highlight w:val="none"/>
                <w:vertAlign w:val="superscript"/>
                <w:lang w:val="en-US" w:eastAsia="zh-CN" w:bidi="ar-SA"/>
              </w:rPr>
              <w:t>3</w:t>
            </w:r>
            <w:r>
              <w:rPr>
                <w:rFonts w:hint="default" w:ascii="Times New Roman" w:hAnsi="Times New Roman" w:eastAsia="宋体" w:cs="Times New Roman"/>
                <w:snapToGrid w:val="0"/>
                <w:color w:val="auto"/>
                <w:kern w:val="0"/>
                <w:sz w:val="21"/>
                <w:szCs w:val="21"/>
                <w:highlight w:val="none"/>
                <w:lang w:val="en-US" w:eastAsia="zh-CN" w:bidi="ar-SA"/>
              </w:rPr>
              <w:t>；</w:t>
            </w:r>
          </w:p>
          <w:p>
            <w:pPr>
              <w:keepNext w:val="0"/>
              <w:keepLines w:val="0"/>
              <w:widowControl w:val="0"/>
              <w:suppressLineNumbers w:val="0"/>
              <w:spacing w:before="0" w:beforeAutospacing="0" w:after="0" w:afterAutospacing="0" w:line="360" w:lineRule="auto"/>
              <w:ind w:left="0" w:right="0" w:firstLine="1102" w:firstLineChars="525"/>
              <w:jc w:val="both"/>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D</w:t>
            </w:r>
            <w:r>
              <w:rPr>
                <w:rFonts w:hint="default"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井的直径，m；</w:t>
            </w:r>
          </w:p>
          <w:p>
            <w:pPr>
              <w:keepNext w:val="0"/>
              <w:keepLines w:val="0"/>
              <w:widowControl w:val="0"/>
              <w:suppressLineNumbers w:val="0"/>
              <w:spacing w:before="0" w:beforeAutospacing="0" w:after="0" w:afterAutospacing="0" w:line="360" w:lineRule="auto"/>
              <w:ind w:left="0" w:right="0" w:firstLine="1102" w:firstLineChars="525"/>
              <w:jc w:val="both"/>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h</w:t>
            </w:r>
            <w:r>
              <w:rPr>
                <w:rFonts w:hint="default"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snapToGrid w:val="0"/>
                <w:color w:val="auto"/>
                <w:kern w:val="0"/>
                <w:sz w:val="21"/>
                <w:szCs w:val="21"/>
                <w:highlight w:val="none"/>
                <w:lang w:val="en-US" w:eastAsia="zh-CN" w:bidi="ar-SA"/>
              </w:rPr>
              <w:t>井深，m。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0"/>
              <w:jc w:val="both"/>
              <w:textAlignment w:val="auto"/>
              <w:rPr>
                <w:rFonts w:hint="default" w:ascii="Times New Roman" w:hAnsi="Times New Roman" w:eastAsia="宋体" w:cs="Times New Roman"/>
                <w:color w:val="auto"/>
                <w:kern w:val="0"/>
                <w:sz w:val="21"/>
                <w:szCs w:val="21"/>
                <w:highlight w:val="none"/>
                <w:lang w:val="en-GB" w:eastAsia="zh-CN" w:bidi="ar-SA"/>
              </w:rPr>
            </w:pPr>
            <w:r>
              <w:rPr>
                <w:rFonts w:hint="eastAsia" w:ascii="Times New Roman" w:hAnsi="宋体" w:eastAsia="宋体" w:cs="Times New Roman"/>
                <w:color w:val="auto"/>
                <w:spacing w:val="0"/>
                <w:w w:val="100"/>
                <w:kern w:val="0"/>
                <w:position w:val="0"/>
                <w:sz w:val="21"/>
                <w:szCs w:val="21"/>
                <w:highlight w:val="none"/>
                <w:lang w:val="en-US" w:eastAsia="zh-CN" w:bidi="ar-SA"/>
              </w:rPr>
              <w:t>本项目</w:t>
            </w:r>
            <w:r>
              <w:rPr>
                <w:rFonts w:hint="default" w:ascii="Times New Roman" w:hAnsi="宋体" w:eastAsia="宋体" w:cs="Times New Roman"/>
                <w:color w:val="auto"/>
                <w:spacing w:val="0"/>
                <w:w w:val="100"/>
                <w:kern w:val="0"/>
                <w:position w:val="0"/>
                <w:sz w:val="21"/>
                <w:szCs w:val="21"/>
                <w:highlight w:val="none"/>
                <w:lang w:val="en-US" w:eastAsia="zh-CN" w:bidi="ar-SA"/>
              </w:rPr>
              <w:t>产生的岩屑量见表</w:t>
            </w:r>
            <w:r>
              <w:rPr>
                <w:rFonts w:hint="eastAsia" w:ascii="Times New Roman" w:hAnsi="Times New Roman" w:eastAsia="宋体" w:cs="Times New Roman"/>
                <w:color w:val="auto"/>
                <w:kern w:val="0"/>
                <w:sz w:val="21"/>
                <w:szCs w:val="21"/>
                <w:highlight w:val="none"/>
                <w:lang w:val="en-US" w:eastAsia="zh-CN" w:bidi="ar-SA"/>
              </w:rPr>
              <w:t>4.5</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黑体" w:hAnsi="黑体" w:eastAsia="黑体" w:cs="黑体"/>
                <w:color w:val="auto"/>
                <w:kern w:val="0"/>
                <w:sz w:val="21"/>
                <w:szCs w:val="21"/>
                <w:highlight w:val="none"/>
                <w:lang w:val="en-GB" w:eastAsia="zh-CN"/>
              </w:rPr>
            </w:pPr>
            <w:r>
              <w:rPr>
                <w:rFonts w:hint="default" w:ascii="黑体" w:hAnsi="黑体" w:eastAsia="黑体" w:cs="黑体"/>
                <w:color w:val="auto"/>
                <w:kern w:val="0"/>
                <w:sz w:val="21"/>
                <w:szCs w:val="21"/>
                <w:highlight w:val="none"/>
                <w:lang w:val="en-GB" w:eastAsia="zh-CN"/>
              </w:rPr>
              <w:t>表</w:t>
            </w:r>
            <w:r>
              <w:rPr>
                <w:rFonts w:hint="eastAsia" w:ascii="黑体" w:hAnsi="黑体" w:eastAsia="黑体" w:cs="黑体"/>
                <w:color w:val="auto"/>
                <w:kern w:val="0"/>
                <w:sz w:val="21"/>
                <w:szCs w:val="21"/>
                <w:highlight w:val="none"/>
                <w:lang w:val="en-US" w:eastAsia="zh-CN"/>
              </w:rPr>
              <w:t>4.5</w:t>
            </w:r>
            <w:r>
              <w:rPr>
                <w:rFonts w:hint="default" w:ascii="黑体" w:hAnsi="黑体" w:eastAsia="黑体" w:cs="黑体"/>
                <w:color w:val="auto"/>
                <w:kern w:val="0"/>
                <w:sz w:val="21"/>
                <w:szCs w:val="21"/>
                <w:highlight w:val="none"/>
                <w:lang w:val="en-GB" w:eastAsia="zh-CN"/>
              </w:rPr>
              <w:t xml:space="preserve">    </w:t>
            </w:r>
            <w:r>
              <w:rPr>
                <w:rFonts w:hint="eastAsia" w:ascii="黑体" w:hAnsi="黑体" w:eastAsia="黑体" w:cs="黑体"/>
                <w:color w:val="auto"/>
                <w:kern w:val="0"/>
                <w:sz w:val="21"/>
                <w:szCs w:val="21"/>
                <w:highlight w:val="none"/>
                <w:lang w:val="en-GB" w:eastAsia="zh-CN"/>
              </w:rPr>
              <w:t>本项目</w:t>
            </w:r>
            <w:r>
              <w:rPr>
                <w:rFonts w:hint="eastAsia" w:ascii="黑体" w:hAnsi="黑体" w:eastAsia="黑体" w:cs="黑体"/>
                <w:color w:val="auto"/>
                <w:kern w:val="0"/>
                <w:sz w:val="21"/>
                <w:szCs w:val="21"/>
                <w:highlight w:val="none"/>
                <w:lang w:val="en-US" w:eastAsia="zh-CN"/>
              </w:rPr>
              <w:t>岩屑</w:t>
            </w:r>
            <w:r>
              <w:rPr>
                <w:rFonts w:hint="default" w:ascii="黑体" w:hAnsi="黑体" w:eastAsia="黑体" w:cs="黑体"/>
                <w:color w:val="auto"/>
                <w:kern w:val="0"/>
                <w:sz w:val="21"/>
                <w:szCs w:val="21"/>
                <w:highlight w:val="none"/>
                <w:lang w:val="en-GB" w:eastAsia="zh-CN"/>
              </w:rPr>
              <w:t>产生量</w:t>
            </w:r>
          </w:p>
          <w:tbl>
            <w:tblPr>
              <w:tblStyle w:val="20"/>
              <w:tblW w:w="7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035"/>
              <w:gridCol w:w="957"/>
              <w:gridCol w:w="900"/>
              <w:gridCol w:w="1118"/>
              <w:gridCol w:w="750"/>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blHeader/>
                <w:jc w:val="center"/>
              </w:trPr>
              <w:tc>
                <w:tcPr>
                  <w:tcW w:w="46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sz w:val="21"/>
                    </w:rPr>
                  </w:pPr>
                  <w:r>
                    <w:rPr>
                      <w:rFonts w:hint="eastAsia"/>
                      <w:sz w:val="21"/>
                    </w:rPr>
                    <w:t>开钻次序</w:t>
                  </w:r>
                </w:p>
              </w:tc>
              <w:tc>
                <w:tcPr>
                  <w:tcW w:w="72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Autospacing="0" w:after="0" w:afterAutospacing="0" w:line="276" w:lineRule="auto"/>
                    <w:ind w:left="0" w:leftChars="0" w:right="0" w:rightChars="0" w:firstLine="0" w:firstLineChars="0"/>
                    <w:jc w:val="center"/>
                    <w:rPr>
                      <w:rFonts w:hint="default"/>
                      <w:sz w:val="21"/>
                    </w:rPr>
                  </w:pPr>
                  <w:r>
                    <w:rPr>
                      <w:rFonts w:hint="eastAsia"/>
                      <w:sz w:val="21"/>
                    </w:rPr>
                    <w:t>钻头尺寸（mm）</w:t>
                  </w:r>
                </w:p>
              </w:tc>
              <w:tc>
                <w:tcPr>
                  <w:tcW w:w="2083"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sz w:val="21"/>
                    </w:rPr>
                  </w:pPr>
                  <w:r>
                    <w:rPr>
                      <w:rFonts w:hint="eastAsia"/>
                      <w:sz w:val="21"/>
                    </w:rPr>
                    <w:t>泥浆量m</w:t>
                  </w:r>
                  <w:r>
                    <w:rPr>
                      <w:rFonts w:hint="default"/>
                      <w:sz w:val="21"/>
                      <w:vertAlign w:val="superscript"/>
                    </w:rPr>
                    <w:t>3</w:t>
                  </w:r>
                </w:p>
              </w:tc>
              <w:tc>
                <w:tcPr>
                  <w:tcW w:w="525"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sz w:val="21"/>
                    </w:rPr>
                  </w:pPr>
                  <w:r>
                    <w:rPr>
                      <w:rFonts w:hint="eastAsia"/>
                      <w:sz w:val="21"/>
                      <w:lang w:val="en-US" w:eastAsia="zh-CN"/>
                    </w:rPr>
                    <w:t>6口</w:t>
                  </w:r>
                  <w:r>
                    <w:rPr>
                      <w:rFonts w:hint="eastAsia"/>
                      <w:sz w:val="21"/>
                    </w:rPr>
                    <w:t>小计</w:t>
                  </w:r>
                </w:p>
              </w:tc>
              <w:tc>
                <w:tcPr>
                  <w:tcW w:w="120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sz w:val="21"/>
                    </w:rPr>
                  </w:pPr>
                  <w:r>
                    <w:rPr>
                      <w:rFonts w:hint="eastAsia"/>
                      <w:sz w:val="21"/>
                    </w:rPr>
                    <w:t>钻井液体系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46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sz w:val="21"/>
                    </w:rPr>
                  </w:pPr>
                </w:p>
              </w:tc>
              <w:tc>
                <w:tcPr>
                  <w:tcW w:w="72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Autospacing="0" w:after="0" w:afterAutospacing="0" w:line="276" w:lineRule="auto"/>
                    <w:ind w:left="0" w:leftChars="0" w:right="0" w:rightChars="0" w:firstLine="0" w:firstLineChars="0"/>
                    <w:jc w:val="center"/>
                    <w:rPr>
                      <w:rFonts w:hint="eastAsia"/>
                      <w:sz w:val="21"/>
                    </w:rPr>
                  </w:pPr>
                </w:p>
              </w:tc>
              <w:tc>
                <w:tcPr>
                  <w:tcW w:w="67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sz w:val="21"/>
                    </w:rPr>
                  </w:pPr>
                  <w:r>
                    <w:rPr>
                      <w:rFonts w:hint="eastAsia"/>
                      <w:sz w:val="21"/>
                    </w:rPr>
                    <w:t>永进1-5</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sz w:val="21"/>
                    </w:rPr>
                  </w:pPr>
                  <w:r>
                    <w:rPr>
                      <w:rFonts w:hint="eastAsia"/>
                      <w:sz w:val="21"/>
                    </w:rPr>
                    <w:t>3-平16</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sz w:val="21"/>
                    </w:rPr>
                  </w:pPr>
                  <w:r>
                    <w:rPr>
                      <w:rFonts w:hint="eastAsia"/>
                      <w:sz w:val="21"/>
                    </w:rPr>
                    <w:t>3-斜11等</w:t>
                  </w:r>
                </w:p>
              </w:tc>
              <w:tc>
                <w:tcPr>
                  <w:tcW w:w="52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sz w:val="21"/>
                    </w:rPr>
                  </w:pPr>
                </w:p>
              </w:tc>
              <w:tc>
                <w:tcPr>
                  <w:tcW w:w="120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sz w:val="21"/>
                    </w:rPr>
                  </w:pPr>
                  <w:r>
                    <w:rPr>
                      <w:rFonts w:hint="eastAsia"/>
                      <w:sz w:val="21"/>
                    </w:rPr>
                    <w:t>一开</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Autospacing="0" w:after="0" w:afterAutospacing="0"/>
                    <w:ind w:left="0" w:leftChars="0" w:right="0" w:rightChars="0" w:firstLine="0" w:firstLineChars="0"/>
                    <w:jc w:val="center"/>
                    <w:rPr>
                      <w:rFonts w:hint="default"/>
                      <w:sz w:val="21"/>
                    </w:rPr>
                  </w:pPr>
                  <w:r>
                    <w:rPr>
                      <w:rFonts w:hint="default"/>
                      <w:sz w:val="21"/>
                    </w:rPr>
                    <w:t>Φ444.5</w:t>
                  </w:r>
                </w:p>
              </w:tc>
              <w:tc>
                <w:tcPr>
                  <w:tcW w:w="67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eastAsia="等线"/>
                      <w:sz w:val="21"/>
                      <w:lang w:val="en-US" w:eastAsia="zh-CN"/>
                    </w:rPr>
                  </w:pPr>
                  <w:r>
                    <w:rPr>
                      <w:rFonts w:hint="eastAsia" w:eastAsia="等线"/>
                      <w:sz w:val="21"/>
                      <w:lang w:val="en-US" w:eastAsia="zh-CN"/>
                    </w:rPr>
                    <w:t>342</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eastAsia="宋体"/>
                      <w:sz w:val="21"/>
                      <w:lang w:val="en-US" w:eastAsia="zh-CN"/>
                    </w:rPr>
                  </w:pPr>
                  <w:r>
                    <w:rPr>
                      <w:rFonts w:hint="eastAsia"/>
                      <w:sz w:val="21"/>
                      <w:lang w:val="en-US" w:eastAsia="zh-CN"/>
                    </w:rPr>
                    <w:t>273</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eastAsia="等线"/>
                      <w:sz w:val="21"/>
                      <w:lang w:val="en-US" w:eastAsia="zh-CN"/>
                    </w:rPr>
                  </w:pPr>
                  <w:r>
                    <w:rPr>
                      <w:rFonts w:hint="eastAsia" w:eastAsia="等线"/>
                      <w:sz w:val="21"/>
                      <w:lang w:val="en-US" w:eastAsia="zh-CN"/>
                    </w:rPr>
                    <w:t>273</w:t>
                  </w:r>
                </w:p>
              </w:tc>
              <w:tc>
                <w:tcPr>
                  <w:tcW w:w="52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eastAsia="宋体"/>
                      <w:sz w:val="21"/>
                      <w:lang w:val="en-US" w:eastAsia="zh-CN"/>
                    </w:rPr>
                  </w:pPr>
                  <w:r>
                    <w:rPr>
                      <w:rFonts w:hint="eastAsia"/>
                      <w:sz w:val="21"/>
                      <w:lang w:val="en-US" w:eastAsia="zh-CN"/>
                    </w:rPr>
                    <w:t>1707</w:t>
                  </w:r>
                </w:p>
              </w:tc>
              <w:tc>
                <w:tcPr>
                  <w:tcW w:w="120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eastAsia="等线"/>
                      <w:sz w:val="21"/>
                    </w:rPr>
                  </w:pPr>
                  <w:r>
                    <w:rPr>
                      <w:rFonts w:hint="eastAsia"/>
                      <w:sz w:val="21"/>
                    </w:rPr>
                    <w:t>水基非磺化泥浆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sz w:val="21"/>
                    </w:rPr>
                  </w:pPr>
                  <w:r>
                    <w:rPr>
                      <w:rFonts w:hint="eastAsia"/>
                      <w:sz w:val="21"/>
                    </w:rPr>
                    <w:t>二开</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Autospacing="0" w:after="0" w:afterAutospacing="0"/>
                    <w:ind w:left="0" w:leftChars="0" w:right="0" w:rightChars="0" w:firstLine="0" w:firstLineChars="0"/>
                    <w:jc w:val="center"/>
                    <w:rPr>
                      <w:rFonts w:hint="default"/>
                      <w:sz w:val="21"/>
                    </w:rPr>
                  </w:pPr>
                  <w:r>
                    <w:rPr>
                      <w:rFonts w:hint="default"/>
                      <w:sz w:val="21"/>
                    </w:rPr>
                    <w:t>Φ311.2</w:t>
                  </w:r>
                </w:p>
              </w:tc>
              <w:tc>
                <w:tcPr>
                  <w:tcW w:w="67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eastAsia="等线"/>
                      <w:sz w:val="21"/>
                      <w:lang w:val="en-US" w:eastAsia="zh-CN"/>
                    </w:rPr>
                  </w:pPr>
                  <w:r>
                    <w:rPr>
                      <w:rFonts w:hint="eastAsia" w:eastAsia="等线"/>
                      <w:sz w:val="21"/>
                      <w:lang w:val="en-US" w:eastAsia="zh-CN"/>
                    </w:rPr>
                    <w:t>619</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eastAsia="宋体"/>
                      <w:sz w:val="21"/>
                      <w:lang w:val="en-US" w:eastAsia="zh-CN"/>
                    </w:rPr>
                  </w:pPr>
                  <w:r>
                    <w:rPr>
                      <w:rFonts w:hint="eastAsia"/>
                      <w:sz w:val="21"/>
                      <w:lang w:val="en-US" w:eastAsia="zh-CN"/>
                    </w:rPr>
                    <w:t>686</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eastAsia="等线"/>
                      <w:sz w:val="21"/>
                      <w:lang w:val="en-US" w:eastAsia="zh-CN"/>
                    </w:rPr>
                  </w:pPr>
                  <w:r>
                    <w:rPr>
                      <w:rFonts w:hint="eastAsia" w:eastAsia="等线"/>
                      <w:sz w:val="21"/>
                      <w:lang w:val="en-US" w:eastAsia="zh-CN"/>
                    </w:rPr>
                    <w:t>670</w:t>
                  </w:r>
                </w:p>
              </w:tc>
              <w:tc>
                <w:tcPr>
                  <w:tcW w:w="52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eastAsia="宋体"/>
                      <w:sz w:val="21"/>
                      <w:lang w:val="en-US" w:eastAsia="zh-CN"/>
                    </w:rPr>
                  </w:pPr>
                  <w:r>
                    <w:rPr>
                      <w:rFonts w:hint="eastAsia"/>
                      <w:sz w:val="21"/>
                      <w:lang w:val="en-US" w:eastAsia="zh-CN"/>
                    </w:rPr>
                    <w:t>3985</w:t>
                  </w:r>
                </w:p>
              </w:tc>
              <w:tc>
                <w:tcPr>
                  <w:tcW w:w="120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eastAsia="等线"/>
                      <w:sz w:val="21"/>
                    </w:rPr>
                  </w:pPr>
                  <w:r>
                    <w:rPr>
                      <w:rFonts w:hint="eastAsia"/>
                      <w:sz w:val="21"/>
                    </w:rPr>
                    <w:t>水基非磺化泥浆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sz w:val="21"/>
                    </w:rPr>
                  </w:pPr>
                  <w:r>
                    <w:rPr>
                      <w:rFonts w:hint="eastAsia"/>
                      <w:sz w:val="21"/>
                    </w:rPr>
                    <w:t>三开</w:t>
                  </w:r>
                </w:p>
              </w:tc>
              <w:tc>
                <w:tcPr>
                  <w:tcW w:w="7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8"/>
                    <w:keepNext w:val="0"/>
                    <w:keepLines w:val="0"/>
                    <w:suppressLineNumbers w:val="0"/>
                    <w:spacing w:before="0" w:beforeAutospacing="0" w:after="0" w:afterAutospacing="0"/>
                    <w:ind w:left="0" w:leftChars="0" w:right="0" w:rightChars="0" w:firstLine="0" w:firstLineChars="0"/>
                    <w:jc w:val="center"/>
                    <w:rPr>
                      <w:rFonts w:hint="default"/>
                      <w:sz w:val="21"/>
                    </w:rPr>
                  </w:pPr>
                  <w:r>
                    <w:rPr>
                      <w:rFonts w:hint="default"/>
                      <w:sz w:val="21"/>
                    </w:rPr>
                    <w:t>Φ215.9</w:t>
                  </w:r>
                </w:p>
              </w:tc>
              <w:tc>
                <w:tcPr>
                  <w:tcW w:w="67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eastAsia="等线"/>
                      <w:sz w:val="21"/>
                      <w:lang w:val="en-US" w:eastAsia="zh-CN"/>
                    </w:rPr>
                  </w:pPr>
                  <w:r>
                    <w:rPr>
                      <w:rFonts w:hint="eastAsia" w:eastAsia="等线"/>
                      <w:sz w:val="21"/>
                      <w:lang w:val="en-US" w:eastAsia="zh-CN"/>
                    </w:rPr>
                    <w:t>78</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eastAsia="宋体"/>
                      <w:sz w:val="21"/>
                      <w:lang w:val="en-US" w:eastAsia="zh-CN"/>
                    </w:rPr>
                  </w:pPr>
                  <w:r>
                    <w:rPr>
                      <w:rFonts w:hint="eastAsia"/>
                      <w:sz w:val="21"/>
                      <w:lang w:val="en-US" w:eastAsia="zh-CN"/>
                    </w:rPr>
                    <w:t>166</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eastAsia="等线"/>
                      <w:sz w:val="21"/>
                      <w:lang w:val="en-US" w:eastAsia="zh-CN"/>
                    </w:rPr>
                  </w:pPr>
                  <w:r>
                    <w:rPr>
                      <w:rFonts w:hint="eastAsia" w:eastAsia="等线"/>
                      <w:sz w:val="21"/>
                      <w:lang w:val="en-US" w:eastAsia="zh-CN"/>
                    </w:rPr>
                    <w:t>72</w:t>
                  </w:r>
                </w:p>
              </w:tc>
              <w:tc>
                <w:tcPr>
                  <w:tcW w:w="52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eastAsia="宋体"/>
                      <w:sz w:val="21"/>
                      <w:lang w:val="en-US" w:eastAsia="zh-CN"/>
                    </w:rPr>
                  </w:pPr>
                  <w:r>
                    <w:rPr>
                      <w:rFonts w:hint="eastAsia"/>
                      <w:sz w:val="21"/>
                      <w:lang w:val="en-US" w:eastAsia="zh-CN"/>
                    </w:rPr>
                    <w:t>532</w:t>
                  </w:r>
                </w:p>
              </w:tc>
              <w:tc>
                <w:tcPr>
                  <w:tcW w:w="120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eastAsia="等线"/>
                      <w:sz w:val="21"/>
                    </w:rPr>
                  </w:pPr>
                  <w:r>
                    <w:rPr>
                      <w:rFonts w:hint="eastAsia"/>
                      <w:spacing w:val="-11"/>
                      <w:sz w:val="21"/>
                    </w:rPr>
                    <w:t>合成基泥浆（油基）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sz w:val="21"/>
                    </w:rPr>
                  </w:pPr>
                  <w:r>
                    <w:rPr>
                      <w:rFonts w:hint="eastAsia"/>
                      <w:sz w:val="21"/>
                    </w:rPr>
                    <w:t>合计</w:t>
                  </w:r>
                </w:p>
              </w:tc>
              <w:tc>
                <w:tcPr>
                  <w:tcW w:w="67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eastAsia="等线"/>
                      <w:kern w:val="0"/>
                      <w:sz w:val="21"/>
                      <w:lang w:val="en-US" w:eastAsia="zh-CN"/>
                    </w:rPr>
                  </w:pPr>
                  <w:r>
                    <w:rPr>
                      <w:rFonts w:hint="eastAsia" w:eastAsia="等线"/>
                      <w:kern w:val="0"/>
                      <w:sz w:val="21"/>
                      <w:lang w:val="en-US" w:eastAsia="zh-CN"/>
                    </w:rPr>
                    <w:t>1039</w:t>
                  </w:r>
                </w:p>
              </w:tc>
              <w:tc>
                <w:tcPr>
                  <w:tcW w:w="6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eastAsia="等线"/>
                      <w:kern w:val="0"/>
                      <w:sz w:val="21"/>
                      <w:lang w:val="en-US" w:eastAsia="zh-CN"/>
                    </w:rPr>
                  </w:pPr>
                  <w:r>
                    <w:rPr>
                      <w:rFonts w:hint="eastAsia" w:eastAsia="等线"/>
                      <w:kern w:val="0"/>
                      <w:sz w:val="21"/>
                      <w:lang w:val="en-US" w:eastAsia="zh-CN"/>
                    </w:rPr>
                    <w:t>1126</w:t>
                  </w:r>
                </w:p>
              </w:tc>
              <w:tc>
                <w:tcPr>
                  <w:tcW w:w="78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eastAsia="等线"/>
                      <w:kern w:val="0"/>
                      <w:sz w:val="21"/>
                      <w:lang w:val="en-US" w:eastAsia="zh-CN"/>
                    </w:rPr>
                  </w:pPr>
                  <w:r>
                    <w:rPr>
                      <w:rFonts w:hint="eastAsia" w:eastAsia="等线"/>
                      <w:kern w:val="0"/>
                      <w:sz w:val="21"/>
                      <w:lang w:val="en-US" w:eastAsia="zh-CN"/>
                    </w:rPr>
                    <w:t>1015</w:t>
                  </w:r>
                </w:p>
              </w:tc>
              <w:tc>
                <w:tcPr>
                  <w:tcW w:w="52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eastAsia="等线"/>
                      <w:kern w:val="0"/>
                      <w:sz w:val="21"/>
                      <w:lang w:val="en-US" w:eastAsia="zh-CN"/>
                    </w:rPr>
                  </w:pPr>
                  <w:r>
                    <w:rPr>
                      <w:rFonts w:hint="eastAsia" w:eastAsia="等线"/>
                      <w:kern w:val="0"/>
                      <w:sz w:val="21"/>
                      <w:lang w:val="en-US" w:eastAsia="zh-CN"/>
                    </w:rPr>
                    <w:t>6225</w:t>
                  </w:r>
                </w:p>
              </w:tc>
              <w:tc>
                <w:tcPr>
                  <w:tcW w:w="120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eastAsia="等线"/>
                      <w:kern w:val="0"/>
                      <w:sz w:val="21"/>
                      <w:lang w:val="en-US" w:eastAsia="zh-CN"/>
                    </w:rPr>
                  </w:pPr>
                  <w:r>
                    <w:rPr>
                      <w:rFonts w:hint="eastAsia" w:eastAsia="等线"/>
                      <w:kern w:val="0"/>
                      <w:sz w:val="21"/>
                      <w:lang w:val="en-US" w:eastAsia="zh-CN"/>
                    </w:rPr>
                    <w:t>/</w:t>
                  </w:r>
                </w:p>
              </w:tc>
            </w:tr>
          </w:tbl>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lang w:val="en-US" w:eastAsia="zh-CN" w:bidi="ar-SA"/>
              </w:rPr>
            </w:pPr>
            <w:r>
              <w:rPr>
                <w:rFonts w:hint="default" w:ascii="Times New Roman" w:hAnsi="宋体" w:eastAsia="宋体" w:cs="Times New Roman"/>
                <w:color w:val="auto"/>
                <w:kern w:val="0"/>
                <w:sz w:val="21"/>
                <w:szCs w:val="21"/>
                <w:highlight w:val="none"/>
                <w:lang w:val="en-US" w:eastAsia="zh-CN" w:bidi="ar-SA"/>
              </w:rPr>
              <w:t>经核算，本项目共产生钻井泥浆4132m</w:t>
            </w:r>
            <w:r>
              <w:rPr>
                <w:rFonts w:hint="default" w:ascii="Times New Roman" w:hAnsi="宋体" w:eastAsia="宋体" w:cs="Times New Roman"/>
                <w:color w:val="auto"/>
                <w:kern w:val="0"/>
                <w:sz w:val="21"/>
                <w:szCs w:val="21"/>
                <w:highlight w:val="none"/>
                <w:vertAlign w:val="superscript"/>
                <w:lang w:val="en-US" w:eastAsia="zh-CN" w:bidi="ar-SA"/>
              </w:rPr>
              <w:t>3</w:t>
            </w:r>
            <w:r>
              <w:rPr>
                <w:rFonts w:hint="default" w:ascii="Times New Roman" w:hAnsi="宋体" w:eastAsia="宋体" w:cs="Times New Roman"/>
                <w:color w:val="auto"/>
                <w:kern w:val="0"/>
                <w:sz w:val="21"/>
                <w:szCs w:val="21"/>
                <w:highlight w:val="none"/>
                <w:lang w:val="en-US" w:eastAsia="zh-CN" w:bidi="ar-SA"/>
              </w:rPr>
              <w:t>，钻井岩屑约6225m</w:t>
            </w:r>
            <w:r>
              <w:rPr>
                <w:rFonts w:hint="default" w:ascii="Times New Roman" w:hAnsi="宋体" w:eastAsia="宋体" w:cs="Times New Roman"/>
                <w:color w:val="auto"/>
                <w:kern w:val="0"/>
                <w:sz w:val="21"/>
                <w:szCs w:val="21"/>
                <w:highlight w:val="none"/>
                <w:vertAlign w:val="superscript"/>
                <w:lang w:val="en-US" w:eastAsia="zh-CN" w:bidi="ar-SA"/>
              </w:rPr>
              <w:t>3</w:t>
            </w:r>
            <w:r>
              <w:rPr>
                <w:rFonts w:hint="default" w:ascii="Times New Roman" w:hAnsi="宋体" w:eastAsia="宋体" w:cs="Times New Roman"/>
                <w:color w:val="auto"/>
                <w:kern w:val="0"/>
                <w:sz w:val="21"/>
                <w:szCs w:val="21"/>
                <w:highlight w:val="none"/>
                <w:lang w:val="en-US" w:eastAsia="zh-CN" w:bidi="ar-SA"/>
              </w:rPr>
              <w:t>。根据目前中石化新疆新春石油开发有限责任公司钻井工程的要求，钻井过程中，水基和油基泥浆及岩屑产生与处置的责任主体单位为钻井单位，新春公司负责监管。钻井单位采用泥浆不落地系统，一开、二开为水基非磺化泥浆，同岩屑一起进入不落地系统进行处理，实现固液分离，分离后的液相由钻井单位回收用于后续钻井循环使用，不外排；固相为一般工业固废，检测达到《油气田钻井固体废物综合利用污染控制要求》（DB65/T 3997-2017）相关标准限值后用于铺路、铺垫井场综合利用，未达标的产物将进入处置系统再次进行处理，不得随意排放或用于其他用途，如有新的管理要求出台，按新规执行。三开为合成油基泥浆，采用泥浆不落地系统固液分离后，液相循环使用，不外排，固相按照危险废物进行管理（危废编号为HW08，废物代码为071-001-08），委托有危废处置资质的单位进行妥善处理。</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生活垃圾</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钻井期常驻井场人员50人，生活垃圾产生量按0.5kg/人·d计算，</w:t>
            </w:r>
            <w:r>
              <w:rPr>
                <w:rFonts w:hint="eastAsia" w:ascii="Times New Roman" w:hAnsi="Times New Roman" w:eastAsia="宋体" w:cs="Times New Roman"/>
                <w:color w:val="auto"/>
                <w:kern w:val="0"/>
                <w:sz w:val="21"/>
                <w:szCs w:val="21"/>
                <w:highlight w:val="none"/>
                <w:lang w:val="en-US" w:eastAsia="zh-CN" w:bidi="ar-SA"/>
              </w:rPr>
              <w:t>每口井</w:t>
            </w:r>
            <w:r>
              <w:rPr>
                <w:rFonts w:hint="default" w:ascii="Times New Roman" w:hAnsi="Times New Roman" w:eastAsia="宋体" w:cs="Times New Roman"/>
                <w:color w:val="auto"/>
                <w:kern w:val="0"/>
                <w:sz w:val="21"/>
                <w:szCs w:val="21"/>
                <w:highlight w:val="none"/>
                <w:lang w:val="en-US" w:eastAsia="zh-CN" w:bidi="ar-SA"/>
              </w:rPr>
              <w:t>钻井期</w:t>
            </w:r>
            <w:r>
              <w:rPr>
                <w:rFonts w:hint="eastAsia" w:ascii="Times New Roman" w:hAnsi="Times New Roman" w:eastAsia="宋体" w:cs="Times New Roman"/>
                <w:color w:val="auto"/>
                <w:kern w:val="0"/>
                <w:sz w:val="21"/>
                <w:szCs w:val="21"/>
                <w:highlight w:val="none"/>
                <w:lang w:val="en-US" w:eastAsia="zh-CN" w:bidi="ar-SA"/>
              </w:rPr>
              <w:t>约90</w:t>
            </w:r>
            <w:r>
              <w:rPr>
                <w:rFonts w:hint="default" w:ascii="Times New Roman" w:hAnsi="Times New Roman" w:eastAsia="宋体" w:cs="Times New Roman"/>
                <w:color w:val="auto"/>
                <w:kern w:val="0"/>
                <w:sz w:val="21"/>
                <w:szCs w:val="21"/>
                <w:highlight w:val="none"/>
                <w:lang w:val="en-US" w:eastAsia="zh-CN" w:bidi="ar-SA"/>
              </w:rPr>
              <w:t>d，则本</w:t>
            </w:r>
            <w:r>
              <w:rPr>
                <w:rFonts w:hint="eastAsia" w:ascii="Times New Roman" w:hAnsi="Times New Roman" w:eastAsia="宋体" w:cs="Times New Roman"/>
                <w:color w:val="auto"/>
                <w:kern w:val="0"/>
                <w:sz w:val="21"/>
                <w:szCs w:val="21"/>
                <w:highlight w:val="none"/>
                <w:lang w:val="en-US" w:eastAsia="zh-CN" w:bidi="ar-SA"/>
              </w:rPr>
              <w:t>项目</w:t>
            </w:r>
            <w:r>
              <w:rPr>
                <w:rFonts w:hint="default" w:ascii="Times New Roman" w:hAnsi="Times New Roman" w:eastAsia="宋体" w:cs="Times New Roman"/>
                <w:color w:val="auto"/>
                <w:kern w:val="0"/>
                <w:sz w:val="21"/>
                <w:szCs w:val="21"/>
                <w:highlight w:val="none"/>
                <w:lang w:val="en-US" w:eastAsia="zh-CN" w:bidi="ar-SA"/>
              </w:rPr>
              <w:t>钻井期共产生生活垃圾</w:t>
            </w:r>
            <w:r>
              <w:rPr>
                <w:rFonts w:hint="eastAsia" w:ascii="Times New Roman" w:hAnsi="Times New Roman" w:eastAsia="宋体" w:cs="Times New Roman"/>
                <w:color w:val="auto"/>
                <w:kern w:val="0"/>
                <w:sz w:val="21"/>
                <w:szCs w:val="21"/>
                <w:highlight w:val="none"/>
                <w:lang w:val="en-US" w:eastAsia="zh-CN" w:bidi="ar-SA"/>
              </w:rPr>
              <w:t>13.5</w:t>
            </w:r>
            <w:r>
              <w:rPr>
                <w:rFonts w:hint="default" w:ascii="Times New Roman" w:hAnsi="Times New Roman" w:eastAsia="宋体" w:cs="Times New Roman"/>
                <w:color w:val="auto"/>
                <w:kern w:val="0"/>
                <w:sz w:val="21"/>
                <w:szCs w:val="21"/>
                <w:highlight w:val="none"/>
                <w:lang w:val="en-US" w:eastAsia="zh-CN" w:bidi="ar-SA"/>
              </w:rPr>
              <w:t>t</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试油期间</w:t>
            </w:r>
            <w:r>
              <w:rPr>
                <w:rFonts w:hint="eastAsia" w:ascii="Times New Roman" w:hAnsi="Times New Roman" w:eastAsia="宋体" w:cs="Times New Roman"/>
                <w:color w:val="auto"/>
                <w:kern w:val="0"/>
                <w:sz w:val="21"/>
                <w:szCs w:val="21"/>
                <w:highlight w:val="none"/>
                <w:lang w:val="en-US" w:eastAsia="zh-CN" w:bidi="ar-SA"/>
              </w:rPr>
              <w:t>按</w:t>
            </w:r>
            <w:r>
              <w:rPr>
                <w:rFonts w:hint="default" w:ascii="Times New Roman" w:hAnsi="Times New Roman" w:eastAsia="宋体" w:cs="Times New Roman"/>
                <w:color w:val="auto"/>
                <w:kern w:val="0"/>
                <w:sz w:val="21"/>
                <w:szCs w:val="21"/>
                <w:highlight w:val="none"/>
                <w:lang w:val="en-US" w:eastAsia="zh-CN" w:bidi="ar-SA"/>
              </w:rPr>
              <w:t>每人每天产生0.5kg生活垃圾进行估算，</w:t>
            </w:r>
            <w:r>
              <w:rPr>
                <w:rFonts w:hint="eastAsia" w:ascii="Times New Roman" w:hAnsi="Times New Roman" w:eastAsia="宋体" w:cs="Times New Roman"/>
                <w:color w:val="auto"/>
                <w:kern w:val="0"/>
                <w:sz w:val="21"/>
                <w:szCs w:val="21"/>
                <w:highlight w:val="none"/>
                <w:lang w:val="en-US" w:eastAsia="zh-CN" w:bidi="ar-SA"/>
              </w:rPr>
              <w:t>单井试油期50天试油队</w:t>
            </w:r>
            <w:r>
              <w:rPr>
                <w:rFonts w:hint="default" w:ascii="Times New Roman" w:hAnsi="Times New Roman" w:eastAsia="宋体" w:cs="Times New Roman"/>
                <w:color w:val="auto"/>
                <w:kern w:val="0"/>
                <w:sz w:val="21"/>
                <w:szCs w:val="21"/>
                <w:highlight w:val="none"/>
                <w:lang w:val="en-US" w:eastAsia="zh-CN" w:bidi="ar-SA"/>
              </w:rPr>
              <w:t>人数</w:t>
            </w:r>
            <w:r>
              <w:rPr>
                <w:rFonts w:hint="eastAsia" w:ascii="Times New Roman" w:hAnsi="Times New Roman" w:eastAsia="宋体" w:cs="Times New Roman"/>
                <w:color w:val="auto"/>
                <w:kern w:val="0"/>
                <w:sz w:val="21"/>
                <w:szCs w:val="21"/>
                <w:highlight w:val="none"/>
                <w:lang w:val="en-US" w:eastAsia="zh-CN" w:bidi="ar-SA"/>
              </w:rPr>
              <w:t>按</w:t>
            </w:r>
            <w:r>
              <w:rPr>
                <w:rFonts w:hint="default" w:ascii="Times New Roman" w:hAnsi="Times New Roman" w:eastAsia="宋体" w:cs="Times New Roman"/>
                <w:color w:val="auto"/>
                <w:kern w:val="0"/>
                <w:sz w:val="21"/>
                <w:szCs w:val="21"/>
                <w:highlight w:val="none"/>
                <w:lang w:val="en-US" w:eastAsia="zh-CN" w:bidi="ar-SA"/>
              </w:rPr>
              <w:t>2人计算，</w:t>
            </w:r>
            <w:r>
              <w:rPr>
                <w:rFonts w:hint="eastAsia" w:ascii="Times New Roman" w:hAnsi="Times New Roman" w:eastAsia="宋体" w:cs="Times New Roman"/>
                <w:color w:val="auto"/>
                <w:kern w:val="0"/>
                <w:sz w:val="21"/>
                <w:szCs w:val="21"/>
                <w:highlight w:val="none"/>
                <w:lang w:val="en-US" w:eastAsia="zh-CN" w:bidi="ar-SA"/>
              </w:rPr>
              <w:t>则试油过程</w:t>
            </w:r>
            <w:r>
              <w:rPr>
                <w:rFonts w:hint="default" w:ascii="Times New Roman" w:hAnsi="Times New Roman" w:eastAsia="宋体" w:cs="Times New Roman"/>
                <w:color w:val="auto"/>
                <w:kern w:val="0"/>
                <w:sz w:val="21"/>
                <w:szCs w:val="21"/>
                <w:highlight w:val="none"/>
                <w:lang w:val="en-US" w:eastAsia="zh-CN" w:bidi="ar-SA"/>
              </w:rPr>
              <w:t>共产生生活垃圾</w:t>
            </w:r>
            <w:r>
              <w:rPr>
                <w:rFonts w:hint="eastAsia" w:ascii="Times New Roman" w:hAnsi="Times New Roman" w:eastAsia="宋体" w:cs="Times New Roman"/>
                <w:color w:val="auto"/>
                <w:kern w:val="0"/>
                <w:sz w:val="21"/>
                <w:szCs w:val="21"/>
                <w:highlight w:val="none"/>
                <w:lang w:val="en-US" w:eastAsia="zh-CN" w:bidi="ar-SA"/>
              </w:rPr>
              <w:t>0.3t</w:t>
            </w:r>
            <w:r>
              <w:rPr>
                <w:rFonts w:hint="default" w:ascii="Times New Roman" w:hAnsi="Times New Roman" w:eastAsia="宋体" w:cs="Times New Roman"/>
                <w:color w:val="auto"/>
                <w:kern w:val="0"/>
                <w:sz w:val="21"/>
                <w:szCs w:val="21"/>
                <w:highlight w:val="none"/>
                <w:lang w:val="en-US" w:eastAsia="zh-CN" w:bidi="ar-SA"/>
              </w:rPr>
              <w:t>。生活垃圾集中收集后定期送往</w:t>
            </w:r>
            <w:r>
              <w:rPr>
                <w:rFonts w:hint="eastAsia" w:ascii="Times New Roman" w:hAnsi="Times New Roman" w:eastAsia="宋体" w:cs="Times New Roman"/>
                <w:color w:val="auto"/>
                <w:kern w:val="0"/>
                <w:sz w:val="21"/>
                <w:szCs w:val="21"/>
                <w:highlight w:val="none"/>
                <w:lang w:val="en-US" w:eastAsia="zh-CN" w:bidi="ar-SA"/>
              </w:rPr>
              <w:t>玛纳斯县垃圾填埋场</w:t>
            </w:r>
            <w:r>
              <w:rPr>
                <w:rFonts w:hint="default" w:ascii="Times New Roman" w:hAnsi="Times New Roman" w:eastAsia="宋体" w:cs="Times New Roman"/>
                <w:color w:val="auto"/>
                <w:kern w:val="0"/>
                <w:sz w:val="21"/>
                <w:szCs w:val="21"/>
                <w:highlight w:val="none"/>
                <w:lang w:val="en-US" w:eastAsia="zh-CN" w:bidi="ar-SA"/>
              </w:rPr>
              <w:t>处置。</w:t>
            </w:r>
          </w:p>
          <w:p>
            <w:pPr>
              <w:keepNext w:val="0"/>
              <w:keepLines w:val="0"/>
              <w:widowControl/>
              <w:suppressLineNumbers w:val="0"/>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（4）</w:t>
            </w:r>
            <w:r>
              <w:rPr>
                <w:rFonts w:hint="default" w:ascii="宋体" w:hAnsi="宋体" w:eastAsia="宋体" w:cs="宋体"/>
                <w:color w:val="auto"/>
                <w:kern w:val="0"/>
                <w:sz w:val="21"/>
                <w:szCs w:val="21"/>
                <w:highlight w:val="none"/>
                <w:lang w:val="en-US" w:eastAsia="zh-CN" w:bidi="ar-SA"/>
              </w:rPr>
              <w:t>机械设备废油</w:t>
            </w:r>
          </w:p>
          <w:p>
            <w:pPr>
              <w:pStyle w:val="8"/>
              <w:keepNext w:val="0"/>
              <w:keepLines w:val="0"/>
              <w:suppressLineNumbers w:val="0"/>
              <w:spacing w:before="0" w:beforeLines="0" w:beforeAutospacing="0" w:after="0" w:afterLines="0" w:afterAutospacing="0" w:line="360" w:lineRule="auto"/>
              <w:ind w:left="0" w:right="0" w:firstLine="480"/>
              <w:rPr>
                <w:rFonts w:hint="eastAsia" w:ascii="Times New Roman" w:hAnsi="Times New Roman" w:cs="Times New Roman"/>
                <w:color w:val="auto"/>
                <w:kern w:val="0"/>
                <w:sz w:val="21"/>
                <w:szCs w:val="21"/>
                <w:highlight w:val="none"/>
                <w:lang w:val="en-US" w:eastAsia="zh-CN" w:bidi="ar-SA"/>
              </w:rPr>
            </w:pPr>
            <w:r>
              <w:rPr>
                <w:rFonts w:hint="default"/>
                <w:color w:val="auto"/>
                <w:sz w:val="21"/>
                <w:szCs w:val="21"/>
                <w:highlight w:val="none"/>
              </w:rPr>
              <w:t>钻井期间使用的机</w:t>
            </w:r>
            <w:r>
              <w:rPr>
                <w:rFonts w:hint="default" w:ascii="Times New Roman" w:hAnsi="Times New Roman" w:cs="Times New Roman"/>
                <w:color w:val="auto"/>
                <w:sz w:val="21"/>
                <w:szCs w:val="21"/>
                <w:highlight w:val="none"/>
              </w:rPr>
              <w:t>械设备运行过程中需进行维护、保养、维修等工作，以使其能正常运转，此过程中将产生少量的</w:t>
            </w:r>
            <w:r>
              <w:rPr>
                <w:rFonts w:hint="default" w:ascii="Times New Roman" w:hAnsi="Times New Roman" w:cs="Times New Roman"/>
                <w:color w:val="auto"/>
                <w:sz w:val="21"/>
                <w:szCs w:val="21"/>
                <w:highlight w:val="none"/>
                <w:lang w:val="en-US" w:eastAsia="zh-CN"/>
              </w:rPr>
              <w:t>含油废弃物（危废编号HW08）</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包括</w:t>
            </w:r>
            <w:r>
              <w:rPr>
                <w:rFonts w:hint="default" w:ascii="Times New Roman" w:hAnsi="Times New Roman" w:cs="Times New Roman"/>
                <w:color w:val="auto"/>
                <w:sz w:val="21"/>
                <w:szCs w:val="21"/>
                <w:highlight w:val="none"/>
              </w:rPr>
              <w:t>废润滑油</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危废代码</w:t>
            </w:r>
            <w:r>
              <w:rPr>
                <w:rFonts w:hint="default" w:ascii="Times New Roman" w:hAnsi="Times New Roman" w:cs="Times New Roman"/>
                <w:color w:val="auto"/>
                <w:sz w:val="21"/>
                <w:szCs w:val="21"/>
                <w:highlight w:val="none"/>
                <w:lang w:eastAsia="zh-CN"/>
              </w:rPr>
              <w:t>900-214-08）</w:t>
            </w:r>
            <w:r>
              <w:rPr>
                <w:rFonts w:hint="default" w:ascii="Times New Roman" w:hAnsi="Times New Roman" w:cs="Times New Roman"/>
                <w:color w:val="auto"/>
                <w:sz w:val="21"/>
                <w:szCs w:val="21"/>
                <w:highlight w:val="none"/>
              </w:rPr>
              <w:t>、废机油</w:t>
            </w:r>
            <w:r>
              <w:rPr>
                <w:rFonts w:hint="default" w:ascii="Times New Roman" w:hAnsi="Times New Roman" w:cs="Times New Roman"/>
                <w:color w:val="auto"/>
                <w:sz w:val="21"/>
                <w:szCs w:val="21"/>
                <w:highlight w:val="none"/>
                <w:lang w:eastAsia="zh-CN"/>
              </w:rPr>
              <w:t>（900-217-08）</w:t>
            </w:r>
            <w:r>
              <w:rPr>
                <w:rFonts w:hint="default" w:ascii="Times New Roman" w:hAnsi="Times New Roman" w:cs="Times New Roman"/>
                <w:color w:val="auto"/>
                <w:sz w:val="21"/>
                <w:szCs w:val="21"/>
                <w:highlight w:val="none"/>
              </w:rPr>
              <w:t>、废液压油</w:t>
            </w:r>
            <w:r>
              <w:rPr>
                <w:rFonts w:hint="default" w:ascii="Times New Roman" w:hAnsi="Times New Roman" w:cs="Times New Roman"/>
                <w:color w:val="auto"/>
                <w:sz w:val="21"/>
                <w:szCs w:val="21"/>
                <w:highlight w:val="none"/>
                <w:lang w:eastAsia="zh-CN"/>
              </w:rPr>
              <w:t>（危废代码900-218-08）</w:t>
            </w:r>
            <w:r>
              <w:rPr>
                <w:rFonts w:hint="default" w:ascii="Times New Roman" w:hAnsi="Times New Roman" w:cs="Times New Roman"/>
                <w:color w:val="auto"/>
                <w:sz w:val="21"/>
                <w:szCs w:val="21"/>
                <w:highlight w:val="none"/>
              </w:rPr>
              <w:t>等，类比调查一个钻井期产生量不足</w:t>
            </w:r>
            <w:r>
              <w:rPr>
                <w:rFonts w:hint="default" w:ascii="Times New Roman" w:hAnsi="Times New Roman" w:eastAsia="宋体" w:cs="Times New Roman"/>
                <w:color w:val="auto"/>
                <w:sz w:val="21"/>
                <w:szCs w:val="21"/>
                <w:highlight w:val="none"/>
                <w:lang w:val="en-US" w:eastAsia="zh-CN"/>
              </w:rPr>
              <w:t>0.5</w:t>
            </w:r>
            <w:r>
              <w:rPr>
                <w:rFonts w:hint="default" w:ascii="Times New Roman" w:hAnsi="Times New Roman"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产生量约3.0t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委托有危废处置资质的单位进行妥善处理</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本项目</w:t>
            </w:r>
            <w:r>
              <w:rPr>
                <w:rFonts w:hint="default" w:ascii="Times New Roman" w:hAnsi="Times New Roman" w:eastAsia="宋体" w:cs="Times New Roman"/>
                <w:color w:val="auto"/>
                <w:kern w:val="0"/>
                <w:sz w:val="21"/>
                <w:szCs w:val="21"/>
                <w:highlight w:val="none"/>
                <w:lang w:val="en-US" w:eastAsia="zh-CN" w:bidi="ar-SA"/>
              </w:rPr>
              <w:t>严格按照《危险废物污染防治技术政策》（环发[2001]199号）的</w:t>
            </w:r>
            <w:r>
              <w:rPr>
                <w:rFonts w:ascii="Times New Roman" w:hAnsi="Times New Roman" w:eastAsia="宋体" w:cs="Times New Roman"/>
                <w:color w:val="auto"/>
                <w:kern w:val="0"/>
                <w:sz w:val="21"/>
                <w:szCs w:val="21"/>
                <w:highlight w:val="none"/>
                <w:lang w:val="en-US" w:eastAsia="zh-CN" w:bidi="ar-SA"/>
              </w:rPr>
              <w:t>相关要求建设，在此基础上，可确保</w:t>
            </w:r>
            <w:r>
              <w:rPr>
                <w:rFonts w:hint="eastAsia" w:ascii="Times New Roman" w:hAnsi="Times New Roman" w:cs="Times New Roman"/>
                <w:color w:val="auto"/>
                <w:kern w:val="0"/>
                <w:sz w:val="21"/>
                <w:szCs w:val="21"/>
                <w:highlight w:val="none"/>
                <w:lang w:val="en-US" w:eastAsia="zh-CN" w:bidi="ar-SA"/>
              </w:rPr>
              <w:t>项目</w:t>
            </w:r>
            <w:r>
              <w:rPr>
                <w:rFonts w:ascii="Times New Roman" w:hAnsi="Times New Roman" w:eastAsia="宋体" w:cs="Times New Roman"/>
                <w:color w:val="auto"/>
                <w:kern w:val="0"/>
                <w:sz w:val="21"/>
                <w:szCs w:val="21"/>
                <w:highlight w:val="none"/>
                <w:lang w:val="en-US" w:eastAsia="zh-CN" w:bidi="ar-SA"/>
              </w:rPr>
              <w:t>产生的危险废物在过程控制阶段对环境的影响最小</w:t>
            </w:r>
            <w:r>
              <w:rPr>
                <w:rFonts w:hint="eastAsia" w:ascii="Times New Roman" w:hAnsi="Times New Roman" w:cs="Times New Roman"/>
                <w:color w:val="auto"/>
                <w:kern w:val="0"/>
                <w:sz w:val="21"/>
                <w:szCs w:val="21"/>
                <w:highlight w:val="none"/>
                <w:lang w:val="en-US" w:eastAsia="zh-CN" w:bidi="ar-SA"/>
              </w:rPr>
              <w:t>。</w:t>
            </w:r>
          </w:p>
          <w:p>
            <w:pPr>
              <w:keepNext w:val="0"/>
              <w:keepLines w:val="0"/>
              <w:suppressLineNumbers w:val="0"/>
              <w:adjustRightInd w:val="0"/>
              <w:snapToGrid w:val="0"/>
              <w:spacing w:before="0" w:beforeAutospacing="0" w:after="0" w:afterAutospacing="0" w:line="360" w:lineRule="auto"/>
              <w:ind w:left="0" w:leftChars="0" w:right="0" w:firstLine="422" w:firstLineChars="200"/>
              <w:rPr>
                <w:rFonts w:hint="eastAsia" w:cs="Times New Roman"/>
                <w:color w:val="000000"/>
                <w:sz w:val="21"/>
                <w:szCs w:val="21"/>
                <w:highlight w:val="yellow"/>
                <w:lang w:val="en-US" w:eastAsia="zh-CN"/>
              </w:rPr>
            </w:pPr>
            <w:r>
              <w:rPr>
                <w:rFonts w:hint="eastAsia" w:cs="Times New Roman"/>
                <w:b/>
                <w:bCs/>
                <w:color w:val="000000"/>
                <w:sz w:val="21"/>
                <w:szCs w:val="21"/>
                <w:highlight w:val="none"/>
                <w:lang w:val="en-US" w:eastAsia="zh-CN"/>
              </w:rPr>
              <w:t>9.土壤环境影响</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（1）占地对土壤环境的影响</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项目区主要土壤类型为风沙土、漠境盐土及草甸土，占地类型为低覆盖度草地。占地对土壤的影响主要为：</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①破坏土壤原有结构</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土壤结构是经过较长的历史时期形成的，施工开挖必将破坏土壤的结构。尤其是土壤中的团粒结构，一旦遭到破坏，必须经过较长的时间才能恢复。</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②混合土壤层次、改变土壤质地</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土壤质地因地形和土壤形成条件的不同而有较大的变化，即使同一土壤剖面，表层土壤质地与底层的也截然不同。施工的开挖和回填，必定混合原有的土壤层次，降低土壤的蓄水保肥能力，易受风蚀，从而影响土壤的发育，植被的恢复。</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③影响土壤养分</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土体构型是土壤剖面中各种土层的组合情况。不同土层的特征及理化性质差异较大。就养分而言，表土层远较心土层好，其有机质、全氮、速效磷、钾等含量高，紧实度、孔隙状况适中，适耕性强。施工对原有土体构型势必扰动，使土壤养分状况受到影响，严重者使土壤性质恶化，并波及其上生长的植被，甚至难以恢复。</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④影响土壤紧实度</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yellow"/>
                <w:lang w:val="en-US" w:eastAsia="zh-CN"/>
              </w:rPr>
            </w:pPr>
            <w:r>
              <w:rPr>
                <w:rFonts w:hint="eastAsia" w:cs="Times New Roman"/>
                <w:color w:val="000000"/>
                <w:sz w:val="21"/>
                <w:szCs w:val="21"/>
                <w:highlight w:val="none"/>
                <w:lang w:val="en-US" w:eastAsia="zh-CN"/>
              </w:rPr>
              <w:t>施工中机械碾压，人员践踏等都会影响土壤的紧实度。土层过松，易引起水土流失，土体过紧，又会影响植被生长。</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⑤土壤污染</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施工过程中将产生施工垃圾、生活垃圾以及焊渣、废弃外涂层涂料等废物。这些固体垃圾可能含有难于分解的物质，如不妥善管理，回填入土，将影响土壤质量。另外施工过程中，各种机器设备的燃油滴漏也可能对沿线土壤造成一定的影响。</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⑥土壤物理性质的影响</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在施工中由于打乱土层，改变土壤容重，地表植被受到破坏，使得地表填筑物由于太阳热能的吸收量增加。类比调查表明：地表土壤温度比相邻地段高出1℃~3℃，蒸发量加大，土壤水分减少，冬季土表积雪提前融化，将可能形成一条明显的沟带。</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（2）车辆行驶和机械施工对土壤的影响</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在施工中，车辆行驶和机械作业时机械设备的碾压、施工人员的践踏等都会对土壤的紧实度产生影响。机械碾压的结果使土壤紧实度增高，地表水入渗减少，土壤团粒结构遭到破坏，土壤养分流失，不利于植物生长。各种车辆（尤其是重型卡车）行驶将使经过的土壤变紧实，严重的经过多次碾压后植物很难再生长，甚至退化为沙地。</w:t>
            </w:r>
          </w:p>
          <w:p>
            <w:pPr>
              <w:keepNext w:val="0"/>
              <w:keepLines w:val="0"/>
              <w:suppressLineNumbers w:val="0"/>
              <w:adjustRightInd w:val="0"/>
              <w:snapToGrid w:val="0"/>
              <w:spacing w:before="0" w:beforeAutospacing="0" w:after="0" w:afterAutospacing="0" w:line="360" w:lineRule="auto"/>
              <w:ind w:left="0" w:leftChars="0" w:right="0" w:firstLine="422" w:firstLineChars="200"/>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1</w:t>
            </w:r>
            <w:r>
              <w:rPr>
                <w:rFonts w:hint="eastAsia" w:cs="Times New Roman"/>
                <w:b/>
                <w:bCs/>
                <w:color w:val="000000"/>
                <w:sz w:val="21"/>
                <w:szCs w:val="21"/>
                <w:highlight w:val="none"/>
                <w:lang w:val="en-US" w:eastAsia="zh-CN"/>
              </w:rPr>
              <w:t>0</w:t>
            </w:r>
            <w:r>
              <w:rPr>
                <w:rFonts w:hint="eastAsia" w:ascii="Times New Roman" w:hAnsi="Times New Roman" w:eastAsia="宋体" w:cs="Times New Roman"/>
                <w:b/>
                <w:bCs/>
                <w:color w:val="000000"/>
                <w:sz w:val="21"/>
                <w:szCs w:val="21"/>
                <w:highlight w:val="none"/>
                <w:lang w:val="en-US" w:eastAsia="zh-CN"/>
              </w:rPr>
              <w:t>.环境风险评价</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（1）评价依据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根据《建设项目环境风险评价技术导则》（HJ 169-2018），本项目试油期涉及的危险物质为石油（临界量2500t）、伴生气（临界量10t）和柴油（临界量2500t），根据历史油藏评价结果预期，试油期伴生气的产生量低，风险物质在线量远低于其对应的临界量；柴油在</w:t>
            </w:r>
            <w:r>
              <w:rPr>
                <w:rFonts w:hint="eastAsia" w:cs="Times New Roman"/>
                <w:color w:val="auto"/>
                <w:kern w:val="0"/>
                <w:sz w:val="21"/>
                <w:szCs w:val="21"/>
                <w:highlight w:val="none"/>
                <w:lang w:val="en-US" w:eastAsia="zh-CN"/>
              </w:rPr>
              <w:t>单井</w:t>
            </w:r>
            <w:r>
              <w:rPr>
                <w:rFonts w:hint="default" w:ascii="Times New Roman" w:hAnsi="Times New Roman" w:eastAsia="宋体" w:cs="Times New Roman"/>
                <w:color w:val="auto"/>
                <w:kern w:val="0"/>
                <w:sz w:val="21"/>
                <w:szCs w:val="21"/>
                <w:highlight w:val="none"/>
              </w:rPr>
              <w:t>井场的日常储量为</w:t>
            </w:r>
            <w:r>
              <w:rPr>
                <w:rFonts w:hint="eastAsia" w:cs="Times New Roman"/>
                <w:color w:val="auto"/>
                <w:kern w:val="0"/>
                <w:sz w:val="21"/>
                <w:szCs w:val="21"/>
                <w:highlight w:val="none"/>
                <w:lang w:val="en-US" w:eastAsia="zh-CN"/>
              </w:rPr>
              <w:t>9</w:t>
            </w:r>
            <w:r>
              <w:rPr>
                <w:rFonts w:hint="default" w:ascii="Times New Roman" w:hAnsi="Times New Roman" w:eastAsia="宋体" w:cs="Times New Roman"/>
                <w:color w:val="auto"/>
                <w:kern w:val="0"/>
                <w:sz w:val="21"/>
                <w:szCs w:val="21"/>
                <w:highlight w:val="none"/>
              </w:rPr>
              <w:t>0t；试油期井场设方罐</w:t>
            </w:r>
            <w:r>
              <w:rPr>
                <w:rFonts w:hint="eastAsia"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个，方罐容积为20m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，原油密度为0.8249g/cm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，则采出液量中原油量</w:t>
            </w:r>
            <w:r>
              <w:rPr>
                <w:rFonts w:hint="default" w:ascii="Times New Roman" w:hAnsi="Times New Roman" w:eastAsia="宋体" w:cs="Times New Roman"/>
                <w:color w:val="auto"/>
                <w:kern w:val="0"/>
                <w:sz w:val="21"/>
                <w:szCs w:val="21"/>
                <w:highlight w:val="none"/>
                <w:lang w:val="en-US" w:eastAsia="zh-CN"/>
              </w:rPr>
              <w:t>小于65.99</w:t>
            </w:r>
            <w:r>
              <w:rPr>
                <w:rFonts w:hint="default" w:ascii="Times New Roman" w:hAnsi="Times New Roman" w:eastAsia="宋体" w:cs="Times New Roman"/>
                <w:color w:val="auto"/>
                <w:kern w:val="0"/>
                <w:sz w:val="21"/>
                <w:szCs w:val="21"/>
                <w:highlight w:val="none"/>
              </w:rPr>
              <w:t>t，根据HJ169-2018附录C计算，本</w:t>
            </w:r>
            <w:r>
              <w:rPr>
                <w:rFonts w:hint="eastAsia" w:cs="Times New Roman"/>
                <w:color w:val="auto"/>
                <w:kern w:val="0"/>
                <w:sz w:val="21"/>
                <w:szCs w:val="21"/>
                <w:highlight w:val="none"/>
                <w:lang w:val="en-US" w:eastAsia="zh-CN"/>
              </w:rPr>
              <w:t>项目</w:t>
            </w:r>
            <w:r>
              <w:rPr>
                <w:rFonts w:hint="default" w:ascii="Times New Roman" w:hAnsi="Times New Roman" w:eastAsia="宋体" w:cs="Times New Roman"/>
                <w:color w:val="auto"/>
                <w:kern w:val="0"/>
                <w:sz w:val="21"/>
                <w:szCs w:val="21"/>
                <w:highlight w:val="none"/>
              </w:rPr>
              <w:t>的Q＜1，故本项目风险潜势为Ⅰ，仅需要进行简单分析。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（2）环境风险识别</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①物质危险性识别</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w:t>
            </w:r>
            <w:r>
              <w:rPr>
                <w:rFonts w:hint="eastAsia" w:ascii="Times New Roman" w:hAnsi="Times New Roman" w:eastAsia="宋体" w:cs="Times New Roman"/>
                <w:color w:val="auto"/>
                <w:kern w:val="0"/>
                <w:sz w:val="21"/>
                <w:szCs w:val="21"/>
                <w:highlight w:val="none"/>
                <w:lang w:val="en-US" w:eastAsia="zh-CN" w:bidi="ar-SA"/>
              </w:rPr>
              <w:t>项目</w:t>
            </w:r>
            <w:r>
              <w:rPr>
                <w:rFonts w:hint="default" w:ascii="Times New Roman" w:hAnsi="Times New Roman" w:eastAsia="宋体" w:cs="Times New Roman"/>
                <w:color w:val="auto"/>
                <w:kern w:val="0"/>
                <w:sz w:val="21"/>
                <w:szCs w:val="21"/>
                <w:highlight w:val="none"/>
                <w:lang w:val="en-US" w:eastAsia="zh-CN" w:bidi="ar-SA"/>
              </w:rPr>
              <w:t>涉及的环境风险物质主要为原油、天然气和柴油。其主要物化、毒理性质、危险等级划分见表</w:t>
            </w:r>
            <w:r>
              <w:rPr>
                <w:rFonts w:hint="eastAsia" w:cs="Times New Roman"/>
                <w:color w:val="auto"/>
                <w:kern w:val="0"/>
                <w:sz w:val="21"/>
                <w:szCs w:val="21"/>
                <w:highlight w:val="none"/>
                <w:lang w:val="en-US" w:eastAsia="zh-CN" w:bidi="ar-SA"/>
              </w:rPr>
              <w:t>4.6。</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②生产设施风险识别</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A、井喷事故风险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井喷为井场常见事故。钻井过程中遇到地下油、气、水层时，油、气或水窜进井内的钻井液里，加快了钻井液流动和循环的速度。如果井底压力小于地层压力，地层流体将进入井筒并推动钻井液外溢，即发生溢流。此时，如果对地下油、气压力平衡控制不当，不能及时控制溢流，会造成油、气、水或其他混合物迅速喷到地面，即发生井喷。井喷会引发油气泄漏及火灾爆炸，对空气环境、水环境及生态环境造成危害，致使人员伤亡、财产损失。</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黑体" w:hAnsi="黑体" w:eastAsia="黑体" w:cs="黑体"/>
                <w:color w:val="auto"/>
                <w:kern w:val="0"/>
                <w:sz w:val="21"/>
                <w:szCs w:val="21"/>
                <w:highlight w:val="none"/>
                <w:lang w:val="en-GB" w:eastAsia="zh-CN"/>
              </w:rPr>
            </w:pPr>
            <w:bookmarkStart w:id="11" w:name="_Ref19644774"/>
            <w:r>
              <w:rPr>
                <w:rFonts w:hint="default" w:ascii="黑体" w:hAnsi="黑体" w:eastAsia="黑体" w:cs="黑体"/>
                <w:color w:val="auto"/>
                <w:kern w:val="0"/>
                <w:sz w:val="21"/>
                <w:szCs w:val="21"/>
                <w:highlight w:val="none"/>
                <w:lang w:val="en-GB" w:eastAsia="zh-CN"/>
              </w:rPr>
              <w:t>表</w:t>
            </w:r>
            <w:bookmarkEnd w:id="11"/>
            <w:r>
              <w:rPr>
                <w:rFonts w:hint="default" w:ascii="黑体" w:hAnsi="黑体" w:eastAsia="黑体" w:cs="黑体"/>
                <w:color w:val="auto"/>
                <w:kern w:val="0"/>
                <w:sz w:val="21"/>
                <w:szCs w:val="21"/>
                <w:highlight w:val="none"/>
                <w:lang w:val="en-US" w:eastAsia="zh-CN"/>
              </w:rPr>
              <w:t>4</w:t>
            </w:r>
            <w:r>
              <w:rPr>
                <w:rFonts w:hint="eastAsia" w:ascii="黑体" w:hAnsi="黑体" w:eastAsia="黑体" w:cs="黑体"/>
                <w:color w:val="auto"/>
                <w:kern w:val="0"/>
                <w:sz w:val="21"/>
                <w:szCs w:val="21"/>
                <w:highlight w:val="none"/>
                <w:lang w:val="en-US" w:eastAsia="zh-CN"/>
              </w:rPr>
              <w:t>.6</w:t>
            </w:r>
            <w:r>
              <w:rPr>
                <w:rFonts w:hint="default" w:ascii="黑体" w:hAnsi="黑体" w:eastAsia="黑体" w:cs="黑体"/>
                <w:color w:val="auto"/>
                <w:kern w:val="0"/>
                <w:sz w:val="21"/>
                <w:szCs w:val="21"/>
                <w:highlight w:val="none"/>
                <w:lang w:val="en-GB" w:eastAsia="zh-CN"/>
              </w:rPr>
              <w:t xml:space="preserve">         原油、天然气和柴油的理化性质及危险级别分类情况</w:t>
            </w:r>
          </w:p>
          <w:tbl>
            <w:tblPr>
              <w:tblStyle w:val="20"/>
              <w:tblW w:w="7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447"/>
              <w:gridCol w:w="965"/>
              <w:gridCol w:w="2487"/>
              <w:gridCol w:w="195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1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44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名称</w:t>
                  </w:r>
                </w:p>
              </w:tc>
              <w:tc>
                <w:tcPr>
                  <w:tcW w:w="9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组分</w:t>
                  </w:r>
                </w:p>
              </w:tc>
              <w:tc>
                <w:tcPr>
                  <w:tcW w:w="248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毒性</w:t>
                  </w:r>
                </w:p>
              </w:tc>
              <w:tc>
                <w:tcPr>
                  <w:tcW w:w="195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燃烧爆炸特性参数</w:t>
                  </w:r>
                </w:p>
              </w:tc>
              <w:tc>
                <w:tcPr>
                  <w:tcW w:w="9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1" w:hRule="atLeast"/>
                <w:jc w:val="center"/>
              </w:trPr>
              <w:tc>
                <w:tcPr>
                  <w:tcW w:w="41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44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原油</w:t>
                  </w:r>
                </w:p>
              </w:tc>
              <w:tc>
                <w:tcPr>
                  <w:tcW w:w="9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有各种烃类和非烃类化合物所组成的复杂混合物</w:t>
                  </w:r>
                </w:p>
              </w:tc>
              <w:tc>
                <w:tcPr>
                  <w:tcW w:w="248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原油本身无明显毒性。遇热分解出有毒的烟雾，吸入大量可引起危害：有刺激和麻痹作用，吸入急性中毒者有上呼吸道刺激症状。流泪，随之出现头晕、头痛、恶心、运动失调及酒醉样症状</w:t>
                  </w:r>
                </w:p>
              </w:tc>
              <w:tc>
                <w:tcPr>
                  <w:tcW w:w="195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热值：41870KJ/kg</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火焰温度：1100℃</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沸点：300～325℃</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闪点：23.5℃</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爆炸极限1.1～6.4%（v）自然燃点380～530℃</w:t>
                  </w:r>
                </w:p>
              </w:tc>
              <w:tc>
                <w:tcPr>
                  <w:tcW w:w="9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属于高闪点液体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41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44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天然气</w:t>
                  </w:r>
                </w:p>
              </w:tc>
              <w:tc>
                <w:tcPr>
                  <w:tcW w:w="9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多种可燃性气体的总称，主要成分包括甲烷、乙烷等</w:t>
                  </w:r>
                </w:p>
              </w:tc>
              <w:tc>
                <w:tcPr>
                  <w:tcW w:w="248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伴生气中主要包括天然气，天然气中含有的甲烷，是一种无毒气体，当空气中大量弥漫这种气体时它会造成人因氧气不足而呼吸困难，进而失去知觉、昏迷甚至残废。</w:t>
                  </w:r>
                </w:p>
              </w:tc>
              <w:tc>
                <w:tcPr>
                  <w:tcW w:w="195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热值：50009KJ/kg</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爆炸极限5～14%（v）</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自然燃点</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482～632℃</w:t>
                  </w:r>
                </w:p>
              </w:tc>
              <w:tc>
                <w:tcPr>
                  <w:tcW w:w="9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属于5.1类中易燃气体，在危险货物品名表中编号21007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jc w:val="center"/>
              </w:trPr>
              <w:tc>
                <w:tcPr>
                  <w:tcW w:w="41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44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柴油</w:t>
                  </w:r>
                </w:p>
              </w:tc>
              <w:tc>
                <w:tcPr>
                  <w:tcW w:w="9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复杂烃类（</w:t>
                  </w:r>
                  <w:r>
                    <w:rPr>
                      <w:rFonts w:hint="default" w:ascii="Times New Roman" w:hAnsi="Times New Roman" w:cs="Times New Roman"/>
                      <w:color w:val="auto"/>
                      <w:sz w:val="18"/>
                      <w:szCs w:val="18"/>
                      <w:highlight w:val="none"/>
                    </w:rPr>
                    <w:fldChar w:fldCharType="begin"/>
                  </w:r>
                  <w:r>
                    <w:rPr>
                      <w:rFonts w:hint="default" w:ascii="Times New Roman" w:hAnsi="Times New Roman" w:cs="Times New Roman"/>
                      <w:color w:val="auto"/>
                      <w:sz w:val="18"/>
                      <w:szCs w:val="18"/>
                      <w:highlight w:val="none"/>
                    </w:rPr>
                    <w:instrText xml:space="preserve"> HYPERLINK "https://baike.so.com/doc/1753385-1853919.html" \t "_blank" </w:instrText>
                  </w:r>
                  <w:r>
                    <w:rPr>
                      <w:rFonts w:hint="default" w:ascii="Times New Roman" w:hAnsi="Times New Roman"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碳原子</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t>数约10～22）混合物</w:t>
                  </w:r>
                </w:p>
              </w:tc>
              <w:tc>
                <w:tcPr>
                  <w:tcW w:w="248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柴油的毒性类似于煤油，但由于添加剂(如硫化酯类）的影响，毒性可能比煤油略大。主要有麻醉和刺激作用。柴油的</w:t>
                  </w:r>
                  <w:r>
                    <w:rPr>
                      <w:rFonts w:hint="default" w:ascii="Times New Roman" w:hAnsi="Times New Roman" w:cs="Times New Roman"/>
                      <w:color w:val="auto"/>
                      <w:sz w:val="18"/>
                      <w:szCs w:val="18"/>
                      <w:highlight w:val="none"/>
                    </w:rPr>
                    <w:fldChar w:fldCharType="begin"/>
                  </w:r>
                  <w:r>
                    <w:rPr>
                      <w:rFonts w:hint="default" w:ascii="Times New Roman" w:hAnsi="Times New Roman" w:cs="Times New Roman"/>
                      <w:color w:val="auto"/>
                      <w:sz w:val="18"/>
                      <w:szCs w:val="18"/>
                      <w:highlight w:val="none"/>
                    </w:rPr>
                    <w:instrText xml:space="preserve"> HYPERLINK "https://baike.so.com/doc/1252640-1324776.html" \t "_blank" </w:instrText>
                  </w:r>
                  <w:r>
                    <w:rPr>
                      <w:rFonts w:hint="default" w:ascii="Times New Roman" w:hAnsi="Times New Roman"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雾滴</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t>吸入后可致</w:t>
                  </w:r>
                  <w:r>
                    <w:rPr>
                      <w:rFonts w:hint="default" w:ascii="Times New Roman" w:hAnsi="Times New Roman" w:cs="Times New Roman"/>
                      <w:color w:val="auto"/>
                      <w:sz w:val="18"/>
                      <w:szCs w:val="18"/>
                      <w:highlight w:val="none"/>
                    </w:rPr>
                    <w:fldChar w:fldCharType="begin"/>
                  </w:r>
                  <w:r>
                    <w:rPr>
                      <w:rFonts w:hint="default" w:ascii="Times New Roman" w:hAnsi="Times New Roman" w:cs="Times New Roman"/>
                      <w:color w:val="auto"/>
                      <w:sz w:val="18"/>
                      <w:szCs w:val="18"/>
                      <w:highlight w:val="none"/>
                    </w:rPr>
                    <w:instrText xml:space="preserve"> HYPERLINK "https://baike.so.com/doc/5358214-5593767.html" \t "_blank" </w:instrText>
                  </w:r>
                  <w:r>
                    <w:rPr>
                      <w:rFonts w:hint="default" w:ascii="Times New Roman" w:hAnsi="Times New Roman"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吸入性肺炎</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t>。皮肤接触柴油可致接触性皮炎。多见于两手、腕部与前臂。</w:t>
                  </w:r>
                </w:p>
              </w:tc>
              <w:tc>
                <w:tcPr>
                  <w:tcW w:w="195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rPr>
                    <w:fldChar w:fldCharType="begin"/>
                  </w:r>
                  <w:r>
                    <w:rPr>
                      <w:rFonts w:hint="default" w:ascii="Times New Roman" w:hAnsi="Times New Roman" w:cs="Times New Roman"/>
                      <w:color w:val="auto"/>
                      <w:sz w:val="18"/>
                      <w:szCs w:val="18"/>
                      <w:highlight w:val="none"/>
                    </w:rPr>
                    <w:instrText xml:space="preserve"> HYPERLINK "https://baike.so.com/doc/5846430-6059267.html" \t "_blank" </w:instrText>
                  </w:r>
                  <w:r>
                    <w:rPr>
                      <w:rFonts w:hint="default" w:ascii="Times New Roman" w:hAnsi="Times New Roman"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热值</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t>为3.3×10</w:t>
                  </w:r>
                  <w:r>
                    <w:rPr>
                      <w:rFonts w:hint="default" w:ascii="Times New Roman" w:hAnsi="Times New Roman" w:eastAsia="宋体" w:cs="Times New Roman"/>
                      <w:color w:val="auto"/>
                      <w:sz w:val="18"/>
                      <w:szCs w:val="18"/>
                      <w:highlight w:val="none"/>
                      <w:vertAlign w:val="superscript"/>
                    </w:rPr>
                    <w:t>7</w:t>
                  </w:r>
                  <w:r>
                    <w:rPr>
                      <w:rFonts w:hint="default" w:ascii="Times New Roman" w:hAnsi="Times New Roman" w:eastAsia="宋体" w:cs="Times New Roman"/>
                      <w:color w:val="auto"/>
                      <w:sz w:val="18"/>
                      <w:szCs w:val="18"/>
                      <w:highlight w:val="none"/>
                    </w:rPr>
                    <w:t>J/L</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rPr>
                    <w:fldChar w:fldCharType="begin"/>
                  </w:r>
                  <w:r>
                    <w:rPr>
                      <w:rFonts w:hint="default" w:ascii="Times New Roman" w:hAnsi="Times New Roman" w:cs="Times New Roman"/>
                      <w:color w:val="auto"/>
                      <w:sz w:val="18"/>
                      <w:szCs w:val="18"/>
                      <w:highlight w:val="none"/>
                    </w:rPr>
                    <w:instrText xml:space="preserve"> HYPERLINK "https://baike.so.com/doc/5567907-5783065.html" \t "_blank" </w:instrText>
                  </w:r>
                  <w:r>
                    <w:rPr>
                      <w:rFonts w:hint="default" w:ascii="Times New Roman" w:hAnsi="Times New Roman"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沸点</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t>范围有180～370℃和350～410℃两类闪点：38℃</w:t>
                  </w:r>
                </w:p>
              </w:tc>
              <w:tc>
                <w:tcPr>
                  <w:tcW w:w="9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属于高闪点液体</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color w:val="auto"/>
                <w:kern w:val="0"/>
                <w:sz w:val="21"/>
                <w:szCs w:val="21"/>
                <w:highlight w:val="none"/>
                <w:lang w:val="zh-CN" w:eastAsia="zh-CN" w:bidi="ar-SA"/>
              </w:rPr>
              <w:t>B、井漏事故风险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color w:val="auto"/>
                <w:kern w:val="0"/>
                <w:sz w:val="21"/>
                <w:szCs w:val="21"/>
                <w:highlight w:val="none"/>
                <w:lang w:val="zh-CN" w:eastAsia="zh-CN" w:bidi="ar-SA"/>
              </w:rPr>
              <w:t>钻井施工表层套管下入深度不够或固井质量不好可能引发污染地下水事故，如钻井液漏失造成地下水污染，油气上窜造成地下水污染等。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zh-CN" w:eastAsia="zh-CN" w:bidi="ar-SA"/>
              </w:rPr>
              <w:t>C、</w:t>
            </w:r>
            <w:r>
              <w:rPr>
                <w:rFonts w:hint="default" w:ascii="Times New Roman" w:hAnsi="Times New Roman" w:eastAsia="宋体" w:cs="Times New Roman"/>
                <w:color w:val="auto"/>
                <w:kern w:val="0"/>
                <w:sz w:val="21"/>
                <w:szCs w:val="21"/>
                <w:highlight w:val="none"/>
                <w:lang w:val="en-US" w:eastAsia="zh-CN" w:bidi="ar-SA"/>
              </w:rPr>
              <w:t>储罐泄漏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试油期井场设置柴油储罐、井下作业废水储罐和采出液储罐，储罐因质量、操作运行和管理等环节存在缺陷和失误，可能会发生泄漏，对周围地下水、土壤、大气等环境造成污染。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（3）环境风险分析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zh-CN" w:eastAsia="zh-CN" w:bidi="ar-SA"/>
              </w:rPr>
            </w:pPr>
            <w:r>
              <w:rPr>
                <w:rFonts w:hint="eastAsia" w:cs="Times New Roman"/>
                <w:color w:val="auto"/>
                <w:kern w:val="0"/>
                <w:sz w:val="21"/>
                <w:szCs w:val="21"/>
                <w:highlight w:val="none"/>
                <w:lang w:val="en-US" w:eastAsia="zh-CN" w:bidi="ar-SA"/>
              </w:rPr>
              <w:t>1）</w:t>
            </w:r>
            <w:r>
              <w:rPr>
                <w:rFonts w:hint="default" w:ascii="Times New Roman" w:hAnsi="Times New Roman" w:eastAsia="宋体" w:cs="Times New Roman"/>
                <w:color w:val="auto"/>
                <w:kern w:val="0"/>
                <w:sz w:val="21"/>
                <w:szCs w:val="21"/>
                <w:highlight w:val="none"/>
                <w:lang w:val="zh-CN" w:eastAsia="zh-CN" w:bidi="ar-SA"/>
              </w:rPr>
              <w:t>对土壤的影响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泄漏的柴油/采出液可使土壤透气性下降、土壤理化性状发生变化。泄漏的油品如果进入土壤，从而使土壤质地、结构发生改变，影响到土地功能，进而影响荒漠植被的生长，并可影响局部的生态环境。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柴油/采出液储罐发生泄漏时，相当于向土壤中直接注入柴油/采出液，泄漏的柴油/采出液进入土壤中后，渗入土壤孔隙，则使土壤透气性和呼吸作用减弱，影响土壤中的微生物生存，造成土壤盐碱化，破坏土壤结构，增加土壤中石油类污染物，造成土地肥力下降，改变土壤的理化性质，影响土壤正常的结构和功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柴油储罐/采出液储罐区铺设防渗膜，储罐发生泄漏后，及时清理，不能回收的柴油/采出液以及受污染的土壤应集中收集后交由有相应处理资质的单位进行回收处置。发生事故后，及时采取相应的措施，不会对周围土壤环境产生明显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zh-CN" w:eastAsia="zh-CN" w:bidi="ar-SA"/>
              </w:rPr>
            </w:pPr>
            <w:r>
              <w:rPr>
                <w:rFonts w:hint="eastAsia" w:cs="Times New Roman"/>
                <w:color w:val="auto"/>
                <w:kern w:val="0"/>
                <w:sz w:val="21"/>
                <w:szCs w:val="21"/>
                <w:highlight w:val="none"/>
                <w:lang w:val="en-US" w:eastAsia="zh-CN" w:bidi="ar-SA"/>
              </w:rPr>
              <w:t>2）</w:t>
            </w:r>
            <w:r>
              <w:rPr>
                <w:rFonts w:hint="default" w:ascii="Times New Roman" w:hAnsi="Times New Roman" w:eastAsia="宋体" w:cs="Times New Roman"/>
                <w:color w:val="auto"/>
                <w:kern w:val="0"/>
                <w:sz w:val="21"/>
                <w:szCs w:val="21"/>
                <w:highlight w:val="none"/>
                <w:lang w:val="zh-CN" w:eastAsia="zh-CN" w:bidi="ar-SA"/>
              </w:rPr>
              <w:t>对植被的影响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color w:val="auto"/>
                <w:kern w:val="0"/>
                <w:sz w:val="21"/>
                <w:szCs w:val="21"/>
                <w:highlight w:val="none"/>
                <w:lang w:val="en-US" w:eastAsia="zh-CN" w:bidi="ar-SA"/>
              </w:rPr>
              <w:t>柴油/采出液泄漏对植被的影响主要分为三种途径，一是泄漏物直接粘附于植物体阻断植物的光合作用，使植物枯萎、死亡；二是柴油/采出液污染土壤造成的土壤理性化性状变化间接影响植物生长，严重时会导致植物死亡；三是泄漏的柴油/采出液中的轻组份挥发，在对空气环境产生影响的同时，也对周围植物产生影响。发生事故后，及时采取相应的措施，不会对周围植被产生明显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zh-CN" w:eastAsia="zh-CN" w:bidi="ar-SA"/>
              </w:rPr>
            </w:pPr>
            <w:r>
              <w:rPr>
                <w:rFonts w:hint="eastAsia" w:cs="Times New Roman"/>
                <w:color w:val="auto"/>
                <w:kern w:val="0"/>
                <w:sz w:val="21"/>
                <w:szCs w:val="21"/>
                <w:highlight w:val="none"/>
                <w:lang w:val="en-US" w:eastAsia="zh-CN" w:bidi="ar-SA"/>
              </w:rPr>
              <w:t>3）</w:t>
            </w:r>
            <w:r>
              <w:rPr>
                <w:rFonts w:hint="default" w:ascii="Times New Roman" w:hAnsi="Times New Roman" w:eastAsia="宋体" w:cs="Times New Roman"/>
                <w:color w:val="auto"/>
                <w:kern w:val="0"/>
                <w:sz w:val="21"/>
                <w:szCs w:val="21"/>
                <w:highlight w:val="none"/>
                <w:lang w:val="zh-CN" w:eastAsia="zh-CN" w:bidi="ar-SA"/>
              </w:rPr>
              <w:t>对地下水环境的影响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color w:val="auto"/>
                <w:kern w:val="0"/>
                <w:sz w:val="21"/>
                <w:szCs w:val="21"/>
                <w:highlight w:val="none"/>
                <w:lang w:val="zh-CN" w:eastAsia="zh-CN" w:bidi="ar-SA"/>
              </w:rPr>
              <w:t>柴油储罐/采出液储罐泄漏的油品下渗而可能导致地下水污染风险的发生。发生泄漏事故后，及时维修处理，即使有少量的污染物泄漏，也很难通过防渗层渗入包气带。储罐底部铺设防渗膜，采取钢制储罐，发生泄漏的概率极小，同时一旦发生泄漏会在较短时间内发现并采取的堵漏措施，出现长期连续性泄漏的可能性很低，发生渗漏污染地下水的风险事故概率较低。</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宋体" w:hAnsi="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（4）危险废物风险防范措施</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1）危险废物运输应由持有危险废物经营许可证的单位按照其许可证的经营范围组织实施，承担危险废物运输的单位应获得交通运输部门颁发的危险货物运输资质；</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2）危险废物公路运输应按照《道路危险货物运输管理规定》(交通部令[2005年]第9号)、JT617以及JT618执行；</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3）运输单位承运危险废物时，应在危险废物包装上按照GB18597附录A设置标志；</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4）危险废物车辆运输时，运输车辆应按GB13392设置车辆标志；</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宋体" w:hAnsi="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5）危险废物运输时的中转、装卸过程应遵守如下技术要求：</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宋体" w:hAnsi="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①卸载区的工作人员应熟悉废物的危险特性，并配备适当的个人防护装备，装卸剧毒废物应配备特殊的防护装备。</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eastAsia" w:ascii="宋体" w:hAnsi="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②卸载区应配备必要的消防设备和设施，并设置明显的指示标志。</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default" w:ascii="宋体" w:hAnsi="宋体" w:eastAsia="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③危险废物装卸区应设置隔离设施，液态废物卸载区应设收集槽和缓冲罐。</w:t>
            </w:r>
          </w:p>
          <w:p>
            <w:pPr>
              <w:keepNext w:val="0"/>
              <w:keepLines w:val="0"/>
              <w:suppressLineNumbers w:val="0"/>
              <w:adjustRightInd w:val="0"/>
              <w:snapToGrid w:val="0"/>
              <w:spacing w:before="0" w:beforeAutospacing="0" w:after="0" w:afterAutospacing="0" w:line="360" w:lineRule="auto"/>
              <w:ind w:left="0" w:leftChars="0" w:right="0" w:firstLine="420" w:firstLineChars="200"/>
              <w:rPr>
                <w:rFonts w:hint="default" w:ascii="Times New Roman" w:hAnsi="Times New Roman" w:eastAsia="宋体" w:cs="Times New Roman"/>
                <w:bCs/>
                <w:szCs w:val="21"/>
                <w:highlight w:val="yellow"/>
                <w:lang w:val="en-US" w:eastAsia="zh-CN"/>
              </w:rPr>
            </w:pPr>
            <w:r>
              <w:rPr>
                <w:rFonts w:hint="default" w:ascii="宋体" w:hAnsi="宋体" w:eastAsia="宋体" w:cs="Times New Roman"/>
                <w:color w:val="auto"/>
                <w:kern w:val="0"/>
                <w:sz w:val="21"/>
                <w:szCs w:val="21"/>
                <w:highlight w:val="none"/>
                <w:lang w:val="en-US" w:eastAsia="zh-CN" w:bidi="ar-SA"/>
              </w:rPr>
              <w:t>钻井过程中主要环境风险是可能发生的井喷、钻井废液池溢流渗漏等事故，做好风险防范工作，防止对周围环境、工作人员人身安全造成的危害。本</w:t>
            </w:r>
            <w:r>
              <w:rPr>
                <w:rFonts w:hint="eastAsia" w:ascii="宋体" w:hAnsi="宋体" w:cs="Times New Roman"/>
                <w:color w:val="auto"/>
                <w:kern w:val="0"/>
                <w:sz w:val="21"/>
                <w:szCs w:val="21"/>
                <w:highlight w:val="none"/>
                <w:lang w:val="en-US" w:eastAsia="zh-CN" w:bidi="ar-SA"/>
              </w:rPr>
              <w:t>项目</w:t>
            </w:r>
            <w:r>
              <w:rPr>
                <w:rFonts w:hint="default" w:ascii="宋体" w:hAnsi="宋体" w:eastAsia="宋体" w:cs="Times New Roman"/>
                <w:color w:val="auto"/>
                <w:kern w:val="0"/>
                <w:sz w:val="21"/>
                <w:szCs w:val="21"/>
                <w:highlight w:val="none"/>
                <w:lang w:val="en-US" w:eastAsia="zh-CN" w:bidi="ar-SA"/>
              </w:rPr>
              <w:t>的环境风险防范措施及制定的预案切实可行、有效。在落实风险防范措施、应急预案后，其发生事故的概率较低，其环境危害也是较小的，环境风险水平是可接受的，</w:t>
            </w:r>
            <w:r>
              <w:rPr>
                <w:rFonts w:hint="eastAsia" w:ascii="宋体" w:hAnsi="宋体" w:cs="Times New Roman"/>
                <w:color w:val="auto"/>
                <w:kern w:val="0"/>
                <w:sz w:val="21"/>
                <w:szCs w:val="21"/>
                <w:highlight w:val="none"/>
                <w:lang w:val="en-US" w:eastAsia="zh-CN" w:bidi="ar-SA"/>
              </w:rPr>
              <w:t>项目</w:t>
            </w:r>
            <w:r>
              <w:rPr>
                <w:rFonts w:hint="default" w:ascii="宋体" w:hAnsi="宋体" w:eastAsia="宋体" w:cs="Times New Roman"/>
                <w:color w:val="auto"/>
                <w:kern w:val="0"/>
                <w:sz w:val="21"/>
                <w:szCs w:val="21"/>
                <w:highlight w:val="none"/>
                <w:lang w:val="en-US" w:eastAsia="zh-CN" w:bidi="ar-SA"/>
              </w:rPr>
              <w:t>建设可行</w:t>
            </w:r>
            <w:r>
              <w:rPr>
                <w:rFonts w:hint="eastAsia" w:ascii="宋体" w:hAnsi="宋体" w:cs="Times New Roman"/>
                <w:color w:val="auto"/>
                <w:kern w:val="0"/>
                <w:sz w:val="21"/>
                <w:szCs w:val="21"/>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694" w:type="dxa"/>
            <w:noWrap w:val="0"/>
            <w:tcMar>
              <w:left w:w="28" w:type="dxa"/>
              <w:right w:w="28" w:type="dxa"/>
            </w:tcMar>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2"/>
                <w:sz w:val="21"/>
                <w:szCs w:val="21"/>
                <w:highlight w:val="none"/>
              </w:rPr>
            </w:pPr>
            <w:r>
              <w:rPr>
                <w:rFonts w:hint="default" w:ascii="Times New Roman" w:hAnsi="Times New Roman" w:eastAsia="宋体" w:cs="Times New Roman"/>
                <w:bCs/>
                <w:spacing w:val="-6"/>
                <w:kern w:val="2"/>
                <w:sz w:val="21"/>
                <w:szCs w:val="21"/>
                <w:highlight w:val="none"/>
              </w:rPr>
              <w:t>运营期生态环境影响分析</w:t>
            </w:r>
          </w:p>
        </w:tc>
        <w:tc>
          <w:tcPr>
            <w:tcW w:w="7511" w:type="dxa"/>
            <w:noWrap w:val="0"/>
            <w:vAlign w:val="center"/>
          </w:tcPr>
          <w:p>
            <w:pPr>
              <w:pStyle w:val="27"/>
              <w:keepNext w:val="0"/>
              <w:keepLines w:val="0"/>
              <w:pageBreakBefore w:val="0"/>
              <w:widowControl/>
              <w:suppressLineNumbers w:val="0"/>
              <w:kinsoku/>
              <w:wordWrap/>
              <w:overflowPunct/>
              <w:topLinePunct w:val="0"/>
              <w:autoSpaceDE/>
              <w:autoSpaceDN/>
              <w:bidi w:val="0"/>
              <w:spacing w:before="0" w:beforeLines="-2147483648" w:beforeAutospacing="0" w:after="0" w:afterLines="-2147483648" w:afterAutospacing="0" w:line="360" w:lineRule="auto"/>
              <w:ind w:left="0" w:leftChars="0" w:right="0" w:rightChars="0" w:firstLine="367" w:firstLineChars="175"/>
              <w:jc w:val="both"/>
              <w:textAlignment w:val="auto"/>
              <w:rPr>
                <w:rFonts w:hint="default"/>
                <w:snapToGrid/>
                <w:color w:val="auto"/>
                <w:sz w:val="21"/>
                <w:szCs w:val="21"/>
                <w:highlight w:val="none"/>
              </w:rPr>
            </w:pPr>
            <w:r>
              <w:rPr>
                <w:rFonts w:hint="eastAsia" w:ascii="Times New Roman" w:hAnsi="Times New Roman" w:eastAsia="宋体" w:cs="Times New Roman"/>
                <w:bCs/>
                <w:sz w:val="21"/>
                <w:szCs w:val="21"/>
                <w:highlight w:val="none"/>
                <w:lang w:val="en-US" w:eastAsia="zh-CN"/>
              </w:rPr>
              <w:t>本项目</w:t>
            </w:r>
            <w:r>
              <w:rPr>
                <w:rFonts w:hint="default"/>
                <w:snapToGrid/>
                <w:color w:val="auto"/>
                <w:sz w:val="21"/>
                <w:szCs w:val="21"/>
                <w:highlight w:val="none"/>
              </w:rPr>
              <w:t>只涉及到施工期，未涉及运营期，即不对营运期进行环境影响分析。</w:t>
            </w:r>
          </w:p>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rightChars="0" w:firstLine="367" w:firstLineChars="175"/>
              <w:jc w:val="both"/>
              <w:textAlignment w:val="auto"/>
              <w:rPr>
                <w:rFonts w:hint="default" w:ascii="Times New Roman" w:hAnsi="Times New Roman" w:eastAsia="宋体" w:cs="Times New Roman"/>
                <w:bCs/>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SA"/>
              </w:rPr>
              <w:t>本</w:t>
            </w:r>
            <w:r>
              <w:rPr>
                <w:rFonts w:hint="eastAsia" w:ascii="Times New Roman" w:hAnsi="Times New Roman" w:eastAsia="宋体" w:cs="Times New Roman"/>
                <w:color w:val="auto"/>
                <w:kern w:val="0"/>
                <w:sz w:val="21"/>
                <w:szCs w:val="21"/>
                <w:highlight w:val="none"/>
                <w:lang w:val="en-US" w:eastAsia="zh-CN" w:bidi="ar-SA"/>
              </w:rPr>
              <w:t>项目</w:t>
            </w:r>
            <w:r>
              <w:rPr>
                <w:rFonts w:hint="default" w:ascii="Times New Roman" w:hAnsi="Times New Roman" w:eastAsia="宋体" w:cs="Times New Roman"/>
                <w:color w:val="auto"/>
                <w:kern w:val="0"/>
                <w:sz w:val="21"/>
                <w:szCs w:val="21"/>
                <w:highlight w:val="none"/>
                <w:lang w:val="en-US" w:eastAsia="zh-CN" w:bidi="ar-SA"/>
              </w:rPr>
              <w:t>完钻后，如在</w:t>
            </w:r>
            <w:r>
              <w:rPr>
                <w:rFonts w:hint="eastAsia" w:ascii="Times New Roman" w:hAnsi="Times New Roman" w:eastAsia="宋体" w:cs="Times New Roman"/>
                <w:color w:val="auto"/>
                <w:kern w:val="0"/>
                <w:sz w:val="21"/>
                <w:szCs w:val="21"/>
                <w:highlight w:val="none"/>
                <w:lang w:val="en-US" w:eastAsia="zh-CN" w:bidi="ar-SA"/>
              </w:rPr>
              <w:t>试油</w:t>
            </w:r>
            <w:r>
              <w:rPr>
                <w:rFonts w:hint="default" w:ascii="Times New Roman" w:hAnsi="Times New Roman" w:eastAsia="宋体" w:cs="Times New Roman"/>
                <w:color w:val="auto"/>
                <w:kern w:val="0"/>
                <w:sz w:val="21"/>
                <w:szCs w:val="21"/>
                <w:highlight w:val="none"/>
                <w:lang w:val="en-US" w:eastAsia="zh-CN" w:bidi="ar-SA"/>
              </w:rPr>
              <w:t>过程中发现油气资源可供开采，则安装采油树，结合区块开发规划，在适当时间进行滚动开发，按照要求再进行区块开发、地面工程建设。</w:t>
            </w:r>
            <w:r>
              <w:rPr>
                <w:rFonts w:hint="default"/>
                <w:color w:val="auto"/>
                <w:sz w:val="21"/>
                <w:szCs w:val="21"/>
                <w:highlight w:val="none"/>
              </w:rPr>
              <w:t>如发现该井不具开发价值或目的层不含油，则进行封井，待以后新的成油理论成熟后，决定是否进一步利用</w:t>
            </w:r>
            <w:r>
              <w:rPr>
                <w:rFonts w:hint="eastAsia"/>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5" w:hRule="atLeast"/>
          <w:jc w:val="center"/>
        </w:trPr>
        <w:tc>
          <w:tcPr>
            <w:tcW w:w="694" w:type="dxa"/>
            <w:noWrap w:val="0"/>
            <w:vAlign w:val="center"/>
          </w:tcPr>
          <w:p>
            <w:pPr>
              <w:pStyle w:val="1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kern w:val="2"/>
                <w:sz w:val="21"/>
                <w:szCs w:val="21"/>
                <w:highlight w:val="none"/>
              </w:rPr>
            </w:pPr>
            <w:r>
              <w:rPr>
                <w:rFonts w:hint="default" w:ascii="Times New Roman" w:hAnsi="Times New Roman" w:eastAsia="宋体" w:cs="Times New Roman"/>
                <w:bCs/>
                <w:kern w:val="2"/>
                <w:sz w:val="21"/>
                <w:szCs w:val="21"/>
                <w:highlight w:val="none"/>
              </w:rPr>
              <w:t>选址选线环境合理性分析</w:t>
            </w:r>
          </w:p>
        </w:tc>
        <w:tc>
          <w:tcPr>
            <w:tcW w:w="7511" w:type="dxa"/>
            <w:noWrap w:val="0"/>
            <w:vAlign w:val="top"/>
          </w:tcPr>
          <w:p>
            <w:pPr>
              <w:keepNext w:val="0"/>
              <w:keepLines w:val="0"/>
              <w:suppressLineNumbers w:val="0"/>
              <w:adjustRightInd w:val="0"/>
              <w:snapToGrid w:val="0"/>
              <w:spacing w:before="0" w:beforeAutospacing="0" w:after="0" w:afterAutospacing="0" w:line="360" w:lineRule="auto"/>
              <w:ind w:left="0" w:leftChars="0" w:right="0" w:rightChars="0" w:firstLine="420" w:firstLineChars="200"/>
              <w:jc w:val="both"/>
              <w:rPr>
                <w:rFonts w:hint="default" w:ascii="Times New Roman" w:hAnsi="Times New Roman" w:eastAsia="宋体" w:cs="Times New Roman"/>
                <w:highlight w:val="none"/>
                <w:lang w:val="en-US" w:eastAsia="zh-CN"/>
              </w:rPr>
            </w:pPr>
            <w:r>
              <w:rPr>
                <w:rFonts w:hint="eastAsia" w:ascii="Times New Roman" w:hAnsi="Times New Roman" w:eastAsia="宋体" w:cs="Times New Roman"/>
                <w:bCs/>
                <w:szCs w:val="21"/>
                <w:highlight w:val="none"/>
                <w:lang w:val="en-US" w:eastAsia="zh-CN"/>
              </w:rPr>
              <w:t>本</w:t>
            </w:r>
            <w:r>
              <w:rPr>
                <w:rFonts w:hint="eastAsia" w:cs="Times New Roman"/>
                <w:bCs/>
                <w:szCs w:val="21"/>
                <w:highlight w:val="none"/>
                <w:lang w:val="en-US" w:eastAsia="zh-CN"/>
              </w:rPr>
              <w:t>项目</w:t>
            </w:r>
            <w:r>
              <w:rPr>
                <w:rFonts w:hint="eastAsia" w:ascii="Times New Roman" w:hAnsi="Times New Roman" w:eastAsia="宋体" w:cs="Times New Roman"/>
                <w:bCs/>
                <w:szCs w:val="21"/>
                <w:highlight w:val="none"/>
                <w:lang w:val="en-US" w:eastAsia="zh-CN"/>
              </w:rPr>
              <w:t>为勘探评价井，位于永进油田永1</w:t>
            </w:r>
            <w:r>
              <w:rPr>
                <w:rFonts w:hint="eastAsia" w:cs="Times New Roman"/>
                <w:bCs/>
                <w:szCs w:val="21"/>
                <w:highlight w:val="none"/>
                <w:lang w:val="en-US" w:eastAsia="zh-CN"/>
              </w:rPr>
              <w:t>、永3</w:t>
            </w:r>
            <w:r>
              <w:rPr>
                <w:rFonts w:hint="eastAsia" w:ascii="Times New Roman" w:hAnsi="Times New Roman" w:eastAsia="宋体" w:cs="Times New Roman"/>
                <w:bCs/>
                <w:szCs w:val="21"/>
                <w:highlight w:val="none"/>
                <w:lang w:val="en-US" w:eastAsia="zh-CN"/>
              </w:rPr>
              <w:t>区块内，属于油田勘探开发项目，评价范围内无自然保护区、风景名胜区、水源保护区、固定集中人群等敏感区，</w:t>
            </w:r>
            <w:r>
              <w:rPr>
                <w:rFonts w:hint="eastAsia" w:cs="Times New Roman"/>
                <w:bCs/>
                <w:szCs w:val="21"/>
                <w:highlight w:val="none"/>
                <w:lang w:val="en-US" w:eastAsia="zh-CN"/>
              </w:rPr>
              <w:t>项目</w:t>
            </w:r>
            <w:r>
              <w:rPr>
                <w:rFonts w:hint="eastAsia" w:ascii="Times New Roman" w:hAnsi="Times New Roman" w:eastAsia="宋体" w:cs="Times New Roman"/>
                <w:bCs/>
                <w:szCs w:val="21"/>
                <w:highlight w:val="none"/>
                <w:lang w:val="en-US" w:eastAsia="zh-CN"/>
              </w:rPr>
              <w:t>选址符合《新疆维吾尔自治区煤炭石油天然气开发环境保护条例》、《新疆维吾尔自治区石油勘探开发环境管理办法（自治区人民政府令第50号）》等相关要求。</w:t>
            </w:r>
            <w:r>
              <w:rPr>
                <w:rFonts w:hint="eastAsia" w:cs="Times New Roman"/>
                <w:bCs/>
                <w:szCs w:val="21"/>
                <w:highlight w:val="none"/>
                <w:lang w:val="en-US" w:eastAsia="zh-CN"/>
              </w:rPr>
              <w:t>项目</w:t>
            </w:r>
            <w:r>
              <w:rPr>
                <w:rFonts w:hint="eastAsia" w:ascii="Times New Roman" w:hAnsi="Times New Roman" w:eastAsia="宋体" w:cs="Times New Roman"/>
                <w:bCs/>
                <w:szCs w:val="21"/>
                <w:highlight w:val="none"/>
                <w:lang w:val="en-US" w:eastAsia="zh-CN"/>
              </w:rPr>
              <w:t>实施过程中，废水、固废均可得到适当处置，不会对</w:t>
            </w:r>
            <w:r>
              <w:rPr>
                <w:rFonts w:hint="eastAsia" w:cs="Times New Roman"/>
                <w:bCs/>
                <w:szCs w:val="21"/>
                <w:highlight w:val="none"/>
                <w:lang w:val="en-US" w:eastAsia="zh-CN"/>
              </w:rPr>
              <w:t>生态</w:t>
            </w:r>
            <w:r>
              <w:rPr>
                <w:rFonts w:hint="eastAsia" w:ascii="Times New Roman" w:hAnsi="Times New Roman" w:eastAsia="宋体" w:cs="Times New Roman"/>
                <w:bCs/>
                <w:szCs w:val="21"/>
                <w:highlight w:val="none"/>
                <w:lang w:val="en-US" w:eastAsia="zh-CN"/>
              </w:rPr>
              <w:t>环境造成不利影响。从环境保护角度来讲，</w:t>
            </w:r>
            <w:r>
              <w:rPr>
                <w:rFonts w:hint="eastAsia" w:cs="Times New Roman"/>
                <w:bCs/>
                <w:szCs w:val="21"/>
                <w:highlight w:val="none"/>
                <w:lang w:val="en-US" w:eastAsia="zh-CN"/>
              </w:rPr>
              <w:t>项目</w:t>
            </w:r>
            <w:r>
              <w:rPr>
                <w:rFonts w:hint="eastAsia" w:ascii="Times New Roman" w:hAnsi="Times New Roman" w:eastAsia="宋体" w:cs="Times New Roman"/>
                <w:bCs/>
                <w:szCs w:val="21"/>
                <w:highlight w:val="none"/>
                <w:lang w:val="en-US" w:eastAsia="zh-CN"/>
              </w:rPr>
              <w:t>选址合理。</w:t>
            </w:r>
          </w:p>
        </w:tc>
      </w:tr>
    </w:tbl>
    <w:p>
      <w:pPr>
        <w:pStyle w:val="17"/>
        <w:jc w:val="center"/>
        <w:rPr>
          <w:rFonts w:hint="default" w:ascii="Times New Roman" w:hAnsi="Times New Roman" w:eastAsia="黑体" w:cs="Times New Roman"/>
          <w:snapToGrid w:val="0"/>
          <w:sz w:val="36"/>
          <w:szCs w:val="36"/>
          <w:highlight w:val="yellow"/>
        </w:rPr>
        <w:sectPr>
          <w:pgSz w:w="11906" w:h="16838"/>
          <w:pgMar w:top="1440" w:right="1800" w:bottom="1440" w:left="1800" w:header="851" w:footer="1077" w:gutter="0"/>
          <w:pgNumType w:fmt="decimal"/>
          <w:cols w:space="720" w:num="1"/>
          <w:docGrid w:linePitch="312" w:charSpace="0"/>
        </w:sectPr>
      </w:pPr>
    </w:p>
    <w:p>
      <w:pPr>
        <w:pStyle w:val="17"/>
        <w:jc w:val="center"/>
        <w:outlineLvl w:val="0"/>
        <w:rPr>
          <w:rFonts w:hint="default" w:ascii="Times New Roman" w:hAnsi="Times New Roman" w:eastAsia="黑体" w:cs="Times New Roman"/>
          <w:snapToGrid w:val="0"/>
          <w:sz w:val="30"/>
          <w:szCs w:val="30"/>
          <w:highlight w:val="none"/>
        </w:rPr>
      </w:pPr>
      <w:bookmarkStart w:id="12" w:name="_Toc28639"/>
      <w:r>
        <w:rPr>
          <w:rFonts w:hint="default" w:ascii="Times New Roman" w:hAnsi="Times New Roman" w:eastAsia="黑体" w:cs="Times New Roman"/>
          <w:snapToGrid w:val="0"/>
          <w:sz w:val="30"/>
          <w:szCs w:val="30"/>
          <w:highlight w:val="none"/>
        </w:rPr>
        <w:t>五、主要生态环境保护措施</w:t>
      </w:r>
      <w:bookmarkEnd w:id="12"/>
    </w:p>
    <w:tbl>
      <w:tblPr>
        <w:tblStyle w:val="20"/>
        <w:tblW w:w="82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1"/>
        <w:gridCol w:w="76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9" w:hRule="atLeast"/>
          <w:jc w:val="center"/>
        </w:trPr>
        <w:tc>
          <w:tcPr>
            <w:tcW w:w="551"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Cs w:val="21"/>
                <w:highlight w:val="yellow"/>
              </w:rPr>
            </w:pPr>
            <w:r>
              <w:rPr>
                <w:rFonts w:hint="default" w:ascii="Times New Roman" w:hAnsi="Times New Roman" w:eastAsia="宋体" w:cs="Times New Roman"/>
                <w:bCs/>
                <w:spacing w:val="10"/>
                <w:szCs w:val="21"/>
                <w:highlight w:val="none"/>
              </w:rPr>
              <w:t>施工期生态环境保护措施</w:t>
            </w:r>
          </w:p>
        </w:tc>
        <w:tc>
          <w:tcPr>
            <w:tcW w:w="7682" w:type="dxa"/>
            <w:noWrap w:val="0"/>
            <w:vAlign w:val="top"/>
          </w:tcPr>
          <w:p>
            <w:pPr>
              <w:keepNext w:val="0"/>
              <w:keepLines w:val="0"/>
              <w:suppressLineNumbers w:val="0"/>
              <w:adjustRightInd w:val="0"/>
              <w:snapToGrid w:val="0"/>
              <w:spacing w:before="0" w:beforeAutospacing="0" w:after="0" w:afterAutospacing="0" w:line="360" w:lineRule="auto"/>
              <w:ind w:left="0" w:leftChars="0" w:right="0" w:firstLine="384" w:firstLineChars="182"/>
              <w:rPr>
                <w:rFonts w:hint="default" w:ascii="Times New Roman" w:hAnsi="Times New Roman" w:eastAsia="宋体" w:cs="Times New Roman"/>
                <w:b/>
                <w:bCs w:val="0"/>
                <w:spacing w:val="0"/>
                <w:szCs w:val="21"/>
                <w:highlight w:val="none"/>
                <w:lang w:val="en-US" w:eastAsia="zh-CN"/>
              </w:rPr>
            </w:pPr>
            <w:r>
              <w:rPr>
                <w:rFonts w:hint="eastAsia" w:cs="Times New Roman"/>
                <w:b/>
                <w:bCs w:val="0"/>
                <w:spacing w:val="0"/>
                <w:szCs w:val="21"/>
                <w:highlight w:val="none"/>
                <w:lang w:val="en-US" w:eastAsia="zh-CN"/>
              </w:rPr>
              <w:t>1.生态环境保护措施</w:t>
            </w:r>
          </w:p>
          <w:p>
            <w:pPr>
              <w:keepNext w:val="0"/>
              <w:keepLines w:val="0"/>
              <w:suppressLineNumbers w:val="0"/>
              <w:adjustRightInd w:val="0"/>
              <w:snapToGrid w:val="0"/>
              <w:spacing w:before="0" w:beforeAutospacing="0" w:after="0" w:afterAutospacing="0" w:line="360" w:lineRule="auto"/>
              <w:ind w:left="0" w:leftChars="0" w:right="0" w:firstLine="384" w:firstLineChars="182"/>
              <w:rPr>
                <w:rFonts w:hint="default" w:ascii="Times New Roman" w:hAnsi="Times New Roman" w:eastAsia="宋体" w:cs="Times New Roman"/>
                <w:b/>
                <w:bCs w:val="0"/>
                <w:spacing w:val="0"/>
                <w:szCs w:val="21"/>
                <w:highlight w:val="none"/>
                <w:lang w:val="en-US" w:eastAsia="zh-CN"/>
              </w:rPr>
            </w:pPr>
            <w:r>
              <w:rPr>
                <w:rFonts w:hint="eastAsia" w:ascii="Times New Roman" w:hAnsi="Times New Roman" w:eastAsia="宋体" w:cs="Times New Roman"/>
                <w:b/>
                <w:bCs w:val="0"/>
                <w:spacing w:val="0"/>
                <w:szCs w:val="21"/>
                <w:highlight w:val="none"/>
                <w:lang w:val="en-US" w:eastAsia="zh-CN"/>
              </w:rPr>
              <w:t>1</w:t>
            </w:r>
            <w:r>
              <w:rPr>
                <w:rFonts w:hint="eastAsia" w:cs="Times New Roman"/>
                <w:b/>
                <w:bCs w:val="0"/>
                <w:spacing w:val="0"/>
                <w:szCs w:val="21"/>
                <w:highlight w:val="none"/>
                <w:lang w:val="en-US" w:eastAsia="zh-CN"/>
              </w:rPr>
              <w:t>.1</w:t>
            </w:r>
            <w:r>
              <w:rPr>
                <w:rFonts w:hint="eastAsia" w:ascii="Times New Roman" w:hAnsi="Times New Roman" w:eastAsia="宋体" w:cs="Times New Roman"/>
                <w:b/>
                <w:bCs w:val="0"/>
                <w:spacing w:val="0"/>
                <w:szCs w:val="21"/>
                <w:highlight w:val="none"/>
                <w:lang w:val="en-US" w:eastAsia="zh-CN"/>
              </w:rPr>
              <w:t>施工期生态环境保护措施</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0"/>
                <w:szCs w:val="21"/>
                <w:highlight w:val="none"/>
                <w:lang w:eastAsia="zh-CN"/>
              </w:rPr>
            </w:pPr>
            <w:r>
              <w:rPr>
                <w:rFonts w:hint="eastAsia" w:ascii="Times New Roman" w:hAnsi="Times New Roman" w:eastAsia="宋体" w:cs="Times New Roman"/>
                <w:bCs/>
                <w:spacing w:val="0"/>
                <w:szCs w:val="21"/>
                <w:highlight w:val="none"/>
                <w:lang w:eastAsia="zh-CN"/>
              </w:rPr>
              <w:t>（1）严格遵守国家和地方有关动植物保护和防治水土流失等环境保护法律法规，施工期临时占地应避开植被覆盖度较高的区域位置，最大限度的减少占地产生的不利影响，减少对土壤的扰动、植被破坏，减少水土流失。</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0"/>
                <w:szCs w:val="21"/>
                <w:highlight w:val="none"/>
                <w:lang w:eastAsia="zh-CN"/>
              </w:rPr>
            </w:pPr>
            <w:r>
              <w:rPr>
                <w:rFonts w:hint="eastAsia" w:ascii="Times New Roman" w:hAnsi="Times New Roman" w:eastAsia="宋体" w:cs="Times New Roman"/>
                <w:bCs/>
                <w:spacing w:val="0"/>
                <w:szCs w:val="21"/>
                <w:highlight w:val="none"/>
                <w:lang w:eastAsia="zh-CN"/>
              </w:rPr>
              <w:t>（2）施工过程中严格规定车辆和各类工作人员的活动范围，使之限于在施工区范围内活动，最大限度减少对植物生存环境的踩踏破坏，避免破坏荒漠植物。井场选址及井场布置严格按照《钻前工程及井场布置技术要求》（SY/T5466-2013）中要求执行。</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0"/>
                <w:szCs w:val="21"/>
                <w:highlight w:val="none"/>
                <w:lang w:eastAsia="zh-CN"/>
              </w:rPr>
            </w:pPr>
            <w:r>
              <w:rPr>
                <w:rFonts w:hint="eastAsia" w:ascii="Times New Roman" w:hAnsi="Times New Roman" w:eastAsia="宋体" w:cs="Times New Roman"/>
                <w:bCs/>
                <w:spacing w:val="0"/>
                <w:szCs w:val="21"/>
                <w:highlight w:val="none"/>
                <w:lang w:eastAsia="zh-CN"/>
              </w:rPr>
              <w:t>（3）充分利用区域现有道路，施工机械和车辆应严格按照规定路线行驶，禁止随意开辟道路，防止扩大土壤和植被的破坏范围。</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0"/>
                <w:szCs w:val="21"/>
                <w:highlight w:val="none"/>
                <w:lang w:eastAsia="zh-CN"/>
              </w:rPr>
            </w:pPr>
            <w:r>
              <w:rPr>
                <w:rFonts w:hint="eastAsia" w:ascii="Times New Roman" w:hAnsi="Times New Roman" w:eastAsia="宋体" w:cs="Times New Roman"/>
                <w:bCs/>
                <w:spacing w:val="0"/>
                <w:szCs w:val="21"/>
                <w:highlight w:val="none"/>
                <w:lang w:eastAsia="zh-CN"/>
              </w:rPr>
              <w:t>（4）在井场区，设置“保护生态环境、保护野生植物”等警示牌，并从管理上对施工作业人员加强宣传教育，切实提高保护生态环境的意识。</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0"/>
                <w:szCs w:val="21"/>
                <w:highlight w:val="none"/>
                <w:lang w:eastAsia="zh-CN"/>
              </w:rPr>
            </w:pPr>
            <w:r>
              <w:rPr>
                <w:rFonts w:hint="eastAsia" w:ascii="Times New Roman" w:hAnsi="Times New Roman" w:eastAsia="宋体" w:cs="Times New Roman"/>
                <w:bCs/>
                <w:spacing w:val="0"/>
                <w:szCs w:val="21"/>
                <w:highlight w:val="none"/>
                <w:lang w:eastAsia="zh-CN"/>
              </w:rPr>
              <w:t>（5）项目结束后，建设单位应承担恢复生态的责任。</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0"/>
                <w:szCs w:val="21"/>
                <w:highlight w:val="none"/>
                <w:lang w:eastAsia="zh-CN"/>
              </w:rPr>
            </w:pPr>
            <w:r>
              <w:rPr>
                <w:rFonts w:hint="eastAsia" w:ascii="Times New Roman" w:hAnsi="Times New Roman" w:eastAsia="宋体" w:cs="Times New Roman"/>
                <w:bCs/>
                <w:spacing w:val="0"/>
                <w:szCs w:val="21"/>
                <w:highlight w:val="none"/>
                <w:lang w:eastAsia="zh-CN"/>
              </w:rPr>
              <w:t>（6）项目选线及占地应避开植被覆盖度较高的区域，尽量减少对自然植被的践踏破坏。</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0"/>
                <w:szCs w:val="21"/>
                <w:highlight w:val="none"/>
                <w:lang w:eastAsia="zh-CN"/>
              </w:rPr>
            </w:pPr>
            <w:r>
              <w:rPr>
                <w:rFonts w:hint="eastAsia" w:ascii="Times New Roman" w:hAnsi="Times New Roman" w:eastAsia="宋体" w:cs="Times New Roman"/>
                <w:bCs/>
                <w:spacing w:val="0"/>
                <w:szCs w:val="21"/>
                <w:highlight w:val="none"/>
                <w:lang w:eastAsia="zh-CN"/>
              </w:rPr>
              <w:t>（7）施工中应严格按照环境管理要求，井场建设、池体开挖等土方作业应避开大风天气；施工后期，及时做好施工迹地的清理工作。做好施工后期的迹地恢复工作，包括土地平整，创造局部小环境以利于植被的恢复等。</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0"/>
                <w:szCs w:val="21"/>
                <w:highlight w:val="none"/>
                <w:lang w:eastAsia="zh-CN"/>
              </w:rPr>
            </w:pPr>
            <w:r>
              <w:rPr>
                <w:rFonts w:hint="eastAsia" w:ascii="Times New Roman" w:hAnsi="Times New Roman" w:eastAsia="宋体" w:cs="Times New Roman"/>
                <w:bCs/>
                <w:spacing w:val="0"/>
                <w:szCs w:val="21"/>
                <w:highlight w:val="none"/>
                <w:lang w:eastAsia="zh-CN"/>
              </w:rPr>
              <w:t>（8）本项目占用低覆盖度草地，占地征用及补偿应按照地方有关工程征地及补偿要求进行，由土地管理部门许可后方可开工建设。项目结束后，建设单位还应承担恢复生态的责任。</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0"/>
                <w:szCs w:val="21"/>
                <w:highlight w:val="none"/>
                <w:lang w:eastAsia="zh-CN"/>
              </w:rPr>
            </w:pPr>
            <w:r>
              <w:rPr>
                <w:rFonts w:hint="eastAsia" w:ascii="Times New Roman" w:hAnsi="Times New Roman" w:eastAsia="宋体" w:cs="Times New Roman"/>
                <w:bCs/>
                <w:spacing w:val="0"/>
                <w:szCs w:val="21"/>
                <w:highlight w:val="none"/>
                <w:lang w:eastAsia="zh-CN"/>
              </w:rPr>
              <w:t>（9）按照《中华人民共和国防沙治沙法》有关规定，在施工期重点保护项目区内防风固沙植被，禁止乱砍乱伐。井场位置应根据场地周边植被分布情况，在满足设计要求的前提下进行适当的调整，以减少占地。</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cs="Times New Roman"/>
                <w:bCs/>
                <w:spacing w:val="0"/>
                <w:szCs w:val="21"/>
                <w:highlight w:val="none"/>
                <w:lang w:eastAsia="zh-CN"/>
              </w:rPr>
            </w:pPr>
            <w:r>
              <w:rPr>
                <w:rFonts w:hint="eastAsia" w:ascii="Times New Roman" w:hAnsi="Times New Roman" w:eastAsia="宋体" w:cs="Times New Roman"/>
                <w:bCs/>
                <w:spacing w:val="0"/>
                <w:szCs w:val="21"/>
                <w:highlight w:val="none"/>
                <w:lang w:eastAsia="zh-CN"/>
              </w:rPr>
              <w:t>（10）施工结束后临时占地区域尽量利用施工时产生的表层土对临时占地进行覆盖，分布的自然植被主要有粗枝猪毛菜、琵琶柴等植被，植被覆盖度5-20%，覆盖厚度根据区域主要分布的粗枝猪毛菜、琵琶柴等植被类型和项目场地用途决定；临时占地区域采用自然恢复的方式对区域植被进行恢复，临时占地内植被在未来3年～5年时间内通过自然降水及温度等因素得以恢复；恢复后的植被覆盖率不应低于区域范围内同类型土地植被覆盖率，减少风蚀量。根据实地调查，管线施工完毕后的3~5年内90%的区域自然植被可恢复至施工前状态，对于难以恢复的区域应人工辅助恢复</w:t>
            </w:r>
            <w:r>
              <w:rPr>
                <w:rFonts w:hint="eastAsia" w:cs="Times New Roman"/>
                <w:bCs/>
                <w:spacing w:val="0"/>
                <w:szCs w:val="21"/>
                <w:highlight w:val="none"/>
                <w:lang w:eastAsia="zh-CN"/>
              </w:rPr>
              <w:t>。</w:t>
            </w:r>
          </w:p>
          <w:p>
            <w:pPr>
              <w:keepNext w:val="0"/>
              <w:keepLines w:val="0"/>
              <w:suppressLineNumbers w:val="0"/>
              <w:adjustRightInd w:val="0"/>
              <w:snapToGrid w:val="0"/>
              <w:spacing w:before="0" w:beforeAutospacing="0" w:after="0" w:afterAutospacing="0" w:line="360" w:lineRule="auto"/>
              <w:ind w:left="0" w:leftChars="0" w:right="0" w:firstLine="384" w:firstLineChars="182"/>
              <w:rPr>
                <w:rFonts w:hint="eastAsia" w:ascii="Times New Roman" w:hAnsi="Times New Roman" w:eastAsia="宋体" w:cs="Times New Roman"/>
                <w:bCs/>
                <w:spacing w:val="0"/>
                <w:szCs w:val="21"/>
                <w:highlight w:val="none"/>
                <w:lang w:val="en-US" w:eastAsia="zh-CN"/>
              </w:rPr>
            </w:pPr>
            <w:r>
              <w:rPr>
                <w:rFonts w:hint="eastAsia" w:cs="Times New Roman"/>
                <w:b/>
                <w:bCs w:val="0"/>
                <w:spacing w:val="0"/>
                <w:szCs w:val="21"/>
                <w:highlight w:val="none"/>
                <w:lang w:val="en-US" w:eastAsia="zh-CN"/>
              </w:rPr>
              <w:t>1.</w:t>
            </w:r>
            <w:r>
              <w:rPr>
                <w:rFonts w:hint="eastAsia" w:ascii="Times New Roman" w:hAnsi="Times New Roman" w:eastAsia="宋体" w:cs="Times New Roman"/>
                <w:b/>
                <w:bCs w:val="0"/>
                <w:spacing w:val="0"/>
                <w:szCs w:val="21"/>
                <w:highlight w:val="none"/>
                <w:lang w:val="en-US" w:eastAsia="zh-CN"/>
              </w:rPr>
              <w:t>2施工期修复、管理措施</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0"/>
                <w:szCs w:val="21"/>
                <w:highlight w:val="none"/>
                <w:lang w:val="en-US" w:eastAsia="zh-CN"/>
              </w:rPr>
            </w:pPr>
            <w:r>
              <w:rPr>
                <w:rFonts w:hint="eastAsia" w:ascii="Times New Roman" w:hAnsi="Times New Roman" w:eastAsia="宋体" w:cs="Times New Roman"/>
                <w:bCs/>
                <w:spacing w:val="0"/>
                <w:szCs w:val="21"/>
                <w:highlight w:val="none"/>
                <w:lang w:val="en-US" w:eastAsia="zh-CN"/>
              </w:rPr>
              <w:t>（1）在施工区域局部有植被分布，须先将原表层土集中分层堆放，待施工完毕后，在临时占地区域对地表土层进行恢复，达到植被生长所需生境；</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0"/>
                <w:kern w:val="0"/>
                <w:szCs w:val="21"/>
                <w:highlight w:val="none"/>
                <w:lang w:val="en-US" w:eastAsia="zh-CN"/>
              </w:rPr>
            </w:pPr>
            <w:r>
              <w:rPr>
                <w:rFonts w:hint="eastAsia" w:ascii="Times New Roman" w:hAnsi="Times New Roman" w:eastAsia="宋体" w:cs="Times New Roman"/>
                <w:bCs/>
                <w:spacing w:val="0"/>
                <w:kern w:val="0"/>
                <w:szCs w:val="21"/>
                <w:highlight w:val="none"/>
                <w:lang w:val="en-US" w:eastAsia="zh-CN"/>
              </w:rPr>
              <w:t>（2）施工区土层上部的保护层稳态发生变化，加之区域风力、水力作用较大，土质极易流失，应在临时占地区域进行平整压实，以避免区域生态环境恶化；</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0"/>
                <w:kern w:val="0"/>
                <w:szCs w:val="21"/>
                <w:highlight w:val="none"/>
                <w:lang w:val="en-US" w:eastAsia="zh-CN"/>
              </w:rPr>
            </w:pPr>
            <w:r>
              <w:rPr>
                <w:rFonts w:hint="eastAsia" w:ascii="Times New Roman" w:hAnsi="Times New Roman" w:eastAsia="宋体" w:cs="Times New Roman"/>
                <w:bCs/>
                <w:spacing w:val="0"/>
                <w:kern w:val="0"/>
                <w:szCs w:val="21"/>
                <w:highlight w:val="none"/>
                <w:lang w:val="en-US" w:eastAsia="zh-CN"/>
              </w:rPr>
              <w:t>（3）基础设施建设工作完毕后及时清理废弃杂物，重视景观生态的保护，优化施工道路，从设计、施工、监测监控等各个环节充分考虑对整体生态的保护；</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0"/>
                <w:kern w:val="0"/>
                <w:szCs w:val="21"/>
                <w:highlight w:val="none"/>
                <w:lang w:val="en-US" w:eastAsia="zh-CN"/>
              </w:rPr>
            </w:pPr>
            <w:r>
              <w:rPr>
                <w:rFonts w:hint="eastAsia" w:ascii="Times New Roman" w:hAnsi="Times New Roman" w:eastAsia="宋体" w:cs="Times New Roman"/>
                <w:bCs/>
                <w:spacing w:val="0"/>
                <w:kern w:val="0"/>
                <w:szCs w:val="21"/>
                <w:highlight w:val="none"/>
                <w:lang w:val="en-US" w:eastAsia="zh-CN"/>
              </w:rPr>
              <w:t>（4）项目用地扰动区域须保护区域生态系统，并根据扰动区域土质情况因地制宜进行修复，减小项目实施对区域生态环境功能的不利影响。</w:t>
            </w:r>
          </w:p>
          <w:p>
            <w:pPr>
              <w:keepNext w:val="0"/>
              <w:keepLines w:val="0"/>
              <w:suppressLineNumbers w:val="0"/>
              <w:adjustRightInd w:val="0"/>
              <w:snapToGrid w:val="0"/>
              <w:spacing w:before="0" w:beforeAutospacing="0" w:after="0" w:afterAutospacing="0" w:line="360" w:lineRule="auto"/>
              <w:ind w:left="0" w:leftChars="0" w:right="0" w:firstLine="384" w:firstLineChars="182"/>
              <w:rPr>
                <w:rFonts w:hint="default" w:ascii="Times New Roman" w:hAnsi="Times New Roman" w:eastAsia="宋体" w:cs="Times New Roman"/>
                <w:bCs/>
                <w:spacing w:val="0"/>
                <w:kern w:val="0"/>
                <w:szCs w:val="21"/>
                <w:highlight w:val="none"/>
                <w:lang w:val="en-US" w:eastAsia="zh-CN"/>
              </w:rPr>
            </w:pPr>
            <w:r>
              <w:rPr>
                <w:rFonts w:hint="eastAsia" w:cs="Times New Roman"/>
                <w:b/>
                <w:bCs w:val="0"/>
                <w:spacing w:val="0"/>
                <w:kern w:val="0"/>
                <w:szCs w:val="21"/>
                <w:highlight w:val="none"/>
                <w:lang w:val="en-US" w:eastAsia="zh-CN"/>
              </w:rPr>
              <w:t>1.</w:t>
            </w:r>
            <w:r>
              <w:rPr>
                <w:rFonts w:hint="eastAsia" w:ascii="Times New Roman" w:hAnsi="Times New Roman" w:eastAsia="宋体" w:cs="Times New Roman"/>
                <w:b/>
                <w:bCs w:val="0"/>
                <w:spacing w:val="0"/>
                <w:kern w:val="0"/>
                <w:szCs w:val="21"/>
                <w:highlight w:val="none"/>
                <w:lang w:val="en-US" w:eastAsia="zh-CN"/>
              </w:rPr>
              <w:t>3措施的技术可行性分析</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0"/>
                <w:kern w:val="0"/>
                <w:szCs w:val="21"/>
                <w:highlight w:val="none"/>
                <w:lang w:val="en-US" w:eastAsia="zh-CN"/>
              </w:rPr>
            </w:pPr>
            <w:r>
              <w:rPr>
                <w:rFonts w:hint="default" w:ascii="Times New Roman" w:hAnsi="Times New Roman" w:eastAsia="宋体" w:cs="Times New Roman"/>
                <w:bCs/>
                <w:spacing w:val="0"/>
                <w:kern w:val="0"/>
                <w:szCs w:val="21"/>
                <w:highlight w:val="none"/>
                <w:lang w:val="en-US" w:eastAsia="zh-CN"/>
              </w:rPr>
              <w:t>本评价所提出的生态环境保护措施反映在钻井施工及井场试气的各个环节，从各施工时段提出了基本的生态环境保护要求，只要建设单位在施工期严格管理，从理论技术角度看，本评价在施工期所提出的各项生态环境保护措施切实可行</w:t>
            </w:r>
            <w:r>
              <w:rPr>
                <w:rFonts w:hint="eastAsia" w:ascii="Times New Roman" w:hAnsi="Times New Roman" w:eastAsia="宋体" w:cs="Times New Roman"/>
                <w:bCs/>
                <w:spacing w:val="0"/>
                <w:kern w:val="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384" w:firstLineChars="182"/>
              <w:rPr>
                <w:rFonts w:hint="default" w:ascii="Times New Roman" w:hAnsi="Times New Roman" w:cs="Times New Roman"/>
                <w:bCs/>
                <w:color w:val="auto"/>
                <w:spacing w:val="0"/>
                <w:kern w:val="0"/>
                <w:szCs w:val="21"/>
                <w:highlight w:val="none"/>
                <w:lang w:val="en-US" w:eastAsia="zh-CN"/>
              </w:rPr>
            </w:pPr>
            <w:r>
              <w:rPr>
                <w:rFonts w:hint="eastAsia" w:ascii="Times New Roman" w:hAnsi="Times New Roman" w:cs="Times New Roman"/>
                <w:b/>
                <w:bCs w:val="0"/>
                <w:color w:val="auto"/>
                <w:spacing w:val="0"/>
                <w:kern w:val="0"/>
                <w:szCs w:val="21"/>
                <w:highlight w:val="none"/>
                <w:lang w:val="en-US" w:eastAsia="zh-CN"/>
              </w:rPr>
              <w:t>1.4.措施的经济合理性分析</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Cs w:val="21"/>
                <w:highlight w:val="none"/>
                <w:lang w:val="en-US" w:eastAsia="zh-CN"/>
              </w:rPr>
            </w:pPr>
            <w:r>
              <w:rPr>
                <w:rFonts w:hint="eastAsia" w:ascii="Times New Roman"/>
                <w:color w:val="auto"/>
                <w:spacing w:val="0"/>
                <w:kern w:val="0"/>
                <w:sz w:val="21"/>
                <w:szCs w:val="21"/>
                <w:highlight w:val="none"/>
                <w:lang w:eastAsia="zh-CN"/>
              </w:rPr>
              <w:t>本</w:t>
            </w:r>
            <w:r>
              <w:rPr>
                <w:rFonts w:hint="eastAsia"/>
                <w:color w:val="auto"/>
                <w:spacing w:val="0"/>
                <w:kern w:val="0"/>
                <w:sz w:val="21"/>
                <w:szCs w:val="21"/>
                <w:highlight w:val="none"/>
                <w:lang w:val="en-US" w:eastAsia="zh-CN"/>
              </w:rPr>
              <w:t>项目</w:t>
            </w:r>
            <w:r>
              <w:rPr>
                <w:rFonts w:hint="eastAsia" w:ascii="Times New Roman"/>
                <w:color w:val="auto"/>
                <w:spacing w:val="0"/>
                <w:kern w:val="0"/>
                <w:sz w:val="21"/>
                <w:szCs w:val="21"/>
                <w:highlight w:val="none"/>
                <w:lang w:eastAsia="zh-CN"/>
              </w:rPr>
              <w:t>为评价井钻</w:t>
            </w:r>
            <w:r>
              <w:rPr>
                <w:rFonts w:hint="eastAsia"/>
                <w:color w:val="auto"/>
                <w:spacing w:val="0"/>
                <w:kern w:val="0"/>
                <w:sz w:val="21"/>
                <w:szCs w:val="21"/>
                <w:highlight w:val="none"/>
                <w:lang w:val="en-US" w:eastAsia="zh-CN"/>
              </w:rPr>
              <w:t>井</w:t>
            </w:r>
            <w:r>
              <w:rPr>
                <w:rFonts w:hint="eastAsia" w:ascii="Times New Roman"/>
                <w:color w:val="auto"/>
                <w:spacing w:val="0"/>
                <w:kern w:val="0"/>
                <w:sz w:val="21"/>
                <w:szCs w:val="21"/>
                <w:highlight w:val="none"/>
                <w:lang w:eastAsia="zh-CN"/>
              </w:rPr>
              <w:t>工程，</w:t>
            </w:r>
            <w:r>
              <w:rPr>
                <w:rFonts w:hint="eastAsia"/>
                <w:color w:val="auto"/>
                <w:spacing w:val="0"/>
                <w:kern w:val="0"/>
                <w:sz w:val="21"/>
                <w:szCs w:val="21"/>
                <w:highlight w:val="none"/>
                <w:lang w:val="en-US" w:eastAsia="zh-CN"/>
              </w:rPr>
              <w:t>评价区域</w:t>
            </w:r>
            <w:r>
              <w:rPr>
                <w:rFonts w:hint="eastAsia" w:ascii="Times New Roman"/>
                <w:color w:val="auto"/>
                <w:spacing w:val="0"/>
                <w:kern w:val="0"/>
                <w:sz w:val="21"/>
                <w:szCs w:val="21"/>
                <w:highlight w:val="none"/>
                <w:lang w:eastAsia="zh-CN"/>
              </w:rPr>
              <w:t>目的层油气产能情况</w:t>
            </w:r>
            <w:r>
              <w:rPr>
                <w:rFonts w:hint="default" w:ascii="Times New Roman" w:hAnsi="Times New Roman" w:cs="Times New Roman"/>
                <w:bCs/>
                <w:color w:val="auto"/>
                <w:spacing w:val="0"/>
                <w:kern w:val="0"/>
                <w:sz w:val="21"/>
                <w:szCs w:val="21"/>
                <w:highlight w:val="none"/>
                <w:lang w:val="en-US" w:eastAsia="zh-CN"/>
              </w:rPr>
              <w:t>，</w:t>
            </w:r>
            <w:r>
              <w:rPr>
                <w:rFonts w:hint="eastAsia" w:ascii="Times New Roman" w:hAnsi="Times New Roman" w:cs="Times New Roman"/>
                <w:bCs/>
                <w:color w:val="auto"/>
                <w:spacing w:val="0"/>
                <w:kern w:val="0"/>
                <w:szCs w:val="21"/>
                <w:highlight w:val="none"/>
                <w:lang w:val="en-US" w:eastAsia="zh-CN"/>
              </w:rPr>
              <w:t>在项目施工过程中有效保护施工区域的生态环境，项目实施</w:t>
            </w:r>
            <w:r>
              <w:rPr>
                <w:rFonts w:hint="default" w:ascii="Times New Roman" w:hAnsi="Times New Roman" w:cs="Times New Roman"/>
                <w:bCs/>
                <w:color w:val="auto"/>
                <w:spacing w:val="0"/>
                <w:kern w:val="0"/>
                <w:szCs w:val="21"/>
                <w:highlight w:val="none"/>
                <w:lang w:val="en-US" w:eastAsia="zh-CN"/>
              </w:rPr>
              <w:t>后，对</w:t>
            </w:r>
            <w:r>
              <w:rPr>
                <w:rFonts w:hint="eastAsia" w:ascii="Times New Roman" w:hAnsi="Times New Roman" w:cs="Times New Roman"/>
                <w:bCs/>
                <w:color w:val="auto"/>
                <w:spacing w:val="0"/>
                <w:kern w:val="0"/>
                <w:szCs w:val="21"/>
                <w:highlight w:val="none"/>
                <w:lang w:val="en-US" w:eastAsia="zh-CN"/>
              </w:rPr>
              <w:t>实施区域临时占地进行</w:t>
            </w:r>
            <w:r>
              <w:rPr>
                <w:rFonts w:hint="default" w:ascii="Times New Roman" w:hAnsi="Times New Roman" w:cs="Times New Roman"/>
                <w:bCs/>
                <w:color w:val="auto"/>
                <w:spacing w:val="0"/>
                <w:kern w:val="0"/>
                <w:szCs w:val="21"/>
                <w:highlight w:val="none"/>
                <w:lang w:val="en-US" w:eastAsia="zh-CN"/>
              </w:rPr>
              <w:t>植被恢复，</w:t>
            </w:r>
            <w:r>
              <w:rPr>
                <w:rFonts w:hint="eastAsia" w:ascii="Times New Roman" w:hAnsi="Times New Roman" w:cs="Times New Roman"/>
                <w:bCs/>
                <w:color w:val="auto"/>
                <w:spacing w:val="0"/>
                <w:kern w:val="0"/>
                <w:szCs w:val="21"/>
                <w:highlight w:val="none"/>
                <w:lang w:val="en-US" w:eastAsia="zh-CN"/>
              </w:rPr>
              <w:t>使项目临时占地区域</w:t>
            </w:r>
            <w:r>
              <w:rPr>
                <w:rFonts w:hint="default" w:ascii="Times New Roman" w:hAnsi="Times New Roman" w:cs="Times New Roman"/>
                <w:bCs/>
                <w:color w:val="auto"/>
                <w:spacing w:val="0"/>
                <w:kern w:val="0"/>
                <w:szCs w:val="21"/>
                <w:highlight w:val="none"/>
                <w:lang w:val="en-US" w:eastAsia="zh-CN"/>
              </w:rPr>
              <w:t>及周围</w:t>
            </w:r>
            <w:r>
              <w:rPr>
                <w:rFonts w:hint="eastAsia" w:ascii="Times New Roman" w:hAnsi="Times New Roman" w:cs="Times New Roman"/>
                <w:bCs/>
                <w:color w:val="auto"/>
                <w:spacing w:val="0"/>
                <w:kern w:val="0"/>
                <w:szCs w:val="21"/>
                <w:highlight w:val="none"/>
                <w:lang w:val="en-US" w:eastAsia="zh-CN"/>
              </w:rPr>
              <w:t>动、</w:t>
            </w:r>
            <w:r>
              <w:rPr>
                <w:rFonts w:hint="default" w:ascii="Times New Roman" w:hAnsi="Times New Roman" w:cs="Times New Roman"/>
                <w:bCs/>
                <w:color w:val="auto"/>
                <w:spacing w:val="0"/>
                <w:kern w:val="0"/>
                <w:szCs w:val="21"/>
                <w:highlight w:val="none"/>
                <w:lang w:val="en-US" w:eastAsia="zh-CN"/>
              </w:rPr>
              <w:t>植</w:t>
            </w:r>
            <w:r>
              <w:rPr>
                <w:rFonts w:hint="eastAsia" w:ascii="Times New Roman" w:hAnsi="Times New Roman" w:cs="Times New Roman"/>
                <w:bCs/>
                <w:color w:val="auto"/>
                <w:spacing w:val="0"/>
                <w:kern w:val="0"/>
                <w:szCs w:val="21"/>
                <w:highlight w:val="none"/>
                <w:lang w:val="en-US" w:eastAsia="zh-CN"/>
              </w:rPr>
              <w:t>物维持原有</w:t>
            </w:r>
            <w:r>
              <w:rPr>
                <w:rFonts w:hint="default" w:ascii="Times New Roman" w:hAnsi="Times New Roman" w:cs="Times New Roman"/>
                <w:bCs/>
                <w:color w:val="auto"/>
                <w:spacing w:val="0"/>
                <w:kern w:val="0"/>
                <w:szCs w:val="21"/>
                <w:highlight w:val="none"/>
                <w:lang w:val="en-US" w:eastAsia="zh-CN"/>
              </w:rPr>
              <w:t>生境，减少土壤的水土流失，</w:t>
            </w:r>
            <w:r>
              <w:rPr>
                <w:rFonts w:hint="eastAsia" w:ascii="Times New Roman" w:hAnsi="Times New Roman" w:cs="Times New Roman"/>
                <w:bCs/>
                <w:color w:val="auto"/>
                <w:spacing w:val="0"/>
                <w:kern w:val="0"/>
                <w:szCs w:val="21"/>
                <w:highlight w:val="none"/>
                <w:lang w:val="en-US" w:eastAsia="zh-CN"/>
              </w:rPr>
              <w:t>经济效益较为</w:t>
            </w:r>
            <w:r>
              <w:rPr>
                <w:rFonts w:hint="default" w:ascii="Times New Roman" w:hAnsi="Times New Roman" w:cs="Times New Roman"/>
                <w:bCs/>
                <w:color w:val="auto"/>
                <w:spacing w:val="0"/>
                <w:kern w:val="0"/>
                <w:szCs w:val="21"/>
                <w:highlight w:val="none"/>
                <w:lang w:val="en-US" w:eastAsia="zh-CN"/>
              </w:rPr>
              <w:t>显著</w:t>
            </w:r>
            <w:r>
              <w:rPr>
                <w:rFonts w:hint="eastAsia" w:ascii="Times New Roman" w:hAnsi="Times New Roman" w:cs="Times New Roman"/>
                <w:bCs/>
                <w:color w:val="auto"/>
                <w:spacing w:val="0"/>
                <w:kern w:val="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384" w:firstLineChars="182"/>
              <w:rPr>
                <w:rFonts w:hint="default" w:ascii="Times New Roman" w:hAnsi="Times New Roman" w:cs="Times New Roman"/>
                <w:bCs/>
                <w:color w:val="auto"/>
                <w:spacing w:val="0"/>
                <w:kern w:val="0"/>
                <w:sz w:val="21"/>
                <w:szCs w:val="21"/>
                <w:highlight w:val="none"/>
                <w:lang w:val="en-US" w:eastAsia="zh-CN"/>
              </w:rPr>
            </w:pPr>
            <w:r>
              <w:rPr>
                <w:rFonts w:hint="eastAsia" w:ascii="Times New Roman" w:hAnsi="Times New Roman" w:cs="Times New Roman"/>
                <w:b/>
                <w:bCs w:val="0"/>
                <w:color w:val="auto"/>
                <w:spacing w:val="0"/>
                <w:kern w:val="0"/>
                <w:szCs w:val="21"/>
                <w:highlight w:val="none"/>
                <w:lang w:val="en-US" w:eastAsia="zh-CN"/>
              </w:rPr>
              <w:t>1.5.生</w:t>
            </w:r>
            <w:r>
              <w:rPr>
                <w:rFonts w:hint="eastAsia" w:ascii="Times New Roman" w:hAnsi="Times New Roman" w:cs="Times New Roman"/>
                <w:b/>
                <w:bCs w:val="0"/>
                <w:color w:val="auto"/>
                <w:spacing w:val="0"/>
                <w:kern w:val="0"/>
                <w:sz w:val="21"/>
                <w:szCs w:val="21"/>
                <w:highlight w:val="none"/>
                <w:lang w:val="en-US" w:eastAsia="zh-CN"/>
              </w:rPr>
              <w:t>态保护和修复效果的可达性</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eastAsia" w:ascii="Times New Roman" w:eastAsia="宋体"/>
                <w:color w:val="auto"/>
                <w:spacing w:val="0"/>
                <w:kern w:val="0"/>
                <w:sz w:val="21"/>
                <w:szCs w:val="21"/>
                <w:highlight w:val="none"/>
                <w:lang w:val="en-US" w:eastAsia="zh-CN"/>
              </w:rPr>
              <w:t>本项目</w:t>
            </w:r>
            <w:r>
              <w:rPr>
                <w:rFonts w:hint="eastAsia" w:ascii="Times New Roman"/>
                <w:color w:val="auto"/>
                <w:spacing w:val="0"/>
                <w:kern w:val="0"/>
                <w:sz w:val="21"/>
                <w:szCs w:val="21"/>
                <w:highlight w:val="none"/>
                <w:lang w:eastAsia="zh-CN"/>
              </w:rPr>
              <w:t>位于</w:t>
            </w:r>
            <w:r>
              <w:rPr>
                <w:rFonts w:hint="eastAsia" w:ascii="Times New Roman" w:eastAsia="宋体"/>
                <w:color w:val="auto"/>
                <w:spacing w:val="0"/>
                <w:kern w:val="0"/>
                <w:sz w:val="21"/>
                <w:szCs w:val="21"/>
                <w:highlight w:val="none"/>
                <w:lang w:val="en-US" w:eastAsia="zh-CN"/>
              </w:rPr>
              <w:t>永进油田永1、永3区块</w:t>
            </w:r>
            <w:r>
              <w:rPr>
                <w:rFonts w:hint="eastAsia" w:ascii="Times New Roman"/>
                <w:color w:val="auto"/>
                <w:spacing w:val="0"/>
                <w:kern w:val="0"/>
                <w:sz w:val="21"/>
                <w:szCs w:val="21"/>
                <w:highlight w:val="none"/>
                <w:lang w:eastAsia="zh-CN"/>
              </w:rPr>
              <w:t>内，</w:t>
            </w:r>
            <w:r>
              <w:rPr>
                <w:rFonts w:hint="eastAsia" w:cs="Times New Roman"/>
                <w:bCs/>
                <w:color w:val="auto"/>
                <w:spacing w:val="0"/>
                <w:kern w:val="0"/>
                <w:sz w:val="21"/>
                <w:szCs w:val="21"/>
                <w:highlight w:val="none"/>
                <w:lang w:val="en-US" w:eastAsia="zh-CN"/>
              </w:rPr>
              <w:t>项目</w:t>
            </w:r>
            <w:r>
              <w:rPr>
                <w:rFonts w:hint="eastAsia" w:ascii="Times New Roman" w:hAnsi="Times New Roman" w:cs="Times New Roman"/>
                <w:bCs/>
                <w:color w:val="auto"/>
                <w:spacing w:val="0"/>
                <w:kern w:val="0"/>
                <w:sz w:val="21"/>
                <w:szCs w:val="21"/>
                <w:highlight w:val="none"/>
                <w:lang w:val="en-US" w:eastAsia="zh-CN"/>
              </w:rPr>
              <w:t>在施工结束后，对临时占地区域播撒草籽等措施对区域植被进行适当的恢复，将有效改善项目临时占地区域及周边影响区域地表植被的生存环境，减少土壤的水土流失，可以起到一定的生态环境保护和修复的效果。</w:t>
            </w:r>
          </w:p>
          <w:p>
            <w:pPr>
              <w:keepNext w:val="0"/>
              <w:keepLines w:val="0"/>
              <w:suppressLineNumbers w:val="0"/>
              <w:adjustRightInd w:val="0"/>
              <w:snapToGrid w:val="0"/>
              <w:spacing w:before="0" w:beforeAutospacing="0" w:after="0" w:afterAutospacing="0" w:line="360" w:lineRule="auto"/>
              <w:ind w:left="0" w:leftChars="0" w:right="0" w:firstLine="384" w:firstLineChars="182"/>
              <w:rPr>
                <w:rFonts w:hint="default" w:ascii="Times New Roman" w:hAnsi="Times New Roman" w:cs="Times New Roman"/>
                <w:b/>
                <w:bCs w:val="0"/>
                <w:color w:val="auto"/>
                <w:spacing w:val="0"/>
                <w:kern w:val="0"/>
                <w:sz w:val="21"/>
                <w:szCs w:val="21"/>
                <w:highlight w:val="none"/>
                <w:lang w:val="en-US" w:eastAsia="zh-CN"/>
              </w:rPr>
            </w:pPr>
            <w:r>
              <w:rPr>
                <w:rFonts w:hint="eastAsia" w:ascii="Times New Roman" w:hAnsi="Times New Roman" w:cs="Times New Roman"/>
                <w:b/>
                <w:bCs w:val="0"/>
                <w:color w:val="auto"/>
                <w:spacing w:val="0"/>
                <w:kern w:val="0"/>
                <w:sz w:val="21"/>
                <w:szCs w:val="21"/>
                <w:highlight w:val="none"/>
                <w:lang w:val="en-US" w:eastAsia="zh-CN"/>
              </w:rPr>
              <w:t>1.6.生态修复方案</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cs="Times New Roman"/>
                <w:bCs/>
                <w:color w:val="auto"/>
                <w:spacing w:val="0"/>
                <w:kern w:val="0"/>
                <w:sz w:val="21"/>
                <w:szCs w:val="21"/>
                <w:highlight w:val="none"/>
                <w:lang w:val="en-US" w:eastAsia="zh-CN"/>
              </w:rPr>
            </w:pPr>
            <w:r>
              <w:rPr>
                <w:rFonts w:hint="eastAsia" w:cs="Times New Roman"/>
                <w:bCs/>
                <w:color w:val="auto"/>
                <w:spacing w:val="0"/>
                <w:kern w:val="0"/>
                <w:sz w:val="21"/>
                <w:szCs w:val="21"/>
                <w:highlight w:val="none"/>
                <w:lang w:val="en-US" w:eastAsia="zh-CN"/>
              </w:rPr>
              <w:t>项目</w:t>
            </w:r>
            <w:r>
              <w:rPr>
                <w:rFonts w:hint="default" w:ascii="Times New Roman" w:hAnsi="Times New Roman" w:cs="Times New Roman"/>
                <w:bCs/>
                <w:color w:val="auto"/>
                <w:spacing w:val="0"/>
                <w:kern w:val="0"/>
                <w:sz w:val="21"/>
                <w:szCs w:val="21"/>
                <w:highlight w:val="none"/>
                <w:lang w:val="en-US" w:eastAsia="zh-CN"/>
              </w:rPr>
              <w:t>所在</w:t>
            </w:r>
            <w:r>
              <w:rPr>
                <w:rFonts w:hint="eastAsia" w:ascii="Times New Roman" w:hAnsi="Times New Roman" w:cs="Times New Roman"/>
                <w:bCs/>
                <w:color w:val="auto"/>
                <w:spacing w:val="0"/>
                <w:kern w:val="0"/>
                <w:sz w:val="21"/>
                <w:szCs w:val="21"/>
                <w:highlight w:val="none"/>
                <w:lang w:val="en-US" w:eastAsia="zh-CN"/>
              </w:rPr>
              <w:t>区域土源、水源等条件良好，原生植被主要有琵琶柴、粗枝猪毛菜等，土地利用类型主要为</w:t>
            </w:r>
            <w:r>
              <w:rPr>
                <w:rFonts w:hint="eastAsia" w:cs="Times New Roman"/>
                <w:bCs/>
                <w:color w:val="auto"/>
                <w:spacing w:val="0"/>
                <w:kern w:val="0"/>
                <w:sz w:val="21"/>
                <w:szCs w:val="21"/>
                <w:highlight w:val="none"/>
                <w:lang w:val="en-US" w:eastAsia="zh-CN"/>
              </w:rPr>
              <w:t>低覆盖度草地</w:t>
            </w:r>
            <w:r>
              <w:rPr>
                <w:rFonts w:hint="eastAsia" w:ascii="Times New Roman" w:hAnsi="Times New Roman" w:cs="Times New Roman"/>
                <w:bCs/>
                <w:color w:val="auto"/>
                <w:spacing w:val="0"/>
                <w:kern w:val="0"/>
                <w:sz w:val="21"/>
                <w:szCs w:val="21"/>
                <w:highlight w:val="none"/>
                <w:lang w:val="en-US" w:eastAsia="zh-CN"/>
              </w:rPr>
              <w:t>。项目施工结束后应因地制宜，在临时占地及影响区域适当对区域植被进行一定程度的恢复</w:t>
            </w:r>
            <w:r>
              <w:rPr>
                <w:rFonts w:hint="default" w:ascii="Times New Roman" w:hAnsi="Times New Roman" w:cs="Times New Roman"/>
                <w:bCs/>
                <w:color w:val="auto"/>
                <w:spacing w:val="0"/>
                <w:kern w:val="0"/>
                <w:sz w:val="21"/>
                <w:szCs w:val="21"/>
                <w:highlight w:val="none"/>
                <w:lang w:val="en-US" w:eastAsia="zh-CN"/>
              </w:rPr>
              <w:t>，重建与当地生态系统相协调的植被群落，恢复生物多样性</w:t>
            </w:r>
            <w:r>
              <w:rPr>
                <w:rFonts w:hint="eastAsia" w:cs="Times New Roman"/>
                <w:bCs/>
                <w:color w:val="auto"/>
                <w:spacing w:val="0"/>
                <w:kern w:val="0"/>
                <w:sz w:val="21"/>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根据《矿山生态环境保护与恢复治理技术规范(试行)(HJ651—2013)》）要求，勘探活动结束后，应根据景观相似原则，对勘探活动造成的土壤、植被和地表景观破坏进行恢复。对水文地质条件及道路安全有影响或重要建筑物附近的钻孔或坑井应予回填封闭，并恢复其原有生态功能。井场道路用地应严格控制占地面积和范围。道路建设及取弃土工程，均应根据道路施工进度有计划地进行表土剥离并保存，必要时应设置截排水沟、挡土墙等相应保护措施。井场道路取弃土工程结束后，取弃土场应及时回填、整平、压实，并利用堆存的表土进行植被和景观恢复。道路建设施工结束后，临时占地应及时恢复，与原有地貌和景观协调。对项目区域不再使用的各项临时建（构）筑物和基础设施应全部拆除，并进行景观和植被恢复。转为其他用途的，应开展污染场地调查、风险评估与修复治理。试油期伴生气燃烧放空应远离农田、植被等。勘探后的封闭井应将井口封堵完整，采取遮挡和防护措施，并设立警示牌。建设单位将作为生态修复实施的主体</w:t>
            </w:r>
            <w:r>
              <w:rPr>
                <w:rFonts w:hint="eastAsia" w:cs="Times New Roman"/>
                <w:bCs/>
                <w:color w:val="auto"/>
                <w:spacing w:val="0"/>
                <w:kern w:val="0"/>
                <w:sz w:val="21"/>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384" w:firstLineChars="182"/>
              <w:rPr>
                <w:rFonts w:hint="eastAsia" w:cs="Times New Roman"/>
                <w:b/>
                <w:bCs w:val="0"/>
                <w:color w:val="auto"/>
                <w:spacing w:val="0"/>
                <w:kern w:val="0"/>
                <w:sz w:val="21"/>
                <w:szCs w:val="21"/>
                <w:highlight w:val="none"/>
                <w:lang w:val="en-US" w:eastAsia="zh-CN"/>
              </w:rPr>
            </w:pPr>
            <w:r>
              <w:rPr>
                <w:rFonts w:hint="eastAsia" w:cs="Times New Roman"/>
                <w:b/>
                <w:bCs w:val="0"/>
                <w:color w:val="auto"/>
                <w:spacing w:val="0"/>
                <w:kern w:val="0"/>
                <w:sz w:val="21"/>
                <w:szCs w:val="21"/>
                <w:highlight w:val="none"/>
                <w:lang w:val="en-US" w:eastAsia="zh-CN"/>
              </w:rPr>
              <w:t>2.防沙治沙</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项目所在区域有4口井所在位置主要土壤类型为风沙土，根据自治区防沙荒漠化协调办公室《关于重新提供沙区开发建设项目环境影响评价制度实施情况佐证资料的函》，项目的建设须进行防沙治沙</w:t>
            </w:r>
            <w:r>
              <w:rPr>
                <w:rFonts w:hint="eastAsia" w:cs="Times New Roman"/>
                <w:bCs/>
                <w:color w:val="auto"/>
                <w:spacing w:val="0"/>
                <w:kern w:val="0"/>
                <w:sz w:val="21"/>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eastAsia" w:cs="Times New Roman"/>
                <w:bCs/>
                <w:color w:val="auto"/>
                <w:spacing w:val="0"/>
                <w:kern w:val="0"/>
                <w:sz w:val="21"/>
                <w:szCs w:val="21"/>
                <w:highlight w:val="none"/>
                <w:lang w:val="en-US" w:eastAsia="zh-CN"/>
              </w:rPr>
              <w:t>（1）</w:t>
            </w:r>
            <w:r>
              <w:rPr>
                <w:rFonts w:hint="default" w:ascii="Times New Roman" w:hAnsi="Times New Roman" w:cs="Times New Roman"/>
                <w:bCs/>
                <w:color w:val="auto"/>
                <w:spacing w:val="0"/>
                <w:kern w:val="0"/>
                <w:sz w:val="21"/>
                <w:szCs w:val="21"/>
                <w:highlight w:val="none"/>
                <w:lang w:val="en-US" w:eastAsia="zh-CN"/>
              </w:rPr>
              <w:t>防沙治沙内容及措施：</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eastAsia" w:cs="Times New Roman"/>
                <w:bCs/>
                <w:color w:val="auto"/>
                <w:spacing w:val="0"/>
                <w:kern w:val="0"/>
                <w:sz w:val="21"/>
                <w:szCs w:val="21"/>
                <w:highlight w:val="none"/>
                <w:lang w:val="en-US" w:eastAsia="zh-CN"/>
              </w:rPr>
              <w:t>1）</w:t>
            </w:r>
            <w:r>
              <w:rPr>
                <w:rFonts w:hint="default" w:ascii="Times New Roman" w:hAnsi="Times New Roman" w:cs="Times New Roman"/>
                <w:bCs/>
                <w:color w:val="auto"/>
                <w:spacing w:val="0"/>
                <w:kern w:val="0"/>
                <w:sz w:val="21"/>
                <w:szCs w:val="21"/>
                <w:highlight w:val="none"/>
                <w:lang w:val="en-US" w:eastAsia="zh-CN"/>
              </w:rPr>
              <w:t>采取的技术规范、标准</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①《中华人民共和国防沙治沙法》（2018年11月14日修订）；</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②《关于做好沙区开发建设项目环评中防沙治沙内容评价工作的意见》(林沙发[2013]136号)；</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③《关于加强沙区建设项目环境影响评价工作的通知》（新环环评发[2020]138号）；</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④《防沙治沙技术规范》（GB/T21141-2007）；</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eastAsia" w:cs="Times New Roman"/>
                <w:bCs/>
                <w:color w:val="auto"/>
                <w:spacing w:val="0"/>
                <w:kern w:val="0"/>
                <w:sz w:val="21"/>
                <w:szCs w:val="21"/>
                <w:highlight w:val="none"/>
                <w:lang w:val="en-US" w:eastAsia="zh-CN"/>
              </w:rPr>
              <w:t>2）</w:t>
            </w:r>
            <w:r>
              <w:rPr>
                <w:rFonts w:hint="default" w:ascii="Times New Roman" w:hAnsi="Times New Roman" w:cs="Times New Roman"/>
                <w:bCs/>
                <w:color w:val="auto"/>
                <w:spacing w:val="0"/>
                <w:kern w:val="0"/>
                <w:sz w:val="21"/>
                <w:szCs w:val="21"/>
                <w:highlight w:val="none"/>
                <w:lang w:val="en-US" w:eastAsia="zh-CN"/>
              </w:rPr>
              <w:t>制定方案的原则与目标</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制定方案的原则：①科学性、前瞻性与可行性相结合；②定性目标与定量指标相结合；③注重生态效益与关注民生、发展产业相结合；④节约用水和合理用水相结合；⑤坚持因地制宜的原则。</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制定方案的目标：通过</w:t>
            </w:r>
            <w:r>
              <w:rPr>
                <w:rFonts w:hint="eastAsia" w:cs="Times New Roman"/>
                <w:bCs/>
                <w:color w:val="auto"/>
                <w:spacing w:val="0"/>
                <w:kern w:val="0"/>
                <w:sz w:val="21"/>
                <w:szCs w:val="21"/>
                <w:highlight w:val="none"/>
                <w:lang w:val="en-US" w:eastAsia="zh-CN"/>
              </w:rPr>
              <w:t>项目</w:t>
            </w:r>
            <w:r>
              <w:rPr>
                <w:rFonts w:hint="default" w:ascii="Times New Roman" w:hAnsi="Times New Roman" w:cs="Times New Roman"/>
                <w:bCs/>
                <w:color w:val="auto"/>
                <w:spacing w:val="0"/>
                <w:kern w:val="0"/>
                <w:sz w:val="21"/>
                <w:szCs w:val="21"/>
                <w:highlight w:val="none"/>
                <w:lang w:val="en-US" w:eastAsia="zh-CN"/>
              </w:rPr>
              <w:t>建设，维持区域现有植被覆盖度，</w:t>
            </w:r>
            <w:r>
              <w:rPr>
                <w:rFonts w:hint="eastAsia" w:cs="Times New Roman"/>
                <w:bCs/>
                <w:color w:val="auto"/>
                <w:spacing w:val="0"/>
                <w:kern w:val="0"/>
                <w:sz w:val="21"/>
                <w:szCs w:val="21"/>
                <w:highlight w:val="none"/>
                <w:lang w:val="en-US" w:eastAsia="zh-CN"/>
              </w:rPr>
              <w:t>风沙土</w:t>
            </w:r>
            <w:r>
              <w:rPr>
                <w:rFonts w:hint="default" w:ascii="Times New Roman" w:hAnsi="Times New Roman" w:cs="Times New Roman"/>
                <w:bCs/>
                <w:color w:val="auto"/>
                <w:spacing w:val="0"/>
                <w:kern w:val="0"/>
                <w:sz w:val="21"/>
                <w:szCs w:val="21"/>
                <w:highlight w:val="none"/>
                <w:lang w:val="en-US" w:eastAsia="zh-CN"/>
              </w:rPr>
              <w:t>扩展趋势得到遏制，区域生态环境</w:t>
            </w:r>
            <w:r>
              <w:rPr>
                <w:rFonts w:hint="eastAsia" w:cs="Times New Roman"/>
                <w:bCs/>
                <w:color w:val="auto"/>
                <w:spacing w:val="0"/>
                <w:kern w:val="0"/>
                <w:sz w:val="21"/>
                <w:szCs w:val="21"/>
                <w:highlight w:val="none"/>
                <w:lang w:val="en-US" w:eastAsia="zh-CN"/>
              </w:rPr>
              <w:t>质量不降低</w:t>
            </w:r>
            <w:r>
              <w:rPr>
                <w:rFonts w:hint="default" w:ascii="Times New Roman" w:hAnsi="Times New Roman" w:cs="Times New Roman"/>
                <w:bCs/>
                <w:color w:val="auto"/>
                <w:spacing w:val="0"/>
                <w:kern w:val="0"/>
                <w:sz w:val="21"/>
                <w:szCs w:val="21"/>
                <w:highlight w:val="none"/>
                <w:lang w:val="en-US" w:eastAsia="zh-CN"/>
              </w:rPr>
              <w:t>，农田得到有效保护。</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eastAsia" w:cs="Times New Roman"/>
                <w:bCs/>
                <w:color w:val="auto"/>
                <w:spacing w:val="0"/>
                <w:kern w:val="0"/>
                <w:sz w:val="21"/>
                <w:szCs w:val="21"/>
                <w:highlight w:val="none"/>
                <w:lang w:val="en-US" w:eastAsia="zh-CN"/>
              </w:rPr>
              <w:t>3）工程</w:t>
            </w:r>
            <w:r>
              <w:rPr>
                <w:rFonts w:hint="default" w:ascii="Times New Roman" w:hAnsi="Times New Roman" w:cs="Times New Roman"/>
                <w:bCs/>
                <w:color w:val="auto"/>
                <w:spacing w:val="0"/>
                <w:kern w:val="0"/>
                <w:sz w:val="21"/>
                <w:szCs w:val="21"/>
                <w:highlight w:val="none"/>
                <w:lang w:val="en-US" w:eastAsia="zh-CN"/>
              </w:rPr>
              <w:t>措施</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本项目不涉及物理、化学固沙及其他机械固沙措施。</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eastAsia" w:cs="Times New Roman"/>
                <w:bCs/>
                <w:color w:val="auto"/>
                <w:spacing w:val="0"/>
                <w:kern w:val="0"/>
                <w:sz w:val="21"/>
                <w:szCs w:val="21"/>
                <w:highlight w:val="none"/>
                <w:lang w:val="en-US" w:eastAsia="zh-CN"/>
              </w:rPr>
              <w:t>4）</w:t>
            </w:r>
            <w:r>
              <w:rPr>
                <w:rFonts w:hint="default" w:ascii="Times New Roman" w:hAnsi="Times New Roman" w:cs="Times New Roman"/>
                <w:bCs/>
                <w:color w:val="auto"/>
                <w:spacing w:val="0"/>
                <w:kern w:val="0"/>
                <w:sz w:val="21"/>
                <w:szCs w:val="21"/>
                <w:highlight w:val="none"/>
                <w:lang w:val="en-US" w:eastAsia="zh-CN"/>
              </w:rPr>
              <w:t>植物措施</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①根据实地调查，管线施工完毕后的3~5年内90%的区域自然植被可恢复至施工前状态，对于难以恢复的区域应人工辅助恢复；</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②施工期临时占地应避开植被覆盖度较高的区域位置，最大限度的减少占地产生的不利影响，减少对土壤的扰动、植被破坏</w:t>
            </w:r>
            <w:r>
              <w:rPr>
                <w:rFonts w:hint="eastAsia" w:cs="Times New Roman"/>
                <w:bCs/>
                <w:color w:val="auto"/>
                <w:spacing w:val="0"/>
                <w:kern w:val="0"/>
                <w:sz w:val="21"/>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③植被覆盖度高的区域，</w:t>
            </w:r>
            <w:r>
              <w:rPr>
                <w:rFonts w:hint="eastAsia" w:cs="Times New Roman"/>
                <w:bCs/>
                <w:color w:val="auto"/>
                <w:spacing w:val="0"/>
                <w:kern w:val="0"/>
                <w:sz w:val="21"/>
                <w:szCs w:val="21"/>
                <w:highlight w:val="none"/>
                <w:lang w:val="en-US" w:eastAsia="zh-CN"/>
              </w:rPr>
              <w:t>临时施工时</w:t>
            </w:r>
            <w:r>
              <w:rPr>
                <w:rFonts w:hint="default" w:ascii="Times New Roman" w:hAnsi="Times New Roman" w:cs="Times New Roman"/>
                <w:bCs/>
                <w:color w:val="auto"/>
                <w:spacing w:val="0"/>
                <w:kern w:val="0"/>
                <w:sz w:val="21"/>
                <w:szCs w:val="21"/>
                <w:highlight w:val="none"/>
                <w:lang w:val="en-US" w:eastAsia="zh-CN"/>
              </w:rPr>
              <w:t>采取分层开挖、分层回填措施，避免破坏区域土壤肥力；</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④针对永进1-5井、永进3-平16井、永进3-斜11井、永进3-斜12井</w:t>
            </w:r>
            <w:r>
              <w:rPr>
                <w:rFonts w:hint="eastAsia" w:cs="Times New Roman"/>
                <w:bCs/>
                <w:color w:val="auto"/>
                <w:spacing w:val="0"/>
                <w:kern w:val="0"/>
                <w:sz w:val="21"/>
                <w:szCs w:val="21"/>
                <w:highlight w:val="none"/>
                <w:lang w:val="en-US" w:eastAsia="zh-CN"/>
              </w:rPr>
              <w:t>等四口在风沙土区域的钻井</w:t>
            </w:r>
            <w:r>
              <w:rPr>
                <w:rFonts w:hint="default" w:ascii="Times New Roman" w:hAnsi="Times New Roman" w:cs="Times New Roman"/>
                <w:bCs/>
                <w:color w:val="auto"/>
                <w:spacing w:val="0"/>
                <w:kern w:val="0"/>
                <w:sz w:val="21"/>
                <w:szCs w:val="21"/>
                <w:highlight w:val="none"/>
                <w:lang w:val="en-US" w:eastAsia="zh-CN"/>
              </w:rPr>
              <w:t>，</w:t>
            </w:r>
            <w:r>
              <w:rPr>
                <w:rFonts w:hint="eastAsia" w:cs="Times New Roman"/>
                <w:bCs/>
                <w:color w:val="auto"/>
                <w:spacing w:val="0"/>
                <w:kern w:val="0"/>
                <w:sz w:val="21"/>
                <w:szCs w:val="21"/>
                <w:highlight w:val="none"/>
                <w:lang w:val="en-US" w:eastAsia="zh-CN"/>
              </w:rPr>
              <w:t>须</w:t>
            </w:r>
            <w:r>
              <w:rPr>
                <w:rFonts w:hint="default" w:ascii="Times New Roman" w:hAnsi="Times New Roman" w:cs="Times New Roman"/>
                <w:bCs/>
                <w:color w:val="auto"/>
                <w:spacing w:val="0"/>
                <w:kern w:val="0"/>
                <w:sz w:val="21"/>
                <w:szCs w:val="21"/>
                <w:highlight w:val="none"/>
                <w:lang w:val="en-US" w:eastAsia="zh-CN"/>
              </w:rPr>
              <w:t>采取防沙治沙措施，防止土地沙漠化。</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eastAsia" w:cs="Times New Roman"/>
                <w:bCs/>
                <w:color w:val="auto"/>
                <w:spacing w:val="0"/>
                <w:kern w:val="0"/>
                <w:sz w:val="21"/>
                <w:szCs w:val="21"/>
                <w:highlight w:val="none"/>
                <w:lang w:val="en-US" w:eastAsia="zh-CN"/>
              </w:rPr>
              <w:t>5）</w:t>
            </w:r>
            <w:r>
              <w:rPr>
                <w:rFonts w:hint="default" w:ascii="Times New Roman" w:hAnsi="Times New Roman" w:cs="Times New Roman"/>
                <w:bCs/>
                <w:color w:val="auto"/>
                <w:spacing w:val="0"/>
                <w:kern w:val="0"/>
                <w:sz w:val="21"/>
                <w:szCs w:val="21"/>
                <w:highlight w:val="none"/>
                <w:lang w:val="en-US" w:eastAsia="zh-CN"/>
              </w:rPr>
              <w:t>其他措施</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针对</w:t>
            </w:r>
            <w:r>
              <w:rPr>
                <w:rFonts w:hint="eastAsia" w:cs="Times New Roman"/>
                <w:bCs/>
                <w:color w:val="auto"/>
                <w:spacing w:val="0"/>
                <w:kern w:val="0"/>
                <w:sz w:val="21"/>
                <w:szCs w:val="21"/>
                <w:highlight w:val="none"/>
                <w:lang w:val="en-US" w:eastAsia="zh-CN"/>
              </w:rPr>
              <w:t>钻井</w:t>
            </w:r>
            <w:r>
              <w:rPr>
                <w:rFonts w:hint="default" w:ascii="Times New Roman" w:hAnsi="Times New Roman" w:cs="Times New Roman"/>
                <w:bCs/>
                <w:color w:val="auto"/>
                <w:spacing w:val="0"/>
                <w:kern w:val="0"/>
                <w:sz w:val="21"/>
                <w:szCs w:val="21"/>
                <w:highlight w:val="none"/>
                <w:lang w:val="en-US" w:eastAsia="zh-CN"/>
              </w:rPr>
              <w:t>过程，提出如下措施：①</w:t>
            </w:r>
            <w:r>
              <w:rPr>
                <w:rFonts w:hint="eastAsia" w:cs="Times New Roman"/>
                <w:bCs/>
                <w:color w:val="auto"/>
                <w:spacing w:val="0"/>
                <w:kern w:val="0"/>
                <w:sz w:val="21"/>
                <w:szCs w:val="21"/>
                <w:highlight w:val="none"/>
                <w:lang w:val="en-US" w:eastAsia="zh-CN"/>
              </w:rPr>
              <w:t>临时占地区域</w:t>
            </w:r>
            <w:r>
              <w:rPr>
                <w:rFonts w:hint="default" w:ascii="Times New Roman" w:hAnsi="Times New Roman" w:cs="Times New Roman"/>
                <w:bCs/>
                <w:color w:val="auto"/>
                <w:spacing w:val="0"/>
                <w:kern w:val="0"/>
                <w:sz w:val="21"/>
                <w:szCs w:val="21"/>
                <w:highlight w:val="none"/>
                <w:lang w:val="en-US" w:eastAsia="zh-CN"/>
              </w:rPr>
              <w:t>平整后，采取砾石压盖；②井场位置应根据场地周边植被分布情况，在满足设计要求的前提下进行适当的调整，以减少占地。</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针对施工机械及运输车辆，提出如下措施：施工期间应划定施工活动范围，严格控制和管理运输车辆及重型机械的运行线路和范围，不得离开运输道路及随意行驶，由专人负责，以防破坏土壤和植被，加剧土地荒漠化。</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eastAsia" w:cs="Times New Roman"/>
                <w:bCs/>
                <w:color w:val="auto"/>
                <w:spacing w:val="0"/>
                <w:kern w:val="0"/>
                <w:sz w:val="21"/>
                <w:szCs w:val="21"/>
                <w:highlight w:val="none"/>
                <w:lang w:val="en-US" w:eastAsia="zh-CN"/>
              </w:rPr>
              <w:t>6）</w:t>
            </w:r>
            <w:r>
              <w:rPr>
                <w:rFonts w:hint="default" w:ascii="Times New Roman" w:hAnsi="Times New Roman" w:cs="Times New Roman"/>
                <w:bCs/>
                <w:color w:val="auto"/>
                <w:spacing w:val="0"/>
                <w:kern w:val="0"/>
                <w:sz w:val="21"/>
                <w:szCs w:val="21"/>
                <w:highlight w:val="none"/>
                <w:lang w:val="en-US" w:eastAsia="zh-CN"/>
              </w:rPr>
              <w:t>各种措施总量和年度实施计划、完成期限等</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工程措施、植被措施及其他措施，要求在</w:t>
            </w:r>
            <w:r>
              <w:rPr>
                <w:rFonts w:hint="eastAsia" w:cs="Times New Roman"/>
                <w:bCs/>
                <w:color w:val="auto"/>
                <w:spacing w:val="0"/>
                <w:kern w:val="0"/>
                <w:sz w:val="21"/>
                <w:szCs w:val="21"/>
                <w:highlight w:val="none"/>
                <w:lang w:val="en-US" w:eastAsia="zh-CN"/>
              </w:rPr>
              <w:t>施工后及时</w:t>
            </w:r>
            <w:r>
              <w:rPr>
                <w:rFonts w:hint="default" w:ascii="Times New Roman" w:hAnsi="Times New Roman" w:cs="Times New Roman"/>
                <w:bCs/>
                <w:color w:val="auto"/>
                <w:spacing w:val="0"/>
                <w:kern w:val="0"/>
                <w:sz w:val="21"/>
                <w:szCs w:val="21"/>
                <w:highlight w:val="none"/>
                <w:lang w:val="en-US" w:eastAsia="zh-CN"/>
              </w:rPr>
              <w:t>完成，严禁防沙治沙措施未完成即</w:t>
            </w:r>
            <w:r>
              <w:rPr>
                <w:rFonts w:hint="eastAsia" w:cs="Times New Roman"/>
                <w:bCs/>
                <w:color w:val="auto"/>
                <w:spacing w:val="0"/>
                <w:kern w:val="0"/>
                <w:sz w:val="21"/>
                <w:szCs w:val="21"/>
                <w:highlight w:val="none"/>
                <w:lang w:val="en-US" w:eastAsia="zh-CN"/>
              </w:rPr>
              <w:t>验收</w:t>
            </w:r>
            <w:r>
              <w:rPr>
                <w:rFonts w:hint="default" w:ascii="Times New Roman" w:hAnsi="Times New Roman" w:cs="Times New Roman"/>
                <w:bCs/>
                <w:color w:val="auto"/>
                <w:spacing w:val="0"/>
                <w:kern w:val="0"/>
                <w:sz w:val="21"/>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eastAsia" w:cs="Times New Roman"/>
                <w:bCs/>
                <w:color w:val="auto"/>
                <w:spacing w:val="0"/>
                <w:kern w:val="0"/>
                <w:sz w:val="21"/>
                <w:szCs w:val="21"/>
                <w:highlight w:val="none"/>
                <w:lang w:val="en-US" w:eastAsia="zh-CN"/>
              </w:rPr>
              <w:t>（2）</w:t>
            </w:r>
            <w:r>
              <w:rPr>
                <w:rFonts w:hint="default" w:ascii="Times New Roman" w:hAnsi="Times New Roman" w:cs="Times New Roman"/>
                <w:bCs/>
                <w:color w:val="auto"/>
                <w:spacing w:val="0"/>
                <w:kern w:val="0"/>
                <w:sz w:val="21"/>
                <w:szCs w:val="21"/>
                <w:highlight w:val="none"/>
                <w:lang w:val="en-US" w:eastAsia="zh-CN"/>
              </w:rPr>
              <w:t>方案实施保障措施</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eastAsia" w:cs="Times New Roman"/>
                <w:bCs/>
                <w:color w:val="auto"/>
                <w:spacing w:val="0"/>
                <w:kern w:val="0"/>
                <w:sz w:val="21"/>
                <w:szCs w:val="21"/>
                <w:highlight w:val="none"/>
                <w:lang w:val="en-US" w:eastAsia="zh-CN"/>
              </w:rPr>
              <w:t>1）</w:t>
            </w:r>
            <w:r>
              <w:rPr>
                <w:rFonts w:hint="default" w:ascii="Times New Roman" w:hAnsi="Times New Roman" w:cs="Times New Roman"/>
                <w:bCs/>
                <w:color w:val="auto"/>
                <w:spacing w:val="0"/>
                <w:kern w:val="0"/>
                <w:sz w:val="21"/>
                <w:szCs w:val="21"/>
                <w:highlight w:val="none"/>
                <w:lang w:val="en-US" w:eastAsia="zh-CN"/>
              </w:rPr>
              <w:t>组织领导措施</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防沙治沙是维护生态安全，促进经济发展和人与自然和谐相处的重要举措。本项目防沙治沙工程中</w:t>
            </w:r>
            <w:r>
              <w:rPr>
                <w:rFonts w:hint="eastAsia" w:cs="Times New Roman"/>
                <w:bCs/>
                <w:color w:val="auto"/>
                <w:spacing w:val="0"/>
                <w:kern w:val="0"/>
                <w:sz w:val="21"/>
                <w:szCs w:val="21"/>
                <w:highlight w:val="none"/>
                <w:lang w:val="en-US" w:eastAsia="zh-CN"/>
              </w:rPr>
              <w:t>建设单位为</w:t>
            </w:r>
            <w:r>
              <w:rPr>
                <w:rFonts w:hint="default" w:ascii="Times New Roman" w:hAnsi="Times New Roman" w:cs="Times New Roman"/>
                <w:bCs/>
                <w:color w:val="auto"/>
                <w:spacing w:val="0"/>
                <w:kern w:val="0"/>
                <w:sz w:val="21"/>
                <w:szCs w:val="21"/>
                <w:highlight w:val="none"/>
                <w:lang w:val="en-US" w:eastAsia="zh-CN"/>
              </w:rPr>
              <w:t>第一责任人，各钻井队、施工队作为措施落实方，属于主要责任人。</w:t>
            </w:r>
            <w:r>
              <w:rPr>
                <w:rFonts w:hint="eastAsia" w:cs="Times New Roman"/>
                <w:bCs/>
                <w:color w:val="auto"/>
                <w:spacing w:val="0"/>
                <w:kern w:val="0"/>
                <w:sz w:val="21"/>
                <w:szCs w:val="21"/>
                <w:highlight w:val="none"/>
                <w:lang w:val="en-US" w:eastAsia="zh-CN"/>
              </w:rPr>
              <w:t>建设单位</w:t>
            </w:r>
            <w:r>
              <w:rPr>
                <w:rFonts w:hint="default" w:ascii="Times New Roman" w:hAnsi="Times New Roman" w:cs="Times New Roman"/>
                <w:bCs/>
                <w:color w:val="auto"/>
                <w:spacing w:val="0"/>
                <w:kern w:val="0"/>
                <w:sz w:val="21"/>
                <w:szCs w:val="21"/>
                <w:highlight w:val="none"/>
                <w:lang w:val="en-US" w:eastAsia="zh-CN"/>
              </w:rPr>
              <w:t>应在各钻井队、施工队施工过程中，提出具体的目标及要求，并落实到具体人员。</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eastAsia" w:cs="Times New Roman"/>
                <w:bCs/>
                <w:color w:val="auto"/>
                <w:spacing w:val="0"/>
                <w:kern w:val="0"/>
                <w:sz w:val="21"/>
                <w:szCs w:val="21"/>
                <w:highlight w:val="none"/>
                <w:lang w:val="en-US" w:eastAsia="zh-CN"/>
              </w:rPr>
              <w:t>2）</w:t>
            </w:r>
            <w:r>
              <w:rPr>
                <w:rFonts w:hint="default" w:ascii="Times New Roman" w:hAnsi="Times New Roman" w:cs="Times New Roman"/>
                <w:bCs/>
                <w:color w:val="auto"/>
                <w:spacing w:val="0"/>
                <w:kern w:val="0"/>
                <w:sz w:val="21"/>
                <w:szCs w:val="21"/>
                <w:highlight w:val="none"/>
                <w:lang w:val="en-US" w:eastAsia="zh-CN"/>
              </w:rPr>
              <w:t>技术保证措施</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①邀请各级</w:t>
            </w:r>
            <w:r>
              <w:rPr>
                <w:rFonts w:hint="eastAsia" w:cs="Times New Roman"/>
                <w:bCs/>
                <w:color w:val="auto"/>
                <w:spacing w:val="0"/>
                <w:kern w:val="0"/>
                <w:sz w:val="21"/>
                <w:szCs w:val="21"/>
                <w:highlight w:val="none"/>
                <w:lang w:val="en-US" w:eastAsia="zh-CN"/>
              </w:rPr>
              <w:t>林草</w:t>
            </w:r>
            <w:r>
              <w:rPr>
                <w:rFonts w:hint="default" w:ascii="Times New Roman" w:hAnsi="Times New Roman" w:cs="Times New Roman"/>
                <w:bCs/>
                <w:color w:val="auto"/>
                <w:spacing w:val="0"/>
                <w:kern w:val="0"/>
                <w:sz w:val="21"/>
                <w:szCs w:val="21"/>
                <w:highlight w:val="none"/>
                <w:lang w:val="en-US" w:eastAsia="zh-CN"/>
              </w:rPr>
              <w:t>部门组织开展多层次、多形式的技术培训，加强参与防沙治沙工程的人员的培训工作，使其掌握防沙治沙工程建设、管理的基本技术要求，增强人员主动参与防沙治沙能力和积极性。</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②</w:t>
            </w:r>
            <w:r>
              <w:rPr>
                <w:rFonts w:hint="eastAsia" w:cs="Times New Roman"/>
                <w:bCs/>
                <w:color w:val="auto"/>
                <w:spacing w:val="0"/>
                <w:kern w:val="0"/>
                <w:sz w:val="21"/>
                <w:szCs w:val="21"/>
                <w:highlight w:val="none"/>
                <w:lang w:val="en-US" w:eastAsia="zh-CN"/>
              </w:rPr>
              <w:t>区域</w:t>
            </w:r>
            <w:r>
              <w:rPr>
                <w:rFonts w:hint="default" w:ascii="Times New Roman" w:hAnsi="Times New Roman" w:cs="Times New Roman"/>
                <w:bCs/>
                <w:color w:val="auto"/>
                <w:spacing w:val="0"/>
                <w:kern w:val="0"/>
                <w:sz w:val="21"/>
                <w:szCs w:val="21"/>
                <w:highlight w:val="none"/>
                <w:lang w:val="en-US" w:eastAsia="zh-CN"/>
              </w:rPr>
              <w:t>水资源短缺，项目建设的各个环节过程中，加强人员的节水意识，避免铺张浪费，提高水的重复利用性。</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eastAsia" w:cs="Times New Roman"/>
                <w:bCs/>
                <w:color w:val="auto"/>
                <w:spacing w:val="0"/>
                <w:kern w:val="0"/>
                <w:sz w:val="21"/>
                <w:szCs w:val="21"/>
                <w:highlight w:val="none"/>
                <w:lang w:val="en-US" w:eastAsia="zh-CN"/>
              </w:rPr>
              <w:t>3）</w:t>
            </w:r>
            <w:r>
              <w:rPr>
                <w:rFonts w:hint="default" w:ascii="Times New Roman" w:hAnsi="Times New Roman" w:cs="Times New Roman"/>
                <w:bCs/>
                <w:color w:val="auto"/>
                <w:spacing w:val="0"/>
                <w:kern w:val="0"/>
                <w:sz w:val="21"/>
                <w:szCs w:val="21"/>
                <w:highlight w:val="none"/>
                <w:lang w:val="en-US" w:eastAsia="zh-CN"/>
              </w:rPr>
              <w:t>防沙治沙措施投资概算及资金筹措情况</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本项目防沙治沙措施投资概算预计</w:t>
            </w:r>
            <w:r>
              <w:rPr>
                <w:rFonts w:hint="eastAsia" w:cs="Times New Roman"/>
                <w:bCs/>
                <w:color w:val="auto"/>
                <w:spacing w:val="0"/>
                <w:kern w:val="0"/>
                <w:sz w:val="21"/>
                <w:szCs w:val="21"/>
                <w:highlight w:val="none"/>
                <w:lang w:val="en-US" w:eastAsia="zh-CN"/>
              </w:rPr>
              <w:t>2</w:t>
            </w:r>
            <w:r>
              <w:rPr>
                <w:rFonts w:hint="default" w:ascii="Times New Roman" w:hAnsi="Times New Roman" w:cs="Times New Roman"/>
                <w:bCs/>
                <w:color w:val="auto"/>
                <w:spacing w:val="0"/>
                <w:kern w:val="0"/>
                <w:sz w:val="21"/>
                <w:szCs w:val="21"/>
                <w:highlight w:val="none"/>
                <w:lang w:val="en-US" w:eastAsia="zh-CN"/>
              </w:rPr>
              <w:t>0万，由</w:t>
            </w:r>
            <w:r>
              <w:rPr>
                <w:rFonts w:hint="eastAsia" w:cs="Times New Roman"/>
                <w:bCs/>
                <w:color w:val="auto"/>
                <w:spacing w:val="0"/>
                <w:kern w:val="0"/>
                <w:sz w:val="21"/>
                <w:szCs w:val="21"/>
                <w:highlight w:val="none"/>
                <w:lang w:val="en-US" w:eastAsia="zh-CN"/>
              </w:rPr>
              <w:t>建设单位</w:t>
            </w:r>
            <w:r>
              <w:rPr>
                <w:rFonts w:hint="default" w:ascii="Times New Roman" w:hAnsi="Times New Roman" w:cs="Times New Roman"/>
                <w:bCs/>
                <w:color w:val="auto"/>
                <w:spacing w:val="0"/>
                <w:kern w:val="0"/>
                <w:sz w:val="21"/>
                <w:szCs w:val="21"/>
                <w:highlight w:val="none"/>
                <w:lang w:val="en-US" w:eastAsia="zh-CN"/>
              </w:rPr>
              <w:t>自行筹措。</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bCs/>
                <w:color w:val="auto"/>
                <w:spacing w:val="0"/>
                <w:kern w:val="0"/>
                <w:sz w:val="21"/>
                <w:szCs w:val="21"/>
                <w:highlight w:val="none"/>
                <w:lang w:val="en-US" w:eastAsia="zh-CN"/>
              </w:rPr>
            </w:pPr>
            <w:r>
              <w:rPr>
                <w:rFonts w:hint="eastAsia" w:cs="Times New Roman"/>
                <w:bCs/>
                <w:color w:val="auto"/>
                <w:spacing w:val="0"/>
                <w:kern w:val="0"/>
                <w:sz w:val="21"/>
                <w:szCs w:val="21"/>
                <w:highlight w:val="none"/>
                <w:lang w:val="en-US" w:eastAsia="zh-CN"/>
              </w:rPr>
              <w:t>4）</w:t>
            </w:r>
            <w:r>
              <w:rPr>
                <w:rFonts w:hint="default" w:ascii="Times New Roman" w:hAnsi="Times New Roman" w:cs="Times New Roman"/>
                <w:bCs/>
                <w:color w:val="auto"/>
                <w:spacing w:val="0"/>
                <w:kern w:val="0"/>
                <w:sz w:val="21"/>
                <w:szCs w:val="21"/>
                <w:highlight w:val="none"/>
                <w:lang w:val="en-US" w:eastAsia="zh-CN"/>
              </w:rPr>
              <w:t>生态、经济效益预测</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color w:val="auto"/>
                <w:spacing w:val="0"/>
                <w:kern w:val="0"/>
                <w:sz w:val="21"/>
                <w:szCs w:val="21"/>
                <w:highlight w:val="none"/>
                <w:lang w:val="en-US" w:eastAsia="zh-CN"/>
              </w:rPr>
            </w:pPr>
            <w:r>
              <w:rPr>
                <w:rFonts w:hint="default" w:ascii="Times New Roman" w:hAnsi="Times New Roman" w:cs="Times New Roman"/>
                <w:bCs/>
                <w:color w:val="auto"/>
                <w:spacing w:val="0"/>
                <w:kern w:val="0"/>
                <w:sz w:val="21"/>
                <w:szCs w:val="21"/>
                <w:highlight w:val="none"/>
                <w:lang w:val="en-US" w:eastAsia="zh-CN"/>
              </w:rPr>
              <w:t>本项目防沙治沙措施实施后，预计</w:t>
            </w:r>
            <w:r>
              <w:rPr>
                <w:rFonts w:hint="eastAsia" w:cs="Times New Roman"/>
                <w:bCs/>
                <w:color w:val="auto"/>
                <w:spacing w:val="0"/>
                <w:kern w:val="0"/>
                <w:sz w:val="21"/>
                <w:szCs w:val="21"/>
                <w:highlight w:val="none"/>
                <w:lang w:val="en-US" w:eastAsia="zh-CN"/>
              </w:rPr>
              <w:t>春风油田永进区块</w:t>
            </w:r>
            <w:r>
              <w:rPr>
                <w:rFonts w:hint="default" w:ascii="Times New Roman" w:hAnsi="Times New Roman" w:cs="Times New Roman"/>
                <w:bCs/>
                <w:color w:val="auto"/>
                <w:spacing w:val="0"/>
                <w:kern w:val="0"/>
                <w:sz w:val="21"/>
                <w:szCs w:val="21"/>
                <w:highlight w:val="none"/>
                <w:lang w:val="en-US" w:eastAsia="zh-CN"/>
              </w:rPr>
              <w:t>区域植被覆盖度能维持现状，</w:t>
            </w:r>
            <w:r>
              <w:rPr>
                <w:rFonts w:hint="eastAsia" w:cs="Times New Roman"/>
                <w:bCs/>
                <w:color w:val="auto"/>
                <w:spacing w:val="0"/>
                <w:kern w:val="0"/>
                <w:sz w:val="21"/>
                <w:szCs w:val="21"/>
                <w:highlight w:val="none"/>
                <w:lang w:val="en-US" w:eastAsia="zh-CN"/>
              </w:rPr>
              <w:t>风沙</w:t>
            </w:r>
            <w:r>
              <w:rPr>
                <w:rFonts w:hint="default" w:ascii="Times New Roman" w:hAnsi="Times New Roman" w:cs="Times New Roman"/>
                <w:bCs/>
                <w:color w:val="auto"/>
                <w:spacing w:val="0"/>
                <w:kern w:val="0"/>
                <w:sz w:val="21"/>
                <w:szCs w:val="21"/>
                <w:highlight w:val="none"/>
                <w:lang w:val="en-US" w:eastAsia="zh-CN"/>
              </w:rPr>
              <w:t>土地扩展趋势得到一定的遏制，区域生态环境有所改善，农田得到有效保护。</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384" w:firstLineChars="182"/>
              <w:textAlignment w:val="auto"/>
              <w:rPr>
                <w:rFonts w:hint="eastAsia"/>
                <w:b/>
                <w:bCs/>
                <w:color w:val="auto"/>
                <w:spacing w:val="0"/>
                <w:kern w:val="0"/>
                <w:sz w:val="21"/>
                <w:szCs w:val="21"/>
                <w:highlight w:val="none"/>
                <w:lang w:val="en-US" w:eastAsia="zh-CN"/>
              </w:rPr>
            </w:pPr>
            <w:r>
              <w:rPr>
                <w:rFonts w:hint="eastAsia"/>
                <w:b/>
                <w:bCs/>
                <w:color w:val="auto"/>
                <w:spacing w:val="0"/>
                <w:kern w:val="0"/>
                <w:sz w:val="21"/>
                <w:szCs w:val="21"/>
                <w:highlight w:val="none"/>
                <w:lang w:val="en-US" w:eastAsia="zh-CN"/>
              </w:rPr>
              <w:t>3</w:t>
            </w:r>
            <w:r>
              <w:rPr>
                <w:rFonts w:hint="eastAsia" w:ascii="Times New Roman" w:eastAsia="宋体"/>
                <w:b/>
                <w:bCs/>
                <w:color w:val="auto"/>
                <w:spacing w:val="0"/>
                <w:kern w:val="0"/>
                <w:sz w:val="21"/>
                <w:szCs w:val="21"/>
                <w:highlight w:val="none"/>
                <w:lang w:val="en-US" w:eastAsia="zh-CN"/>
              </w:rPr>
              <w:t>.大气污染防治措施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hAnsi="Times New Roman"/>
                <w:color w:val="auto"/>
                <w:spacing w:val="0"/>
                <w:kern w:val="0"/>
                <w:sz w:val="21"/>
                <w:szCs w:val="21"/>
                <w:highlight w:val="none"/>
                <w:lang w:val="en-US" w:eastAsia="zh-CN"/>
              </w:rPr>
            </w:pPr>
            <w:r>
              <w:rPr>
                <w:rFonts w:hint="eastAsia" w:hAnsi="Times New Roman"/>
                <w:color w:val="auto"/>
                <w:spacing w:val="0"/>
                <w:kern w:val="0"/>
                <w:sz w:val="21"/>
                <w:szCs w:val="21"/>
                <w:highlight w:val="none"/>
                <w:lang w:val="en-US" w:eastAsia="zh-CN"/>
              </w:rPr>
              <w:t>施工期车辆、柴油机、发电机等设备</w:t>
            </w:r>
            <w:r>
              <w:rPr>
                <w:rFonts w:hint="default"/>
                <w:color w:val="auto"/>
                <w:spacing w:val="0"/>
                <w:kern w:val="0"/>
                <w:sz w:val="21"/>
                <w:szCs w:val="21"/>
                <w:highlight w:val="none"/>
              </w:rPr>
              <w:t>采用国家合格燃料处理后达标排放</w:t>
            </w:r>
            <w:r>
              <w:rPr>
                <w:rFonts w:hint="eastAsia" w:hAnsi="Times New Roman"/>
                <w:color w:val="auto"/>
                <w:spacing w:val="0"/>
                <w:kern w:val="0"/>
                <w:sz w:val="21"/>
                <w:szCs w:val="21"/>
                <w:highlight w:val="none"/>
                <w:lang w:val="en-US" w:eastAsia="zh-CN"/>
              </w:rPr>
              <w:t>。</w:t>
            </w:r>
          </w:p>
          <w:p>
            <w:pPr>
              <w:keepNext w:val="0"/>
              <w:keepLines w:val="0"/>
              <w:widowControl/>
              <w:suppressLineNumbers w:val="0"/>
              <w:spacing w:before="0" w:beforeAutospacing="0" w:after="0" w:afterAutospacing="0" w:line="360" w:lineRule="auto"/>
              <w:ind w:left="0" w:leftChars="0" w:right="0" w:firstLine="420" w:firstLineChars="200"/>
              <w:jc w:val="both"/>
              <w:rPr>
                <w:rFonts w:hint="eastAsia" w:ascii="Times New Roman" w:hAnsi="Times New Roman" w:eastAsia="宋体" w:cs="Times New Roman"/>
                <w:color w:val="auto"/>
                <w:spacing w:val="0"/>
                <w:kern w:val="0"/>
                <w:sz w:val="21"/>
                <w:szCs w:val="21"/>
                <w:highlight w:val="none"/>
                <w:lang w:val="en-US" w:eastAsia="zh-CN" w:bidi="ar-SA"/>
              </w:rPr>
            </w:pPr>
            <w:r>
              <w:rPr>
                <w:rFonts w:hint="default" w:ascii="Times New Roman" w:hAnsi="宋体" w:eastAsia="宋体" w:cs="Times New Roman"/>
                <w:color w:val="auto"/>
                <w:spacing w:val="0"/>
                <w:kern w:val="0"/>
                <w:sz w:val="21"/>
                <w:szCs w:val="21"/>
                <w:highlight w:val="none"/>
                <w:lang w:val="en-US" w:eastAsia="zh-CN" w:bidi="ar-SA"/>
              </w:rPr>
              <w:t>运输车辆减速行驶，车辆进行适当的苫盖</w:t>
            </w:r>
            <w:r>
              <w:rPr>
                <w:rFonts w:hint="eastAsia" w:ascii="Times New Roman" w:hAnsi="宋体" w:eastAsia="宋体" w:cs="Times New Roman"/>
                <w:color w:val="auto"/>
                <w:spacing w:val="0"/>
                <w:kern w:val="0"/>
                <w:sz w:val="21"/>
                <w:szCs w:val="21"/>
                <w:highlight w:val="none"/>
                <w:lang w:val="en-US" w:eastAsia="zh-CN" w:bidi="ar-SA"/>
              </w:rPr>
              <w:t>，</w:t>
            </w:r>
            <w:r>
              <w:rPr>
                <w:rFonts w:hint="default" w:ascii="Times New Roman" w:hAnsi="宋体" w:eastAsia="宋体" w:cs="Times New Roman"/>
                <w:color w:val="auto"/>
                <w:spacing w:val="0"/>
                <w:kern w:val="0"/>
                <w:sz w:val="21"/>
                <w:szCs w:val="21"/>
                <w:highlight w:val="none"/>
                <w:lang w:val="en-US" w:eastAsia="zh-CN" w:bidi="ar-SA"/>
              </w:rPr>
              <w:t>对于井场</w:t>
            </w:r>
            <w:r>
              <w:rPr>
                <w:rFonts w:hint="eastAsia" w:ascii="Times New Roman" w:hAnsi="宋体" w:eastAsia="宋体" w:cs="Times New Roman"/>
                <w:color w:val="auto"/>
                <w:spacing w:val="0"/>
                <w:kern w:val="0"/>
                <w:sz w:val="21"/>
                <w:szCs w:val="21"/>
                <w:highlight w:val="none"/>
                <w:lang w:val="en-US" w:eastAsia="zh-CN" w:bidi="ar-SA"/>
              </w:rPr>
              <w:t>和道路</w:t>
            </w:r>
            <w:r>
              <w:rPr>
                <w:rFonts w:hint="default" w:ascii="Times New Roman" w:hAnsi="宋体" w:eastAsia="宋体" w:cs="Times New Roman"/>
                <w:color w:val="auto"/>
                <w:spacing w:val="0"/>
                <w:kern w:val="0"/>
                <w:sz w:val="21"/>
                <w:szCs w:val="21"/>
                <w:highlight w:val="none"/>
                <w:lang w:val="en-US" w:eastAsia="zh-CN" w:bidi="ar-SA"/>
              </w:rPr>
              <w:t>也需定期进行洒水降尘，以降低</w:t>
            </w:r>
            <w:r>
              <w:rPr>
                <w:rFonts w:hint="eastAsia" w:ascii="Times New Roman" w:hAnsi="宋体" w:eastAsia="宋体" w:cs="Times New Roman"/>
                <w:color w:val="auto"/>
                <w:spacing w:val="0"/>
                <w:kern w:val="0"/>
                <w:sz w:val="21"/>
                <w:szCs w:val="21"/>
                <w:highlight w:val="none"/>
                <w:lang w:val="en-US" w:eastAsia="zh-CN" w:bidi="ar-SA"/>
              </w:rPr>
              <w:t>钻</w:t>
            </w:r>
            <w:r>
              <w:rPr>
                <w:rFonts w:hint="default" w:ascii="Times New Roman" w:hAnsi="宋体" w:eastAsia="宋体" w:cs="Times New Roman"/>
                <w:color w:val="auto"/>
                <w:spacing w:val="0"/>
                <w:kern w:val="0"/>
                <w:sz w:val="21"/>
                <w:szCs w:val="21"/>
                <w:highlight w:val="none"/>
                <w:lang w:val="en-US" w:eastAsia="zh-CN" w:bidi="ar-SA"/>
              </w:rPr>
              <w:t>井和井场建设过程中产生的扬尘对施工人员和周边植被的影响</w:t>
            </w:r>
            <w:r>
              <w:rPr>
                <w:rFonts w:hint="eastAsia" w:ascii="Times New Roman" w:hAnsi="Times New Roman" w:eastAsia="宋体" w:cs="Times New Roman"/>
                <w:color w:val="auto"/>
                <w:spacing w:val="0"/>
                <w:kern w:val="0"/>
                <w:sz w:val="21"/>
                <w:szCs w:val="21"/>
                <w:highlight w:val="none"/>
                <w:lang w:val="en-US" w:eastAsia="zh-CN" w:bidi="ar-SA"/>
              </w:rPr>
              <w:t>。</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color w:val="auto"/>
                <w:spacing w:val="0"/>
                <w:kern w:val="0"/>
                <w:sz w:val="21"/>
                <w:szCs w:val="21"/>
                <w:highlight w:val="none"/>
                <w:lang w:val="en-US" w:eastAsia="zh-CN"/>
              </w:rPr>
            </w:pPr>
            <w:r>
              <w:rPr>
                <w:rFonts w:hint="eastAsia"/>
                <w:b/>
                <w:bCs/>
                <w:color w:val="auto"/>
                <w:spacing w:val="0"/>
                <w:kern w:val="0"/>
                <w:sz w:val="21"/>
                <w:szCs w:val="21"/>
                <w:highlight w:val="none"/>
                <w:lang w:val="en-US" w:eastAsia="zh-CN"/>
              </w:rPr>
              <w:t>4</w:t>
            </w:r>
            <w:r>
              <w:rPr>
                <w:rFonts w:hint="eastAsia" w:ascii="Times New Roman" w:eastAsia="宋体"/>
                <w:b/>
                <w:bCs/>
                <w:color w:val="auto"/>
                <w:spacing w:val="0"/>
                <w:kern w:val="0"/>
                <w:sz w:val="21"/>
                <w:szCs w:val="21"/>
                <w:highlight w:val="none"/>
                <w:lang w:val="en-US" w:eastAsia="zh-CN"/>
              </w:rPr>
              <w:t>.水污染防治措施</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eastAsia="宋体"/>
                <w:color w:val="auto"/>
                <w:spacing w:val="0"/>
                <w:kern w:val="0"/>
                <w:highlight w:val="none"/>
                <w:lang w:val="en-US" w:eastAsia="zh-CN"/>
              </w:rPr>
            </w:pPr>
            <w:r>
              <w:rPr>
                <w:rFonts w:hint="eastAsia"/>
                <w:color w:val="auto"/>
                <w:spacing w:val="0"/>
                <w:kern w:val="0"/>
                <w:sz w:val="21"/>
                <w:szCs w:val="21"/>
                <w:highlight w:val="none"/>
              </w:rPr>
              <w:t>（1）</w:t>
            </w:r>
            <w:r>
              <w:rPr>
                <w:rFonts w:hint="eastAsia" w:ascii="Times New Roman" w:eastAsia="宋体"/>
                <w:color w:val="auto"/>
                <w:spacing w:val="0"/>
                <w:kern w:val="0"/>
                <w:sz w:val="21"/>
                <w:szCs w:val="21"/>
                <w:highlight w:val="none"/>
                <w:lang w:val="en-US" w:eastAsia="zh-CN"/>
              </w:rPr>
              <w:t>地表水污染防治措施</w:t>
            </w:r>
          </w:p>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20" w:firstLineChars="200"/>
              <w:jc w:val="left"/>
              <w:textAlignment w:val="auto"/>
              <w:rPr>
                <w:rFonts w:hint="eastAsia" w:ascii="宋体" w:hAnsi="Times New Roman" w:eastAsia="宋体" w:cs="Times New Roman"/>
                <w:color w:val="auto"/>
                <w:spacing w:val="0"/>
                <w:kern w:val="0"/>
                <w:sz w:val="21"/>
                <w:szCs w:val="21"/>
                <w:highlight w:val="none"/>
                <w:lang w:val="en-US" w:eastAsia="zh-CN" w:bidi="ar-SA"/>
              </w:rPr>
            </w:pPr>
            <w:r>
              <w:rPr>
                <w:rFonts w:hint="eastAsia" w:ascii="宋体" w:hAnsi="Times New Roman" w:eastAsia="宋体" w:cs="Times New Roman"/>
                <w:color w:val="auto"/>
                <w:spacing w:val="0"/>
                <w:kern w:val="0"/>
                <w:sz w:val="21"/>
                <w:szCs w:val="21"/>
                <w:highlight w:val="none"/>
                <w:lang w:val="en-US" w:eastAsia="zh-CN" w:bidi="ar-SA"/>
              </w:rPr>
              <w:t>施工期产生的废水包括钻井废水、</w:t>
            </w:r>
            <w:r>
              <w:rPr>
                <w:rFonts w:hint="eastAsia" w:ascii="Times New Roman" w:hAnsi="Times New Roman" w:eastAsia="宋体" w:cs="Times New Roman"/>
                <w:color w:val="auto"/>
                <w:spacing w:val="0"/>
                <w:kern w:val="0"/>
                <w:sz w:val="21"/>
                <w:szCs w:val="21"/>
                <w:highlight w:val="none"/>
                <w:lang w:val="en-US" w:eastAsia="zh-CN" w:bidi="ar-SA"/>
              </w:rPr>
              <w:t>试油期井下作业废水</w:t>
            </w:r>
            <w:r>
              <w:rPr>
                <w:rFonts w:hint="eastAsia" w:ascii="宋体" w:hAnsi="Times New Roman" w:eastAsia="宋体" w:cs="Times New Roman"/>
                <w:color w:val="auto"/>
                <w:spacing w:val="0"/>
                <w:kern w:val="0"/>
                <w:sz w:val="21"/>
                <w:szCs w:val="21"/>
                <w:highlight w:val="none"/>
                <w:lang w:val="en-US" w:eastAsia="zh-CN" w:bidi="ar-SA"/>
              </w:rPr>
              <w:t>及生活污水。</w:t>
            </w:r>
          </w:p>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pacing w:val="0"/>
                <w:kern w:val="0"/>
                <w:sz w:val="21"/>
                <w:szCs w:val="21"/>
                <w:highlight w:val="none"/>
                <w:lang w:val="en-US" w:eastAsia="zh-CN" w:bidi="ar-SA"/>
              </w:rPr>
              <w:t>①</w:t>
            </w:r>
            <w:r>
              <w:rPr>
                <w:rFonts w:hint="default" w:ascii="Times New Roman" w:hAnsi="Times New Roman" w:eastAsia="宋体" w:cs="Times New Roman"/>
                <w:color w:val="auto"/>
                <w:spacing w:val="0"/>
                <w:kern w:val="0"/>
                <w:sz w:val="21"/>
                <w:szCs w:val="21"/>
                <w:highlight w:val="none"/>
                <w:lang w:val="en-US" w:eastAsia="zh-CN" w:bidi="ar-SA"/>
              </w:rPr>
              <w:t>本</w:t>
            </w:r>
            <w:r>
              <w:rPr>
                <w:rFonts w:hint="eastAsia" w:ascii="Times New Roman" w:hAnsi="Times New Roman" w:eastAsia="宋体" w:cs="Times New Roman"/>
                <w:color w:val="auto"/>
                <w:spacing w:val="0"/>
                <w:kern w:val="0"/>
                <w:sz w:val="21"/>
                <w:szCs w:val="21"/>
                <w:highlight w:val="none"/>
                <w:lang w:val="en-US" w:eastAsia="zh-CN" w:bidi="ar-SA"/>
              </w:rPr>
              <w:t>项目</w:t>
            </w:r>
            <w:r>
              <w:rPr>
                <w:rFonts w:hint="default" w:ascii="Times New Roman" w:hAnsi="Times New Roman" w:eastAsia="宋体" w:cs="Times New Roman"/>
                <w:color w:val="auto"/>
                <w:spacing w:val="0"/>
                <w:kern w:val="0"/>
                <w:sz w:val="21"/>
                <w:szCs w:val="21"/>
                <w:highlight w:val="none"/>
                <w:lang w:val="en-US" w:eastAsia="zh-CN" w:bidi="ar-SA"/>
              </w:rPr>
              <w:t>钻井废水产生量为</w:t>
            </w:r>
            <w:r>
              <w:rPr>
                <w:rFonts w:hint="eastAsia" w:ascii="Times New Roman" w:hAnsi="Times New Roman" w:eastAsia="宋体" w:cs="Times New Roman"/>
                <w:color w:val="auto"/>
                <w:spacing w:val="0"/>
                <w:kern w:val="0"/>
                <w:sz w:val="21"/>
                <w:szCs w:val="21"/>
                <w:highlight w:val="none"/>
                <w:lang w:val="en-US" w:eastAsia="zh-CN" w:bidi="ar-SA"/>
              </w:rPr>
              <w:t>3877</w:t>
            </w:r>
            <w:r>
              <w:rPr>
                <w:rFonts w:hint="default" w:ascii="Times New Roman" w:hAnsi="Times New Roman" w:eastAsia="宋体" w:cs="Times New Roman"/>
                <w:color w:val="auto"/>
                <w:spacing w:val="0"/>
                <w:kern w:val="0"/>
                <w:sz w:val="21"/>
                <w:szCs w:val="21"/>
                <w:highlight w:val="none"/>
                <w:lang w:val="en-US" w:eastAsia="zh-CN" w:bidi="ar-SA"/>
              </w:rPr>
              <w:t>m</w:t>
            </w:r>
            <w:r>
              <w:rPr>
                <w:rFonts w:hint="default" w:ascii="Times New Roman" w:hAnsi="Times New Roman" w:eastAsia="宋体" w:cs="Times New Roman"/>
                <w:color w:val="auto"/>
                <w:spacing w:val="0"/>
                <w:kern w:val="0"/>
                <w:sz w:val="21"/>
                <w:szCs w:val="21"/>
                <w:highlight w:val="none"/>
                <w:vertAlign w:val="superscript"/>
                <w:lang w:val="en-US" w:eastAsia="zh-CN" w:bidi="ar-SA"/>
              </w:rPr>
              <w:t>3</w:t>
            </w:r>
            <w:r>
              <w:rPr>
                <w:rFonts w:hint="default" w:ascii="Times New Roman" w:hAnsi="Times New Roman" w:eastAsia="宋体" w:cs="Times New Roman"/>
                <w:color w:val="auto"/>
                <w:spacing w:val="0"/>
                <w:kern w:val="0"/>
                <w:sz w:val="21"/>
                <w:szCs w:val="21"/>
                <w:highlight w:val="none"/>
                <w:lang w:val="en-US" w:eastAsia="zh-CN" w:bidi="ar-SA"/>
              </w:rPr>
              <w:t>。钻井废水与钻井泥浆、岩屑一同进入不落地系统处理，不外排。</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②</w:t>
            </w:r>
            <w:r>
              <w:rPr>
                <w:rFonts w:hint="eastAsia" w:hAnsi="宋体" w:cs="Times New Roman"/>
                <w:color w:val="auto"/>
                <w:spacing w:val="0"/>
                <w:kern w:val="0"/>
                <w:sz w:val="21"/>
                <w:szCs w:val="21"/>
                <w:highlight w:val="none"/>
                <w:lang w:val="en-US" w:eastAsia="zh-CN" w:bidi="ar-SA"/>
              </w:rPr>
              <w:t>本项目</w:t>
            </w:r>
            <w:r>
              <w:rPr>
                <w:rFonts w:hint="eastAsia" w:ascii="Times New Roman" w:hAnsi="宋体" w:eastAsia="宋体" w:cs="Times New Roman"/>
                <w:color w:val="auto"/>
                <w:kern w:val="0"/>
                <w:sz w:val="21"/>
                <w:szCs w:val="21"/>
                <w:highlight w:val="none"/>
                <w:lang w:val="en-US" w:eastAsia="zh-CN" w:bidi="ar-SA"/>
              </w:rPr>
              <w:t>试油期井下作业废水</w:t>
            </w:r>
            <w:r>
              <w:rPr>
                <w:rFonts w:hint="default" w:ascii="Times New Roman" w:hAnsi="宋体" w:eastAsia="宋体" w:cs="Times New Roman"/>
                <w:color w:val="auto"/>
                <w:kern w:val="0"/>
                <w:sz w:val="21"/>
                <w:szCs w:val="21"/>
                <w:highlight w:val="none"/>
                <w:lang w:val="en-US" w:eastAsia="zh-CN" w:bidi="ar-SA"/>
              </w:rPr>
              <w:t>产生量约为</w:t>
            </w:r>
            <w:r>
              <w:rPr>
                <w:rFonts w:hint="eastAsia" w:ascii="Times New Roman" w:hAnsi="宋体" w:eastAsia="宋体" w:cs="Times New Roman"/>
                <w:color w:val="auto"/>
                <w:kern w:val="0"/>
                <w:sz w:val="21"/>
                <w:szCs w:val="21"/>
                <w:highlight w:val="none"/>
                <w:lang w:val="en-US" w:eastAsia="zh-CN" w:bidi="ar-SA"/>
              </w:rPr>
              <w:t>360</w:t>
            </w:r>
            <w:r>
              <w:rPr>
                <w:rFonts w:hint="default" w:ascii="Times New Roman" w:hAnsi="宋体" w:eastAsia="宋体" w:cs="Times New Roman"/>
                <w:color w:val="auto"/>
                <w:kern w:val="0"/>
                <w:sz w:val="21"/>
                <w:szCs w:val="21"/>
                <w:highlight w:val="none"/>
                <w:lang w:val="en-US" w:eastAsia="zh-CN" w:bidi="ar-SA"/>
              </w:rPr>
              <w:t>m</w:t>
            </w:r>
            <w:r>
              <w:rPr>
                <w:rFonts w:hint="default" w:ascii="Times New Roman" w:hAnsi="宋体" w:eastAsia="宋体" w:cs="Times New Roman"/>
                <w:color w:val="auto"/>
                <w:kern w:val="0"/>
                <w:sz w:val="21"/>
                <w:szCs w:val="21"/>
                <w:highlight w:val="none"/>
                <w:vertAlign w:val="superscript"/>
                <w:lang w:val="en-US" w:eastAsia="zh-CN" w:bidi="ar-SA"/>
              </w:rPr>
              <w:t>3</w:t>
            </w:r>
            <w:r>
              <w:rPr>
                <w:rFonts w:hint="default" w:ascii="Times New Roman" w:hAnsi="宋体" w:eastAsia="宋体" w:cs="Times New Roman"/>
                <w:color w:val="auto"/>
                <w:kern w:val="0"/>
                <w:sz w:val="21"/>
                <w:szCs w:val="21"/>
                <w:highlight w:val="none"/>
                <w:lang w:val="en-US" w:eastAsia="zh-CN" w:bidi="ar-SA"/>
              </w:rPr>
              <w:t>，</w:t>
            </w:r>
            <w:r>
              <w:rPr>
                <w:rFonts w:hint="eastAsia" w:ascii="Times New Roman" w:hAnsi="宋体" w:eastAsia="宋体" w:cs="Times New Roman"/>
                <w:color w:val="auto"/>
                <w:kern w:val="0"/>
                <w:sz w:val="21"/>
                <w:szCs w:val="21"/>
                <w:highlight w:val="none"/>
                <w:lang w:val="en-US" w:eastAsia="zh-CN" w:bidi="ar-SA"/>
              </w:rPr>
              <w:t>罐车拉运春风一号联合站污水处理系统进行处理</w:t>
            </w:r>
            <w:r>
              <w:rPr>
                <w:rFonts w:hint="default" w:ascii="Times New Roman" w:hAnsi="宋体" w:eastAsia="宋体" w:cs="Times New Roman"/>
                <w:color w:val="auto"/>
                <w:kern w:val="0"/>
                <w:sz w:val="21"/>
                <w:szCs w:val="21"/>
                <w:highlight w:val="none"/>
                <w:lang w:val="en-US" w:eastAsia="zh-CN" w:bidi="ar-SA"/>
              </w:rPr>
              <w:t>，经处理达到《碎屑岩油藏注水水质指标及分析方法》(SY/T5329-2012)中推荐水质标准要求后回注</w:t>
            </w:r>
            <w:r>
              <w:rPr>
                <w:rFonts w:hint="eastAsia" w:ascii="Times New Roman" w:hAnsi="宋体"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不会对水环境造成不利影响。</w:t>
            </w:r>
          </w:p>
          <w:p>
            <w:pPr>
              <w:keepNext w:val="0"/>
              <w:keepLines w:val="0"/>
              <w:widowControl/>
              <w:suppressLineNumbers w:val="0"/>
              <w:spacing w:before="0" w:beforeAutospacing="0" w:after="0" w:afterAutospacing="0" w:line="360" w:lineRule="auto"/>
              <w:ind w:left="0" w:leftChars="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③施工</w:t>
            </w:r>
            <w:r>
              <w:rPr>
                <w:rFonts w:hint="default" w:ascii="Times New Roman" w:hAnsi="Times New Roman" w:eastAsia="宋体" w:cs="Times New Roman"/>
                <w:color w:val="auto"/>
                <w:kern w:val="0"/>
                <w:sz w:val="21"/>
                <w:szCs w:val="21"/>
                <w:highlight w:val="none"/>
                <w:lang w:val="en-US" w:eastAsia="zh-CN" w:bidi="ar-SA"/>
              </w:rPr>
              <w:t>期间生活污水产生量较小，</w:t>
            </w:r>
            <w:r>
              <w:rPr>
                <w:rFonts w:hint="eastAsia" w:ascii="Times New Roman" w:hAnsi="Times New Roman" w:eastAsia="宋体" w:cs="Times New Roman"/>
                <w:color w:val="auto"/>
                <w:kern w:val="0"/>
                <w:sz w:val="21"/>
                <w:szCs w:val="21"/>
                <w:highlight w:val="none"/>
                <w:lang w:val="en-US" w:eastAsia="zh-CN" w:bidi="ar-SA"/>
              </w:rPr>
              <w:t>钻井期生活污水总产生量为2160m</w:t>
            </w:r>
            <w:r>
              <w:rPr>
                <w:rFonts w:hint="eastAsia" w:ascii="Times New Roman" w:hAnsi="Times New Roman" w:eastAsia="宋体" w:cs="Times New Roman"/>
                <w:color w:val="auto"/>
                <w:kern w:val="0"/>
                <w:sz w:val="21"/>
                <w:szCs w:val="21"/>
                <w:highlight w:val="none"/>
                <w:vertAlign w:val="superscript"/>
                <w:lang w:val="en-US" w:eastAsia="zh-CN" w:bidi="ar-SA"/>
              </w:rPr>
              <w:t>3</w:t>
            </w:r>
            <w:r>
              <w:rPr>
                <w:rFonts w:hint="eastAsia" w:ascii="Times New Roman" w:hAnsi="Times New Roman" w:eastAsia="宋体" w:cs="Times New Roman"/>
                <w:color w:val="auto"/>
                <w:kern w:val="0"/>
                <w:sz w:val="21"/>
                <w:szCs w:val="21"/>
                <w:highlight w:val="none"/>
                <w:lang w:val="en-US" w:eastAsia="zh-CN" w:bidi="ar-SA"/>
              </w:rPr>
              <w:t>，试油期间产生的生活污水约为48m</w:t>
            </w:r>
            <w:r>
              <w:rPr>
                <w:rFonts w:hint="eastAsia"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生活污水排入环保厕所，定期拉运至中石化新疆新春采油厂生产管理区污水处理站进行处理，确保生活污水不外排</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项目</w:t>
            </w:r>
            <w:r>
              <w:rPr>
                <w:rFonts w:hint="default" w:ascii="Times New Roman" w:hAnsi="Times New Roman" w:eastAsia="宋体" w:cs="Times New Roman"/>
                <w:color w:val="auto"/>
                <w:kern w:val="0"/>
                <w:sz w:val="21"/>
                <w:szCs w:val="21"/>
                <w:highlight w:val="none"/>
                <w:lang w:val="en-US" w:eastAsia="zh-CN" w:bidi="ar-SA"/>
              </w:rPr>
              <w:t>钻井期间产生的废水均得到妥善处理，不外排，不会对地表水体造成污染。</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eastAsia="宋体"/>
                <w:color w:val="auto"/>
                <w:highlight w:val="none"/>
                <w:lang w:val="en-US" w:eastAsia="zh-CN"/>
              </w:rPr>
            </w:pPr>
            <w:r>
              <w:rPr>
                <w:rFonts w:hint="eastAsia"/>
                <w:color w:val="auto"/>
                <w:sz w:val="21"/>
                <w:szCs w:val="21"/>
                <w:highlight w:val="none"/>
              </w:rPr>
              <w:t>（</w:t>
            </w:r>
            <w:r>
              <w:rPr>
                <w:rFonts w:hint="eastAsia" w:ascii="Times New Roman" w:eastAsia="宋体"/>
                <w:color w:val="auto"/>
                <w:sz w:val="21"/>
                <w:szCs w:val="21"/>
                <w:highlight w:val="none"/>
                <w:lang w:val="en-US" w:eastAsia="zh-CN"/>
              </w:rPr>
              <w:t>2</w:t>
            </w:r>
            <w:r>
              <w:rPr>
                <w:rFonts w:hint="eastAsia"/>
                <w:color w:val="auto"/>
                <w:sz w:val="21"/>
                <w:szCs w:val="21"/>
                <w:highlight w:val="none"/>
              </w:rPr>
              <w:t>）</w:t>
            </w:r>
            <w:r>
              <w:rPr>
                <w:rFonts w:hint="eastAsia" w:ascii="Times New Roman" w:eastAsia="宋体"/>
                <w:color w:val="auto"/>
                <w:sz w:val="21"/>
                <w:szCs w:val="21"/>
                <w:highlight w:val="none"/>
                <w:lang w:val="en-US" w:eastAsia="zh-CN"/>
              </w:rPr>
              <w:t>地下水污染防治措施</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①</w:t>
            </w:r>
            <w:r>
              <w:rPr>
                <w:rFonts w:hint="default" w:ascii="Times New Roman" w:hAnsi="Times New Roman" w:eastAsia="宋体" w:cs="Times New Roman"/>
                <w:color w:val="auto"/>
                <w:kern w:val="0"/>
                <w:sz w:val="21"/>
                <w:szCs w:val="21"/>
                <w:highlight w:val="none"/>
                <w:lang w:val="en-US" w:eastAsia="zh-CN" w:bidi="ar-SA"/>
              </w:rPr>
              <w:t>在整个钻井作业中，钻井废水全部进入泥浆不落地系统</w:t>
            </w:r>
            <w:r>
              <w:rPr>
                <w:rFonts w:hint="eastAsia" w:ascii="Times New Roman" w:hAnsi="Times New Roman" w:eastAsia="宋体" w:cs="Times New Roman"/>
                <w:color w:val="auto"/>
                <w:kern w:val="0"/>
                <w:sz w:val="21"/>
                <w:szCs w:val="21"/>
                <w:highlight w:val="none"/>
                <w:lang w:val="en-US" w:eastAsia="zh-CN" w:bidi="ar-SA"/>
              </w:rPr>
              <w:t>，不外排</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②</w:t>
            </w:r>
            <w:r>
              <w:rPr>
                <w:rFonts w:hint="default" w:ascii="Times New Roman" w:hAnsi="Times New Roman" w:eastAsia="宋体" w:cs="Times New Roman"/>
                <w:color w:val="auto"/>
                <w:kern w:val="0"/>
                <w:sz w:val="21"/>
                <w:szCs w:val="21"/>
                <w:highlight w:val="none"/>
                <w:lang w:val="en-US" w:eastAsia="zh-CN" w:bidi="ar-SA"/>
              </w:rPr>
              <w:t>合理用水，实行用水管理，机泵冷却水循环利用，不得耗用新鲜水冲洗设备，设备冲洗使用回用水，严格控制污水排放量。</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③</w:t>
            </w:r>
            <w:r>
              <w:rPr>
                <w:rFonts w:hint="default" w:ascii="Times New Roman" w:hAnsi="Times New Roman" w:eastAsia="宋体" w:cs="Times New Roman"/>
                <w:color w:val="auto"/>
                <w:kern w:val="0"/>
                <w:sz w:val="21"/>
                <w:szCs w:val="21"/>
                <w:highlight w:val="none"/>
                <w:lang w:val="en-US" w:eastAsia="zh-CN" w:bidi="ar-SA"/>
              </w:rPr>
              <w:t>钻井生产施工中，禁止废水、泥浆、药品及其他废物流失和乱排放，严禁机油、柴油等各种油料落地，擦洗设备和更换的废油品料要集中到废油回收罐，如果发生外溢和散落则必须即使清理。</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④</w:t>
            </w:r>
            <w:r>
              <w:rPr>
                <w:rFonts w:hint="default" w:ascii="Times New Roman" w:hAnsi="Times New Roman" w:eastAsia="宋体" w:cs="Times New Roman"/>
                <w:color w:val="auto"/>
                <w:kern w:val="0"/>
                <w:sz w:val="21"/>
                <w:szCs w:val="21"/>
                <w:highlight w:val="none"/>
                <w:lang w:val="en-US" w:eastAsia="zh-CN" w:bidi="ar-SA"/>
              </w:rPr>
              <w:t>固井质量不高，密封不严，可能使含油气层与地下水层串层，引起地下水污染，因此，为保护地下水资源，防止井漏事故的发生，设计单位在钻井设计中，应充分考虑环保的要求，采用先进的技术、设备和优质材料，提高固井质量，尽可能的避免井漏事故的发生。</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⑤</w:t>
            </w:r>
            <w:r>
              <w:rPr>
                <w:rFonts w:hint="default" w:ascii="Times New Roman" w:hAnsi="Times New Roman" w:eastAsia="宋体" w:cs="Times New Roman"/>
                <w:color w:val="auto"/>
                <w:kern w:val="0"/>
                <w:sz w:val="21"/>
                <w:szCs w:val="21"/>
                <w:highlight w:val="none"/>
                <w:lang w:val="en-US" w:eastAsia="zh-CN" w:bidi="ar-SA"/>
              </w:rPr>
              <w:t>为防止对地下水污染，将钻井期井场进行分区防渗，其中放喷池、井口划分为重点污染防治区，采取相应的防渗措施，其余区域划分为一般防渗区。</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宋体" w:eastAsia="宋体" w:cs="Times New Roman"/>
                <w:color w:val="auto"/>
                <w:kern w:val="0"/>
                <w:sz w:val="21"/>
                <w:szCs w:val="21"/>
                <w:highlight w:val="none"/>
                <w:lang w:val="en-US" w:eastAsia="zh-CN" w:bidi="ar-SA"/>
              </w:rPr>
            </w:pPr>
            <w:r>
              <w:rPr>
                <w:rFonts w:hint="default" w:ascii="Times New Roman" w:hAnsi="宋体" w:eastAsia="宋体" w:cs="Times New Roman"/>
                <w:color w:val="auto"/>
                <w:kern w:val="0"/>
                <w:sz w:val="21"/>
                <w:szCs w:val="21"/>
                <w:highlight w:val="none"/>
                <w:lang w:val="en-US" w:eastAsia="zh-CN" w:bidi="ar-SA"/>
              </w:rPr>
              <w:t>重点防渗区：</w:t>
            </w:r>
            <w:r>
              <w:rPr>
                <w:rFonts w:hint="eastAsia" w:ascii="Times New Roman" w:hAnsi="宋体" w:eastAsia="宋体" w:cs="Times New Roman"/>
                <w:color w:val="auto"/>
                <w:kern w:val="0"/>
                <w:sz w:val="21"/>
                <w:szCs w:val="21"/>
                <w:highlight w:val="none"/>
                <w:lang w:val="en-US" w:eastAsia="zh-CN" w:bidi="ar-SA"/>
              </w:rPr>
              <w:t>等效黏土防渗层Mb≥</w:t>
            </w:r>
            <w:r>
              <w:rPr>
                <w:rFonts w:hint="default" w:ascii="Times New Roman" w:hAnsi="宋体" w:eastAsia="宋体" w:cs="Times New Roman"/>
                <w:color w:val="auto"/>
                <w:kern w:val="0"/>
                <w:sz w:val="21"/>
                <w:szCs w:val="21"/>
                <w:highlight w:val="none"/>
                <w:lang w:val="en-US" w:eastAsia="zh-CN" w:bidi="ar-SA"/>
              </w:rPr>
              <w:t>6.0</w:t>
            </w:r>
            <w:r>
              <w:rPr>
                <w:rFonts w:hint="eastAsia" w:ascii="Times New Roman" w:hAnsi="宋体" w:eastAsia="宋体" w:cs="Times New Roman"/>
                <w:color w:val="auto"/>
                <w:kern w:val="0"/>
                <w:sz w:val="21"/>
                <w:szCs w:val="21"/>
                <w:highlight w:val="none"/>
                <w:lang w:val="en-US" w:eastAsia="zh-CN" w:bidi="ar-SA"/>
              </w:rPr>
              <w:t>m，K≤</w:t>
            </w:r>
            <w:r>
              <w:rPr>
                <w:rFonts w:hint="default" w:ascii="Times New Roman" w:hAnsi="宋体" w:eastAsia="宋体" w:cs="Times New Roman"/>
                <w:color w:val="auto"/>
                <w:kern w:val="0"/>
                <w:sz w:val="21"/>
                <w:szCs w:val="21"/>
                <w:highlight w:val="none"/>
                <w:lang w:val="en-US" w:eastAsia="zh-CN" w:bidi="ar-SA"/>
              </w:rPr>
              <w:t>10</w:t>
            </w:r>
            <w:r>
              <w:rPr>
                <w:rFonts w:hint="default" w:ascii="Times New Roman" w:hAnsi="宋体" w:eastAsia="宋体" w:cs="Times New Roman"/>
                <w:color w:val="auto"/>
                <w:kern w:val="0"/>
                <w:sz w:val="21"/>
                <w:szCs w:val="21"/>
                <w:highlight w:val="none"/>
                <w:vertAlign w:val="superscript"/>
                <w:lang w:val="en-US" w:eastAsia="zh-CN" w:bidi="ar-SA"/>
              </w:rPr>
              <w:t>-7</w:t>
            </w:r>
            <w:r>
              <w:rPr>
                <w:rFonts w:hint="default" w:ascii="Times New Roman" w:hAnsi="宋体" w:eastAsia="宋体" w:cs="Times New Roman"/>
                <w:color w:val="auto"/>
                <w:kern w:val="0"/>
                <w:sz w:val="21"/>
                <w:szCs w:val="21"/>
                <w:highlight w:val="none"/>
                <w:lang w:val="en-US" w:eastAsia="zh-CN" w:bidi="ar-SA"/>
              </w:rPr>
              <w:t>cm/s，或2mm厚高密度聚乙烯，或至少2mm厚的其他人工材料(渗透系数≤10</w:t>
            </w:r>
            <w:r>
              <w:rPr>
                <w:rFonts w:hint="default" w:ascii="Times New Roman" w:hAnsi="宋体" w:eastAsia="宋体" w:cs="Times New Roman"/>
                <w:color w:val="auto"/>
                <w:kern w:val="0"/>
                <w:sz w:val="21"/>
                <w:szCs w:val="21"/>
                <w:highlight w:val="none"/>
                <w:vertAlign w:val="superscript"/>
                <w:lang w:val="en-US" w:eastAsia="zh-CN" w:bidi="ar-SA"/>
              </w:rPr>
              <w:t>-10</w:t>
            </w:r>
            <w:r>
              <w:rPr>
                <w:rFonts w:hint="default" w:ascii="Times New Roman" w:hAnsi="宋体" w:eastAsia="宋体" w:cs="Times New Roman"/>
                <w:color w:val="auto"/>
                <w:kern w:val="0"/>
                <w:sz w:val="21"/>
                <w:szCs w:val="21"/>
                <w:highlight w:val="none"/>
                <w:lang w:val="en-US" w:eastAsia="zh-CN" w:bidi="ar-SA"/>
              </w:rPr>
              <w:t>cm/s)。</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宋体" w:eastAsia="宋体" w:cs="Times New Roman"/>
                <w:color w:val="auto"/>
                <w:kern w:val="0"/>
                <w:sz w:val="21"/>
                <w:szCs w:val="21"/>
                <w:highlight w:val="none"/>
                <w:lang w:val="en-US" w:eastAsia="zh-CN" w:bidi="ar-SA"/>
              </w:rPr>
              <w:t>一般防渗区：等效黏土防渗层</w:t>
            </w:r>
            <w:r>
              <w:rPr>
                <w:rFonts w:hint="eastAsia" w:ascii="Times New Roman" w:hAnsi="宋体" w:eastAsia="宋体" w:cs="Times New Roman"/>
                <w:color w:val="auto"/>
                <w:kern w:val="0"/>
                <w:sz w:val="21"/>
                <w:szCs w:val="21"/>
                <w:highlight w:val="none"/>
                <w:lang w:val="en-US" w:eastAsia="zh-CN" w:bidi="ar-SA"/>
              </w:rPr>
              <w:t>Mb≥</w:t>
            </w:r>
            <w:r>
              <w:rPr>
                <w:rFonts w:hint="default" w:ascii="Times New Roman" w:hAnsi="宋体" w:eastAsia="宋体" w:cs="Times New Roman"/>
                <w:color w:val="auto"/>
                <w:kern w:val="0"/>
                <w:sz w:val="21"/>
                <w:szCs w:val="21"/>
                <w:highlight w:val="none"/>
                <w:lang w:val="en-US" w:eastAsia="zh-CN" w:bidi="ar-SA"/>
              </w:rPr>
              <w:t>1.5m、</w:t>
            </w:r>
            <w:r>
              <w:rPr>
                <w:rFonts w:hint="eastAsia" w:ascii="Times New Roman" w:hAnsi="宋体" w:eastAsia="宋体" w:cs="Times New Roman"/>
                <w:color w:val="auto"/>
                <w:kern w:val="0"/>
                <w:sz w:val="21"/>
                <w:szCs w:val="21"/>
                <w:highlight w:val="none"/>
                <w:lang w:val="en-US" w:eastAsia="zh-CN" w:bidi="ar-SA"/>
              </w:rPr>
              <w:t>K≤</w:t>
            </w:r>
            <w:r>
              <w:rPr>
                <w:rFonts w:hint="default" w:ascii="Times New Roman" w:hAnsi="宋体" w:eastAsia="宋体" w:cs="Times New Roman"/>
                <w:color w:val="auto"/>
                <w:kern w:val="0"/>
                <w:sz w:val="21"/>
                <w:szCs w:val="21"/>
                <w:highlight w:val="none"/>
                <w:lang w:val="en-US" w:eastAsia="zh-CN" w:bidi="ar-SA"/>
              </w:rPr>
              <w:t>1.0×10</w:t>
            </w:r>
            <w:r>
              <w:rPr>
                <w:rFonts w:hint="default" w:ascii="Times New Roman" w:hAnsi="宋体" w:eastAsia="宋体" w:cs="Times New Roman"/>
                <w:color w:val="auto"/>
                <w:kern w:val="0"/>
                <w:sz w:val="21"/>
                <w:szCs w:val="21"/>
                <w:highlight w:val="none"/>
                <w:vertAlign w:val="superscript"/>
                <w:lang w:val="en-US" w:eastAsia="zh-CN" w:bidi="ar-SA"/>
              </w:rPr>
              <w:t>-7</w:t>
            </w:r>
            <w:r>
              <w:rPr>
                <w:rFonts w:hint="default" w:ascii="Times New Roman" w:hAnsi="宋体" w:eastAsia="宋体" w:cs="Times New Roman"/>
                <w:color w:val="auto"/>
                <w:kern w:val="0"/>
                <w:sz w:val="21"/>
                <w:szCs w:val="21"/>
                <w:highlight w:val="none"/>
                <w:lang w:val="en-US" w:eastAsia="zh-CN" w:bidi="ar-SA"/>
              </w:rPr>
              <w:t>cm/s。</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182"/>
              <w:textAlignment w:val="auto"/>
              <w:rPr>
                <w:rFonts w:hint="default" w:ascii="Times New Roman" w:hAnsi="Times New Roman" w:cs="Times New Roman"/>
                <w:bCs/>
                <w:color w:val="auto"/>
                <w:spacing w:val="10"/>
                <w:sz w:val="21"/>
                <w:szCs w:val="21"/>
                <w:highlight w:val="none"/>
                <w:lang w:val="en-US" w:eastAsia="zh-CN"/>
              </w:rPr>
            </w:pPr>
            <w:r>
              <w:rPr>
                <w:rFonts w:hint="eastAsia" w:cs="Times New Roman"/>
                <w:b/>
                <w:bCs w:val="0"/>
                <w:color w:val="auto"/>
                <w:spacing w:val="10"/>
                <w:sz w:val="21"/>
                <w:szCs w:val="21"/>
                <w:highlight w:val="none"/>
                <w:lang w:val="en-US" w:eastAsia="zh-CN"/>
              </w:rPr>
              <w:t>5</w:t>
            </w:r>
            <w:r>
              <w:rPr>
                <w:rFonts w:hint="eastAsia" w:ascii="Times New Roman" w:hAnsi="Times New Roman" w:cs="Times New Roman"/>
                <w:b/>
                <w:bCs w:val="0"/>
                <w:color w:val="auto"/>
                <w:spacing w:val="10"/>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噪声污染防治措施</w:t>
            </w:r>
          </w:p>
          <w:p>
            <w:pPr>
              <w:keepNext w:val="0"/>
              <w:keepLines w:val="0"/>
              <w:widowControl/>
              <w:numPr>
                <w:ilvl w:val="0"/>
                <w:numId w:val="0"/>
              </w:numPr>
              <w:suppressLineNumbers w:val="0"/>
              <w:spacing w:before="0" w:beforeAutospacing="0" w:after="0" w:afterAutospacing="0" w:line="360" w:lineRule="auto"/>
              <w:ind w:left="0" w:right="0" w:rightChars="0" w:firstLine="420" w:firstLineChars="200"/>
              <w:jc w:val="left"/>
              <w:rPr>
                <w:rFonts w:hint="default" w:ascii="Times New Roman" w:hAnsi="宋体" w:eastAsia="宋体" w:cs="Times New Roman"/>
                <w:color w:val="auto"/>
                <w:kern w:val="0"/>
                <w:sz w:val="21"/>
                <w:szCs w:val="21"/>
                <w:highlight w:val="none"/>
                <w:lang w:val="en-US" w:eastAsia="zh-CN" w:bidi="ar-SA"/>
              </w:rPr>
            </w:pPr>
            <w:r>
              <w:rPr>
                <w:rFonts w:hint="eastAsia" w:ascii="Times New Roman" w:hAnsi="宋体" w:eastAsia="宋体" w:cs="Times New Roman"/>
                <w:color w:val="auto"/>
                <w:kern w:val="0"/>
                <w:sz w:val="21"/>
                <w:szCs w:val="21"/>
                <w:highlight w:val="none"/>
                <w:lang w:val="en-US" w:eastAsia="zh-CN" w:bidi="ar-SA"/>
              </w:rPr>
              <w:t>（1）</w:t>
            </w:r>
            <w:r>
              <w:rPr>
                <w:rFonts w:hint="default" w:ascii="Times New Roman" w:hAnsi="宋体" w:eastAsia="宋体" w:cs="Times New Roman"/>
                <w:color w:val="auto"/>
                <w:kern w:val="0"/>
                <w:sz w:val="21"/>
                <w:szCs w:val="21"/>
                <w:highlight w:val="none"/>
                <w:lang w:val="en-US" w:eastAsia="zh-CN" w:bidi="ar-SA"/>
              </w:rPr>
              <w:t>泥浆泵等做好基础减振措施，加衬弹性垫料并安装消声装置；</w:t>
            </w:r>
          </w:p>
          <w:p>
            <w:pPr>
              <w:keepNext w:val="0"/>
              <w:keepLines w:val="0"/>
              <w:widowControl/>
              <w:numPr>
                <w:ilvl w:val="0"/>
                <w:numId w:val="0"/>
              </w:numPr>
              <w:suppressLineNumbers w:val="0"/>
              <w:spacing w:before="0" w:beforeAutospacing="0" w:after="0" w:afterAutospacing="0" w:line="360" w:lineRule="auto"/>
              <w:ind w:left="0" w:right="0" w:rightChars="0" w:firstLine="420" w:firstLineChars="200"/>
              <w:jc w:val="left"/>
              <w:rPr>
                <w:rFonts w:hint="eastAsia" w:ascii="Times New Roman" w:hAnsi="宋体" w:eastAsia="宋体" w:cs="Times New Roman"/>
                <w:color w:val="auto"/>
                <w:kern w:val="0"/>
                <w:sz w:val="21"/>
                <w:szCs w:val="21"/>
                <w:highlight w:val="none"/>
                <w:lang w:val="en-US" w:eastAsia="zh-CN" w:bidi="ar-SA"/>
              </w:rPr>
            </w:pPr>
            <w:r>
              <w:rPr>
                <w:rFonts w:hint="eastAsia" w:ascii="Times New Roman" w:hAnsi="宋体" w:eastAsia="宋体" w:cs="Times New Roman"/>
                <w:color w:val="auto"/>
                <w:kern w:val="0"/>
                <w:sz w:val="21"/>
                <w:szCs w:val="21"/>
                <w:highlight w:val="none"/>
                <w:lang w:val="en-US" w:eastAsia="zh-CN" w:bidi="ar-SA"/>
              </w:rPr>
              <w:t>（2）定</w:t>
            </w:r>
            <w:r>
              <w:rPr>
                <w:rFonts w:hint="default" w:ascii="Times New Roman" w:hAnsi="宋体" w:eastAsia="宋体" w:cs="Times New Roman"/>
                <w:color w:val="auto"/>
                <w:kern w:val="0"/>
                <w:sz w:val="21"/>
                <w:szCs w:val="21"/>
                <w:highlight w:val="none"/>
                <w:lang w:val="en-US" w:eastAsia="zh-CN" w:bidi="ar-SA"/>
              </w:rPr>
              <w:t>期维护泥浆泵、钻机等高噪声设备，确保正常运转，避免</w:t>
            </w:r>
            <w:r>
              <w:rPr>
                <w:rFonts w:hint="eastAsia" w:hAnsi="宋体" w:cs="Times New Roman"/>
                <w:color w:val="auto"/>
                <w:kern w:val="0"/>
                <w:sz w:val="21"/>
                <w:szCs w:val="21"/>
                <w:highlight w:val="none"/>
                <w:lang w:val="en-US" w:eastAsia="zh-CN" w:bidi="ar-SA"/>
              </w:rPr>
              <w:t>非</w:t>
            </w:r>
            <w:r>
              <w:rPr>
                <w:rFonts w:hint="default" w:ascii="Times New Roman" w:hAnsi="宋体" w:eastAsia="宋体" w:cs="Times New Roman"/>
                <w:color w:val="auto"/>
                <w:kern w:val="0"/>
                <w:sz w:val="21"/>
                <w:szCs w:val="21"/>
                <w:highlight w:val="none"/>
                <w:lang w:val="en-US" w:eastAsia="zh-CN" w:bidi="ar-SA"/>
              </w:rPr>
              <w:t>正常噪声</w:t>
            </w:r>
            <w:r>
              <w:rPr>
                <w:rFonts w:hint="eastAsia" w:ascii="Times New Roman" w:hAnsi="宋体" w:eastAsia="宋体" w:cs="Times New Roman"/>
                <w:color w:val="auto"/>
                <w:kern w:val="0"/>
                <w:sz w:val="21"/>
                <w:szCs w:val="21"/>
                <w:highlight w:val="none"/>
                <w:lang w:val="en-US" w:eastAsia="zh-CN" w:bidi="ar-SA"/>
              </w:rPr>
              <w:t>；</w:t>
            </w:r>
          </w:p>
          <w:p>
            <w:pPr>
              <w:keepNext w:val="0"/>
              <w:keepLines w:val="0"/>
              <w:widowControl/>
              <w:numPr>
                <w:ilvl w:val="0"/>
                <w:numId w:val="0"/>
              </w:numPr>
              <w:suppressLineNumbers w:val="0"/>
              <w:spacing w:before="0" w:beforeAutospacing="0" w:after="0" w:afterAutospacing="0" w:line="360" w:lineRule="auto"/>
              <w:ind w:left="0" w:right="0" w:rightChars="0" w:firstLine="420" w:firstLineChars="200"/>
              <w:jc w:val="left"/>
              <w:rPr>
                <w:rFonts w:hint="eastAsia" w:ascii="Times New Roman" w:hAnsi="宋体" w:eastAsia="宋体" w:cs="Times New Roman"/>
                <w:color w:val="auto"/>
                <w:kern w:val="0"/>
                <w:sz w:val="21"/>
                <w:szCs w:val="21"/>
                <w:highlight w:val="none"/>
                <w:lang w:val="en-US" w:eastAsia="zh-CN" w:bidi="ar-SA"/>
              </w:rPr>
            </w:pPr>
            <w:r>
              <w:rPr>
                <w:rFonts w:hint="eastAsia" w:ascii="Times New Roman" w:hAnsi="宋体" w:eastAsia="宋体" w:cs="Times New Roman"/>
                <w:color w:val="auto"/>
                <w:kern w:val="0"/>
                <w:sz w:val="21"/>
                <w:szCs w:val="21"/>
                <w:highlight w:val="none"/>
                <w:lang w:val="en-US" w:eastAsia="zh-CN" w:bidi="ar-SA"/>
              </w:rPr>
              <w:t>（3）对</w:t>
            </w:r>
            <w:r>
              <w:rPr>
                <w:rFonts w:hint="default" w:ascii="Times New Roman" w:hAnsi="宋体" w:eastAsia="宋体" w:cs="Times New Roman"/>
                <w:color w:val="auto"/>
                <w:kern w:val="0"/>
                <w:sz w:val="21"/>
                <w:szCs w:val="21"/>
                <w:highlight w:val="none"/>
                <w:lang w:val="en-US" w:eastAsia="zh-CN" w:bidi="ar-SA"/>
              </w:rPr>
              <w:t>钻井</w:t>
            </w:r>
            <w:r>
              <w:rPr>
                <w:rFonts w:hint="eastAsia" w:hAnsi="宋体" w:cs="Times New Roman"/>
                <w:color w:val="auto"/>
                <w:kern w:val="0"/>
                <w:sz w:val="21"/>
                <w:szCs w:val="21"/>
                <w:highlight w:val="none"/>
                <w:lang w:val="en-US" w:eastAsia="zh-CN" w:bidi="ar-SA"/>
              </w:rPr>
              <w:t>施工人员</w:t>
            </w:r>
            <w:r>
              <w:rPr>
                <w:rFonts w:hint="default" w:ascii="Times New Roman" w:hAnsi="宋体" w:eastAsia="宋体" w:cs="Times New Roman"/>
                <w:color w:val="auto"/>
                <w:kern w:val="0"/>
                <w:sz w:val="21"/>
                <w:szCs w:val="21"/>
                <w:highlight w:val="none"/>
                <w:lang w:val="en-US" w:eastAsia="zh-CN" w:bidi="ar-SA"/>
              </w:rPr>
              <w:t>采取必要的防护措施，如佩戴耳塞等措施减轻噪声影响</w:t>
            </w:r>
            <w:r>
              <w:rPr>
                <w:rFonts w:hint="eastAsia" w:ascii="Times New Roman" w:hAnsi="宋体" w:eastAsia="宋体" w:cs="Times New Roman"/>
                <w:color w:val="auto"/>
                <w:kern w:val="0"/>
                <w:sz w:val="21"/>
                <w:szCs w:val="21"/>
                <w:highlight w:val="none"/>
                <w:lang w:val="en-US" w:eastAsia="zh-CN" w:bidi="ar-SA"/>
              </w:rPr>
              <w:t>。</w:t>
            </w:r>
          </w:p>
          <w:p>
            <w:pPr>
              <w:keepNext w:val="0"/>
              <w:keepLines w:val="0"/>
              <w:numPr>
                <w:ilvl w:val="0"/>
                <w:numId w:val="0"/>
              </w:numPr>
              <w:suppressLineNumbers w:val="0"/>
              <w:adjustRightInd w:val="0"/>
              <w:snapToGrid w:val="0"/>
              <w:spacing w:before="0" w:beforeAutospacing="0" w:after="0" w:afterAutospacing="0" w:line="360" w:lineRule="auto"/>
              <w:ind w:left="0" w:right="0" w:firstLine="462" w:firstLineChars="200"/>
              <w:rPr>
                <w:rFonts w:hint="default" w:ascii="Times New Roman" w:hAnsi="Times New Roman" w:cs="Times New Roman"/>
                <w:b/>
                <w:bCs w:val="0"/>
                <w:color w:val="auto"/>
                <w:spacing w:val="10"/>
                <w:sz w:val="21"/>
                <w:szCs w:val="21"/>
                <w:highlight w:val="none"/>
                <w:lang w:val="en-US" w:eastAsia="zh-CN"/>
              </w:rPr>
            </w:pPr>
            <w:r>
              <w:rPr>
                <w:rFonts w:hint="eastAsia" w:cs="Times New Roman"/>
                <w:b/>
                <w:bCs w:val="0"/>
                <w:color w:val="auto"/>
                <w:spacing w:val="10"/>
                <w:sz w:val="21"/>
                <w:szCs w:val="21"/>
                <w:highlight w:val="none"/>
                <w:lang w:val="en-US" w:eastAsia="zh-CN"/>
              </w:rPr>
              <w:t>6</w:t>
            </w:r>
            <w:r>
              <w:rPr>
                <w:rFonts w:hint="eastAsia" w:ascii="Times New Roman" w:hAnsi="Times New Roman" w:cs="Times New Roman"/>
                <w:b/>
                <w:bCs w:val="0"/>
                <w:color w:val="auto"/>
                <w:spacing w:val="10"/>
                <w:sz w:val="21"/>
                <w:szCs w:val="21"/>
                <w:highlight w:val="none"/>
                <w:lang w:val="en-US" w:eastAsia="zh-CN"/>
              </w:rPr>
              <w:t>.固废污染防治措施</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r>
              <w:rPr>
                <w:rFonts w:hint="eastAsia" w:ascii="Times New Roman" w:hAnsi="Times New Roman" w:eastAsia="宋体" w:cs="Times New Roman"/>
                <w:color w:val="auto"/>
                <w:kern w:val="0"/>
                <w:sz w:val="21"/>
                <w:szCs w:val="21"/>
                <w:highlight w:val="none"/>
                <w:lang w:val="en-US" w:eastAsia="zh-CN" w:bidi="ar-SA"/>
              </w:rPr>
              <w:t>本项目共产生钻井泥浆4132m</w:t>
            </w:r>
            <w:r>
              <w:rPr>
                <w:rFonts w:hint="eastAsia" w:ascii="Times New Roman" w:hAnsi="Times New Roman" w:eastAsia="宋体" w:cs="Times New Roman"/>
                <w:color w:val="auto"/>
                <w:kern w:val="0"/>
                <w:sz w:val="21"/>
                <w:szCs w:val="21"/>
                <w:highlight w:val="none"/>
                <w:vertAlign w:val="superscript"/>
                <w:lang w:val="en-US" w:eastAsia="zh-CN" w:bidi="ar-SA"/>
              </w:rPr>
              <w:t>3</w:t>
            </w:r>
            <w:r>
              <w:rPr>
                <w:rFonts w:hint="eastAsia" w:ascii="Times New Roman" w:hAnsi="Times New Roman" w:eastAsia="宋体" w:cs="Times New Roman"/>
                <w:color w:val="auto"/>
                <w:kern w:val="0"/>
                <w:sz w:val="21"/>
                <w:szCs w:val="21"/>
                <w:highlight w:val="none"/>
                <w:lang w:val="en-US" w:eastAsia="zh-CN" w:bidi="ar-SA"/>
              </w:rPr>
              <w:t>，钻井岩屑约6225m</w:t>
            </w:r>
            <w:r>
              <w:rPr>
                <w:rFonts w:hint="eastAsia" w:ascii="Times New Roman" w:hAnsi="Times New Roman" w:eastAsia="宋体" w:cs="Times New Roman"/>
                <w:color w:val="auto"/>
                <w:kern w:val="0"/>
                <w:sz w:val="21"/>
                <w:szCs w:val="21"/>
                <w:highlight w:val="none"/>
                <w:vertAlign w:val="superscript"/>
                <w:lang w:val="en-US" w:eastAsia="zh-CN" w:bidi="ar-SA"/>
              </w:rPr>
              <w:t>3</w:t>
            </w:r>
            <w:r>
              <w:rPr>
                <w:rFonts w:hint="eastAsia" w:ascii="Times New Roman" w:hAnsi="Times New Roman" w:eastAsia="宋体" w:cs="Times New Roman"/>
                <w:color w:val="auto"/>
                <w:kern w:val="0"/>
                <w:sz w:val="21"/>
                <w:szCs w:val="21"/>
                <w:highlight w:val="none"/>
                <w:lang w:val="en-US" w:eastAsia="zh-CN" w:bidi="ar-SA"/>
              </w:rPr>
              <w:t>。根据目前中石化新疆新春石油开发有限责任公司钻井工程的要求，钻井过程中，水基和油基泥浆及岩屑产生与处置的责任主体单位为钻井单位，新春公司负责监管。钻井单位采用泥浆不落地系统，一开、二开为水基非磺化泥浆，同岩屑一起进入不落地系统进行处理，实现固液分离，分离后的液相由钻井单位回收用于后续钻井循环使用，不外排；固相为一般工业固废，检测达到《油气田钻井固体废物综合利用污染控制要求》（DB65/T3997-2017）相关标准限值后用于铺路、铺垫井场综合利用，未达标的产物将进入处置系统再次进行处理，不得随意排放或用于其他用途，如有新的管理要求出台，按新规执行。三开为合成油基泥浆，采用泥浆不落地系统固液分离后，液相循环使用，不外排，固相按照危险废物进行管理（危废编号为HW08，废物代码为071-001-08），委托有危废处置资质的单位进行妥善处理</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w:t>
            </w:r>
            <w:r>
              <w:rPr>
                <w:rFonts w:hint="eastAsia" w:ascii="Times New Roman" w:hAnsi="Times New Roman" w:eastAsia="宋体" w:cs="Times New Roman"/>
                <w:color w:val="auto"/>
                <w:kern w:val="0"/>
                <w:sz w:val="21"/>
                <w:szCs w:val="21"/>
                <w:highlight w:val="none"/>
                <w:lang w:val="en-US" w:eastAsia="zh-CN" w:bidi="ar-SA"/>
              </w:rPr>
              <w:t>本项目钻井期共产生生活垃圾13.5t；试油过程共产生生活垃圾0.3t。</w:t>
            </w:r>
            <w:r>
              <w:rPr>
                <w:rFonts w:hint="default" w:ascii="Times New Roman" w:hAnsi="Times New Roman" w:eastAsia="宋体" w:cs="Times New Roman"/>
                <w:color w:val="auto"/>
                <w:kern w:val="0"/>
                <w:sz w:val="21"/>
                <w:szCs w:val="21"/>
                <w:highlight w:val="none"/>
                <w:lang w:val="en-US" w:eastAsia="zh-CN" w:bidi="ar-SA"/>
              </w:rPr>
              <w:t>生活垃圾集中收集后定期送往</w:t>
            </w:r>
            <w:r>
              <w:rPr>
                <w:rFonts w:hint="eastAsia" w:ascii="Times New Roman" w:hAnsi="Times New Roman" w:eastAsia="宋体" w:cs="Times New Roman"/>
                <w:color w:val="auto"/>
                <w:kern w:val="0"/>
                <w:sz w:val="21"/>
                <w:szCs w:val="21"/>
                <w:highlight w:val="none"/>
                <w:lang w:val="en-US" w:eastAsia="zh-CN" w:bidi="ar-SA"/>
              </w:rPr>
              <w:t>玛纳斯县垃圾填埋场处置</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药品、物料及废物不乱排乱放；严禁各种油料落地，禁止焚烧废油品，</w:t>
            </w:r>
            <w:r>
              <w:rPr>
                <w:rFonts w:hint="eastAsia" w:ascii="Times New Roman" w:hAnsi="Times New Roman" w:eastAsia="宋体" w:cs="Times New Roman"/>
                <w:color w:val="auto"/>
                <w:kern w:val="0"/>
                <w:sz w:val="21"/>
                <w:szCs w:val="21"/>
                <w:highlight w:val="none"/>
                <w:lang w:val="en-US" w:eastAsia="zh-CN" w:bidi="ar-SA"/>
              </w:rPr>
              <w:t>项目</w:t>
            </w:r>
            <w:r>
              <w:rPr>
                <w:rFonts w:hint="default" w:ascii="Times New Roman" w:hAnsi="Times New Roman" w:eastAsia="宋体" w:cs="Times New Roman"/>
                <w:color w:val="auto"/>
                <w:kern w:val="0"/>
                <w:sz w:val="21"/>
                <w:szCs w:val="21"/>
                <w:highlight w:val="none"/>
                <w:lang w:val="en-US" w:eastAsia="zh-CN" w:bidi="ar-SA"/>
              </w:rPr>
              <w:t>产生的废油采用废油罐收集，施工结束后</w:t>
            </w:r>
            <w:r>
              <w:rPr>
                <w:rFonts w:hint="eastAsia" w:ascii="Times New Roman" w:hAnsi="Times New Roman" w:eastAsia="宋体" w:cs="Times New Roman"/>
                <w:color w:val="auto"/>
                <w:kern w:val="0"/>
                <w:sz w:val="21"/>
                <w:szCs w:val="21"/>
                <w:highlight w:val="none"/>
                <w:lang w:val="en-US" w:eastAsia="zh-CN" w:bidi="ar-SA"/>
              </w:rPr>
              <w:t>委托有危废处置资质的单位进行妥善处理</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w:t>
            </w:r>
            <w:r>
              <w:rPr>
                <w:rFonts w:hint="default" w:ascii="Times New Roman" w:hAnsi="Times New Roman" w:eastAsia="宋体" w:cs="Times New Roman"/>
                <w:color w:val="auto"/>
                <w:kern w:val="0"/>
                <w:sz w:val="21"/>
                <w:szCs w:val="21"/>
                <w:highlight w:val="none"/>
                <w:lang w:val="en-US" w:eastAsia="zh-CN" w:bidi="ar-SA"/>
              </w:rPr>
              <w:t>推广使用清洁无害泥浆，严格控制使用有毒有害泥浆。所有钻井液、化学药剂和材料，由专人负责管理，防止破损和流失，在任何情况下，不将泥浆排出井场。</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w:t>
            </w:r>
            <w:r>
              <w:rPr>
                <w:rFonts w:hint="default" w:ascii="Times New Roman" w:hAnsi="Times New Roman" w:eastAsia="宋体" w:cs="Times New Roman"/>
                <w:color w:val="auto"/>
                <w:kern w:val="0"/>
                <w:sz w:val="21"/>
                <w:szCs w:val="21"/>
                <w:highlight w:val="none"/>
                <w:lang w:val="en-US" w:eastAsia="zh-CN" w:bidi="ar-SA"/>
              </w:rPr>
              <w:t>落地原油带罐作业，100%回收。施工车带罐作业，且在作业井场地面铺设膜，</w:t>
            </w:r>
            <w:r>
              <w:rPr>
                <w:rFonts w:hint="eastAsia" w:ascii="Times New Roman" w:hAnsi="Times New Roman" w:eastAsia="宋体" w:cs="Times New Roman"/>
                <w:color w:val="auto"/>
                <w:kern w:val="0"/>
                <w:sz w:val="21"/>
                <w:szCs w:val="21"/>
                <w:highlight w:val="none"/>
                <w:lang w:val="en-US" w:eastAsia="zh-CN" w:bidi="ar-SA"/>
              </w:rPr>
              <w:t>回收防渗膜的同时</w:t>
            </w:r>
            <w:r>
              <w:rPr>
                <w:rFonts w:hint="default" w:ascii="Times New Roman" w:hAnsi="Times New Roman" w:eastAsia="宋体" w:cs="Times New Roman"/>
                <w:color w:val="auto"/>
                <w:kern w:val="0"/>
                <w:sz w:val="21"/>
                <w:szCs w:val="21"/>
                <w:highlight w:val="none"/>
                <w:lang w:val="en-US" w:eastAsia="zh-CN" w:bidi="ar-SA"/>
              </w:rPr>
              <w:t>实现落地油100%回收。</w:t>
            </w:r>
          </w:p>
          <w:p>
            <w:pPr>
              <w:keepNext w:val="0"/>
              <w:keepLines w:val="0"/>
              <w:widowControl/>
              <w:suppressLineNumbers w:val="0"/>
              <w:spacing w:before="0" w:beforeAutospacing="0" w:after="0" w:afterAutospacing="0" w:line="360" w:lineRule="auto"/>
              <w:ind w:left="0" w:right="0" w:firstLine="420" w:firstLineChars="200"/>
              <w:jc w:val="left"/>
              <w:rPr>
                <w:rFonts w:hint="eastAsia" w:ascii="Times New Roman" w:hAnsi="宋体"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固体废物在处置和运行管理中严格落实《油田钻井固体废物综合利用污染控制要求》（DB65/T3997-2017）、《油田含油污泥综合利用污染控制要求》（DB65/T3998-2017）、《油田含油污泥及钻井固体废物处理处置技术规范》（DB65/T3999-2017）、《危险废物贮存污染控制标准》（GB18597-2001）及修改单、《一般工业固体废物贮存、处置场污染控制标准》（GB18599-20</w:t>
            </w:r>
            <w:r>
              <w:rPr>
                <w:rFonts w:hint="eastAsia" w:ascii="Times New Roman" w:hAnsi="Times New Roman" w:eastAsia="宋体" w:cs="Times New Roman"/>
                <w:color w:val="auto"/>
                <w:kern w:val="0"/>
                <w:sz w:val="21"/>
                <w:szCs w:val="21"/>
                <w:highlight w:val="none"/>
                <w:lang w:val="en-US" w:eastAsia="zh-CN" w:bidi="ar-SA"/>
              </w:rPr>
              <w:t>20</w:t>
            </w:r>
            <w:r>
              <w:rPr>
                <w:rFonts w:hint="default" w:ascii="Times New Roman" w:hAnsi="Times New Roman" w:eastAsia="宋体" w:cs="Times New Roman"/>
                <w:color w:val="auto"/>
                <w:kern w:val="0"/>
                <w:sz w:val="21"/>
                <w:szCs w:val="21"/>
                <w:highlight w:val="none"/>
                <w:lang w:val="en-US" w:eastAsia="zh-CN" w:bidi="ar-SA"/>
              </w:rPr>
              <w:t>）及修改单中的相关要求，本</w:t>
            </w:r>
            <w:r>
              <w:rPr>
                <w:rFonts w:hint="eastAsia" w:ascii="Times New Roman" w:hAnsi="Times New Roman" w:eastAsia="宋体" w:cs="Times New Roman"/>
                <w:color w:val="auto"/>
                <w:kern w:val="0"/>
                <w:sz w:val="21"/>
                <w:szCs w:val="21"/>
                <w:highlight w:val="none"/>
                <w:lang w:val="en-US" w:eastAsia="zh-CN" w:bidi="ar-SA"/>
              </w:rPr>
              <w:t>项目</w:t>
            </w:r>
            <w:r>
              <w:rPr>
                <w:rFonts w:hint="default" w:ascii="Times New Roman" w:hAnsi="Times New Roman" w:eastAsia="宋体" w:cs="Times New Roman"/>
                <w:color w:val="auto"/>
                <w:kern w:val="0"/>
                <w:sz w:val="21"/>
                <w:szCs w:val="21"/>
                <w:highlight w:val="none"/>
                <w:lang w:val="en-US" w:eastAsia="zh-CN" w:bidi="ar-SA"/>
              </w:rPr>
              <w:t>在开发建设过程中所产生的各种固体废物均可以得到有效的处理，对环境所造成的影响可以接受。</w:t>
            </w:r>
          </w:p>
          <w:p>
            <w:pPr>
              <w:keepNext w:val="0"/>
              <w:keepLines w:val="0"/>
              <w:numPr>
                <w:ilvl w:val="0"/>
                <w:numId w:val="0"/>
              </w:numPr>
              <w:suppressLineNumbers w:val="0"/>
              <w:adjustRightInd w:val="0"/>
              <w:snapToGrid w:val="0"/>
              <w:spacing w:before="0" w:beforeAutospacing="0" w:after="0" w:afterAutospacing="0" w:line="360" w:lineRule="auto"/>
              <w:ind w:left="0" w:right="0" w:firstLine="462" w:firstLineChars="200"/>
              <w:rPr>
                <w:rFonts w:hint="default" w:ascii="Times New Roman" w:hAnsi="Times New Roman" w:cs="Times New Roman"/>
                <w:b/>
                <w:bCs w:val="0"/>
                <w:color w:val="auto"/>
                <w:spacing w:val="10"/>
                <w:sz w:val="21"/>
                <w:szCs w:val="21"/>
                <w:highlight w:val="none"/>
                <w:lang w:val="en-US" w:eastAsia="zh-CN"/>
              </w:rPr>
            </w:pPr>
            <w:r>
              <w:rPr>
                <w:rFonts w:hint="eastAsia" w:cs="Times New Roman"/>
                <w:b/>
                <w:bCs w:val="0"/>
                <w:color w:val="auto"/>
                <w:spacing w:val="10"/>
                <w:sz w:val="21"/>
                <w:szCs w:val="21"/>
                <w:highlight w:val="none"/>
                <w:lang w:val="en-US" w:eastAsia="zh-CN"/>
              </w:rPr>
              <w:t>7</w:t>
            </w:r>
            <w:r>
              <w:rPr>
                <w:rFonts w:hint="eastAsia" w:ascii="Times New Roman" w:hAnsi="Times New Roman" w:cs="Times New Roman"/>
                <w:b/>
                <w:bCs w:val="0"/>
                <w:color w:val="auto"/>
                <w:spacing w:val="10"/>
                <w:sz w:val="21"/>
                <w:szCs w:val="21"/>
                <w:highlight w:val="none"/>
                <w:lang w:val="en-US" w:eastAsia="zh-CN"/>
              </w:rPr>
              <w:t>.土壤污染防治措施</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（1）为保护工程区土壤，采取以下防治措施：</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①源头控制</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设备检修期间，采用专用收集罐收集废油；油罐下设托盘；泥浆材料区铺设土工布；钻井期间泥浆、岩屑不落地；采用原油回收罐回收原油；施工车带罐作业，实现落地油</w:t>
            </w:r>
            <w:r>
              <w:rPr>
                <w:rFonts w:hint="default" w:ascii="Times New Roman" w:hAnsi="Times New Roman" w:eastAsia="宋体" w:cs="Times New Roman"/>
                <w:color w:val="auto"/>
                <w:kern w:val="0"/>
                <w:sz w:val="21"/>
                <w:szCs w:val="21"/>
                <w:highlight w:val="none"/>
                <w:lang w:val="en-US" w:eastAsia="zh-CN" w:bidi="ar-SA"/>
              </w:rPr>
              <w:t>100%</w:t>
            </w:r>
            <w:r>
              <w:rPr>
                <w:rFonts w:hint="eastAsia" w:ascii="Times New Roman" w:hAnsi="Times New Roman" w:eastAsia="宋体" w:cs="Times New Roman"/>
                <w:color w:val="auto"/>
                <w:kern w:val="0"/>
                <w:sz w:val="21"/>
                <w:szCs w:val="21"/>
                <w:highlight w:val="none"/>
                <w:lang w:val="en-US" w:eastAsia="zh-CN" w:bidi="ar-SA"/>
              </w:rPr>
              <w:t>回收。</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②过程防控</w:t>
            </w:r>
          </w:p>
          <w:p>
            <w:pPr>
              <w:keepNext w:val="0"/>
              <w:keepLines w:val="0"/>
              <w:widowControl/>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提高施工人员环保意识，禁止随意倾倒废弃物；加强日常管理，并制定完善的作业制度，如定期检查储罐罐体、施工车带罐作业等，避免形成落地油；发生土壤污染事件，及时对受污染土壤进行收集处理。</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③跟踪监测</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本项目可不制定跟踪监测计划，但在施工过程中应严格按照规章制度进行作业，避免发生土壤污染事件，施工结束后做到工完、料净、场地清，杜绝泥浆材料遗留现场。</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（2）为保护工程区土壤，采取以下保护措施：</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①应严格控制施工期临时占地面积，按设计及规划的施工范围进行施工作业，减少土壤扰动。</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②施工机械及运输车辆应按规定的道路行驶，减少对土壤的碾压，减少碾压造成的土壤紧实度增加及养分流失。</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③施工产生的建筑垃圾不得随意抛洒，应集中收集并及时清运，防止污染物进入土壤环境造成污染。</w:t>
            </w:r>
          </w:p>
          <w:p>
            <w:pPr>
              <w:keepNext w:val="0"/>
              <w:keepLines w:val="0"/>
              <w:widowControl/>
              <w:suppressLineNumbers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综上所述，正常情况下，钻井工程不会污染土壤环境，非正常情况下，采取有效措施后可减轻对土壤环境的影响。在做好源头控制、过程防控等措施的前提下，可避免工程实施对土壤环境产生污染影响</w:t>
            </w:r>
            <w:r>
              <w:rPr>
                <w:rFonts w:hint="eastAsia" w:cs="Times New Roman"/>
                <w:color w:val="auto"/>
                <w:kern w:val="0"/>
                <w:sz w:val="21"/>
                <w:szCs w:val="21"/>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2" w:firstLineChars="200"/>
              <w:jc w:val="both"/>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eastAsia" w:cs="Times New Roman"/>
                <w:b/>
                <w:bCs/>
                <w:color w:val="auto"/>
                <w:kern w:val="0"/>
                <w:sz w:val="21"/>
                <w:szCs w:val="21"/>
                <w:highlight w:val="none"/>
                <w:lang w:val="en-US" w:eastAsia="zh-CN" w:bidi="ar-SA"/>
              </w:rPr>
              <w:t>8</w:t>
            </w:r>
            <w:r>
              <w:rPr>
                <w:rFonts w:hint="eastAsia" w:ascii="Times New Roman" w:hAnsi="Times New Roman" w:eastAsia="宋体" w:cs="Times New Roman"/>
                <w:b/>
                <w:bCs/>
                <w:color w:val="auto"/>
                <w:kern w:val="0"/>
                <w:sz w:val="21"/>
                <w:szCs w:val="21"/>
                <w:highlight w:val="none"/>
                <w:lang w:val="en-US" w:eastAsia="zh-CN" w:bidi="ar-SA"/>
              </w:rPr>
              <w:t>.</w:t>
            </w:r>
            <w:r>
              <w:rPr>
                <w:rFonts w:hint="default" w:ascii="Times New Roman" w:hAnsi="Times New Roman" w:eastAsia="宋体" w:cs="Times New Roman"/>
                <w:b/>
                <w:bCs/>
                <w:color w:val="auto"/>
                <w:kern w:val="0"/>
                <w:sz w:val="21"/>
                <w:szCs w:val="21"/>
                <w:highlight w:val="none"/>
                <w:lang w:val="en-US" w:eastAsia="zh-CN" w:bidi="ar-SA"/>
              </w:rPr>
              <w:t>环境风险防范措施</w:t>
            </w:r>
          </w:p>
          <w:p>
            <w:pPr>
              <w:keepNext w:val="0"/>
              <w:keepLines w:val="0"/>
              <w:widowControl/>
              <w:suppressLineNumbers w:val="0"/>
              <w:spacing w:before="0" w:beforeAutospacing="0" w:after="0" w:afterAutospacing="0" w:line="360" w:lineRule="auto"/>
              <w:ind w:left="0" w:leftChars="0" w:right="0" w:firstLine="422" w:firstLineChars="200"/>
              <w:jc w:val="left"/>
              <w:rPr>
                <w:rFonts w:hint="default" w:ascii="Times New Roman" w:hAnsi="Times New Roman" w:eastAsia="宋体" w:cs="Times New Roman"/>
                <w:b w:val="0"/>
                <w:bCs/>
                <w:color w:val="auto"/>
                <w:kern w:val="0"/>
                <w:sz w:val="21"/>
                <w:szCs w:val="21"/>
                <w:highlight w:val="none"/>
                <w:lang w:val="en-US" w:eastAsia="zh-CN" w:bidi="ar-SA"/>
              </w:rPr>
            </w:pPr>
            <w:r>
              <w:rPr>
                <w:rFonts w:hint="eastAsia" w:cs="Times New Roman"/>
                <w:b/>
                <w:bCs w:val="0"/>
                <w:color w:val="auto"/>
                <w:kern w:val="0"/>
                <w:sz w:val="21"/>
                <w:szCs w:val="21"/>
                <w:highlight w:val="none"/>
                <w:lang w:val="en-US" w:eastAsia="zh-CN" w:bidi="ar-SA"/>
              </w:rPr>
              <w:t>8</w:t>
            </w:r>
            <w:r>
              <w:rPr>
                <w:rFonts w:hint="eastAsia" w:ascii="Times New Roman" w:hAnsi="Times New Roman" w:eastAsia="宋体" w:cs="Times New Roman"/>
                <w:b/>
                <w:bCs w:val="0"/>
                <w:color w:val="auto"/>
                <w:kern w:val="0"/>
                <w:sz w:val="21"/>
                <w:szCs w:val="21"/>
                <w:highlight w:val="none"/>
                <w:lang w:val="en-US" w:eastAsia="zh-CN" w:bidi="ar-SA"/>
              </w:rPr>
              <w:t>.1环境风险防范措施</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（1）废水防范措施</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1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①</w:t>
            </w:r>
            <w:r>
              <w:rPr>
                <w:rFonts w:hint="default" w:ascii="Times New Roman" w:hAnsi="Times New Roman" w:eastAsia="宋体" w:cs="Times New Roman"/>
                <w:color w:val="auto"/>
                <w:kern w:val="0"/>
                <w:sz w:val="21"/>
                <w:szCs w:val="21"/>
                <w:highlight w:val="none"/>
                <w:lang w:val="en-US" w:eastAsia="zh-CN" w:bidi="ar-SA"/>
              </w:rPr>
              <w:fldChar w:fldCharType="end"/>
            </w:r>
            <w:r>
              <w:rPr>
                <w:rFonts w:hint="eastAsia" w:cs="Times New Roman"/>
                <w:color w:val="auto"/>
                <w:kern w:val="0"/>
                <w:sz w:val="21"/>
                <w:szCs w:val="21"/>
                <w:highlight w:val="none"/>
                <w:lang w:val="en-US" w:eastAsia="zh-CN" w:bidi="ar-SA"/>
              </w:rPr>
              <w:t>本项目</w:t>
            </w:r>
            <w:r>
              <w:rPr>
                <w:rFonts w:hint="default" w:ascii="Times New Roman" w:hAnsi="Times New Roman" w:eastAsia="宋体" w:cs="Times New Roman"/>
                <w:color w:val="auto"/>
                <w:kern w:val="0"/>
                <w:sz w:val="21"/>
                <w:szCs w:val="21"/>
                <w:highlight w:val="none"/>
                <w:lang w:val="en-US" w:eastAsia="zh-CN" w:bidi="ar-SA"/>
              </w:rPr>
              <w:t>在钻井施工过程中采用“钻井废弃物不落地达标处理技术”，产生的钻井废水经处理达标后循环使用，废水不外排。</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2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②</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出现停电、火灾爆炸等情况出现较大量污水排放或一般物料泄漏，首先应充分利用应急</w:t>
            </w:r>
            <w:r>
              <w:rPr>
                <w:rFonts w:hint="eastAsia" w:ascii="Times New Roman" w:hAnsi="Times New Roman" w:eastAsia="宋体" w:cs="Times New Roman"/>
                <w:color w:val="auto"/>
                <w:kern w:val="0"/>
                <w:sz w:val="21"/>
                <w:szCs w:val="21"/>
                <w:highlight w:val="none"/>
                <w:lang w:val="en-US" w:eastAsia="zh-CN" w:bidi="ar-SA"/>
              </w:rPr>
              <w:t>应急放喷池</w:t>
            </w:r>
            <w:r>
              <w:rPr>
                <w:rFonts w:hint="default" w:ascii="Times New Roman" w:hAnsi="Times New Roman" w:eastAsia="宋体" w:cs="Times New Roman"/>
                <w:color w:val="auto"/>
                <w:kern w:val="0"/>
                <w:sz w:val="21"/>
                <w:szCs w:val="21"/>
                <w:highlight w:val="none"/>
                <w:lang w:val="en-US" w:eastAsia="zh-CN" w:bidi="ar-SA"/>
              </w:rPr>
              <w:t>等预处理设施作为一级污染防控措施，尽量减少物料及高浓度废水直接排入地表。</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（2）井喷防范措施</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1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①</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施工设计中的防井喷措施</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A.选择合理的压井液。新井投产和试油、试气施工应参照钻穿油、气层时钻井泥浆性能，认真选择合理的压井液，避免因压井液性能达不到施工要求而造成井喷污染；</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B.选择合理的射孔方式；</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C.规定上提钻具的速度。井内下有大直径工具(工具外径超过油气层套管内径80%以上)的井，严禁高速起钻，防止因高速起钻引起抽汲作用造成井喷污染；</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D.对防喷装置的配备要有明确要求；</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E.选择使用有利于防止和控制井喷的井下管柱和工具，以适应突发事故的处理和补救措施的需要。</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2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②</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钻井作业中的井喷防范措施</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施工单位应按《石油天然气钻井健康、安全与环境管理体系指南》(SY/T6283-1997)、中国石油化工股份有限公司《石油天然气钻井作业健康、安全与环境管理导则》及相关的井控技术标准和规范中的有关规定执行，并针对</w:t>
            </w:r>
            <w:r>
              <w:rPr>
                <w:rFonts w:hint="eastAsia" w:cs="Times New Roman"/>
                <w:color w:val="auto"/>
                <w:kern w:val="0"/>
                <w:sz w:val="21"/>
                <w:szCs w:val="21"/>
                <w:highlight w:val="none"/>
                <w:lang w:val="en-US" w:eastAsia="zh-CN" w:bidi="ar-SA"/>
              </w:rPr>
              <w:t>本项目</w:t>
            </w:r>
            <w:r>
              <w:rPr>
                <w:rFonts w:hint="default" w:ascii="Times New Roman" w:hAnsi="Times New Roman" w:eastAsia="宋体" w:cs="Times New Roman"/>
                <w:color w:val="auto"/>
                <w:kern w:val="0"/>
                <w:sz w:val="21"/>
                <w:szCs w:val="21"/>
                <w:highlight w:val="none"/>
                <w:lang w:val="en-US" w:eastAsia="zh-CN" w:bidi="ar-SA"/>
              </w:rPr>
              <w:t>情况制定具体的可操作的实施方案，主要包括：</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A.开钻前向全队职工、钻井现场的所有工作人员进行地质、工程、钻井液和井控装备等方面的技术交底，并提出具体要求；</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B.严格执行井控工作九项管理制度，落实溢流监测岗位、关井操作岗位和钻井队干部24h值班制度，井控准备工作及应急预案必须经验收合格后，方可钻开油气层；</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C.各种井控装备及其它专用工具、消防器材、防爆电路系统配备齐全、运转正常；</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D.每次起钻前必须活动方钻杆上、下旋塞一次，以保证其正常可靠；</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E.气层钻进中，必须在近钻头位置安装钻具回压阀，同时钻台上配备一只与钻具尺寸相符的回压阀，且备有相应的抢接工具，在大门坡道上准备一根防喷单根(钻杆下部有与钻铤扣相符的配合接头)；</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F.按班组进行防喷演习，并达到规定要求；</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严格落实坐岗制度，无论钻进还是起下钻，或其它辅助作业，钻井班落实专人坐岗观察钻井泥浆池液面变化和钻井液出口情况，录井人员除了在仪表上观察外，还对钻井泥浆池液面变化和钻井液出口进行定时观察，定时测量进出口钻井液性能，两个岗都必须作好真实准确记录，值班干部必须对上述两个岗位工作情况进行定时和不定时检查，并当班签认；</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H.认真搞好随钻地层压力的监测工作中，发现地层压力异常、溢流、井涌等情况，应及时关井并调整钻井液密度，同时上报有关部门；</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I.严格控制起下钻速度，起钻必须按规定灌满钻井液；</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J.加强井场设备的运行、保养和检查，保证设备的正常运行，设备检修必须按有关规定执行；</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K.钻进中遇到钻速突然加快、放空、井漏、气测及油气水显示异常等情况，应立即停钻观察，如发生溢流要按规定及时发出报警信号，并按正确的关井程序及时关井，关井求压后迅速实施压井作业；</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L.发生溢流后，根据关井压力，尽快在井口、地层和套管安全条件下压井，待井内平稳后才恢复钻进；</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M.关井压力不得超过井口装置的工作压力、套管抗内压强度的80％和地层破裂压力三者中的最小值。</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3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③</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防井喷装置</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A.以半封和全封防喷器为主体的防喷装置，包括高压闸门、自封、四通、套管头、过渡法兰等；</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B.以节流管汇为主体的井控管汇，包括放喷管线、压井管线等；</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C.井下管柱防喷工具，包括钻具、防喷单流阀等；</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D.具有净化、加大密度、原料储备及自动调配、自动灌装等功能的压井液储备系统；</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E.防止井喷失控的专用设备、设施，包括高压自封、不压井起下管柱装置等。</w:t>
            </w:r>
          </w:p>
          <w:p>
            <w:pPr>
              <w:keepNext w:val="0"/>
              <w:keepLines w:val="0"/>
              <w:widowControl/>
              <w:suppressLineNumbers w:val="0"/>
              <w:spacing w:before="0" w:beforeAutospacing="0" w:after="0" w:afterAutospacing="0" w:line="360" w:lineRule="auto"/>
              <w:ind w:left="0" w:right="0" w:firstLine="420" w:firstLineChars="200"/>
              <w:jc w:val="left"/>
              <w:outlineLvl w:val="0"/>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（3）硫化氢泄漏的监控与预防措施</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——硫化氢监测与安全防护</w:t>
            </w:r>
          </w:p>
          <w:p>
            <w:pPr>
              <w:keepNext w:val="0"/>
              <w:keepLines w:val="0"/>
              <w:widowControl/>
              <w:suppressLineNumbers w:val="0"/>
              <w:spacing w:before="0" w:beforeAutospacing="0" w:after="0" w:afterAutospacing="0" w:line="360" w:lineRule="auto"/>
              <w:ind w:left="0" w:right="0" w:firstLine="472" w:firstLineChars="225"/>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硫化氢监测与安全防护应按照《含硫油气田硫化氢监测与人身安全防护规程》（SY6277-201</w:t>
            </w:r>
            <w:r>
              <w:rPr>
                <w:rFonts w:hint="eastAsia" w:ascii="Times New Roman" w:hAnsi="Times New Roman" w:eastAsia="宋体" w:cs="Times New Roman"/>
                <w:color w:val="auto"/>
                <w:kern w:val="0"/>
                <w:sz w:val="21"/>
                <w:szCs w:val="21"/>
                <w:highlight w:val="none"/>
                <w:lang w:val="en-US" w:eastAsia="zh-CN" w:bidi="ar-SA"/>
              </w:rPr>
              <w:t>7</w:t>
            </w:r>
            <w:r>
              <w:rPr>
                <w:rFonts w:hint="default" w:ascii="Times New Roman" w:hAnsi="Times New Roman" w:eastAsia="宋体" w:cs="Times New Roman"/>
                <w:color w:val="auto"/>
                <w:kern w:val="0"/>
                <w:sz w:val="21"/>
                <w:szCs w:val="21"/>
                <w:highlight w:val="none"/>
                <w:lang w:val="en-US" w:eastAsia="zh-CN" w:bidi="ar-SA"/>
              </w:rPr>
              <w:t>）和《含硫化氢的油气生产和天然气处理装置作业的推荐作法》（SY/T6137-</w:t>
            </w:r>
            <w:r>
              <w:rPr>
                <w:rFonts w:hint="eastAsia" w:ascii="Times New Roman" w:hAnsi="Times New Roman" w:eastAsia="宋体" w:cs="Times New Roman"/>
                <w:color w:val="auto"/>
                <w:kern w:val="0"/>
                <w:sz w:val="21"/>
                <w:szCs w:val="21"/>
                <w:highlight w:val="none"/>
                <w:lang w:val="en-US" w:eastAsia="zh-CN" w:bidi="ar-SA"/>
              </w:rPr>
              <w:t>2017</w:t>
            </w:r>
            <w:r>
              <w:rPr>
                <w:rFonts w:hint="default" w:ascii="Times New Roman" w:hAnsi="Times New Roman" w:eastAsia="宋体" w:cs="Times New Roman"/>
                <w:color w:val="auto"/>
                <w:kern w:val="0"/>
                <w:sz w:val="21"/>
                <w:szCs w:val="21"/>
                <w:highlight w:val="none"/>
                <w:lang w:val="en-US" w:eastAsia="zh-CN" w:bidi="ar-SA"/>
              </w:rPr>
              <w:t>）要求进行。</w:t>
            </w:r>
          </w:p>
          <w:p>
            <w:pPr>
              <w:keepNext w:val="0"/>
              <w:keepLines w:val="0"/>
              <w:widowControl/>
              <w:suppressLineNumbers w:val="0"/>
              <w:spacing w:before="0" w:beforeAutospacing="0" w:after="0" w:afterAutospacing="0" w:line="360" w:lineRule="auto"/>
              <w:ind w:left="0" w:right="0" w:firstLine="472" w:firstLineChars="225"/>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①</w:t>
            </w:r>
            <w:r>
              <w:rPr>
                <w:rFonts w:hint="default" w:ascii="Times New Roman" w:hAnsi="Times New Roman" w:eastAsia="宋体" w:cs="Times New Roman"/>
                <w:color w:val="auto"/>
                <w:kern w:val="0"/>
                <w:sz w:val="21"/>
                <w:szCs w:val="21"/>
                <w:highlight w:val="none"/>
                <w:lang w:val="en-US" w:eastAsia="zh-CN" w:bidi="ar-SA"/>
              </w:rPr>
              <w:t>作业人员巡检时应携带硫化氢监测仪（第1级预警阈值应设置为15mg/m³(或10ppm)，第2级报警阈值应设置为30mg/m³(或20ppm)，进入上述区域应注意是否有报警信号。</w:t>
            </w:r>
          </w:p>
          <w:p>
            <w:pPr>
              <w:keepNext w:val="0"/>
              <w:keepLines w:val="0"/>
              <w:widowControl/>
              <w:suppressLineNumbers w:val="0"/>
              <w:spacing w:before="0" w:beforeAutospacing="0" w:after="0" w:afterAutospacing="0" w:line="360" w:lineRule="auto"/>
              <w:ind w:left="0" w:right="0" w:firstLine="472" w:firstLineChars="225"/>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②</w:t>
            </w:r>
            <w:r>
              <w:rPr>
                <w:rFonts w:hint="default" w:ascii="Times New Roman" w:hAnsi="Times New Roman" w:eastAsia="宋体" w:cs="Times New Roman"/>
                <w:color w:val="auto"/>
                <w:kern w:val="0"/>
                <w:sz w:val="21"/>
                <w:szCs w:val="21"/>
                <w:highlight w:val="none"/>
                <w:lang w:val="en-US" w:eastAsia="zh-CN" w:bidi="ar-SA"/>
              </w:rPr>
              <w:t>作业人员在检修和抢险作业时应携硫化氢监测仪和正压式空气呼吸器。</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③</w:t>
            </w:r>
            <w:r>
              <w:rPr>
                <w:rFonts w:hint="default" w:ascii="Times New Roman" w:hAnsi="Times New Roman" w:eastAsia="宋体" w:cs="Times New Roman"/>
                <w:color w:val="auto"/>
                <w:kern w:val="0"/>
                <w:sz w:val="21"/>
                <w:szCs w:val="21"/>
                <w:highlight w:val="none"/>
                <w:lang w:val="en-US" w:eastAsia="zh-CN" w:bidi="ar-SA"/>
              </w:rPr>
              <w:t>当监测到空气中硫化氢的浓度达到15mg/m³(或10ppm)时，作业人员应检查泄漏点，准备防护用具，迅速打开排风扇，实施应急程序。</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④</w:t>
            </w:r>
            <w:r>
              <w:rPr>
                <w:rFonts w:hint="default" w:ascii="Times New Roman" w:hAnsi="Times New Roman" w:eastAsia="宋体" w:cs="Times New Roman"/>
                <w:color w:val="auto"/>
                <w:kern w:val="0"/>
                <w:sz w:val="21"/>
                <w:szCs w:val="21"/>
                <w:highlight w:val="none"/>
                <w:lang w:val="en-US" w:eastAsia="zh-CN" w:bidi="ar-SA"/>
              </w:rPr>
              <w:t>当监测到空气中硫化氢的浓度达到30mg/m³(或20ppm)时，作业人员应该迅速打开排风扇，疏散人员。作业人员应戴上防护用具，进入紧急状态，立即实施应急方案。</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⑤</w:t>
            </w:r>
            <w:r>
              <w:rPr>
                <w:rFonts w:hint="default" w:ascii="Times New Roman" w:hAnsi="Times New Roman" w:eastAsia="宋体" w:cs="Times New Roman"/>
                <w:color w:val="auto"/>
                <w:kern w:val="0"/>
                <w:sz w:val="21"/>
                <w:szCs w:val="21"/>
                <w:highlight w:val="none"/>
                <w:lang w:val="en-US" w:eastAsia="zh-CN" w:bidi="ar-SA"/>
              </w:rPr>
              <w:t>当监测到空气中硫化氢浓度达到150mg/m³(或100ppm)时，应组织周边危险区域内的作业人员有秩序地迅速向上风向撤离到安全区域。</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——预防措施</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在含硫化氢环境中的作业人员上岗前都应接受H</w:t>
            </w:r>
            <w:r>
              <w:rPr>
                <w:rFonts w:hint="default" w:ascii="Times New Roman" w:hAnsi="Times New Roman" w:eastAsia="宋体" w:cs="Times New Roman"/>
                <w:color w:val="auto"/>
                <w:kern w:val="0"/>
                <w:sz w:val="21"/>
                <w:szCs w:val="21"/>
                <w:highlight w:val="none"/>
                <w:vertAlign w:val="sub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S危害及人身防护措施的培训，经考核合格后方能持证上岗。</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①</w:t>
            </w:r>
            <w:r>
              <w:rPr>
                <w:rFonts w:hint="default" w:ascii="Times New Roman" w:hAnsi="Times New Roman" w:eastAsia="宋体" w:cs="Times New Roman"/>
                <w:color w:val="auto"/>
                <w:kern w:val="0"/>
                <w:sz w:val="21"/>
                <w:szCs w:val="21"/>
                <w:highlight w:val="none"/>
                <w:lang w:val="en-US" w:eastAsia="zh-CN" w:bidi="ar-SA"/>
              </w:rPr>
              <w:t>在钻井作业期间，比如放喷、拆卸井口设备和起下管柱、循环钻井液等，应采取特别预防措施，以避免残存其中的硫化氢释放出来造成危害。</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②</w:t>
            </w:r>
            <w:r>
              <w:rPr>
                <w:rFonts w:hint="default" w:ascii="Times New Roman" w:hAnsi="Times New Roman" w:eastAsia="宋体" w:cs="Times New Roman"/>
                <w:color w:val="auto"/>
                <w:kern w:val="0"/>
                <w:sz w:val="21"/>
                <w:szCs w:val="21"/>
                <w:highlight w:val="none"/>
                <w:lang w:val="en-US" w:eastAsia="zh-CN" w:bidi="ar-SA"/>
              </w:rPr>
              <w:t>为避免无风和微风情况下硫化氢的积聚，可以使用防爆通风设备将有毒气体吹往期望的方向。</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③</w:t>
            </w:r>
            <w:r>
              <w:rPr>
                <w:rFonts w:hint="default" w:ascii="Times New Roman" w:hAnsi="Times New Roman" w:eastAsia="宋体" w:cs="Times New Roman"/>
                <w:color w:val="auto"/>
                <w:kern w:val="0"/>
                <w:sz w:val="21"/>
                <w:szCs w:val="21"/>
                <w:highlight w:val="none"/>
                <w:lang w:val="en-US" w:eastAsia="zh-CN" w:bidi="ar-SA"/>
              </w:rPr>
              <w:t>应特别注意低洼的工作区域，比如井口方井，由于较重的硫化氢或二氧化硫在这些地点的沉积，可能会达到有害的浓度。</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④</w:t>
            </w:r>
            <w:r>
              <w:rPr>
                <w:rFonts w:hint="default" w:ascii="Times New Roman" w:hAnsi="Times New Roman" w:eastAsia="宋体" w:cs="Times New Roman"/>
                <w:color w:val="auto"/>
                <w:kern w:val="0"/>
                <w:sz w:val="21"/>
                <w:szCs w:val="21"/>
                <w:highlight w:val="none"/>
                <w:lang w:val="en-US" w:eastAsia="zh-CN" w:bidi="ar-SA"/>
              </w:rPr>
              <w:t>当人员在达到硫化氢危险临界浓度[150mg/m³（100ppm）]的大气环境中执行任务时，应有接受过救护技术培训的值班救护人员，同时应备有必要的救护设备，包括适用的呼吸器具。</w:t>
            </w:r>
          </w:p>
          <w:p>
            <w:pPr>
              <w:keepNext w:val="0"/>
              <w:keepLines w:val="0"/>
              <w:widowControl/>
              <w:suppressLineNumbers w:val="0"/>
              <w:spacing w:before="0" w:beforeAutospacing="0" w:after="0" w:afterAutospacing="0" w:line="360" w:lineRule="auto"/>
              <w:ind w:left="0" w:right="0" w:firstLine="420" w:firstLineChars="200"/>
              <w:jc w:val="left"/>
              <w:outlineLvl w:val="0"/>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（4）钻开气层前验收</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钻开油气层时极容易发生井下和环境污染事故。钻开油气层前验收就是在钻开气层前对井队的安全和井控工作进行全面大检查，以消除事故隐患，实现安全生产和清洁生产。</w:t>
            </w:r>
          </w:p>
          <w:p>
            <w:pPr>
              <w:keepNext w:val="0"/>
              <w:keepLines w:val="0"/>
              <w:widowControl/>
              <w:suppressLineNumbers w:val="0"/>
              <w:spacing w:before="0" w:beforeAutospacing="0" w:after="0" w:afterAutospacing="0" w:line="360" w:lineRule="auto"/>
              <w:ind w:left="0" w:right="0" w:firstLine="420" w:firstLineChars="200"/>
              <w:jc w:val="left"/>
              <w:outlineLvl w:val="0"/>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（5）环境风险防范措施工程监理</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为保工程各项环境风险防范措施合理有效地实施，可在钻井过程中引入工程监理制度，由监理单位负责环境风险防范措施的监理工作，确保各项措施得到合理有效的落实。</w:t>
            </w:r>
          </w:p>
          <w:p>
            <w:pPr>
              <w:keepNext w:val="0"/>
              <w:keepLines w:val="0"/>
              <w:widowControl/>
              <w:suppressLineNumbers w:val="0"/>
              <w:spacing w:before="0" w:beforeAutospacing="0" w:after="0" w:afterAutospacing="0" w:line="360" w:lineRule="auto"/>
              <w:ind w:left="0" w:right="0" w:firstLine="422" w:firstLineChars="200"/>
              <w:jc w:val="left"/>
              <w:outlineLvl w:val="0"/>
              <w:rPr>
                <w:rFonts w:hint="default"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8</w:t>
            </w:r>
            <w:r>
              <w:rPr>
                <w:rFonts w:hint="eastAsia" w:ascii="Times New Roman" w:hAnsi="Times New Roman" w:eastAsia="宋体" w:cs="Times New Roman"/>
                <w:b/>
                <w:color w:val="auto"/>
                <w:kern w:val="0"/>
                <w:sz w:val="21"/>
                <w:szCs w:val="21"/>
                <w:highlight w:val="none"/>
                <w:lang w:val="en-US" w:eastAsia="zh-CN" w:bidi="ar-SA"/>
              </w:rPr>
              <w:t>.2环境风险</w:t>
            </w:r>
            <w:r>
              <w:rPr>
                <w:rFonts w:hint="default" w:ascii="Times New Roman" w:hAnsi="Times New Roman" w:eastAsia="宋体" w:cs="Times New Roman"/>
                <w:b/>
                <w:color w:val="auto"/>
                <w:kern w:val="0"/>
                <w:sz w:val="21"/>
                <w:szCs w:val="21"/>
                <w:highlight w:val="none"/>
                <w:lang w:val="en-US" w:eastAsia="zh-CN" w:bidi="ar-SA"/>
              </w:rPr>
              <w:t>应急预案</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（1）应急预案编制内容</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snapToGrid w:val="0"/>
                <w:color w:val="auto"/>
                <w:spacing w:val="0"/>
                <w:kern w:val="0"/>
                <w:sz w:val="21"/>
                <w:szCs w:val="21"/>
                <w:highlight w:val="none"/>
                <w:lang w:val="en-US" w:eastAsia="zh-CN" w:bidi="ar-SA"/>
              </w:rPr>
              <w:t>本</w:t>
            </w:r>
            <w:r>
              <w:rPr>
                <w:rFonts w:hint="eastAsia" w:ascii="Times New Roman" w:hAnsi="Times New Roman" w:eastAsia="宋体" w:cs="Times New Roman"/>
                <w:snapToGrid w:val="0"/>
                <w:color w:val="auto"/>
                <w:spacing w:val="0"/>
                <w:kern w:val="0"/>
                <w:sz w:val="21"/>
                <w:szCs w:val="21"/>
                <w:highlight w:val="none"/>
                <w:lang w:val="en-US" w:eastAsia="zh-CN" w:bidi="ar-SA"/>
              </w:rPr>
              <w:t>项目</w:t>
            </w:r>
            <w:r>
              <w:rPr>
                <w:rFonts w:hint="default" w:ascii="Times New Roman" w:hAnsi="Times New Roman" w:eastAsia="宋体" w:cs="Times New Roman"/>
                <w:snapToGrid w:val="0"/>
                <w:color w:val="auto"/>
                <w:spacing w:val="0"/>
                <w:kern w:val="0"/>
                <w:sz w:val="21"/>
                <w:szCs w:val="21"/>
                <w:highlight w:val="none"/>
                <w:lang w:val="en-US" w:eastAsia="zh-CN" w:bidi="ar-SA"/>
              </w:rPr>
              <w:t>钻井期间的应急预案纳入中石化新疆新春石油开发有限责任公司突发环境事件应急预案</w:t>
            </w:r>
            <w:r>
              <w:rPr>
                <w:rFonts w:hint="eastAsia" w:ascii="Times New Roman" w:hAnsi="Times New Roman" w:eastAsia="宋体" w:cs="Times New Roman"/>
                <w:snapToGrid w:val="0"/>
                <w:color w:val="auto"/>
                <w:spacing w:val="0"/>
                <w:kern w:val="0"/>
                <w:sz w:val="21"/>
                <w:szCs w:val="21"/>
                <w:highlight w:val="none"/>
                <w:lang w:val="en-US" w:eastAsia="zh-CN" w:bidi="ar-SA"/>
              </w:rPr>
              <w:t>，</w:t>
            </w:r>
            <w:r>
              <w:rPr>
                <w:rFonts w:hint="default" w:ascii="Times New Roman" w:hAnsi="Times New Roman" w:eastAsia="宋体" w:cs="Times New Roman"/>
                <w:snapToGrid w:val="0"/>
                <w:color w:val="auto"/>
                <w:spacing w:val="0"/>
                <w:kern w:val="0"/>
                <w:sz w:val="21"/>
                <w:szCs w:val="21"/>
                <w:highlight w:val="none"/>
                <w:lang w:val="en-US" w:eastAsia="zh-CN" w:bidi="ar-SA"/>
              </w:rPr>
              <w:t>备案部门为</w:t>
            </w:r>
            <w:r>
              <w:rPr>
                <w:rFonts w:hint="eastAsia" w:ascii="Times New Roman" w:hAnsi="Times New Roman" w:eastAsia="宋体" w:cs="Times New Roman"/>
                <w:snapToGrid w:val="0"/>
                <w:color w:val="auto"/>
                <w:spacing w:val="0"/>
                <w:kern w:val="0"/>
                <w:sz w:val="21"/>
                <w:szCs w:val="21"/>
                <w:highlight w:val="none"/>
                <w:lang w:val="en-US" w:eastAsia="zh-CN" w:bidi="ar-SA"/>
              </w:rPr>
              <w:t>昌吉州</w:t>
            </w:r>
            <w:r>
              <w:rPr>
                <w:rFonts w:hint="default" w:ascii="Times New Roman" w:hAnsi="Times New Roman" w:eastAsia="宋体" w:cs="Times New Roman"/>
                <w:snapToGrid w:val="0"/>
                <w:color w:val="auto"/>
                <w:spacing w:val="0"/>
                <w:kern w:val="0"/>
                <w:sz w:val="21"/>
                <w:szCs w:val="21"/>
                <w:highlight w:val="none"/>
                <w:lang w:val="en-US" w:eastAsia="zh-CN" w:bidi="ar-SA"/>
              </w:rPr>
              <w:t>生态环境局</w:t>
            </w:r>
            <w:r>
              <w:rPr>
                <w:rFonts w:hint="eastAsia" w:ascii="Times New Roman" w:hAnsi="Times New Roman" w:eastAsia="宋体" w:cs="Times New Roman"/>
                <w:snapToGrid w:val="0"/>
                <w:color w:val="auto"/>
                <w:spacing w:val="0"/>
                <w:kern w:val="0"/>
                <w:sz w:val="21"/>
                <w:szCs w:val="21"/>
                <w:highlight w:val="none"/>
                <w:lang w:val="en-US" w:eastAsia="zh-CN" w:bidi="ar-SA"/>
              </w:rPr>
              <w:t>玛纳斯县</w:t>
            </w:r>
            <w:r>
              <w:rPr>
                <w:rFonts w:hint="default" w:ascii="Times New Roman" w:hAnsi="Times New Roman" w:eastAsia="宋体" w:cs="Times New Roman"/>
                <w:snapToGrid w:val="0"/>
                <w:color w:val="auto"/>
                <w:spacing w:val="0"/>
                <w:kern w:val="0"/>
                <w:sz w:val="21"/>
                <w:szCs w:val="21"/>
                <w:highlight w:val="none"/>
                <w:lang w:val="en-US" w:eastAsia="zh-CN" w:bidi="ar-SA"/>
              </w:rPr>
              <w:t>分局，</w:t>
            </w:r>
            <w:r>
              <w:rPr>
                <w:rFonts w:hint="default" w:ascii="Times New Roman" w:hAnsi="Times New Roman" w:eastAsia="宋体" w:cs="Times New Roman"/>
                <w:color w:val="auto"/>
                <w:spacing w:val="0"/>
                <w:kern w:val="0"/>
                <w:sz w:val="21"/>
                <w:szCs w:val="21"/>
                <w:highlight w:val="none"/>
                <w:lang w:val="en-US" w:eastAsia="zh-CN" w:bidi="ar-SA"/>
              </w:rPr>
              <w:t>其主要内容包括：</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fldChar w:fldCharType="begin"/>
            </w:r>
            <w:r>
              <w:rPr>
                <w:rFonts w:hint="default" w:ascii="Times New Roman" w:hAnsi="Times New Roman" w:eastAsia="宋体" w:cs="Times New Roman"/>
                <w:color w:val="auto"/>
                <w:spacing w:val="0"/>
                <w:kern w:val="0"/>
                <w:sz w:val="21"/>
                <w:szCs w:val="21"/>
                <w:highlight w:val="none"/>
                <w:lang w:val="en-US" w:eastAsia="zh-CN" w:bidi="ar-SA"/>
              </w:rPr>
              <w:instrText xml:space="preserve">= 1 \* GB3</w:instrText>
            </w:r>
            <w:r>
              <w:rPr>
                <w:rFonts w:hint="default" w:ascii="Times New Roman" w:hAnsi="Times New Roman" w:eastAsia="宋体" w:cs="Times New Roman"/>
                <w:color w:val="auto"/>
                <w:spacing w:val="0"/>
                <w:kern w:val="0"/>
                <w:sz w:val="21"/>
                <w:szCs w:val="21"/>
                <w:highlight w:val="none"/>
                <w:lang w:val="en-US" w:eastAsia="zh-CN" w:bidi="ar-SA"/>
              </w:rPr>
              <w:fldChar w:fldCharType="separate"/>
            </w:r>
            <w:r>
              <w:rPr>
                <w:rFonts w:hint="eastAsia" w:ascii="Times New Roman" w:hAnsi="Times New Roman" w:eastAsia="宋体" w:cs="Times New Roman"/>
                <w:color w:val="auto"/>
                <w:spacing w:val="0"/>
                <w:kern w:val="0"/>
                <w:sz w:val="21"/>
                <w:szCs w:val="21"/>
                <w:highlight w:val="none"/>
                <w:lang w:val="en-US" w:eastAsia="zh-CN" w:bidi="ar-SA"/>
              </w:rPr>
              <w:t>①</w:t>
            </w:r>
            <w:r>
              <w:rPr>
                <w:rFonts w:hint="default" w:ascii="Times New Roman" w:hAnsi="Times New Roman" w:eastAsia="宋体" w:cs="Times New Roman"/>
                <w:color w:val="auto"/>
                <w:spacing w:val="0"/>
                <w:kern w:val="0"/>
                <w:sz w:val="21"/>
                <w:szCs w:val="21"/>
                <w:highlight w:val="none"/>
                <w:lang w:val="en-US" w:eastAsia="zh-CN" w:bidi="ar-SA"/>
              </w:rPr>
              <w:fldChar w:fldCharType="end"/>
            </w:r>
            <w:r>
              <w:rPr>
                <w:rFonts w:hint="default" w:ascii="Times New Roman" w:hAnsi="Times New Roman" w:eastAsia="宋体" w:cs="Times New Roman"/>
                <w:color w:val="auto"/>
                <w:spacing w:val="0"/>
                <w:kern w:val="0"/>
                <w:sz w:val="21"/>
                <w:szCs w:val="21"/>
                <w:highlight w:val="none"/>
                <w:lang w:val="en-US" w:eastAsia="zh-CN" w:bidi="ar-SA"/>
              </w:rPr>
              <w:t>说明工程所处的地理位置及周围情况(占地面积、居民情况、气象状况等)、生产规模与现状、道路及运输情况等内容。</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fldChar w:fldCharType="begin"/>
            </w:r>
            <w:r>
              <w:rPr>
                <w:rFonts w:hint="default" w:ascii="Times New Roman" w:hAnsi="Times New Roman" w:eastAsia="宋体" w:cs="Times New Roman"/>
                <w:color w:val="auto"/>
                <w:spacing w:val="0"/>
                <w:kern w:val="0"/>
                <w:sz w:val="21"/>
                <w:szCs w:val="21"/>
                <w:highlight w:val="none"/>
                <w:lang w:val="en-US" w:eastAsia="zh-CN" w:bidi="ar-SA"/>
              </w:rPr>
              <w:instrText xml:space="preserve">= 2 \* GB3</w:instrText>
            </w:r>
            <w:r>
              <w:rPr>
                <w:rFonts w:hint="default" w:ascii="Times New Roman" w:hAnsi="Times New Roman" w:eastAsia="宋体" w:cs="Times New Roman"/>
                <w:color w:val="auto"/>
                <w:spacing w:val="0"/>
                <w:kern w:val="0"/>
                <w:sz w:val="21"/>
                <w:szCs w:val="21"/>
                <w:highlight w:val="none"/>
                <w:lang w:val="en-US" w:eastAsia="zh-CN" w:bidi="ar-SA"/>
              </w:rPr>
              <w:fldChar w:fldCharType="separate"/>
            </w:r>
            <w:r>
              <w:rPr>
                <w:rFonts w:hint="eastAsia" w:ascii="Times New Roman" w:hAnsi="Times New Roman" w:eastAsia="宋体" w:cs="Times New Roman"/>
                <w:color w:val="auto"/>
                <w:spacing w:val="0"/>
                <w:kern w:val="0"/>
                <w:sz w:val="21"/>
                <w:szCs w:val="21"/>
                <w:highlight w:val="none"/>
                <w:lang w:val="en-US" w:eastAsia="zh-CN" w:bidi="ar-SA"/>
              </w:rPr>
              <w:t>②</w:t>
            </w:r>
            <w:r>
              <w:rPr>
                <w:rFonts w:hint="default" w:ascii="Times New Roman" w:hAnsi="Times New Roman" w:eastAsia="宋体" w:cs="Times New Roman"/>
                <w:color w:val="auto"/>
                <w:spacing w:val="0"/>
                <w:kern w:val="0"/>
                <w:sz w:val="21"/>
                <w:szCs w:val="21"/>
                <w:highlight w:val="none"/>
                <w:lang w:val="en-US" w:eastAsia="zh-CN" w:bidi="ar-SA"/>
              </w:rPr>
              <w:fldChar w:fldCharType="end"/>
            </w:r>
            <w:r>
              <w:rPr>
                <w:rFonts w:hint="default" w:ascii="Times New Roman" w:hAnsi="Times New Roman" w:eastAsia="宋体" w:cs="Times New Roman"/>
                <w:color w:val="auto"/>
                <w:spacing w:val="0"/>
                <w:kern w:val="0"/>
                <w:sz w:val="21"/>
                <w:szCs w:val="21"/>
                <w:highlight w:val="none"/>
                <w:lang w:val="en-US" w:eastAsia="zh-CN" w:bidi="ar-SA"/>
              </w:rPr>
              <w:t>明确危险源的数量及分布。</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bidi="ar-SA"/>
              </w:rPr>
              <w:fldChar w:fldCharType="begin"/>
            </w:r>
            <w:r>
              <w:rPr>
                <w:rFonts w:hint="default" w:ascii="Times New Roman" w:hAnsi="Times New Roman" w:eastAsia="宋体" w:cs="Times New Roman"/>
                <w:color w:val="auto"/>
                <w:spacing w:val="0"/>
                <w:kern w:val="0"/>
                <w:sz w:val="21"/>
                <w:szCs w:val="21"/>
                <w:highlight w:val="none"/>
                <w:lang w:val="en-US" w:eastAsia="zh-CN" w:bidi="ar-SA"/>
              </w:rPr>
              <w:instrText xml:space="preserve">= 3 \* GB3</w:instrText>
            </w:r>
            <w:r>
              <w:rPr>
                <w:rFonts w:hint="default" w:ascii="Times New Roman" w:hAnsi="Times New Roman" w:eastAsia="宋体" w:cs="Times New Roman"/>
                <w:color w:val="auto"/>
                <w:spacing w:val="0"/>
                <w:kern w:val="0"/>
                <w:sz w:val="21"/>
                <w:szCs w:val="21"/>
                <w:highlight w:val="none"/>
                <w:lang w:val="en-US" w:eastAsia="zh-CN" w:bidi="ar-SA"/>
              </w:rPr>
              <w:fldChar w:fldCharType="separate"/>
            </w:r>
            <w:r>
              <w:rPr>
                <w:rFonts w:hint="eastAsia" w:ascii="Times New Roman" w:hAnsi="Times New Roman" w:eastAsia="宋体" w:cs="Times New Roman"/>
                <w:color w:val="auto"/>
                <w:spacing w:val="0"/>
                <w:kern w:val="0"/>
                <w:sz w:val="21"/>
                <w:szCs w:val="21"/>
                <w:highlight w:val="none"/>
                <w:lang w:val="en-US" w:eastAsia="zh-CN" w:bidi="ar-SA"/>
              </w:rPr>
              <w:t>③</w:t>
            </w:r>
            <w:r>
              <w:rPr>
                <w:rFonts w:hint="default" w:ascii="Times New Roman" w:hAnsi="Times New Roman" w:eastAsia="宋体" w:cs="Times New Roman"/>
                <w:color w:val="auto"/>
                <w:spacing w:val="0"/>
                <w:kern w:val="0"/>
                <w:sz w:val="21"/>
                <w:szCs w:val="21"/>
                <w:highlight w:val="none"/>
                <w:lang w:val="en-US" w:eastAsia="zh-CN" w:bidi="ar-SA"/>
              </w:rPr>
              <w:fldChar w:fldCharType="end"/>
            </w:r>
            <w:r>
              <w:rPr>
                <w:rFonts w:hint="default" w:ascii="Times New Roman" w:hAnsi="Times New Roman" w:eastAsia="宋体" w:cs="Times New Roman"/>
                <w:color w:val="auto"/>
                <w:spacing w:val="0"/>
                <w:kern w:val="0"/>
                <w:sz w:val="21"/>
                <w:szCs w:val="21"/>
                <w:highlight w:val="none"/>
                <w:lang w:val="en-US" w:eastAsia="zh-CN" w:bidi="ar-SA"/>
              </w:rPr>
              <w:t>确定应急救援指挥机构的设置和职责</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4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④</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准备必要装备并确定通讯联络和联络方式。</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5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⑤</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组织应急救援专业队伍的，明确他们的任务，并经常进行训练和演习。</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6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⑥</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事故发生后，应立即与</w:t>
            </w:r>
            <w:r>
              <w:rPr>
                <w:rFonts w:hint="eastAsia" w:ascii="Times New Roman" w:hAnsi="Times New Roman" w:eastAsia="宋体" w:cs="Times New Roman"/>
                <w:color w:val="auto"/>
                <w:kern w:val="0"/>
                <w:sz w:val="21"/>
                <w:szCs w:val="21"/>
                <w:highlight w:val="none"/>
                <w:lang w:val="en-US" w:eastAsia="zh-CN" w:bidi="ar-SA"/>
              </w:rPr>
              <w:t>当地</w:t>
            </w:r>
            <w:r>
              <w:rPr>
                <w:rFonts w:hint="default" w:ascii="Times New Roman" w:hAnsi="Times New Roman" w:eastAsia="宋体" w:cs="Times New Roman"/>
                <w:color w:val="auto"/>
                <w:kern w:val="0"/>
                <w:sz w:val="21"/>
                <w:szCs w:val="21"/>
                <w:highlight w:val="none"/>
                <w:lang w:val="en-US" w:eastAsia="zh-CN" w:bidi="ar-SA"/>
              </w:rPr>
              <w:t>环境监测站取得联系，并对事故现场进行监测和流到监测。</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7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⑦</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制定重大事故的应急处置方案和救援程序。</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8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⑧</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发生事故后，抢险人员应根据事先拟定的方案，在做好个人防护的技术基础上，以最快的速度及时堵漏排险、消灭事故。</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9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⑨</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发生事故后，对受伤人员进行及时有效的现场医疗救护。</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10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⑩</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发生重大事故可能对人群安全构成威胁时，必须在指挥部统一指挥下，紧急疏散与事故应急救援无关的人员，疏散方向、距离和集中地点，必须根据不同事故，作出具体规定。总的原则是疏散安全点处于当时的上风向。对爆炸、热辐射可能威胁到的人员，指挥部应立即和当地有关部门联系，引导迅速撤离到安全地点。</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Cambria Math" w:hAnsi="Cambria Math" w:eastAsia="微软雅黑" w:cs="Cambria Math"/>
                <w:color w:val="auto"/>
                <w:kern w:val="0"/>
                <w:sz w:val="21"/>
                <w:szCs w:val="21"/>
                <w:highlight w:val="none"/>
                <w:shd w:val="clear" w:color="auto" w:fill="FFFFFF"/>
                <w:lang w:val="en-US" w:eastAsia="zh-CN" w:bidi="ar-SA"/>
              </w:rPr>
              <w:t>⑪</w:t>
            </w:r>
            <w:r>
              <w:rPr>
                <w:rFonts w:hint="default" w:ascii="Times New Roman" w:hAnsi="Times New Roman" w:eastAsia="宋体" w:cs="Times New Roman"/>
                <w:color w:val="auto"/>
                <w:kern w:val="0"/>
                <w:sz w:val="21"/>
                <w:szCs w:val="21"/>
                <w:highlight w:val="none"/>
                <w:lang w:val="en-US" w:eastAsia="zh-CN" w:bidi="ar-SA"/>
              </w:rPr>
              <w:t>发生重大事故，建设单位抢险救援力量不足或有可能危及社会安全时，指挥部必须立即向上级和相邻单位通报，必要时请求社会力量援助。社会救援队伍进入现场时，指挥部应责成专人联络，引导并告知安全注意事项。</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Cambria Math" w:hAnsi="Cambria Math" w:eastAsia="微软雅黑" w:cs="Cambria Math"/>
                <w:color w:val="auto"/>
                <w:kern w:val="0"/>
                <w:sz w:val="21"/>
                <w:szCs w:val="21"/>
                <w:highlight w:val="none"/>
                <w:shd w:val="clear" w:color="auto" w:fill="FFFFFF"/>
                <w:lang w:val="en-US" w:eastAsia="zh-CN" w:bidi="ar-SA"/>
              </w:rPr>
              <w:t>⑫</w:t>
            </w:r>
            <w:r>
              <w:rPr>
                <w:rFonts w:hint="default" w:ascii="Times New Roman" w:hAnsi="Times New Roman" w:eastAsia="宋体" w:cs="Times New Roman"/>
                <w:color w:val="auto"/>
                <w:kern w:val="0"/>
                <w:sz w:val="21"/>
                <w:szCs w:val="21"/>
                <w:highlight w:val="none"/>
                <w:lang w:val="en-US" w:eastAsia="zh-CN" w:bidi="ar-SA"/>
              </w:rPr>
              <w:t>确定事故应急救援工作结束，通知本单位相关部门、周围社区及人员，事故危险已解除。</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Cambria Math" w:hAnsi="Cambria Math" w:eastAsia="微软雅黑" w:cs="Cambria Math"/>
                <w:color w:val="auto"/>
                <w:kern w:val="0"/>
                <w:sz w:val="21"/>
                <w:szCs w:val="21"/>
                <w:highlight w:val="none"/>
                <w:shd w:val="clear" w:color="auto" w:fill="FFFFFF"/>
                <w:lang w:val="en-US" w:eastAsia="zh-CN" w:bidi="ar-SA"/>
              </w:rPr>
              <w:t>⑬</w:t>
            </w:r>
            <w:r>
              <w:rPr>
                <w:rFonts w:hint="default" w:ascii="Times New Roman" w:hAnsi="Times New Roman" w:eastAsia="宋体" w:cs="Times New Roman"/>
                <w:color w:val="auto"/>
                <w:kern w:val="0"/>
                <w:sz w:val="21"/>
                <w:szCs w:val="21"/>
                <w:highlight w:val="none"/>
                <w:lang w:val="en-US" w:eastAsia="zh-CN" w:bidi="ar-SA"/>
              </w:rPr>
              <w:t>对应急救援人员进行培训，对社会或周围人员应急响应知识的宣传。</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b/>
                <w:color w:val="auto"/>
                <w:kern w:val="0"/>
                <w:sz w:val="21"/>
                <w:szCs w:val="21"/>
                <w:highlight w:val="none"/>
                <w:lang w:val="en-US" w:eastAsia="zh-CN" w:bidi="ar-SA"/>
              </w:rPr>
            </w:pPr>
            <w:r>
              <w:rPr>
                <w:rFonts w:hint="default" w:ascii="Cambria Math" w:hAnsi="Cambria Math" w:eastAsia="微软雅黑" w:cs="Cambria Math"/>
                <w:color w:val="auto"/>
                <w:kern w:val="0"/>
                <w:sz w:val="21"/>
                <w:szCs w:val="21"/>
                <w:highlight w:val="none"/>
                <w:shd w:val="clear" w:color="auto" w:fill="FFFFFF"/>
                <w:lang w:val="en-US" w:eastAsia="zh-CN" w:bidi="ar-SA"/>
              </w:rPr>
              <w:t>⑭</w:t>
            </w:r>
            <w:r>
              <w:rPr>
                <w:rFonts w:hint="default" w:ascii="Times New Roman" w:hAnsi="Times New Roman" w:eastAsia="宋体" w:cs="Times New Roman"/>
                <w:color w:val="auto"/>
                <w:kern w:val="0"/>
                <w:sz w:val="21"/>
                <w:szCs w:val="21"/>
                <w:highlight w:val="none"/>
                <w:lang w:val="en-US" w:eastAsia="zh-CN" w:bidi="ar-SA"/>
              </w:rPr>
              <w:t>明确演练计划。</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（2）井喷及井喷失控应急处理预案</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根据事态发展变化情况，事故现场抢险指挥部根据应急领导小组的指令并充分考虑专家和有关意见的基础上，依法采取紧急措施，并注意做好以下工作：</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1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①</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井喷失控后严防着火和爆炸。应立即停钻机，切断井架、钻台、机泵房等处全部照明灯和用电设备的电源，熄灭一切火源，需要时打开专用探照灯，并组织警戒。</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2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②</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立即向政府</w:t>
            </w:r>
            <w:r>
              <w:rPr>
                <w:rFonts w:hint="eastAsia" w:ascii="Times New Roman" w:hAnsi="Times New Roman" w:eastAsia="宋体" w:cs="Times New Roman"/>
                <w:color w:val="auto"/>
                <w:kern w:val="0"/>
                <w:sz w:val="21"/>
                <w:szCs w:val="21"/>
                <w:highlight w:val="none"/>
                <w:lang w:val="en-US" w:eastAsia="zh-CN" w:bidi="ar-SA"/>
              </w:rPr>
              <w:t>部门</w:t>
            </w:r>
            <w:r>
              <w:rPr>
                <w:rFonts w:hint="default" w:ascii="Times New Roman" w:hAnsi="Times New Roman" w:eastAsia="宋体" w:cs="Times New Roman"/>
                <w:color w:val="auto"/>
                <w:kern w:val="0"/>
                <w:sz w:val="21"/>
                <w:szCs w:val="21"/>
                <w:highlight w:val="none"/>
                <w:lang w:val="en-US" w:eastAsia="zh-CN" w:bidi="ar-SA"/>
              </w:rPr>
              <w:t>报告，协助当地政府作好井口500m范围内人员的疏散工作。</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3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③</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迅速成立现场抢险领导小组，根据失控状况制定抢险方案，统一指挥、组织和协调抢险工作。抢险方案制订及实施，要把环境保护同时考虑，同时实施，防止出现次生环境事故。</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4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④</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井喷发生后，及时安排消防车、救护车、医护人员和技安人员到现场。</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5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⑤</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在邻近环境敏感区以及交通干线等地区，要在进行处置井喷事故的同时，充分考虑到事故和次生事故对环境可能造成的威胁，要严密制定并采取对环境敏感区和易受损资源的保护措施，防止事态扩大和引发次生灾害。</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6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⑥</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在事故处理结束后，确认作业现场及其周围环境安全的情况下，和油田管理部门商定撤离人员的返回时间。</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（3）井喷应急疏散预案</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当井喷失控时，应立即通知并协助当地政府疏散井口500m范围内的人员，根据监测情况，考虑风向、地形、人口密度、受污染程度等情况及时作出风险和危害程度评估，决定是否扩大撤离范围。</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为了保障每位员工的生命安全，应按正确的方法和方向撤离，每位接到撤离通知的员工和群众应按下列程序撤离：</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1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①</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井队员工由井队组织撤离；</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2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②</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逃生时要注意风向，一要沿上风（逆风）方向逃生，二要沿着地面上的高处跑。</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3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③</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时间就是生命，紧急逃生时，不要因收贵重物品等事宜延误时间，并且要轻装撤离逃生。</w:t>
            </w:r>
          </w:p>
          <w:p>
            <w:pPr>
              <w:keepNext w:val="0"/>
              <w:keepLines w:val="0"/>
              <w:widowControl/>
              <w:suppressLineNumbers w:val="0"/>
              <w:spacing w:before="0" w:beforeAutospacing="0" w:after="0" w:afterAutospacing="0" w:line="360" w:lineRule="auto"/>
              <w:ind w:left="0" w:right="0" w:firstLine="420" w:firstLineChars="200"/>
              <w:jc w:val="left"/>
              <w:outlineLvl w:val="0"/>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4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④</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所处位置离井场很远时，则偏离风向往离井场越来越远的方向逃生即可。</w:t>
            </w:r>
          </w:p>
          <w:p>
            <w:pPr>
              <w:keepNext w:val="0"/>
              <w:keepLines w:val="0"/>
              <w:widowControl/>
              <w:suppressLineNumbers w:val="0"/>
              <w:spacing w:before="0" w:beforeAutospacing="0" w:after="0" w:afterAutospacing="0" w:line="360" w:lineRule="auto"/>
              <w:ind w:left="0" w:right="0" w:firstLine="420" w:firstLineChars="200"/>
              <w:jc w:val="left"/>
              <w:outlineLvl w:val="0"/>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r>
              <w:rPr>
                <w:rFonts w:hint="eastAsia" w:ascii="Times New Roman" w:hAnsi="Times New Roman" w:eastAsia="宋体" w:cs="Times New Roman"/>
                <w:b w:val="0"/>
                <w:bCs/>
                <w:color w:val="auto"/>
                <w:kern w:val="0"/>
                <w:sz w:val="21"/>
                <w:szCs w:val="21"/>
                <w:highlight w:val="none"/>
                <w:lang w:val="en-US" w:eastAsia="zh-CN" w:bidi="ar-SA"/>
              </w:rPr>
              <w:t>4</w:t>
            </w:r>
            <w:r>
              <w:rPr>
                <w:rFonts w:hint="default" w:ascii="Times New Roman" w:hAnsi="Times New Roman" w:eastAsia="宋体" w:cs="Times New Roman"/>
                <w:b w:val="0"/>
                <w:bCs/>
                <w:color w:val="auto"/>
                <w:kern w:val="0"/>
                <w:sz w:val="21"/>
                <w:szCs w:val="21"/>
                <w:highlight w:val="none"/>
                <w:lang w:val="en-US" w:eastAsia="zh-CN" w:bidi="ar-SA"/>
              </w:rPr>
              <w:t>）宣传、培训和演习</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1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①</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公众信息交流。各级政府、石油开采企业要按规定向公众和员工说明石油开采的危险性及发生事故可能造成的危害，广泛宣传应急救援有关法律法规和石油开采事故预防、避险、避灾、自救、互救的常识。</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2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②</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培训。石油开采有关应急救援队伍按照有关规定参加业务培训；石油开采企业按照有关规定对员工进行应急培训；各级安全生产监督管理部门负责对应急救援培训情况进行监督检查。各级应急救援管理机构加强应急管理、救援人员的上岗前培训和常规性培训。</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3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③</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演习。单位每年至少组织一次井喷失控事故应急的桌面演习或全面演习，并将演习总结报应急办公室。</w:t>
            </w:r>
          </w:p>
          <w:p>
            <w:pPr>
              <w:keepNext w:val="0"/>
              <w:keepLines w:val="0"/>
              <w:widowControl/>
              <w:suppressLineNumbers w:val="0"/>
              <w:spacing w:before="0" w:beforeAutospacing="0" w:after="0" w:afterAutospacing="0" w:line="360" w:lineRule="auto"/>
              <w:ind w:left="0" w:right="0" w:firstLine="420" w:firstLineChars="200"/>
              <w:jc w:val="left"/>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r>
              <w:rPr>
                <w:rFonts w:hint="eastAsia" w:ascii="Times New Roman" w:hAnsi="Times New Roman" w:eastAsia="宋体" w:cs="Times New Roman"/>
                <w:b w:val="0"/>
                <w:bCs/>
                <w:color w:val="auto"/>
                <w:kern w:val="0"/>
                <w:sz w:val="21"/>
                <w:szCs w:val="21"/>
                <w:highlight w:val="none"/>
                <w:lang w:val="en-US" w:eastAsia="zh-CN" w:bidi="ar-SA"/>
              </w:rPr>
              <w:t>5</w:t>
            </w:r>
            <w:r>
              <w:rPr>
                <w:rFonts w:hint="default" w:ascii="Times New Roman" w:hAnsi="Times New Roman" w:eastAsia="宋体" w:cs="Times New Roman"/>
                <w:b w:val="0"/>
                <w:bCs/>
                <w:color w:val="auto"/>
                <w:kern w:val="0"/>
                <w:sz w:val="21"/>
                <w:szCs w:val="21"/>
                <w:highlight w:val="none"/>
                <w:lang w:val="en-US" w:eastAsia="zh-CN" w:bidi="ar-SA"/>
              </w:rPr>
              <w:t>）风险管理措施</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1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①</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加强各级干部、职工的风险意识和环境意识教育，增强安全、环保意识。建立健全了各种规章制度、规程，使制度落实到实处，严格遵守，杜绝违章作业。</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2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②</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强化岗位责任制，严格各项操作规程和奖惩制度，对生产操作的工人必须培训经考核后上岗，使其了解工艺过程，熟悉操作规程，对各种情况能进行正确判断，并严格遵守开、停工规程。</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3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③</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经常对职工进行爱岗教育，使职工安心本职工作，遵守劳动纪律，避免因责任心不强、操作中疏忽大意、擅离职守等原因造成的事故。</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4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④</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对事故易发部位、易泄漏地点，除本岗工人及时检查外，应设安全员巡检。对本</w:t>
            </w:r>
            <w:r>
              <w:rPr>
                <w:rFonts w:hint="eastAsia" w:ascii="Times New Roman" w:hAnsi="Times New Roman" w:eastAsia="宋体" w:cs="Times New Roman"/>
                <w:color w:val="auto"/>
                <w:kern w:val="0"/>
                <w:sz w:val="21"/>
                <w:szCs w:val="21"/>
                <w:highlight w:val="none"/>
                <w:lang w:val="en-US" w:eastAsia="zh-CN" w:bidi="ar-SA"/>
              </w:rPr>
              <w:t>项目</w:t>
            </w:r>
            <w:r>
              <w:rPr>
                <w:rFonts w:hint="default" w:ascii="Times New Roman" w:hAnsi="Times New Roman" w:eastAsia="宋体" w:cs="Times New Roman"/>
                <w:color w:val="auto"/>
                <w:kern w:val="0"/>
                <w:sz w:val="21"/>
                <w:szCs w:val="21"/>
                <w:highlight w:val="none"/>
                <w:lang w:val="en-US" w:eastAsia="zh-CN" w:bidi="ar-SA"/>
              </w:rPr>
              <w:t>具有较大危险因素的重点部位（如：井控装置、原油储罐等）进行必要的定期巡检。</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5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⑤</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施工、设备、材料应按规章进行认真的检查、验收。设计、工艺、管理三部门通力合作，严防不合格设备、材料蒙混过关。</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6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⑥</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提高自动化水平保证各系统在优化和安全状态下进行操作。</w:t>
            </w:r>
          </w:p>
          <w:p>
            <w:pPr>
              <w:keepNext w:val="0"/>
              <w:keepLines w:val="0"/>
              <w:widowControl/>
              <w:suppressLineNumbers w:val="0"/>
              <w:spacing w:before="0" w:beforeAutospacing="0" w:after="0" w:afterAutospacing="0" w:line="360" w:lineRule="auto"/>
              <w:ind w:left="0" w:right="0" w:firstLine="472" w:firstLineChars="225"/>
              <w:jc w:val="lef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7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⑦</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对研究各种典型的事故要注意研究，充分吸取教训，并注意在技术措施上的改进和防范，尽可能减少人为的繁琐操作过程。</w:t>
            </w:r>
          </w:p>
          <w:p>
            <w:pPr>
              <w:keepNext w:val="0"/>
              <w:keepLines w:val="0"/>
              <w:widowControl/>
              <w:suppressLineNumbers w:val="0"/>
              <w:spacing w:before="0" w:beforeAutospacing="0" w:after="0" w:afterAutospacing="0" w:line="360" w:lineRule="auto"/>
              <w:ind w:left="0" w:right="0" w:firstLine="472" w:firstLineChars="225"/>
              <w:jc w:val="left"/>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fldChar w:fldCharType="begin"/>
            </w:r>
            <w:r>
              <w:rPr>
                <w:rFonts w:hint="default" w:ascii="Times New Roman" w:hAnsi="Times New Roman" w:eastAsia="宋体" w:cs="Times New Roman"/>
                <w:color w:val="auto"/>
                <w:kern w:val="0"/>
                <w:sz w:val="21"/>
                <w:szCs w:val="21"/>
                <w:highlight w:val="none"/>
                <w:lang w:val="en-US" w:eastAsia="zh-CN" w:bidi="ar-SA"/>
              </w:rPr>
              <w:instrText xml:space="preserve">= 8 \* GB3</w:instrText>
            </w:r>
            <w:r>
              <w:rPr>
                <w:rFonts w:hint="default" w:ascii="Times New Roman" w:hAnsi="Times New Roman" w:eastAsia="宋体" w:cs="Times New Roman"/>
                <w:color w:val="auto"/>
                <w:kern w:val="0"/>
                <w:sz w:val="21"/>
                <w:szCs w:val="21"/>
                <w:highlight w:val="none"/>
                <w:lang w:val="en-US" w:eastAsia="zh-CN" w:bidi="ar-SA"/>
              </w:rPr>
              <w:fldChar w:fldCharType="separate"/>
            </w:r>
            <w:r>
              <w:rPr>
                <w:rFonts w:hint="eastAsia" w:ascii="Times New Roman" w:hAnsi="Times New Roman" w:eastAsia="宋体" w:cs="Times New Roman"/>
                <w:color w:val="auto"/>
                <w:kern w:val="0"/>
                <w:sz w:val="21"/>
                <w:szCs w:val="21"/>
                <w:highlight w:val="none"/>
                <w:lang w:val="en-US" w:eastAsia="zh-CN" w:bidi="ar-SA"/>
              </w:rPr>
              <w:t>⑧</w:t>
            </w:r>
            <w:r>
              <w:rPr>
                <w:rFonts w:hint="default" w:ascii="Times New Roman" w:hAnsi="Times New Roman" w:eastAsia="宋体" w:cs="Times New Roman"/>
                <w:color w:val="auto"/>
                <w:kern w:val="0"/>
                <w:sz w:val="21"/>
                <w:szCs w:val="21"/>
                <w:highlight w:val="none"/>
                <w:lang w:val="en-US" w:eastAsia="zh-CN" w:bidi="ar-SA"/>
              </w:rPr>
              <w:fldChar w:fldCharType="end"/>
            </w:r>
            <w:r>
              <w:rPr>
                <w:rFonts w:hint="default" w:ascii="Times New Roman" w:hAnsi="Times New Roman" w:eastAsia="宋体" w:cs="Times New Roman"/>
                <w:color w:val="auto"/>
                <w:kern w:val="0"/>
                <w:sz w:val="21"/>
                <w:szCs w:val="21"/>
                <w:highlight w:val="none"/>
                <w:lang w:val="en-US" w:eastAsia="zh-CN" w:bidi="ar-SA"/>
              </w:rPr>
              <w:t>加强油地安全互动，向当地农牧民宣传有关安全环保知识及法律法规，建立联合防范体系，杜绝人为破坏</w:t>
            </w:r>
            <w:r>
              <w:rPr>
                <w:rFonts w:hint="eastAsia" w:cs="Times New Roman"/>
                <w:color w:val="auto"/>
                <w:kern w:val="0"/>
                <w:sz w:val="21"/>
                <w:szCs w:val="21"/>
                <w:highlight w:val="none"/>
                <w:lang w:val="en-US" w:eastAsia="zh-CN" w:bidi="ar-SA"/>
              </w:rPr>
              <w:t>。</w:t>
            </w:r>
          </w:p>
          <w:p>
            <w:pPr>
              <w:keepNext w:val="0"/>
              <w:keepLines w:val="0"/>
              <w:suppressLineNumbers w:val="0"/>
              <w:adjustRightInd w:val="0"/>
              <w:snapToGrid w:val="0"/>
              <w:spacing w:before="0" w:beforeAutospacing="0" w:after="0" w:afterAutospacing="0" w:line="360" w:lineRule="auto"/>
              <w:ind w:left="0" w:leftChars="0" w:right="0" w:firstLine="420" w:firstLineChars="182"/>
              <w:rPr>
                <w:rFonts w:hint="eastAsia" w:ascii="Times New Roman" w:hAnsi="Times New Roman" w:cs="Times New Roman"/>
                <w:b/>
                <w:bCs w:val="0"/>
                <w:color w:val="auto"/>
                <w:spacing w:val="10"/>
                <w:szCs w:val="21"/>
                <w:highlight w:val="none"/>
                <w:lang w:val="en-US" w:eastAsia="zh-CN"/>
              </w:rPr>
            </w:pPr>
            <w:r>
              <w:rPr>
                <w:rFonts w:hint="eastAsia" w:cs="Times New Roman"/>
                <w:b/>
                <w:bCs w:val="0"/>
                <w:color w:val="auto"/>
                <w:spacing w:val="10"/>
                <w:szCs w:val="21"/>
                <w:highlight w:val="none"/>
                <w:lang w:val="en-US" w:eastAsia="zh-CN"/>
              </w:rPr>
              <w:t>9</w:t>
            </w:r>
            <w:r>
              <w:rPr>
                <w:rFonts w:hint="eastAsia" w:ascii="Times New Roman" w:hAnsi="Times New Roman" w:cs="Times New Roman"/>
                <w:b/>
                <w:bCs w:val="0"/>
                <w:color w:val="auto"/>
                <w:spacing w:val="10"/>
                <w:szCs w:val="21"/>
                <w:highlight w:val="none"/>
                <w:lang w:val="en-US" w:eastAsia="zh-CN"/>
              </w:rPr>
              <w:t>.环境管理</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（1）钻前准备环境管理要求</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①井场临时用地面积按设计划定，不得超过规定面积。</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②安装泥浆泵冷却水循环系统和振动筛的污水循环系统，做好各种管线的试运行工作，防止油、水跑、冒、滴、漏。</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（2）钻井作业期间环境管理要求</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①本项目钻井废水、泥浆、岩屑全部进入泥浆不落地系统，产生的废弃物全部采用不落地达标处置。</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②钻井泥浆、岩屑进入泥浆不落地系统通过处理后，液相回收入罐，一开、二开固相岩屑为一般工业固体废物</w:t>
            </w:r>
            <w:r>
              <w:rPr>
                <w:rFonts w:hint="eastAsia" w:ascii="Times New Roman" w:hAnsi="Times New Roman" w:cs="Times New Roman" w:eastAsiaTheme="minorEastAsia"/>
                <w:bCs/>
                <w:color w:val="auto"/>
                <w:spacing w:val="0"/>
                <w:szCs w:val="21"/>
                <w:highlight w:val="none"/>
                <w:lang w:val="en-US" w:eastAsia="zh-CN"/>
              </w:rPr>
              <w:t>，</w:t>
            </w:r>
            <w:r>
              <w:rPr>
                <w:rFonts w:hint="default" w:ascii="Times New Roman" w:hAnsi="Times New Roman" w:cs="Times New Roman" w:eastAsiaTheme="minorEastAsia"/>
                <w:bCs/>
                <w:color w:val="auto"/>
                <w:spacing w:val="0"/>
                <w:szCs w:val="21"/>
                <w:highlight w:val="none"/>
                <w:lang w:val="en-US" w:eastAsia="zh-CN"/>
              </w:rPr>
              <w:t>经检测后达到《油气田钻井固体废物综合利用污染控制要求》（DB65/T3997-2017）标准污染物限值的钻井固体废物作为可利用资源，用于铺路、铺垫井场等。三开为合成基泥浆（油基），钻井固体废物采用泥浆不落地技术固液分离后，分离后的液相循环使用，钻井结束后钻井液由井队回收，送至下个井场用于新钻井液的配置，不外排，固相岩屑按照危险废物进行管理，委托有危废处置资质的单位进行妥善处理。</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③发生井喷后地面处理措施及要求：调查因井喷事故造成的地面污染情况：如土壤、植被等的污染面积及数量，积极组织清除地面环境污染，恢复地貌。</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（3）试油期间环境管理要求</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①</w:t>
            </w:r>
            <w:r>
              <w:rPr>
                <w:rFonts w:hint="default" w:ascii="Times New Roman" w:hAnsi="Times New Roman" w:cs="Times New Roman" w:eastAsiaTheme="minorEastAsia"/>
                <w:color w:val="auto"/>
                <w:spacing w:val="0"/>
                <w:sz w:val="21"/>
                <w:szCs w:val="21"/>
                <w:highlight w:val="none"/>
                <w:lang w:val="en-US" w:eastAsia="zh-CN"/>
              </w:rPr>
              <w:t>试油期井下作业废水</w:t>
            </w:r>
            <w:r>
              <w:rPr>
                <w:rFonts w:hint="default" w:ascii="Times New Roman" w:hAnsi="Times New Roman" w:cs="Times New Roman" w:eastAsiaTheme="minorEastAsia"/>
                <w:snapToGrid w:val="0"/>
                <w:color w:val="auto"/>
                <w:spacing w:val="0"/>
                <w:highlight w:val="none"/>
                <w:lang w:val="en-US" w:eastAsia="zh-CN"/>
              </w:rPr>
              <w:t>在储液罐内收集，罐车拉运至春风一号联合站污水处理系统进行处理</w:t>
            </w:r>
            <w:r>
              <w:rPr>
                <w:rFonts w:hint="default" w:ascii="Times New Roman" w:hAnsi="Times New Roman" w:cs="Times New Roman" w:eastAsiaTheme="minorEastAsia"/>
                <w:bCs/>
                <w:color w:val="auto"/>
                <w:spacing w:val="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②生活垃圾集中收集，统一拉运至</w:t>
            </w:r>
            <w:r>
              <w:rPr>
                <w:rFonts w:hint="default" w:ascii="Times New Roman" w:hAnsi="Times New Roman" w:cs="Times New Roman" w:eastAsiaTheme="minorEastAsia"/>
                <w:color w:val="auto"/>
                <w:spacing w:val="0"/>
                <w:highlight w:val="none"/>
              </w:rPr>
              <w:t>玛纳斯县垃圾填埋场处置</w:t>
            </w:r>
            <w:r>
              <w:rPr>
                <w:rFonts w:hint="default" w:ascii="Times New Roman" w:hAnsi="Times New Roman" w:cs="Times New Roman" w:eastAsiaTheme="minorEastAsia"/>
                <w:bCs/>
                <w:color w:val="auto"/>
                <w:spacing w:val="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（4）完井后环境管理要求</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①场地平整，自然恢复。</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②推平柴油、机油及水罐坡道，井场应平整。</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③井场、施工营地不得随处丢弃垃圾，有利用价值的废料应回收，没有利用价值的废料应送至垃圾场填埋。</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（5）施工营地环境保护要求</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①营地设置要充分利用自然的或原有的开辟地以尽可能减少对环境的不利影响。</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②使用集中式营房，以减少占地面积。</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cs="Times New Roman" w:eastAsiaTheme="minorEastAsia"/>
                <w:bCs/>
                <w:color w:val="auto"/>
                <w:spacing w:val="0"/>
                <w:szCs w:val="21"/>
                <w:highlight w:val="none"/>
                <w:lang w:val="en-US" w:eastAsia="zh-CN"/>
              </w:rPr>
            </w:pPr>
            <w:r>
              <w:rPr>
                <w:rFonts w:hint="default" w:ascii="Times New Roman" w:hAnsi="Times New Roman" w:cs="Times New Roman" w:eastAsiaTheme="minorEastAsia"/>
                <w:bCs/>
                <w:color w:val="auto"/>
                <w:spacing w:val="0"/>
                <w:szCs w:val="21"/>
                <w:highlight w:val="none"/>
                <w:lang w:val="en-US" w:eastAsia="zh-CN"/>
              </w:rPr>
              <w:t>③严禁乱扔废弃物，生活垃圾要集中处理统一运输</w:t>
            </w:r>
            <w:r>
              <w:rPr>
                <w:rFonts w:hint="eastAsia" w:cs="Times New Roman" w:eastAsiaTheme="minorEastAsia"/>
                <w:bCs/>
                <w:color w:val="auto"/>
                <w:spacing w:val="0"/>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182"/>
              <w:textAlignment w:val="auto"/>
              <w:rPr>
                <w:rFonts w:hint="eastAsia" w:ascii="Times New Roman" w:hAnsi="Times New Roman" w:cs="Times New Roman"/>
                <w:b/>
                <w:bCs w:val="0"/>
                <w:color w:val="auto"/>
                <w:spacing w:val="10"/>
                <w:szCs w:val="21"/>
                <w:highlight w:val="none"/>
                <w:lang w:val="en-US" w:eastAsia="zh-CN"/>
              </w:rPr>
            </w:pPr>
            <w:r>
              <w:rPr>
                <w:rFonts w:hint="eastAsia" w:cs="Times New Roman"/>
                <w:b/>
                <w:bCs w:val="0"/>
                <w:color w:val="auto"/>
                <w:spacing w:val="10"/>
                <w:szCs w:val="21"/>
                <w:highlight w:val="none"/>
                <w:lang w:val="en-US" w:eastAsia="zh-CN"/>
              </w:rPr>
              <w:t>10</w:t>
            </w:r>
            <w:r>
              <w:rPr>
                <w:rFonts w:hint="eastAsia" w:ascii="Times New Roman" w:hAnsi="Times New Roman" w:cs="Times New Roman"/>
                <w:b/>
                <w:bCs w:val="0"/>
                <w:color w:val="auto"/>
                <w:spacing w:val="10"/>
                <w:szCs w:val="21"/>
                <w:highlight w:val="none"/>
                <w:lang w:val="en-US" w:eastAsia="zh-CN"/>
              </w:rPr>
              <w:t>.施工期监理</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建设单位应积极</w:t>
            </w:r>
            <w:r>
              <w:rPr>
                <w:rFonts w:hint="default" w:ascii="Times New Roman" w:hAnsi="Times New Roman" w:eastAsia="宋体" w:cs="Times New Roman"/>
                <w:color w:val="auto"/>
                <w:kern w:val="0"/>
                <w:sz w:val="21"/>
                <w:szCs w:val="21"/>
                <w:highlight w:val="none"/>
                <w:lang w:val="en-US" w:eastAsia="zh-CN" w:bidi="ar-SA"/>
              </w:rPr>
              <w:t>开展施工</w:t>
            </w:r>
            <w:r>
              <w:rPr>
                <w:rFonts w:hint="eastAsia" w:ascii="Times New Roman" w:hAnsi="Times New Roman" w:eastAsia="宋体" w:cs="Times New Roman"/>
                <w:color w:val="auto"/>
                <w:kern w:val="0"/>
                <w:sz w:val="21"/>
                <w:szCs w:val="21"/>
                <w:highlight w:val="none"/>
                <w:lang w:val="en-US" w:eastAsia="zh-CN" w:bidi="ar-SA"/>
              </w:rPr>
              <w:t>期</w:t>
            </w:r>
            <w:r>
              <w:rPr>
                <w:rFonts w:hint="default" w:ascii="Times New Roman" w:hAnsi="Times New Roman" w:eastAsia="宋体" w:cs="Times New Roman"/>
                <w:color w:val="auto"/>
                <w:kern w:val="0"/>
                <w:sz w:val="21"/>
                <w:szCs w:val="21"/>
                <w:highlight w:val="none"/>
                <w:lang w:val="en-US" w:eastAsia="zh-CN" w:bidi="ar-SA"/>
              </w:rPr>
              <w:t>环境监理。依据国家、部门、地方制定的相关环境保护法律法规，环境监理工程师在不同工作阶段对工程所在区域及工程影响区域进行环境监理，对重要环境保护设施和措施实施监理制度，确保施工期环境保护措施的落实，确保</w:t>
            </w:r>
            <w:r>
              <w:rPr>
                <w:rFonts w:hint="eastAsia" w:ascii="Times New Roman" w:hAnsi="Times New Roman" w:eastAsia="宋体" w:cs="Times New Roman"/>
                <w:color w:val="auto"/>
                <w:kern w:val="0"/>
                <w:sz w:val="21"/>
                <w:szCs w:val="21"/>
                <w:highlight w:val="none"/>
                <w:lang w:val="en-US" w:eastAsia="zh-CN" w:bidi="ar-SA"/>
              </w:rPr>
              <w:t>施工期</w:t>
            </w:r>
            <w:r>
              <w:rPr>
                <w:rFonts w:hint="default" w:ascii="Times New Roman" w:hAnsi="Times New Roman" w:eastAsia="宋体" w:cs="Times New Roman"/>
                <w:color w:val="auto"/>
                <w:kern w:val="0"/>
                <w:sz w:val="21"/>
                <w:szCs w:val="21"/>
                <w:highlight w:val="none"/>
                <w:lang w:val="en-US" w:eastAsia="zh-CN" w:bidi="ar-SA"/>
              </w:rPr>
              <w:t>环境保护工程的施工质量、施工进度和资金落实，以减小</w:t>
            </w:r>
            <w:r>
              <w:rPr>
                <w:rFonts w:hint="eastAsia" w:ascii="Times New Roman" w:hAnsi="Times New Roman" w:eastAsia="宋体" w:cs="Times New Roman"/>
                <w:color w:val="auto"/>
                <w:kern w:val="0"/>
                <w:sz w:val="21"/>
                <w:szCs w:val="21"/>
                <w:highlight w:val="none"/>
                <w:lang w:val="en-US" w:eastAsia="zh-CN" w:bidi="ar-SA"/>
              </w:rPr>
              <w:t>工程</w:t>
            </w:r>
            <w:r>
              <w:rPr>
                <w:rFonts w:hint="default" w:ascii="Times New Roman" w:hAnsi="Times New Roman" w:eastAsia="宋体" w:cs="Times New Roman"/>
                <w:color w:val="auto"/>
                <w:kern w:val="0"/>
                <w:sz w:val="21"/>
                <w:szCs w:val="21"/>
                <w:highlight w:val="none"/>
                <w:lang w:val="en-US" w:eastAsia="zh-CN" w:bidi="ar-SA"/>
              </w:rPr>
              <w:t>实施对环境的影响。</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w:t>
            </w:r>
            <w:r>
              <w:rPr>
                <w:rFonts w:hint="default" w:ascii="Times New Roman" w:hAnsi="Times New Roman" w:eastAsia="宋体" w:cs="Times New Roman"/>
                <w:color w:val="auto"/>
                <w:kern w:val="0"/>
                <w:sz w:val="21"/>
                <w:szCs w:val="21"/>
                <w:highlight w:val="none"/>
                <w:lang w:val="en-US" w:eastAsia="zh-CN" w:bidi="ar-SA"/>
              </w:rPr>
              <w:t>环境监理的工作阶段包括：施工准备阶段环境监理，施工阶段环境监理，工程验收阶段（交工及缺陷责任区）环境监理（事前、事中和事后监理）。</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0"/>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本项目</w:t>
            </w:r>
            <w:r>
              <w:rPr>
                <w:rFonts w:hint="default" w:ascii="Times New Roman" w:hAnsi="Times New Roman" w:eastAsia="宋体" w:cs="Times New Roman"/>
                <w:color w:val="auto"/>
                <w:kern w:val="0"/>
                <w:sz w:val="21"/>
                <w:szCs w:val="21"/>
                <w:highlight w:val="none"/>
                <w:lang w:val="en-US" w:eastAsia="zh-CN" w:bidi="ar-SA"/>
              </w:rPr>
              <w:t>环境监理的工作范围为：</w:t>
            </w:r>
            <w:r>
              <w:rPr>
                <w:rFonts w:hint="eastAsia" w:ascii="Times New Roman" w:hAnsi="Times New Roman" w:eastAsia="宋体" w:cs="Times New Roman"/>
                <w:color w:val="auto"/>
                <w:kern w:val="0"/>
                <w:sz w:val="21"/>
                <w:szCs w:val="21"/>
                <w:highlight w:val="none"/>
                <w:lang w:val="en-US" w:eastAsia="zh-CN" w:bidi="ar-SA"/>
              </w:rPr>
              <w:t>井场施工区域</w:t>
            </w:r>
            <w:r>
              <w:rPr>
                <w:rFonts w:hint="default" w:ascii="Times New Roman" w:hAnsi="Times New Roman" w:eastAsia="宋体"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临时施工</w:t>
            </w:r>
            <w:r>
              <w:rPr>
                <w:rFonts w:hint="default" w:ascii="Times New Roman" w:hAnsi="Times New Roman" w:eastAsia="宋体" w:cs="Times New Roman"/>
                <w:color w:val="auto"/>
                <w:kern w:val="0"/>
                <w:sz w:val="21"/>
                <w:szCs w:val="21"/>
                <w:highlight w:val="none"/>
                <w:lang w:val="en-US" w:eastAsia="zh-CN" w:bidi="ar-SA"/>
              </w:rPr>
              <w:t>道路，</w:t>
            </w:r>
            <w:r>
              <w:rPr>
                <w:rFonts w:hint="eastAsia" w:ascii="Times New Roman" w:hAnsi="Times New Roman" w:eastAsia="宋体" w:cs="Times New Roman"/>
                <w:color w:val="auto"/>
                <w:kern w:val="0"/>
                <w:sz w:val="21"/>
                <w:szCs w:val="21"/>
                <w:highlight w:val="none"/>
                <w:lang w:val="en-US" w:eastAsia="zh-CN" w:bidi="ar-SA"/>
              </w:rPr>
              <w:t>以及</w:t>
            </w:r>
            <w:r>
              <w:rPr>
                <w:rFonts w:hint="default" w:ascii="Times New Roman" w:hAnsi="Times New Roman" w:eastAsia="宋体" w:cs="Times New Roman"/>
                <w:color w:val="auto"/>
                <w:kern w:val="0"/>
                <w:sz w:val="21"/>
                <w:szCs w:val="21"/>
                <w:highlight w:val="none"/>
                <w:lang w:val="en-US" w:eastAsia="zh-CN" w:bidi="ar-SA"/>
              </w:rPr>
              <w:t>上述范围内的施工活动对周边造成生态</w:t>
            </w:r>
            <w:r>
              <w:rPr>
                <w:rFonts w:hint="eastAsia" w:ascii="Times New Roman" w:hAnsi="Times New Roman" w:eastAsia="宋体" w:cs="Times New Roman"/>
                <w:color w:val="auto"/>
                <w:kern w:val="0"/>
                <w:sz w:val="21"/>
                <w:szCs w:val="21"/>
                <w:highlight w:val="none"/>
                <w:lang w:val="en-US" w:eastAsia="zh-CN" w:bidi="ar-SA"/>
              </w:rPr>
              <w:t>影响</w:t>
            </w:r>
            <w:r>
              <w:rPr>
                <w:rFonts w:hint="default" w:ascii="Times New Roman" w:hAnsi="Times New Roman" w:eastAsia="宋体" w:cs="Times New Roman"/>
                <w:color w:val="auto"/>
                <w:kern w:val="0"/>
                <w:sz w:val="21"/>
                <w:szCs w:val="21"/>
                <w:highlight w:val="none"/>
                <w:lang w:val="en-US" w:eastAsia="zh-CN" w:bidi="ar-SA"/>
              </w:rPr>
              <w:t>的区域</w:t>
            </w:r>
            <w:r>
              <w:rPr>
                <w:rFonts w:hint="eastAsia" w:ascii="Times New Roman" w:hAnsi="Times New Roman" w:eastAsia="宋体" w:cs="Times New Roman"/>
                <w:bCs/>
                <w:spacing w:val="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firstLine="384" w:firstLineChars="182"/>
              <w:rPr>
                <w:rFonts w:hint="eastAsia" w:ascii="Times New Roman" w:hAnsi="Times New Roman" w:eastAsia="宋体" w:cs="Times New Roman"/>
                <w:bCs/>
                <w:spacing w:val="0"/>
                <w:szCs w:val="21"/>
                <w:highlight w:val="none"/>
                <w:lang w:val="en-US" w:eastAsia="zh-CN"/>
              </w:rPr>
            </w:pPr>
            <w:r>
              <w:rPr>
                <w:rFonts w:hint="eastAsia" w:cs="Times New Roman"/>
                <w:b/>
                <w:bCs w:val="0"/>
                <w:spacing w:val="0"/>
                <w:szCs w:val="21"/>
                <w:highlight w:val="none"/>
                <w:lang w:val="en-US" w:eastAsia="zh-CN"/>
              </w:rPr>
              <w:t>11</w:t>
            </w:r>
            <w:r>
              <w:rPr>
                <w:rFonts w:hint="eastAsia" w:ascii="Times New Roman" w:hAnsi="Times New Roman" w:eastAsia="宋体" w:cs="Times New Roman"/>
                <w:b/>
                <w:bCs w:val="0"/>
                <w:spacing w:val="0"/>
                <w:szCs w:val="21"/>
                <w:highlight w:val="none"/>
                <w:lang w:val="en-US" w:eastAsia="zh-CN"/>
              </w:rPr>
              <w:t>.环境监测计划</w:t>
            </w:r>
          </w:p>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10"/>
                <w:szCs w:val="21"/>
                <w:highlight w:val="none"/>
                <w:lang w:val="en-US" w:eastAsia="zh-CN"/>
              </w:rPr>
            </w:pPr>
            <w:r>
              <w:rPr>
                <w:rFonts w:hint="eastAsia" w:cs="Times New Roman"/>
                <w:bCs/>
                <w:spacing w:val="0"/>
                <w:szCs w:val="21"/>
                <w:highlight w:val="none"/>
                <w:lang w:val="en-US" w:eastAsia="zh-CN"/>
              </w:rPr>
              <w:t>本评价建议</w:t>
            </w:r>
            <w:r>
              <w:rPr>
                <w:rFonts w:hint="eastAsia" w:ascii="Times New Roman" w:hAnsi="Times New Roman" w:eastAsia="宋体" w:cs="Times New Roman"/>
                <w:bCs/>
                <w:spacing w:val="0"/>
                <w:szCs w:val="21"/>
                <w:highlight w:val="none"/>
                <w:lang w:val="en-US" w:eastAsia="zh-CN"/>
              </w:rPr>
              <w:t>施工期环境监测类别、项目、频次等见表5.1</w:t>
            </w:r>
            <w:r>
              <w:rPr>
                <w:rFonts w:hint="eastAsia" w:ascii="Times New Roman" w:hAnsi="Times New Roman" w:eastAsia="宋体" w:cs="Times New Roman"/>
                <w:bCs/>
                <w:spacing w:val="1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eastAsia" w:ascii="黑体" w:hAnsi="黑体" w:eastAsia="黑体" w:cs="黑体"/>
                <w:bCs/>
                <w:spacing w:val="10"/>
                <w:szCs w:val="21"/>
                <w:highlight w:val="none"/>
                <w:lang w:val="en-US" w:eastAsia="zh-CN"/>
              </w:rPr>
            </w:pPr>
            <w:r>
              <w:rPr>
                <w:rFonts w:hint="eastAsia" w:ascii="黑体" w:hAnsi="黑体" w:eastAsia="黑体" w:cs="黑体"/>
                <w:bCs/>
                <w:spacing w:val="10"/>
                <w:szCs w:val="21"/>
                <w:highlight w:val="none"/>
                <w:lang w:val="en-US" w:eastAsia="zh-CN"/>
              </w:rPr>
              <w:t>表5.1环境监测计划表</w:t>
            </w:r>
          </w:p>
          <w:tbl>
            <w:tblPr>
              <w:tblStyle w:val="20"/>
              <w:tblW w:w="7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624"/>
              <w:gridCol w:w="1732"/>
              <w:gridCol w:w="1991"/>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jc w:val="center"/>
              </w:trPr>
              <w:tc>
                <w:tcPr>
                  <w:tcW w:w="1089"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eastAsia" w:ascii="Times New Roman" w:hAnsi="Times New Roman" w:eastAsia="宋体"/>
                      <w:color w:val="auto"/>
                      <w:kern w:val="0"/>
                      <w:sz w:val="21"/>
                    </w:rPr>
                    <w:t>监测对象</w:t>
                  </w:r>
                </w:p>
              </w:tc>
              <w:tc>
                <w:tcPr>
                  <w:tcW w:w="1624"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eastAsia" w:ascii="Times New Roman" w:hAnsi="Times New Roman" w:eastAsia="宋体"/>
                      <w:color w:val="auto"/>
                      <w:kern w:val="0"/>
                      <w:sz w:val="21"/>
                    </w:rPr>
                    <w:t>监测频率</w:t>
                  </w:r>
                </w:p>
              </w:tc>
              <w:tc>
                <w:tcPr>
                  <w:tcW w:w="1732"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eastAsia" w:ascii="Times New Roman" w:hAnsi="Times New Roman" w:eastAsia="宋体"/>
                      <w:color w:val="auto"/>
                      <w:kern w:val="0"/>
                      <w:sz w:val="21"/>
                    </w:rPr>
                    <w:t>监测项目</w:t>
                  </w:r>
                </w:p>
              </w:tc>
              <w:tc>
                <w:tcPr>
                  <w:tcW w:w="1991"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eastAsia" w:ascii="Times New Roman" w:hAnsi="Times New Roman" w:eastAsia="宋体"/>
                      <w:color w:val="auto"/>
                      <w:kern w:val="0"/>
                      <w:sz w:val="21"/>
                    </w:rPr>
                    <w:t>监测地点</w:t>
                  </w:r>
                </w:p>
              </w:tc>
              <w:tc>
                <w:tcPr>
                  <w:tcW w:w="995"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eastAsia" w:ascii="Times New Roman" w:hAnsi="Times New Roman" w:eastAsia="宋体"/>
                      <w:color w:val="auto"/>
                      <w:kern w:val="0"/>
                      <w:sz w:val="21"/>
                    </w:rPr>
                    <w:t>监测</w:t>
                  </w:r>
                </w:p>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eastAsia" w:ascii="Times New Roman" w:hAnsi="Times New Roman" w:eastAsia="宋体"/>
                      <w:color w:val="auto"/>
                      <w:kern w:val="0"/>
                      <w:sz w:val="21"/>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1089"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eastAsia" w:ascii="Times New Roman" w:hAnsi="Times New Roman" w:eastAsia="宋体"/>
                      <w:color w:val="auto"/>
                      <w:kern w:val="0"/>
                      <w:sz w:val="21"/>
                    </w:rPr>
                    <w:t>井下作业废水</w:t>
                  </w:r>
                </w:p>
              </w:tc>
              <w:tc>
                <w:tcPr>
                  <w:tcW w:w="1624"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eastAsia" w:ascii="Times New Roman" w:hAnsi="Times New Roman" w:eastAsia="宋体"/>
                      <w:color w:val="auto"/>
                      <w:kern w:val="0"/>
                      <w:sz w:val="21"/>
                    </w:rPr>
                    <w:t>由</w:t>
                  </w:r>
                  <w:r>
                    <w:rPr>
                      <w:rFonts w:hint="eastAsia" w:eastAsia="宋体"/>
                      <w:color w:val="auto"/>
                      <w:sz w:val="21"/>
                    </w:rPr>
                    <w:t>春风一号联合站</w:t>
                  </w:r>
                  <w:r>
                    <w:rPr>
                      <w:rFonts w:hint="eastAsia" w:ascii="Times New Roman" w:hAnsi="Times New Roman" w:eastAsia="宋体"/>
                      <w:color w:val="auto"/>
                      <w:kern w:val="0"/>
                      <w:sz w:val="21"/>
                    </w:rPr>
                    <w:t>统一对污水处理系统出水进行检测</w:t>
                  </w:r>
                </w:p>
              </w:tc>
              <w:tc>
                <w:tcPr>
                  <w:tcW w:w="1732"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default" w:ascii="Times New Roman" w:hAnsi="Times New Roman" w:eastAsia="宋体"/>
                      <w:color w:val="auto"/>
                      <w:kern w:val="0"/>
                      <w:sz w:val="21"/>
                    </w:rPr>
                    <w:t>SS</w:t>
                  </w:r>
                  <w:r>
                    <w:rPr>
                      <w:rFonts w:hint="eastAsia" w:ascii="Times New Roman" w:hAnsi="Times New Roman" w:eastAsia="宋体"/>
                      <w:color w:val="auto"/>
                      <w:kern w:val="0"/>
                      <w:sz w:val="21"/>
                    </w:rPr>
                    <w:t>、石油类、硫化物、挥发酚等</w:t>
                  </w:r>
                </w:p>
              </w:tc>
              <w:tc>
                <w:tcPr>
                  <w:tcW w:w="1991"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eastAsia" w:eastAsia="宋体"/>
                      <w:color w:val="auto"/>
                      <w:sz w:val="21"/>
                    </w:rPr>
                    <w:t>春风一号联合站</w:t>
                  </w:r>
                  <w:r>
                    <w:rPr>
                      <w:rFonts w:hint="eastAsia" w:ascii="Times New Roman" w:hAnsi="Times New Roman" w:eastAsia="宋体"/>
                      <w:color w:val="auto"/>
                      <w:kern w:val="0"/>
                      <w:sz w:val="21"/>
                    </w:rPr>
                    <w:t>污水处理系统总出口</w:t>
                  </w:r>
                </w:p>
              </w:tc>
              <w:tc>
                <w:tcPr>
                  <w:tcW w:w="995" w:type="dxa"/>
                  <w:vMerge w:val="restar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eastAsia" w:ascii="Times New Roman" w:hAnsi="Times New Roman" w:eastAsia="宋体"/>
                      <w:color w:val="auto"/>
                      <w:kern w:val="0"/>
                      <w:sz w:val="21"/>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89" w:type="dxa"/>
                  <w:vMerge w:val="restart"/>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eastAsia" w:ascii="Times New Roman" w:hAnsi="Times New Roman" w:eastAsia="宋体"/>
                      <w:color w:val="auto"/>
                      <w:kern w:val="0"/>
                      <w:sz w:val="21"/>
                    </w:rPr>
                    <w:t>大气</w:t>
                  </w:r>
                </w:p>
              </w:tc>
              <w:tc>
                <w:tcPr>
                  <w:tcW w:w="1624"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eastAsia" w:ascii="Times New Roman" w:hAnsi="Times New Roman" w:eastAsia="宋体"/>
                      <w:color w:val="auto"/>
                      <w:kern w:val="0"/>
                      <w:sz w:val="21"/>
                    </w:rPr>
                    <w:t>施工期一次</w:t>
                  </w:r>
                </w:p>
              </w:tc>
              <w:tc>
                <w:tcPr>
                  <w:tcW w:w="1732"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default" w:ascii="Times New Roman" w:hAnsi="Times New Roman" w:eastAsia="宋体"/>
                      <w:color w:val="auto"/>
                      <w:kern w:val="0"/>
                      <w:sz w:val="21"/>
                    </w:rPr>
                    <w:t>TSP</w:t>
                  </w:r>
                </w:p>
              </w:tc>
              <w:tc>
                <w:tcPr>
                  <w:tcW w:w="1991"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eastAsia" w:ascii="Times New Roman" w:hAnsi="Times New Roman" w:eastAsia="宋体"/>
                      <w:color w:val="auto"/>
                      <w:kern w:val="0"/>
                      <w:sz w:val="21"/>
                    </w:rPr>
                    <w:t>井场周围</w:t>
                  </w:r>
                </w:p>
              </w:tc>
              <w:tc>
                <w:tcPr>
                  <w:tcW w:w="995" w:type="dxa"/>
                  <w:vMerge w:val="continue"/>
                  <w:tcBorders>
                    <w:tl2br w:val="nil"/>
                    <w:tr2bl w:val="nil"/>
                  </w:tcBorders>
                  <w:noWrap w:val="0"/>
                  <w:vAlign w:val="top"/>
                </w:tcPr>
                <w:p>
                  <w:pPr>
                    <w:pStyle w:val="28"/>
                    <w:kinsoku w:val="0"/>
                    <w:overflowPunct w:val="0"/>
                    <w:spacing w:beforeLines="0" w:afterLines="0"/>
                    <w:ind w:right="1"/>
                    <w:jc w:val="center"/>
                    <w:rPr>
                      <w:rFonts w:hint="default" w:ascii="Times New Roman" w:hAnsi="Times New Roman"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89" w:type="dxa"/>
                  <w:vMerge w:val="continue"/>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p>
              </w:tc>
              <w:tc>
                <w:tcPr>
                  <w:tcW w:w="1624"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lang w:val="en-US" w:eastAsia="zh-CN"/>
                    </w:rPr>
                  </w:pPr>
                  <w:r>
                    <w:rPr>
                      <w:rFonts w:hint="eastAsia"/>
                      <w:color w:val="auto"/>
                      <w:kern w:val="0"/>
                      <w:sz w:val="21"/>
                      <w:lang w:val="en-US" w:eastAsia="zh-CN"/>
                    </w:rPr>
                    <w:t>试油期一次</w:t>
                  </w:r>
                </w:p>
              </w:tc>
              <w:tc>
                <w:tcPr>
                  <w:tcW w:w="1732"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eastAsia" w:ascii="Times New Roman" w:hAnsi="Times New Roman" w:eastAsia="宋体"/>
                      <w:color w:val="auto"/>
                      <w:kern w:val="0"/>
                      <w:sz w:val="21"/>
                      <w:lang w:eastAsia="zh-CN"/>
                    </w:rPr>
                  </w:pPr>
                  <w:r>
                    <w:rPr>
                      <w:rFonts w:hint="default" w:ascii="Times New Roman" w:hAnsi="Times New Roman" w:eastAsia="宋体"/>
                      <w:color w:val="auto"/>
                      <w:spacing w:val="-17"/>
                      <w:kern w:val="0"/>
                      <w:sz w:val="21"/>
                    </w:rPr>
                    <w:t>NOx、SO</w:t>
                  </w:r>
                  <w:r>
                    <w:rPr>
                      <w:rFonts w:hint="default" w:ascii="Times New Roman" w:hAnsi="Times New Roman" w:eastAsia="宋体"/>
                      <w:color w:val="auto"/>
                      <w:spacing w:val="-17"/>
                      <w:kern w:val="0"/>
                      <w:sz w:val="21"/>
                      <w:vertAlign w:val="subscript"/>
                    </w:rPr>
                    <w:t>2</w:t>
                  </w:r>
                  <w:r>
                    <w:rPr>
                      <w:rFonts w:hint="eastAsia"/>
                      <w:color w:val="auto"/>
                      <w:spacing w:val="-17"/>
                      <w:kern w:val="0"/>
                      <w:sz w:val="21"/>
                      <w:lang w:eastAsia="zh-CN"/>
                    </w:rPr>
                    <w:t>、</w:t>
                  </w:r>
                  <w:r>
                    <w:rPr>
                      <w:rFonts w:hint="eastAsia"/>
                      <w:color w:val="auto"/>
                      <w:spacing w:val="-17"/>
                      <w:kern w:val="0"/>
                      <w:sz w:val="21"/>
                      <w:lang w:val="en-US" w:eastAsia="zh-CN"/>
                    </w:rPr>
                    <w:t>颗粒物</w:t>
                  </w:r>
                </w:p>
              </w:tc>
              <w:tc>
                <w:tcPr>
                  <w:tcW w:w="1991"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olor w:val="auto"/>
                      <w:kern w:val="0"/>
                      <w:sz w:val="21"/>
                    </w:rPr>
                  </w:pPr>
                  <w:r>
                    <w:rPr>
                      <w:rFonts w:hint="default" w:ascii="Times New Roman" w:hAnsi="Times New Roman" w:eastAsia="宋体"/>
                      <w:color w:val="auto"/>
                      <w:kern w:val="0"/>
                      <w:sz w:val="21"/>
                    </w:rPr>
                    <w:t>井场周围</w:t>
                  </w:r>
                </w:p>
              </w:tc>
              <w:tc>
                <w:tcPr>
                  <w:tcW w:w="995" w:type="dxa"/>
                  <w:vMerge w:val="continue"/>
                  <w:tcBorders>
                    <w:tl2br w:val="nil"/>
                    <w:tr2bl w:val="nil"/>
                  </w:tcBorders>
                  <w:noWrap w:val="0"/>
                  <w:vAlign w:val="top"/>
                </w:tcPr>
                <w:p>
                  <w:pPr>
                    <w:pStyle w:val="28"/>
                    <w:kinsoku w:val="0"/>
                    <w:overflowPunct w:val="0"/>
                    <w:spacing w:beforeLines="0" w:afterLines="0"/>
                    <w:ind w:right="1"/>
                    <w:jc w:val="center"/>
                    <w:rPr>
                      <w:rFonts w:hint="default" w:ascii="Times New Roman" w:hAnsi="Times New Roman"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89"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eastAsia="宋体"/>
                      <w:color w:val="auto"/>
                      <w:kern w:val="0"/>
                      <w:sz w:val="21"/>
                    </w:rPr>
                    <w:t>噪声</w:t>
                  </w:r>
                </w:p>
              </w:tc>
              <w:tc>
                <w:tcPr>
                  <w:tcW w:w="1624"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eastAsia="宋体"/>
                      <w:color w:val="auto"/>
                      <w:kern w:val="0"/>
                      <w:sz w:val="21"/>
                    </w:rPr>
                    <w:t>施工期一次</w:t>
                  </w:r>
                </w:p>
              </w:tc>
              <w:tc>
                <w:tcPr>
                  <w:tcW w:w="1732"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eastAsia="宋体"/>
                      <w:color w:val="auto"/>
                      <w:kern w:val="0"/>
                      <w:sz w:val="21"/>
                    </w:rPr>
                    <w:t>等效连续A声级</w:t>
                  </w:r>
                </w:p>
              </w:tc>
              <w:tc>
                <w:tcPr>
                  <w:tcW w:w="1991"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eastAsia="宋体"/>
                      <w:color w:val="auto"/>
                      <w:kern w:val="0"/>
                      <w:sz w:val="21"/>
                    </w:rPr>
                    <w:t>井场周围</w:t>
                  </w:r>
                </w:p>
              </w:tc>
              <w:tc>
                <w:tcPr>
                  <w:tcW w:w="995" w:type="dxa"/>
                  <w:vMerge w:val="continue"/>
                  <w:tcBorders>
                    <w:tl2br w:val="nil"/>
                    <w:tr2bl w:val="nil"/>
                  </w:tcBorders>
                  <w:noWrap w:val="0"/>
                  <w:vAlign w:val="top"/>
                </w:tcPr>
                <w:p>
                  <w:pPr>
                    <w:pStyle w:val="28"/>
                    <w:kinsoku w:val="0"/>
                    <w:overflowPunct w:val="0"/>
                    <w:spacing w:beforeLines="0" w:afterLines="0"/>
                    <w:ind w:right="1"/>
                    <w:jc w:val="center"/>
                    <w:rPr>
                      <w:rFonts w:hint="default" w:ascii="Times New Roman" w:hAnsi="Times New Roman" w:eastAsia="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89"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eastAsia" w:ascii="Times New Roman" w:hAnsi="Times New Roman" w:eastAsia="宋体"/>
                      <w:color w:val="auto"/>
                      <w:kern w:val="0"/>
                      <w:sz w:val="21"/>
                      <w:lang w:val="en-US" w:eastAsia="zh-CN"/>
                    </w:rPr>
                  </w:pPr>
                  <w:r>
                    <w:rPr>
                      <w:rFonts w:hint="eastAsia"/>
                      <w:color w:val="auto"/>
                      <w:kern w:val="0"/>
                      <w:sz w:val="21"/>
                      <w:lang w:val="en-US" w:eastAsia="zh-CN"/>
                    </w:rPr>
                    <w:t>土壤</w:t>
                  </w:r>
                </w:p>
              </w:tc>
              <w:tc>
                <w:tcPr>
                  <w:tcW w:w="1624"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eastAsia" w:ascii="Times New Roman" w:hAnsi="Times New Roman" w:eastAsia="宋体"/>
                      <w:color w:val="auto"/>
                      <w:kern w:val="0"/>
                      <w:sz w:val="21"/>
                      <w:lang w:val="en-US" w:eastAsia="zh-CN"/>
                    </w:rPr>
                  </w:pPr>
                  <w:r>
                    <w:rPr>
                      <w:rFonts w:hint="eastAsia" w:ascii="Times New Roman" w:hAnsi="Times New Roman" w:eastAsia="宋体"/>
                      <w:color w:val="auto"/>
                      <w:spacing w:val="-17"/>
                      <w:kern w:val="0"/>
                      <w:sz w:val="21"/>
                    </w:rPr>
                    <w:t>施工结束后</w:t>
                  </w:r>
                  <w:r>
                    <w:rPr>
                      <w:rFonts w:hint="eastAsia"/>
                      <w:color w:val="auto"/>
                      <w:spacing w:val="-17"/>
                      <w:kern w:val="0"/>
                      <w:sz w:val="21"/>
                      <w:lang w:val="en-US" w:eastAsia="zh-CN"/>
                    </w:rPr>
                    <w:t>一次</w:t>
                  </w:r>
                </w:p>
              </w:tc>
              <w:tc>
                <w:tcPr>
                  <w:tcW w:w="1732"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eastAsia" w:ascii="Times New Roman" w:hAnsi="Times New Roman" w:eastAsia="宋体"/>
                      <w:color w:val="auto"/>
                      <w:kern w:val="0"/>
                      <w:sz w:val="21"/>
                      <w:lang w:val="en-US" w:eastAsia="zh-CN"/>
                    </w:rPr>
                  </w:pPr>
                  <w:r>
                    <w:rPr>
                      <w:rFonts w:hint="eastAsia"/>
                      <w:color w:val="auto"/>
                      <w:kern w:val="0"/>
                      <w:sz w:val="21"/>
                      <w:lang w:val="en-US" w:eastAsia="zh-CN"/>
                    </w:rPr>
                    <w:t>石油烃</w:t>
                  </w:r>
                </w:p>
              </w:tc>
              <w:tc>
                <w:tcPr>
                  <w:tcW w:w="1991" w:type="dxa"/>
                  <w:tcBorders>
                    <w:tl2br w:val="nil"/>
                    <w:tr2bl w:val="nil"/>
                  </w:tcBorders>
                  <w:noWrap w:val="0"/>
                  <w:vAlign w:val="center"/>
                </w:tcPr>
                <w:p>
                  <w:pPr>
                    <w:keepNext w:val="0"/>
                    <w:keepLines w:val="0"/>
                    <w:suppressLineNumbers w:val="0"/>
                    <w:adjustRightInd w:val="0"/>
                    <w:snapToGrid w:val="0"/>
                    <w:spacing w:before="0" w:beforeLines="0" w:beforeAutospacing="0" w:after="0" w:afterLines="0" w:afterAutospacing="0"/>
                    <w:ind w:left="0" w:leftChars="0" w:right="0" w:rightChars="0"/>
                    <w:jc w:val="center"/>
                    <w:rPr>
                      <w:rFonts w:hint="eastAsia" w:ascii="Times New Roman" w:hAnsi="Times New Roman" w:eastAsia="宋体"/>
                      <w:color w:val="auto"/>
                      <w:kern w:val="0"/>
                      <w:sz w:val="21"/>
                    </w:rPr>
                  </w:pPr>
                  <w:r>
                    <w:rPr>
                      <w:rFonts w:hint="eastAsia" w:ascii="Times New Roman" w:hAnsi="Times New Roman" w:eastAsia="宋体"/>
                      <w:color w:val="auto"/>
                      <w:kern w:val="0"/>
                      <w:sz w:val="21"/>
                    </w:rPr>
                    <w:t>钻井区域</w:t>
                  </w:r>
                </w:p>
              </w:tc>
              <w:tc>
                <w:tcPr>
                  <w:tcW w:w="995" w:type="dxa"/>
                  <w:vMerge w:val="continue"/>
                  <w:tcBorders>
                    <w:tl2br w:val="nil"/>
                    <w:tr2bl w:val="nil"/>
                  </w:tcBorders>
                  <w:noWrap w:val="0"/>
                  <w:vAlign w:val="top"/>
                </w:tcPr>
                <w:p>
                  <w:pPr>
                    <w:pStyle w:val="28"/>
                    <w:kinsoku w:val="0"/>
                    <w:overflowPunct w:val="0"/>
                    <w:spacing w:beforeLines="0" w:afterLines="0"/>
                    <w:ind w:right="1"/>
                    <w:jc w:val="center"/>
                    <w:rPr>
                      <w:rFonts w:hint="default" w:ascii="Times New Roman" w:hAnsi="Times New Roman" w:eastAsia="宋体"/>
                      <w:color w:val="auto"/>
                      <w:sz w:val="21"/>
                    </w:rPr>
                  </w:pPr>
                </w:p>
              </w:tc>
            </w:tr>
          </w:tbl>
          <w:p>
            <w:pPr>
              <w:keepNext w:val="0"/>
              <w:keepLines w:val="0"/>
              <w:suppressLineNumbers w:val="0"/>
              <w:adjustRightInd w:val="0"/>
              <w:snapToGrid w:val="0"/>
              <w:spacing w:before="0" w:beforeAutospacing="0" w:after="0" w:afterAutospacing="0" w:line="360" w:lineRule="auto"/>
              <w:ind w:left="0" w:leftChars="0" w:right="0" w:firstLine="418" w:firstLineChars="182"/>
              <w:rPr>
                <w:rFonts w:hint="default" w:ascii="Times New Roman" w:hAnsi="Times New Roman" w:eastAsia="宋体" w:cs="Times New Roman"/>
                <w:bCs/>
                <w:spacing w:val="10"/>
                <w:szCs w:val="21"/>
                <w:highlight w:val="yellow"/>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8" w:hRule="atLeast"/>
          <w:jc w:val="center"/>
        </w:trPr>
        <w:tc>
          <w:tcPr>
            <w:tcW w:w="551"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运营期生态环境保护措施</w:t>
            </w:r>
          </w:p>
        </w:tc>
        <w:tc>
          <w:tcPr>
            <w:tcW w:w="7682" w:type="dxa"/>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bCs/>
                <w:spacing w:val="10"/>
                <w:szCs w:val="21"/>
                <w:highlight w:val="none"/>
                <w:lang w:val="en-US" w:eastAsia="zh-CN"/>
              </w:rPr>
            </w:pPr>
            <w:r>
              <w:rPr>
                <w:rFonts w:hint="eastAsia" w:ascii="Times New Roman" w:hAnsi="Times New Roman" w:eastAsia="宋体" w:cs="Times New Roman"/>
                <w:bCs/>
                <w:spacing w:val="10"/>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1" w:hRule="atLeast"/>
          <w:jc w:val="center"/>
        </w:trPr>
        <w:tc>
          <w:tcPr>
            <w:tcW w:w="55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zCs w:val="21"/>
                <w:highlight w:val="none"/>
              </w:rPr>
              <w:t>其他</w:t>
            </w:r>
          </w:p>
        </w:tc>
        <w:tc>
          <w:tcPr>
            <w:tcW w:w="7682" w:type="dxa"/>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bCs/>
                <w:spacing w:val="10"/>
                <w:szCs w:val="21"/>
                <w:highlight w:val="none"/>
                <w:lang w:val="en-US" w:eastAsia="zh-CN"/>
              </w:rPr>
            </w:pPr>
            <w:r>
              <w:rPr>
                <w:rFonts w:hint="eastAsia" w:ascii="Times New Roman" w:hAnsi="Times New Roman" w:eastAsia="宋体" w:cs="Times New Roman"/>
                <w:bCs/>
                <w:spacing w:val="10"/>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03" w:hRule="atLeast"/>
          <w:jc w:val="center"/>
        </w:trPr>
        <w:tc>
          <w:tcPr>
            <w:tcW w:w="55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pacing w:val="10"/>
                <w:szCs w:val="21"/>
                <w:highlight w:val="yellow"/>
              </w:rPr>
            </w:pPr>
            <w:r>
              <w:rPr>
                <w:rFonts w:hint="default" w:ascii="Times New Roman" w:hAnsi="Times New Roman" w:eastAsia="宋体" w:cs="Times New Roman"/>
                <w:bCs/>
                <w:szCs w:val="21"/>
                <w:highlight w:val="none"/>
              </w:rPr>
              <w:t>环保投资</w:t>
            </w:r>
          </w:p>
        </w:tc>
        <w:tc>
          <w:tcPr>
            <w:tcW w:w="7682" w:type="dxa"/>
            <w:noWrap w:val="0"/>
            <w:vAlign w:val="top"/>
          </w:tcPr>
          <w:p>
            <w:pPr>
              <w:keepNext w:val="0"/>
              <w:keepLines w:val="0"/>
              <w:suppressLineNumbers w:val="0"/>
              <w:adjustRightInd w:val="0"/>
              <w:snapToGrid w:val="0"/>
              <w:spacing w:before="0" w:beforeAutospacing="0" w:after="0" w:afterAutospacing="0" w:line="360" w:lineRule="auto"/>
              <w:ind w:left="0" w:leftChars="0" w:right="0" w:firstLine="382" w:firstLineChars="182"/>
              <w:rPr>
                <w:rFonts w:hint="eastAsia" w:ascii="Times New Roman" w:hAnsi="Times New Roman" w:eastAsia="宋体" w:cs="Times New Roman"/>
                <w:bCs/>
                <w:spacing w:val="10"/>
                <w:szCs w:val="21"/>
                <w:highlight w:val="none"/>
                <w:lang w:val="en-US" w:eastAsia="zh-CN"/>
              </w:rPr>
            </w:pPr>
            <w:r>
              <w:rPr>
                <w:rFonts w:hint="eastAsia" w:ascii="Times New Roman" w:hAnsi="Times New Roman" w:eastAsia="宋体" w:cs="Times New Roman"/>
                <w:bCs/>
                <w:spacing w:val="0"/>
                <w:szCs w:val="21"/>
                <w:highlight w:val="none"/>
                <w:lang w:eastAsia="zh-CN"/>
              </w:rPr>
              <w:t>本项目</w:t>
            </w:r>
            <w:r>
              <w:rPr>
                <w:rFonts w:hint="eastAsia" w:cs="Times New Roman"/>
                <w:bCs/>
                <w:spacing w:val="0"/>
                <w:szCs w:val="21"/>
                <w:highlight w:val="none"/>
                <w:lang w:val="en-US" w:eastAsia="zh-CN"/>
              </w:rPr>
              <w:t>6口井合计</w:t>
            </w:r>
            <w:r>
              <w:rPr>
                <w:rFonts w:hint="default" w:ascii="Times New Roman" w:hAnsi="Times New Roman" w:eastAsia="宋体" w:cs="Times New Roman"/>
                <w:bCs/>
                <w:spacing w:val="0"/>
                <w:szCs w:val="21"/>
                <w:highlight w:val="none"/>
              </w:rPr>
              <w:t>总投资29208.5万元</w:t>
            </w:r>
            <w:r>
              <w:rPr>
                <w:rFonts w:hint="default" w:ascii="Times New Roman" w:hAnsi="Times New Roman" w:eastAsia="宋体" w:cs="Times New Roman"/>
                <w:bCs/>
                <w:spacing w:val="10"/>
                <w:szCs w:val="21"/>
                <w:highlight w:val="none"/>
              </w:rPr>
              <w:t>，其中环保投资约</w:t>
            </w:r>
            <w:r>
              <w:rPr>
                <w:rFonts w:hint="eastAsia" w:cs="Times New Roman"/>
                <w:bCs/>
                <w:spacing w:val="10"/>
                <w:szCs w:val="21"/>
                <w:highlight w:val="none"/>
                <w:lang w:val="en-US" w:eastAsia="zh-CN"/>
              </w:rPr>
              <w:t>1707</w:t>
            </w:r>
            <w:r>
              <w:rPr>
                <w:rFonts w:hint="default" w:ascii="Times New Roman" w:hAnsi="Times New Roman" w:eastAsia="宋体" w:cs="Times New Roman"/>
                <w:bCs/>
                <w:spacing w:val="10"/>
                <w:szCs w:val="21"/>
                <w:highlight w:val="none"/>
              </w:rPr>
              <w:t>万元，占工程总投资的</w:t>
            </w:r>
            <w:r>
              <w:rPr>
                <w:rFonts w:hint="eastAsia" w:cs="Times New Roman"/>
                <w:bCs/>
                <w:spacing w:val="10"/>
                <w:szCs w:val="21"/>
                <w:highlight w:val="none"/>
                <w:lang w:val="en-US" w:eastAsia="zh-CN"/>
              </w:rPr>
              <w:t>5.84</w:t>
            </w:r>
            <w:r>
              <w:rPr>
                <w:rFonts w:hint="default" w:ascii="Times New Roman" w:hAnsi="Times New Roman" w:eastAsia="宋体" w:cs="Times New Roman"/>
                <w:bCs/>
                <w:spacing w:val="10"/>
                <w:szCs w:val="21"/>
                <w:highlight w:val="none"/>
              </w:rPr>
              <w:t>%</w:t>
            </w:r>
            <w:r>
              <w:rPr>
                <w:rFonts w:hint="eastAsia" w:ascii="Times New Roman" w:hAnsi="Times New Roman" w:eastAsia="宋体" w:cs="Times New Roman"/>
                <w:bCs/>
                <w:spacing w:val="10"/>
                <w:szCs w:val="21"/>
                <w:highlight w:val="none"/>
                <w:lang w:eastAsia="zh-CN"/>
              </w:rPr>
              <w:t>。本项目</w:t>
            </w:r>
            <w:r>
              <w:rPr>
                <w:rFonts w:hint="default" w:ascii="Times New Roman" w:hAnsi="Times New Roman" w:eastAsia="宋体" w:cs="Times New Roman"/>
                <w:bCs/>
                <w:spacing w:val="10"/>
                <w:szCs w:val="21"/>
                <w:highlight w:val="none"/>
              </w:rPr>
              <w:t>费用估算见表</w:t>
            </w:r>
            <w:r>
              <w:rPr>
                <w:rFonts w:hint="eastAsia" w:ascii="Times New Roman" w:hAnsi="Times New Roman" w:eastAsia="宋体" w:cs="Times New Roman"/>
                <w:bCs/>
                <w:spacing w:val="10"/>
                <w:szCs w:val="21"/>
                <w:highlight w:val="none"/>
                <w:lang w:val="en-US" w:eastAsia="zh-CN"/>
              </w:rPr>
              <w:t>5.</w:t>
            </w:r>
            <w:r>
              <w:rPr>
                <w:rFonts w:hint="eastAsia" w:cs="Times New Roman"/>
                <w:bCs/>
                <w:spacing w:val="10"/>
                <w:szCs w:val="21"/>
                <w:highlight w:val="none"/>
                <w:lang w:val="en-US" w:eastAsia="zh-CN"/>
              </w:rPr>
              <w:t>5</w:t>
            </w:r>
            <w:r>
              <w:rPr>
                <w:rFonts w:hint="eastAsia" w:ascii="Times New Roman" w:hAnsi="Times New Roman" w:eastAsia="宋体" w:cs="Times New Roman"/>
                <w:bCs/>
                <w:spacing w:val="10"/>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eastAsia" w:ascii="黑体" w:hAnsi="黑体" w:eastAsia="黑体" w:cs="黑体"/>
                <w:bCs/>
                <w:spacing w:val="10"/>
                <w:szCs w:val="21"/>
                <w:highlight w:val="none"/>
                <w:lang w:val="en-US" w:eastAsia="zh-CN"/>
              </w:rPr>
            </w:pPr>
            <w:r>
              <w:rPr>
                <w:rFonts w:hint="eastAsia" w:ascii="黑体" w:hAnsi="黑体" w:eastAsia="黑体" w:cs="黑体"/>
                <w:bCs/>
                <w:spacing w:val="10"/>
                <w:szCs w:val="21"/>
                <w:highlight w:val="none"/>
                <w:lang w:val="en-US" w:eastAsia="zh-CN"/>
              </w:rPr>
              <w:t>表5.2单井环境保护费用估算</w:t>
            </w:r>
          </w:p>
          <w:tbl>
            <w:tblPr>
              <w:tblStyle w:val="20"/>
              <w:tblW w:w="6887" w:type="dxa"/>
              <w:tblInd w:w="43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93"/>
              <w:gridCol w:w="1762"/>
              <w:gridCol w:w="2564"/>
              <w:gridCol w:w="156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2755" w:type="dxa"/>
                  <w:gridSpan w:val="2"/>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0"/>
                      <w:sz w:val="21"/>
                      <w:highlight w:val="none"/>
                      <w:lang w:eastAsia="zh-CN"/>
                    </w:rPr>
                  </w:pPr>
                  <w:r>
                    <w:rPr>
                      <w:rFonts w:hint="eastAsia" w:ascii="Times New Roman" w:hAnsi="Times New Roman" w:eastAsia="宋体" w:cs="Times New Roman"/>
                      <w:color w:val="000000"/>
                      <w:spacing w:val="0"/>
                      <w:sz w:val="21"/>
                      <w:highlight w:val="none"/>
                      <w:lang w:val="en-US" w:eastAsia="zh-CN"/>
                    </w:rPr>
                    <w:t>类别</w:t>
                  </w:r>
                </w:p>
              </w:tc>
              <w:tc>
                <w:tcPr>
                  <w:tcW w:w="2564"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主要环保措施</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投资估算（万元）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993" w:type="dxa"/>
                  <w:vMerge w:val="restart"/>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highlight w:val="none"/>
                    </w:rPr>
                  </w:pPr>
                  <w:r>
                    <w:rPr>
                      <w:rFonts w:hint="eastAsia" w:ascii="Times New Roman" w:hAnsi="Times New Roman" w:eastAsia="宋体" w:cs="Times New Roman"/>
                      <w:color w:val="000000"/>
                      <w:sz w:val="21"/>
                      <w:highlight w:val="none"/>
                    </w:rPr>
                    <w:t>废水处理</w:t>
                  </w:r>
                </w:p>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highlight w:val="none"/>
                    </w:rPr>
                  </w:pPr>
                  <w:r>
                    <w:rPr>
                      <w:rFonts w:hint="eastAsia" w:ascii="Times New Roman" w:hAnsi="Times New Roman" w:eastAsia="宋体" w:cs="Times New Roman"/>
                      <w:color w:val="000000"/>
                      <w:sz w:val="21"/>
                      <w:highlight w:val="none"/>
                    </w:rPr>
                    <w:t>设施</w:t>
                  </w:r>
                </w:p>
              </w:tc>
              <w:tc>
                <w:tcPr>
                  <w:tcW w:w="1762"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泥浆不落地系统</w:t>
                  </w:r>
                </w:p>
              </w:tc>
              <w:tc>
                <w:tcPr>
                  <w:tcW w:w="2564"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钻井废水、岩屑、泥浆</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lang w:val="en-US" w:eastAsia="zh-CN"/>
                    </w:rPr>
                  </w:pPr>
                  <w:r>
                    <w:rPr>
                      <w:rFonts w:hint="eastAsia" w:cs="Times New Roman"/>
                      <w:color w:val="000000"/>
                      <w:spacing w:val="0"/>
                      <w:sz w:val="21"/>
                      <w:highlight w:val="none"/>
                      <w:lang w:val="en-US" w:eastAsia="zh-CN"/>
                    </w:rPr>
                    <w:t>140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993" w:type="dxa"/>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highlight w:val="none"/>
                    </w:rPr>
                  </w:pPr>
                </w:p>
              </w:tc>
              <w:tc>
                <w:tcPr>
                  <w:tcW w:w="1762"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井下作业废水、试气期废水</w:t>
                  </w:r>
                </w:p>
              </w:tc>
              <w:tc>
                <w:tcPr>
                  <w:tcW w:w="2564"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在储液罐内收集，罐车拉运至春风一号联合站污水处理系统进行处理</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lang w:val="en-US" w:eastAsia="zh-CN"/>
                    </w:rPr>
                  </w:pPr>
                  <w:r>
                    <w:rPr>
                      <w:rFonts w:hint="eastAsia" w:cs="Times New Roman"/>
                      <w:color w:val="000000"/>
                      <w:spacing w:val="0"/>
                      <w:sz w:val="21"/>
                      <w:highlight w:val="none"/>
                      <w:lang w:val="en-US" w:eastAsia="zh-CN"/>
                    </w:rPr>
                    <w:t>2</w:t>
                  </w:r>
                  <w:r>
                    <w:rPr>
                      <w:rFonts w:hint="eastAsia" w:ascii="Times New Roman" w:hAnsi="Times New Roman" w:eastAsia="宋体" w:cs="Times New Roman"/>
                      <w:color w:val="000000"/>
                      <w:spacing w:val="0"/>
                      <w:sz w:val="21"/>
                      <w:highlight w:val="none"/>
                      <w:lang w:val="en-US" w:eastAsia="zh-CN"/>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340" w:hRule="atLeast"/>
              </w:trPr>
              <w:tc>
                <w:tcPr>
                  <w:tcW w:w="993" w:type="dxa"/>
                  <w:vMerge w:val="continue"/>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highlight w:val="none"/>
                    </w:rPr>
                  </w:pPr>
                </w:p>
              </w:tc>
              <w:tc>
                <w:tcPr>
                  <w:tcW w:w="1762"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生活污水</w:t>
                  </w:r>
                </w:p>
              </w:tc>
              <w:tc>
                <w:tcPr>
                  <w:tcW w:w="2564"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生活污水排入环保厕所，定期拉运至中石化新疆新春采油厂生产管理区污水处理站进行处理，不外排</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lang w:val="en-US" w:eastAsia="zh-CN"/>
                    </w:rPr>
                  </w:pPr>
                  <w:r>
                    <w:rPr>
                      <w:rFonts w:hint="eastAsia" w:cs="Times New Roman"/>
                      <w:color w:val="000000"/>
                      <w:spacing w:val="0"/>
                      <w:sz w:val="21"/>
                      <w:highlight w:val="none"/>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993" w:type="dxa"/>
                  <w:vMerge w:val="restart"/>
                  <w:tcBorders>
                    <w:top w:val="single" w:color="auto" w:sz="2" w:space="0"/>
                    <w:left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highlight w:val="none"/>
                    </w:rPr>
                  </w:pPr>
                  <w:r>
                    <w:rPr>
                      <w:rFonts w:hint="eastAsia" w:ascii="Times New Roman" w:hAnsi="Times New Roman" w:eastAsia="宋体" w:cs="Times New Roman"/>
                      <w:color w:val="000000"/>
                      <w:sz w:val="21"/>
                      <w:highlight w:val="none"/>
                    </w:rPr>
                    <w:t>固体废物处置</w:t>
                  </w:r>
                </w:p>
              </w:tc>
              <w:tc>
                <w:tcPr>
                  <w:tcW w:w="1762"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生活垃圾清运</w:t>
                  </w:r>
                </w:p>
              </w:tc>
              <w:tc>
                <w:tcPr>
                  <w:tcW w:w="2564"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收集、清运</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lang w:val="en-US" w:eastAsia="zh-CN"/>
                    </w:rPr>
                  </w:pPr>
                  <w:r>
                    <w:rPr>
                      <w:rFonts w:hint="eastAsia" w:cs="Times New Roman"/>
                      <w:color w:val="000000"/>
                      <w:spacing w:val="0"/>
                      <w:sz w:val="21"/>
                      <w:highlight w:val="none"/>
                      <w:lang w:val="en-US" w:eastAsia="zh-CN"/>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340" w:hRule="atLeast"/>
              </w:trPr>
              <w:tc>
                <w:tcPr>
                  <w:tcW w:w="993" w:type="dxa"/>
                  <w:vMerge w:val="continue"/>
                  <w:tcBorders>
                    <w:left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z w:val="21"/>
                      <w:highlight w:val="none"/>
                    </w:rPr>
                  </w:pPr>
                </w:p>
              </w:tc>
              <w:tc>
                <w:tcPr>
                  <w:tcW w:w="1762"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0"/>
                      <w:sz w:val="21"/>
                      <w:highlight w:val="none"/>
                      <w:lang w:val="en-US" w:eastAsia="zh-CN"/>
                    </w:rPr>
                  </w:pPr>
                  <w:r>
                    <w:rPr>
                      <w:rFonts w:hint="eastAsia" w:cs="Times New Roman"/>
                      <w:color w:val="000000"/>
                      <w:spacing w:val="0"/>
                      <w:sz w:val="21"/>
                      <w:highlight w:val="none"/>
                      <w:lang w:val="en-US" w:eastAsia="zh-CN"/>
                    </w:rPr>
                    <w:t>一般固废</w:t>
                  </w:r>
                </w:p>
              </w:tc>
              <w:tc>
                <w:tcPr>
                  <w:tcW w:w="2564"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收集、清运</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spacing w:val="0"/>
                      <w:sz w:val="21"/>
                      <w:highlight w:val="none"/>
                      <w:lang w:val="en-US" w:eastAsia="zh-CN"/>
                    </w:rPr>
                  </w:pPr>
                  <w:r>
                    <w:rPr>
                      <w:rFonts w:hint="eastAsia" w:cs="Times New Roman"/>
                      <w:color w:val="000000"/>
                      <w:spacing w:val="0"/>
                      <w:sz w:val="21"/>
                      <w:highlight w:val="none"/>
                      <w:lang w:val="en-US" w:eastAsia="zh-CN"/>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993" w:type="dxa"/>
                  <w:vMerge w:val="continue"/>
                  <w:tcBorders>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z w:val="21"/>
                      <w:highlight w:val="none"/>
                    </w:rPr>
                  </w:pPr>
                </w:p>
              </w:tc>
              <w:tc>
                <w:tcPr>
                  <w:tcW w:w="1762"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0"/>
                      <w:sz w:val="21"/>
                      <w:highlight w:val="none"/>
                      <w:lang w:val="en-US" w:eastAsia="zh-CN"/>
                    </w:rPr>
                  </w:pPr>
                  <w:r>
                    <w:rPr>
                      <w:rFonts w:hint="eastAsia" w:cs="Times New Roman"/>
                      <w:color w:val="000000"/>
                      <w:spacing w:val="0"/>
                      <w:sz w:val="21"/>
                      <w:highlight w:val="none"/>
                      <w:lang w:val="en-US" w:eastAsia="zh-CN"/>
                    </w:rPr>
                    <w:t>危废</w:t>
                  </w:r>
                </w:p>
              </w:tc>
              <w:tc>
                <w:tcPr>
                  <w:tcW w:w="2564"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收集、清运</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spacing w:val="0"/>
                      <w:sz w:val="21"/>
                      <w:highlight w:val="none"/>
                      <w:lang w:val="en-US" w:eastAsia="zh-CN"/>
                    </w:rPr>
                  </w:pPr>
                  <w:r>
                    <w:rPr>
                      <w:rFonts w:hint="eastAsia" w:cs="Times New Roman"/>
                      <w:color w:val="000000"/>
                      <w:spacing w:val="0"/>
                      <w:sz w:val="21"/>
                      <w:highlight w:val="none"/>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993" w:type="dxa"/>
                  <w:vMerge w:val="restart"/>
                  <w:tcBorders>
                    <w:top w:val="single" w:color="auto" w:sz="2" w:space="0"/>
                    <w:left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highlight w:val="none"/>
                    </w:rPr>
                  </w:pPr>
                  <w:r>
                    <w:rPr>
                      <w:rFonts w:hint="eastAsia" w:ascii="Times New Roman" w:hAnsi="Times New Roman" w:eastAsia="宋体" w:cs="Times New Roman"/>
                      <w:color w:val="000000"/>
                      <w:sz w:val="21"/>
                      <w:highlight w:val="none"/>
                    </w:rPr>
                    <w:t>生态与水土保持</w:t>
                  </w:r>
                </w:p>
              </w:tc>
              <w:tc>
                <w:tcPr>
                  <w:tcW w:w="1762"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井场、施工便道恢复</w:t>
                  </w:r>
                </w:p>
              </w:tc>
              <w:tc>
                <w:tcPr>
                  <w:tcW w:w="2564"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井场恢复</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lang w:val="en-US" w:eastAsia="zh-CN"/>
                    </w:rPr>
                  </w:pPr>
                  <w:r>
                    <w:rPr>
                      <w:rFonts w:hint="eastAsia" w:cs="Times New Roman"/>
                      <w:color w:val="000000"/>
                      <w:spacing w:val="0"/>
                      <w:sz w:val="21"/>
                      <w:highlight w:val="none"/>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340" w:hRule="atLeast"/>
              </w:trPr>
              <w:tc>
                <w:tcPr>
                  <w:tcW w:w="993" w:type="dxa"/>
                  <w:vMerge w:val="continue"/>
                  <w:tcBorders>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z w:val="21"/>
                      <w:highlight w:val="none"/>
                    </w:rPr>
                  </w:pPr>
                </w:p>
              </w:tc>
              <w:tc>
                <w:tcPr>
                  <w:tcW w:w="1762"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0"/>
                      <w:sz w:val="21"/>
                      <w:highlight w:val="none"/>
                      <w:lang w:val="en-US" w:eastAsia="zh-CN"/>
                    </w:rPr>
                  </w:pPr>
                  <w:r>
                    <w:rPr>
                      <w:rFonts w:hint="eastAsia" w:cs="Times New Roman"/>
                      <w:color w:val="000000"/>
                      <w:spacing w:val="0"/>
                      <w:sz w:val="21"/>
                      <w:highlight w:val="none"/>
                      <w:lang w:val="en-US" w:eastAsia="zh-CN"/>
                    </w:rPr>
                    <w:t>防沙治沙</w:t>
                  </w:r>
                </w:p>
              </w:tc>
              <w:tc>
                <w:tcPr>
                  <w:tcW w:w="2564"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lang w:val="en-US" w:eastAsia="zh-CN"/>
                    </w:rPr>
                  </w:pPr>
                  <w:r>
                    <w:rPr>
                      <w:rFonts w:hint="eastAsia" w:cs="Times New Roman"/>
                      <w:color w:val="000000"/>
                      <w:spacing w:val="0"/>
                      <w:sz w:val="21"/>
                      <w:highlight w:val="none"/>
                      <w:lang w:val="en-US" w:eastAsia="zh-CN"/>
                    </w:rPr>
                    <w:t>保护区域生态环境、遏制风沙土地扩展趋势</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spacing w:val="0"/>
                      <w:sz w:val="21"/>
                      <w:highlight w:val="none"/>
                      <w:lang w:val="en-US" w:eastAsia="zh-CN"/>
                    </w:rPr>
                  </w:pPr>
                  <w:r>
                    <w:rPr>
                      <w:rFonts w:hint="eastAsia" w:cs="Times New Roman"/>
                      <w:color w:val="000000"/>
                      <w:spacing w:val="0"/>
                      <w:sz w:val="21"/>
                      <w:highlight w:val="none"/>
                      <w:lang w:val="en-US" w:eastAsia="zh-CN"/>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2755" w:type="dxa"/>
                  <w:gridSpan w:val="2"/>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钻井放喷器等安全措施</w:t>
                  </w:r>
                </w:p>
              </w:tc>
              <w:tc>
                <w:tcPr>
                  <w:tcW w:w="2564"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风险防范</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0"/>
                      <w:sz w:val="21"/>
                      <w:highlight w:val="none"/>
                      <w:lang w:eastAsia="zh-CN"/>
                    </w:rPr>
                  </w:pPr>
                  <w:r>
                    <w:rPr>
                      <w:rFonts w:hint="eastAsia" w:cs="Times New Roman"/>
                      <w:color w:val="000000"/>
                      <w:spacing w:val="0"/>
                      <w:sz w:val="21"/>
                      <w:highlight w:val="none"/>
                      <w:lang w:val="en-US" w:eastAsia="zh-CN"/>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340" w:hRule="atLeast"/>
              </w:trPr>
              <w:tc>
                <w:tcPr>
                  <w:tcW w:w="2755" w:type="dxa"/>
                  <w:gridSpan w:val="2"/>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color w:val="000000"/>
                      <w:spacing w:val="0"/>
                      <w:sz w:val="21"/>
                      <w:highlight w:val="none"/>
                    </w:rPr>
                    <w:t>环保培训及应急演习</w:t>
                  </w:r>
                </w:p>
              </w:tc>
              <w:tc>
                <w:tcPr>
                  <w:tcW w:w="2564"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0"/>
                      <w:sz w:val="21"/>
                      <w:highlight w:val="none"/>
                      <w:lang w:val="en-US" w:eastAsia="zh-CN"/>
                    </w:rPr>
                  </w:pPr>
                  <w:r>
                    <w:rPr>
                      <w:rFonts w:hint="eastAsia" w:ascii="Times New Roman" w:hAnsi="Times New Roman" w:eastAsia="宋体" w:cs="Times New Roman"/>
                      <w:color w:val="000000"/>
                      <w:spacing w:val="0"/>
                      <w:sz w:val="21"/>
                      <w:highlight w:val="none"/>
                      <w:lang w:val="en-US" w:eastAsia="zh-CN"/>
                    </w:rPr>
                    <w:t>-</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0"/>
                      <w:sz w:val="21"/>
                      <w:highlight w:val="none"/>
                      <w:lang w:eastAsia="zh-CN"/>
                    </w:rPr>
                  </w:pPr>
                  <w:r>
                    <w:rPr>
                      <w:rFonts w:hint="eastAsia" w:ascii="Times New Roman" w:hAnsi="Times New Roman" w:eastAsia="宋体" w:cs="Times New Roman"/>
                      <w:color w:val="000000"/>
                      <w:spacing w:val="0"/>
                      <w:sz w:val="21"/>
                      <w:highlight w:val="none"/>
                      <w:lang w:val="en-US" w:eastAsia="zh-CN"/>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340" w:hRule="atLeast"/>
              </w:trPr>
              <w:tc>
                <w:tcPr>
                  <w:tcW w:w="2755" w:type="dxa"/>
                  <w:gridSpan w:val="2"/>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kern w:val="2"/>
                      <w:sz w:val="21"/>
                      <w:szCs w:val="21"/>
                      <w:highlight w:val="none"/>
                      <w:lang w:val="en-US" w:eastAsia="zh-CN" w:bidi="ar"/>
                    </w:rPr>
                    <w:t>环境影响评价</w:t>
                  </w:r>
                </w:p>
              </w:tc>
              <w:tc>
                <w:tcPr>
                  <w:tcW w:w="2564"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highlight w:val="none"/>
                    </w:rPr>
                    <w:t>-</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0"/>
                      <w:sz w:val="21"/>
                      <w:highlight w:val="none"/>
                      <w:lang w:val="en-US" w:eastAsia="zh-CN"/>
                    </w:rPr>
                  </w:pPr>
                  <w:r>
                    <w:rPr>
                      <w:rFonts w:hint="eastAsia" w:ascii="Times New Roman" w:hAnsi="Times New Roman" w:eastAsia="宋体" w:cs="Times New Roman"/>
                      <w:color w:val="000000"/>
                      <w:spacing w:val="0"/>
                      <w:sz w:val="21"/>
                      <w:highlight w:val="none"/>
                      <w:lang w:val="en-US" w:eastAsia="zh-CN"/>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340" w:hRule="atLeast"/>
              </w:trPr>
              <w:tc>
                <w:tcPr>
                  <w:tcW w:w="2755" w:type="dxa"/>
                  <w:gridSpan w:val="2"/>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0"/>
                      <w:sz w:val="21"/>
                      <w:highlight w:val="none"/>
                    </w:rPr>
                  </w:pPr>
                  <w:r>
                    <w:rPr>
                      <w:rFonts w:hint="eastAsia" w:ascii="Times New Roman" w:hAnsi="Times New Roman" w:eastAsia="宋体" w:cs="Times New Roman"/>
                      <w:kern w:val="2"/>
                      <w:sz w:val="21"/>
                      <w:szCs w:val="21"/>
                      <w:highlight w:val="none"/>
                      <w:lang w:val="en-US" w:eastAsia="zh-CN" w:bidi="ar"/>
                    </w:rPr>
                    <w:t>环境监理</w:t>
                  </w:r>
                </w:p>
              </w:tc>
              <w:tc>
                <w:tcPr>
                  <w:tcW w:w="2564"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highlight w:val="none"/>
                    </w:rPr>
                    <w:t>-</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0"/>
                      <w:sz w:val="21"/>
                      <w:highlight w:val="none"/>
                      <w:lang w:val="en-US" w:eastAsia="zh-CN"/>
                    </w:rPr>
                  </w:pPr>
                  <w:r>
                    <w:rPr>
                      <w:rFonts w:hint="eastAsia" w:ascii="Times New Roman" w:hAnsi="Times New Roman" w:eastAsia="宋体" w:cs="Times New Roman"/>
                      <w:color w:val="000000"/>
                      <w:spacing w:val="0"/>
                      <w:sz w:val="21"/>
                      <w:highlight w:val="none"/>
                      <w:lang w:val="en-US" w:eastAsia="zh-CN"/>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2755" w:type="dxa"/>
                  <w:gridSpan w:val="2"/>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0"/>
                      <w:sz w:val="21"/>
                      <w:highlight w:val="none"/>
                    </w:rPr>
                  </w:pPr>
                  <w:r>
                    <w:rPr>
                      <w:rFonts w:hint="eastAsia" w:ascii="Times New Roman" w:hAnsi="Times New Roman" w:eastAsia="宋体" w:cs="Times New Roman"/>
                      <w:kern w:val="2"/>
                      <w:sz w:val="21"/>
                      <w:szCs w:val="21"/>
                      <w:highlight w:val="none"/>
                      <w:lang w:val="en-US" w:eastAsia="zh-CN" w:bidi="ar"/>
                    </w:rPr>
                    <w:t>竣工环境保护验收</w:t>
                  </w:r>
                </w:p>
              </w:tc>
              <w:tc>
                <w:tcPr>
                  <w:tcW w:w="2564"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rPr>
                  </w:pPr>
                  <w:r>
                    <w:rPr>
                      <w:rFonts w:hint="eastAsia" w:ascii="Times New Roman" w:hAnsi="Times New Roman" w:eastAsia="宋体" w:cs="Times New Roman"/>
                      <w:highlight w:val="none"/>
                    </w:rPr>
                    <w:t>-</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pacing w:val="0"/>
                      <w:sz w:val="21"/>
                      <w:highlight w:val="none"/>
                      <w:lang w:val="en-US" w:eastAsia="zh-CN"/>
                    </w:rPr>
                  </w:pPr>
                  <w:r>
                    <w:rPr>
                      <w:rFonts w:hint="eastAsia" w:ascii="Times New Roman" w:hAnsi="Times New Roman" w:eastAsia="宋体" w:cs="Times New Roman"/>
                      <w:color w:val="000000"/>
                      <w:spacing w:val="0"/>
                      <w:sz w:val="21"/>
                      <w:highlight w:val="none"/>
                      <w:lang w:val="en-US" w:eastAsia="zh-CN"/>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2755" w:type="dxa"/>
                  <w:gridSpan w:val="2"/>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
                    </w:rPr>
                  </w:pPr>
                  <w:r>
                    <w:rPr>
                      <w:rFonts w:hint="eastAsia" w:ascii="Times New Roman" w:hAnsi="Times New Roman" w:eastAsia="宋体" w:cs="Times New Roman"/>
                      <w:kern w:val="2"/>
                      <w:sz w:val="21"/>
                      <w:szCs w:val="21"/>
                      <w:highlight w:val="none"/>
                      <w:lang w:val="en-US" w:eastAsia="zh-CN" w:bidi="ar"/>
                    </w:rPr>
                    <w:t>环境监测计划</w:t>
                  </w:r>
                </w:p>
              </w:tc>
              <w:tc>
                <w:tcPr>
                  <w:tcW w:w="2564"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按照环境监测计划进行监测</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sz w:val="21"/>
                      <w:highlight w:val="none"/>
                      <w:lang w:val="en-US" w:eastAsia="zh-CN"/>
                    </w:rPr>
                  </w:pPr>
                  <w:r>
                    <w:rPr>
                      <w:rFonts w:hint="eastAsia" w:ascii="Times New Roman" w:hAnsi="Times New Roman" w:eastAsia="宋体" w:cs="Times New Roman"/>
                      <w:color w:val="000000"/>
                      <w:spacing w:val="0"/>
                      <w:sz w:val="21"/>
                      <w:highlight w:val="none"/>
                      <w:lang w:val="en-US" w:eastAsia="zh-CN"/>
                    </w:rPr>
                    <w:t>6.5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5319" w:type="dxa"/>
                  <w:gridSpan w:val="3"/>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kern w:val="0"/>
                      <w:sz w:val="21"/>
                      <w:szCs w:val="24"/>
                      <w:highlight w:val="none"/>
                      <w:lang w:val="en-US" w:eastAsia="zh-CN" w:bidi="ar-SA"/>
                    </w:rPr>
                  </w:pPr>
                  <w:r>
                    <w:rPr>
                      <w:rFonts w:hint="eastAsia" w:cs="Times New Roman"/>
                      <w:color w:val="000000"/>
                      <w:spacing w:val="0"/>
                      <w:sz w:val="21"/>
                      <w:highlight w:val="none"/>
                      <w:lang w:val="en-US" w:eastAsia="zh-CN"/>
                    </w:rPr>
                    <w:t>单井</w:t>
                  </w:r>
                  <w:r>
                    <w:rPr>
                      <w:rFonts w:hint="eastAsia" w:ascii="Times New Roman" w:hAnsi="Times New Roman" w:eastAsia="宋体" w:cs="Times New Roman"/>
                      <w:color w:val="000000"/>
                      <w:spacing w:val="0"/>
                      <w:sz w:val="21"/>
                      <w:highlight w:val="none"/>
                    </w:rPr>
                    <w:t>合计</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pacing w:val="0"/>
                      <w:kern w:val="0"/>
                      <w:sz w:val="21"/>
                      <w:szCs w:val="24"/>
                      <w:highlight w:val="none"/>
                      <w:lang w:val="en-US" w:eastAsia="zh-CN" w:bidi="ar-SA"/>
                    </w:rPr>
                  </w:pPr>
                  <w:r>
                    <w:rPr>
                      <w:rFonts w:hint="eastAsia" w:cs="Times New Roman"/>
                      <w:color w:val="000000"/>
                      <w:spacing w:val="0"/>
                      <w:sz w:val="21"/>
                      <w:highlight w:val="none"/>
                      <w:lang w:val="en-US" w:eastAsia="zh-CN"/>
                    </w:rPr>
                    <w:t>284</w:t>
                  </w:r>
                  <w:r>
                    <w:rPr>
                      <w:rFonts w:hint="eastAsia" w:ascii="Times New Roman" w:hAnsi="Times New Roman" w:eastAsia="宋体" w:cs="Times New Roman"/>
                      <w:color w:val="000000"/>
                      <w:spacing w:val="0"/>
                      <w:sz w:val="21"/>
                      <w:highlight w:val="none"/>
                      <w:lang w:val="en-US" w:eastAsia="zh-CN"/>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340" w:hRule="atLeast"/>
              </w:trPr>
              <w:tc>
                <w:tcPr>
                  <w:tcW w:w="5319" w:type="dxa"/>
                  <w:gridSpan w:val="3"/>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spacing w:val="0"/>
                      <w:sz w:val="21"/>
                      <w:highlight w:val="none"/>
                      <w:lang w:val="en-US" w:eastAsia="zh-CN"/>
                    </w:rPr>
                  </w:pPr>
                  <w:r>
                    <w:rPr>
                      <w:rFonts w:hint="eastAsia" w:cs="Times New Roman"/>
                      <w:color w:val="000000"/>
                      <w:spacing w:val="0"/>
                      <w:sz w:val="21"/>
                      <w:highlight w:val="none"/>
                      <w:lang w:val="en-US" w:eastAsia="zh-CN"/>
                    </w:rPr>
                    <w:t>6口井总计</w:t>
                  </w:r>
                </w:p>
              </w:tc>
              <w:tc>
                <w:tcPr>
                  <w:tcW w:w="1568" w:type="dxa"/>
                  <w:tcBorders>
                    <w:top w:val="single" w:color="auto" w:sz="2" w:space="0"/>
                    <w:left w:val="single" w:color="auto" w:sz="2" w:space="0"/>
                    <w:bottom w:val="single" w:color="auto" w:sz="2" w:space="0"/>
                    <w:right w:val="single" w:color="auto" w:sz="2" w:space="0"/>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leftChars="0" w:right="0" w:rightChars="0" w:firstLine="0" w:firstLineChars="0"/>
                    <w:jc w:val="center"/>
                    <w:textAlignment w:val="auto"/>
                    <w:rPr>
                      <w:rFonts w:hint="default" w:cs="Times New Roman"/>
                      <w:color w:val="000000"/>
                      <w:spacing w:val="0"/>
                      <w:sz w:val="21"/>
                      <w:highlight w:val="none"/>
                      <w:lang w:val="en-US" w:eastAsia="zh-CN"/>
                    </w:rPr>
                  </w:pPr>
                  <w:r>
                    <w:rPr>
                      <w:rFonts w:hint="eastAsia" w:cs="Times New Roman"/>
                      <w:color w:val="000000"/>
                      <w:spacing w:val="0"/>
                      <w:sz w:val="21"/>
                      <w:highlight w:val="none"/>
                      <w:lang w:val="en-US" w:eastAsia="zh-CN"/>
                    </w:rPr>
                    <w:t>1707</w:t>
                  </w:r>
                </w:p>
              </w:tc>
            </w:tr>
          </w:tbl>
          <w:p>
            <w:pPr>
              <w:keepNext w:val="0"/>
              <w:keepLines w:val="0"/>
              <w:suppressLineNumbers w:val="0"/>
              <w:adjustRightInd w:val="0"/>
              <w:snapToGrid w:val="0"/>
              <w:spacing w:before="0" w:beforeAutospacing="0" w:after="0" w:afterAutospacing="0" w:line="360" w:lineRule="auto"/>
              <w:ind w:left="0" w:leftChars="0" w:right="0" w:rightChars="0" w:firstLine="0" w:firstLineChars="0"/>
              <w:jc w:val="center"/>
              <w:rPr>
                <w:rFonts w:hint="default" w:ascii="黑体" w:hAnsi="黑体" w:eastAsia="黑体" w:cs="黑体"/>
                <w:bCs/>
                <w:spacing w:val="10"/>
                <w:szCs w:val="21"/>
                <w:highlight w:val="yellow"/>
                <w:lang w:val="en-US" w:eastAsia="zh-CN"/>
              </w:rPr>
            </w:pPr>
          </w:p>
        </w:tc>
      </w:tr>
    </w:tbl>
    <w:p>
      <w:pPr>
        <w:rPr>
          <w:rFonts w:hint="default" w:ascii="Times New Roman" w:hAnsi="Times New Roman" w:cs="Times New Roman"/>
          <w:highlight w:val="yellow"/>
        </w:rPr>
        <w:sectPr>
          <w:pgSz w:w="11907" w:h="16840"/>
          <w:pgMar w:top="1440" w:right="1797" w:bottom="1440" w:left="1797" w:header="851" w:footer="1077" w:gutter="0"/>
          <w:pgNumType w:fmt="decimal"/>
          <w:cols w:space="720" w:num="1"/>
          <w:docGrid w:linePitch="312" w:charSpace="0"/>
        </w:sectPr>
      </w:pPr>
    </w:p>
    <w:p>
      <w:pPr>
        <w:pStyle w:val="17"/>
        <w:jc w:val="center"/>
        <w:outlineLvl w:val="0"/>
        <w:rPr>
          <w:rFonts w:hint="default" w:ascii="Times New Roman" w:hAnsi="Times New Roman" w:eastAsia="黑体" w:cs="Times New Roman"/>
          <w:snapToGrid w:val="0"/>
          <w:sz w:val="30"/>
          <w:szCs w:val="30"/>
          <w:highlight w:val="none"/>
        </w:rPr>
      </w:pPr>
      <w:bookmarkStart w:id="13" w:name="_Toc22066"/>
      <w:r>
        <w:rPr>
          <w:rFonts w:hint="default" w:ascii="Times New Roman" w:hAnsi="Times New Roman" w:eastAsia="黑体" w:cs="Times New Roman"/>
          <w:snapToGrid w:val="0"/>
          <w:sz w:val="30"/>
          <w:szCs w:val="30"/>
          <w:highlight w:val="none"/>
        </w:rPr>
        <w:t>六、生态环境保护措施监督检查清单</w:t>
      </w:r>
      <w:bookmarkEnd w:id="13"/>
    </w:p>
    <w:tbl>
      <w:tblPr>
        <w:tblStyle w:val="20"/>
        <w:tblW w:w="486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2825"/>
        <w:gridCol w:w="2295"/>
        <w:gridCol w:w="1017"/>
        <w:gridCol w:w="7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5" w:type="pct"/>
            <w:vMerge w:val="restart"/>
            <w:tcBorders>
              <w:tl2br w:val="single" w:color="auto" w:sz="4" w:space="0"/>
            </w:tcBorders>
            <w:noWrap w:val="0"/>
            <w:vAlign w:val="top"/>
          </w:tcPr>
          <w:p>
            <w:pPr>
              <w:pStyle w:val="17"/>
              <w:keepNext w:val="0"/>
              <w:keepLines w:val="0"/>
              <w:pageBreakBefore w:val="0"/>
              <w:widowControl/>
              <w:suppressLineNumbers w:val="0"/>
              <w:kinsoku/>
              <w:wordWrap/>
              <w:overflowPunct/>
              <w:topLinePunct w:val="0"/>
              <w:autoSpaceDE/>
              <w:autoSpaceDN/>
              <w:bidi w:val="0"/>
              <w:adjustRightInd w:val="0"/>
              <w:snapToGrid w:val="0"/>
              <w:spacing w:before="72" w:beforeLines="30" w:beforeAutospacing="0" w:after="0" w:afterAutospacing="0"/>
              <w:ind w:left="0" w:right="0"/>
              <w:jc w:val="center"/>
              <w:textAlignment w:val="auto"/>
              <w:outlineLvl w:val="9"/>
              <w:rPr>
                <w:rFonts w:hint="default" w:ascii="Times New Roman" w:hAnsi="Times New Roman" w:eastAsia="黑体" w:cs="Times New Roman"/>
                <w:kern w:val="2"/>
                <w:sz w:val="21"/>
                <w:szCs w:val="21"/>
                <w:highlight w:val="none"/>
              </w:rPr>
            </w:pPr>
            <w:bookmarkStart w:id="14" w:name="_Toc15910"/>
            <w:r>
              <w:rPr>
                <w:rFonts w:hint="default" w:ascii="Times New Roman" w:hAnsi="Times New Roman" w:eastAsia="黑体" w:cs="Times New Roman"/>
                <w:kern w:val="2"/>
                <w:sz w:val="21"/>
                <w:szCs w:val="21"/>
                <w:highlight w:val="none"/>
              </w:rPr>
              <w:t>内容</w:t>
            </w:r>
            <w:bookmarkEnd w:id="14"/>
          </w:p>
          <w:p>
            <w:pPr>
              <w:pStyle w:val="17"/>
              <w:keepNext w:val="0"/>
              <w:keepLines w:val="0"/>
              <w:suppressLineNumbers w:val="0"/>
              <w:adjustRightInd w:val="0"/>
              <w:snapToGrid w:val="0"/>
              <w:spacing w:before="0" w:beforeAutospacing="0" w:after="0" w:afterAutospacing="0"/>
              <w:ind w:left="0" w:right="0"/>
              <w:outlineLvl w:val="0"/>
              <w:rPr>
                <w:rFonts w:hint="default" w:ascii="Times New Roman" w:hAnsi="Times New Roman" w:eastAsia="黑体" w:cs="Times New Roman"/>
                <w:kern w:val="2"/>
                <w:sz w:val="21"/>
                <w:szCs w:val="21"/>
                <w:highlight w:val="none"/>
              </w:rPr>
            </w:pPr>
            <w:bookmarkStart w:id="15" w:name="_Toc21303"/>
          </w:p>
          <w:p>
            <w:pPr>
              <w:pStyle w:val="17"/>
              <w:keepNext w:val="0"/>
              <w:keepLines w:val="0"/>
              <w:suppressLineNumbers w:val="0"/>
              <w:adjustRightInd w:val="0"/>
              <w:snapToGrid w:val="0"/>
              <w:spacing w:before="0" w:beforeAutospacing="0" w:after="0" w:afterAutospacing="0"/>
              <w:ind w:left="0" w:right="0"/>
              <w:outlineLvl w:val="0"/>
              <w:rPr>
                <w:rFonts w:hint="default" w:ascii="Times New Roman" w:hAnsi="Times New Roman" w:eastAsia="黑体" w:cs="Times New Roman"/>
                <w:kern w:val="2"/>
                <w:sz w:val="21"/>
                <w:szCs w:val="21"/>
                <w:highlight w:val="none"/>
              </w:rPr>
            </w:pPr>
            <w:r>
              <w:rPr>
                <w:rFonts w:hint="default" w:ascii="Times New Roman" w:hAnsi="Times New Roman" w:eastAsia="黑体" w:cs="Times New Roman"/>
                <w:kern w:val="2"/>
                <w:sz w:val="21"/>
                <w:szCs w:val="21"/>
                <w:highlight w:val="none"/>
              </w:rPr>
              <w:t>要素</w:t>
            </w:r>
            <w:bookmarkEnd w:id="15"/>
          </w:p>
        </w:tc>
        <w:tc>
          <w:tcPr>
            <w:tcW w:w="3085" w:type="pct"/>
            <w:gridSpan w:val="2"/>
            <w:noWrap w:val="0"/>
            <w:vAlign w:val="center"/>
          </w:tcPr>
          <w:p>
            <w:pPr>
              <w:pStyle w:val="17"/>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黑体" w:cs="Times New Roman"/>
                <w:kern w:val="2"/>
                <w:sz w:val="21"/>
                <w:szCs w:val="21"/>
                <w:highlight w:val="none"/>
              </w:rPr>
            </w:pPr>
            <w:bookmarkStart w:id="16" w:name="_Toc5165"/>
            <w:r>
              <w:rPr>
                <w:rFonts w:hint="default" w:ascii="Times New Roman" w:hAnsi="Times New Roman" w:eastAsia="黑体" w:cs="Times New Roman"/>
                <w:kern w:val="2"/>
                <w:sz w:val="21"/>
                <w:szCs w:val="21"/>
                <w:highlight w:val="none"/>
              </w:rPr>
              <w:t>施工期</w:t>
            </w:r>
            <w:bookmarkEnd w:id="16"/>
          </w:p>
        </w:tc>
        <w:tc>
          <w:tcPr>
            <w:tcW w:w="1058" w:type="pct"/>
            <w:gridSpan w:val="2"/>
            <w:noWrap w:val="0"/>
            <w:vAlign w:val="center"/>
          </w:tcPr>
          <w:p>
            <w:pPr>
              <w:pStyle w:val="17"/>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黑体" w:cs="Times New Roman"/>
                <w:kern w:val="2"/>
                <w:sz w:val="21"/>
                <w:szCs w:val="21"/>
                <w:highlight w:val="none"/>
              </w:rPr>
            </w:pPr>
            <w:bookmarkStart w:id="17" w:name="_Toc23551"/>
            <w:r>
              <w:rPr>
                <w:rFonts w:hint="default" w:ascii="Times New Roman" w:hAnsi="Times New Roman" w:eastAsia="黑体" w:cs="Times New Roman"/>
                <w:kern w:val="2"/>
                <w:sz w:val="21"/>
                <w:szCs w:val="21"/>
                <w:highlight w:val="none"/>
              </w:rPr>
              <w:t>运营期</w:t>
            </w:r>
            <w:bookmarkEnd w:id="1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5" w:type="pct"/>
            <w:vMerge w:val="continue"/>
            <w:noWrap w:val="0"/>
            <w:vAlign w:val="top"/>
          </w:tcPr>
          <w:p>
            <w:pPr>
              <w:pStyle w:val="17"/>
              <w:keepNext w:val="0"/>
              <w:keepLines w:val="0"/>
              <w:suppressLineNumbers w:val="0"/>
              <w:adjustRightInd w:val="0"/>
              <w:snapToGrid w:val="0"/>
              <w:spacing w:before="0" w:beforeAutospacing="0" w:after="0" w:afterAutospacing="0"/>
              <w:ind w:left="0" w:right="0" w:firstLine="840"/>
              <w:jc w:val="center"/>
              <w:outlineLvl w:val="9"/>
              <w:rPr>
                <w:rFonts w:hint="default" w:ascii="Times New Roman" w:hAnsi="Times New Roman" w:eastAsia="黑体" w:cs="Times New Roman"/>
                <w:kern w:val="2"/>
                <w:sz w:val="21"/>
                <w:szCs w:val="21"/>
                <w:highlight w:val="none"/>
              </w:rPr>
            </w:pPr>
          </w:p>
        </w:tc>
        <w:tc>
          <w:tcPr>
            <w:tcW w:w="1702" w:type="pct"/>
            <w:noWrap w:val="0"/>
            <w:vAlign w:val="center"/>
          </w:tcPr>
          <w:p>
            <w:pPr>
              <w:pStyle w:val="17"/>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黑体" w:cs="Times New Roman"/>
                <w:kern w:val="2"/>
                <w:sz w:val="21"/>
                <w:szCs w:val="21"/>
                <w:highlight w:val="none"/>
              </w:rPr>
            </w:pPr>
            <w:bookmarkStart w:id="18" w:name="_Toc729"/>
            <w:r>
              <w:rPr>
                <w:rFonts w:hint="default" w:ascii="Times New Roman" w:hAnsi="Times New Roman" w:eastAsia="黑体" w:cs="Times New Roman"/>
                <w:kern w:val="2"/>
                <w:sz w:val="21"/>
                <w:szCs w:val="21"/>
                <w:highlight w:val="none"/>
              </w:rPr>
              <w:t>环境保护措施</w:t>
            </w:r>
            <w:bookmarkEnd w:id="18"/>
          </w:p>
        </w:tc>
        <w:tc>
          <w:tcPr>
            <w:tcW w:w="1383" w:type="pct"/>
            <w:noWrap w:val="0"/>
            <w:vAlign w:val="center"/>
          </w:tcPr>
          <w:p>
            <w:pPr>
              <w:pStyle w:val="17"/>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黑体" w:cs="Times New Roman"/>
                <w:kern w:val="2"/>
                <w:sz w:val="21"/>
                <w:szCs w:val="21"/>
                <w:highlight w:val="none"/>
              </w:rPr>
            </w:pPr>
            <w:bookmarkStart w:id="19" w:name="_Toc30728"/>
            <w:r>
              <w:rPr>
                <w:rFonts w:hint="default" w:ascii="Times New Roman" w:hAnsi="Times New Roman" w:eastAsia="黑体" w:cs="Times New Roman"/>
                <w:kern w:val="2"/>
                <w:sz w:val="21"/>
                <w:szCs w:val="21"/>
                <w:highlight w:val="none"/>
              </w:rPr>
              <w:t>验收要求</w:t>
            </w:r>
            <w:bookmarkEnd w:id="19"/>
          </w:p>
        </w:tc>
        <w:tc>
          <w:tcPr>
            <w:tcW w:w="613" w:type="pct"/>
            <w:noWrap w:val="0"/>
            <w:vAlign w:val="center"/>
          </w:tcPr>
          <w:p>
            <w:pPr>
              <w:pStyle w:val="17"/>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黑体" w:cs="Times New Roman"/>
                <w:kern w:val="2"/>
                <w:sz w:val="21"/>
                <w:szCs w:val="21"/>
                <w:highlight w:val="none"/>
              </w:rPr>
            </w:pPr>
            <w:bookmarkStart w:id="20" w:name="_Toc27958"/>
            <w:r>
              <w:rPr>
                <w:rFonts w:hint="default" w:ascii="Times New Roman" w:hAnsi="Times New Roman" w:eastAsia="黑体" w:cs="Times New Roman"/>
                <w:kern w:val="2"/>
                <w:sz w:val="21"/>
                <w:szCs w:val="21"/>
                <w:highlight w:val="none"/>
              </w:rPr>
              <w:t>环境保护措施</w:t>
            </w:r>
            <w:bookmarkEnd w:id="20"/>
          </w:p>
        </w:tc>
        <w:tc>
          <w:tcPr>
            <w:tcW w:w="445" w:type="pct"/>
            <w:noWrap w:val="0"/>
            <w:vAlign w:val="center"/>
          </w:tcPr>
          <w:p>
            <w:pPr>
              <w:pStyle w:val="17"/>
              <w:keepNext w:val="0"/>
              <w:keepLines w:val="0"/>
              <w:suppressLineNumbers w:val="0"/>
              <w:adjustRightInd w:val="0"/>
              <w:snapToGrid w:val="0"/>
              <w:spacing w:before="0" w:beforeAutospacing="0" w:after="0" w:afterAutospacing="0"/>
              <w:ind w:left="0" w:right="0"/>
              <w:jc w:val="center"/>
              <w:outlineLvl w:val="0"/>
              <w:rPr>
                <w:rFonts w:hint="default" w:ascii="Times New Roman" w:hAnsi="Times New Roman" w:eastAsia="黑体" w:cs="Times New Roman"/>
                <w:kern w:val="2"/>
                <w:sz w:val="21"/>
                <w:szCs w:val="21"/>
                <w:highlight w:val="none"/>
              </w:rPr>
            </w:pPr>
            <w:bookmarkStart w:id="21" w:name="_Toc6566"/>
            <w:r>
              <w:rPr>
                <w:rFonts w:hint="default" w:ascii="Times New Roman" w:hAnsi="Times New Roman" w:eastAsia="黑体" w:cs="Times New Roman"/>
                <w:kern w:val="2"/>
                <w:sz w:val="21"/>
                <w:szCs w:val="21"/>
                <w:highlight w:val="none"/>
              </w:rPr>
              <w:t>验收要求</w:t>
            </w:r>
            <w:bookmarkEnd w:id="2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陆生生态</w:t>
            </w:r>
          </w:p>
        </w:tc>
        <w:tc>
          <w:tcPr>
            <w:tcW w:w="1702"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both"/>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施工井场临时占地进行清理平整，临时占地生态采取自然恢复措施；严禁在非施工区域乱开道路；严禁乱丢乱弃</w:t>
            </w:r>
          </w:p>
        </w:tc>
        <w:tc>
          <w:tcPr>
            <w:tcW w:w="138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sz w:val="20"/>
                <w:szCs w:val="20"/>
                <w:highlight w:val="none"/>
              </w:rPr>
              <w:t>现场是否平整；施工区外是否有破坏痕迹；是否办理征地补偿手续；恢复原有土地使用功能</w:t>
            </w:r>
          </w:p>
        </w:tc>
        <w:tc>
          <w:tcPr>
            <w:tcW w:w="61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无</w:t>
            </w:r>
          </w:p>
        </w:tc>
        <w:tc>
          <w:tcPr>
            <w:tcW w:w="445"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sz w:val="20"/>
                <w:szCs w:val="20"/>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水生生态</w:t>
            </w:r>
          </w:p>
        </w:tc>
        <w:tc>
          <w:tcPr>
            <w:tcW w:w="1702"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无</w:t>
            </w:r>
          </w:p>
        </w:tc>
        <w:tc>
          <w:tcPr>
            <w:tcW w:w="138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无</w:t>
            </w:r>
          </w:p>
        </w:tc>
        <w:tc>
          <w:tcPr>
            <w:tcW w:w="61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c>
          <w:tcPr>
            <w:tcW w:w="445"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地表水环境</w:t>
            </w:r>
          </w:p>
        </w:tc>
        <w:tc>
          <w:tcPr>
            <w:tcW w:w="1702"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钻井废水进入不落地系统处理，不外排；井下作业废水拉运春风一号联合站污水处理系统进行处理；生活污水排入环保厕所，定期拉运至中石化新疆新春采油厂生产管理区污水处理站进行处理，不外排</w:t>
            </w:r>
          </w:p>
        </w:tc>
        <w:tc>
          <w:tcPr>
            <w:tcW w:w="138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2"/>
                <w:highlight w:val="none"/>
              </w:rPr>
              <w:t>《碎屑岩油藏注水水质指标及分析方法》(SY/T5329-2012)中推荐水质</w:t>
            </w:r>
            <w:r>
              <w:rPr>
                <w:rFonts w:hint="eastAsia" w:cs="Times New Roman"/>
                <w:sz w:val="20"/>
                <w:szCs w:val="22"/>
                <w:highlight w:val="none"/>
                <w:lang w:eastAsia="zh-CN"/>
              </w:rPr>
              <w:t>；</w:t>
            </w:r>
            <w:r>
              <w:rPr>
                <w:rFonts w:hint="eastAsia" w:cs="Times New Roman"/>
                <w:sz w:val="20"/>
                <w:szCs w:val="22"/>
                <w:highlight w:val="none"/>
                <w:lang w:val="en-US" w:eastAsia="zh-CN"/>
              </w:rPr>
              <w:t>现场无废水遗留</w:t>
            </w:r>
          </w:p>
        </w:tc>
        <w:tc>
          <w:tcPr>
            <w:tcW w:w="61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c>
          <w:tcPr>
            <w:tcW w:w="445"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地下水及土壤环境</w:t>
            </w:r>
          </w:p>
        </w:tc>
        <w:tc>
          <w:tcPr>
            <w:tcW w:w="1702"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采取防渗措施，</w:t>
            </w:r>
            <w:r>
              <w:rPr>
                <w:rFonts w:hint="eastAsia" w:cs="Times New Roman"/>
                <w:sz w:val="20"/>
                <w:szCs w:val="20"/>
                <w:highlight w:val="none"/>
                <w:lang w:val="en-US" w:eastAsia="zh-CN"/>
              </w:rPr>
              <w:t>污染物</w:t>
            </w:r>
            <w:r>
              <w:rPr>
                <w:rFonts w:hint="eastAsia" w:ascii="Times New Roman" w:hAnsi="Times New Roman" w:eastAsia="宋体" w:cs="Times New Roman"/>
                <w:sz w:val="20"/>
                <w:szCs w:val="20"/>
                <w:highlight w:val="none"/>
                <w:lang w:val="en-US" w:eastAsia="zh-CN"/>
              </w:rPr>
              <w:t>严禁外排</w:t>
            </w:r>
          </w:p>
        </w:tc>
        <w:tc>
          <w:tcPr>
            <w:tcW w:w="138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2"/>
                <w:highlight w:val="none"/>
                <w:lang w:val="en-US" w:eastAsia="zh-CN"/>
              </w:rPr>
              <w:t>《油气田钻井固体废物综合利用污染控制要求》(DB65/T3997-2017)表1综合利用污染限值的要求</w:t>
            </w:r>
            <w:r>
              <w:rPr>
                <w:rFonts w:hint="eastAsia" w:cs="Times New Roman"/>
                <w:sz w:val="20"/>
                <w:szCs w:val="22"/>
                <w:highlight w:val="none"/>
                <w:lang w:val="en-US" w:eastAsia="zh-CN"/>
              </w:rPr>
              <w:t>；以及油基泥浆转运联单</w:t>
            </w:r>
          </w:p>
        </w:tc>
        <w:tc>
          <w:tcPr>
            <w:tcW w:w="61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c>
          <w:tcPr>
            <w:tcW w:w="445"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声环境</w:t>
            </w:r>
          </w:p>
        </w:tc>
        <w:tc>
          <w:tcPr>
            <w:tcW w:w="1702"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选用低声级建筑机械</w:t>
            </w:r>
            <w:r>
              <w:rPr>
                <w:rFonts w:hint="eastAsia" w:ascii="Times New Roman" w:hAnsi="Times New Roman" w:eastAsia="宋体" w:cs="Times New Roman"/>
                <w:sz w:val="20"/>
                <w:szCs w:val="20"/>
                <w:highlight w:val="none"/>
                <w:lang w:eastAsia="zh-CN"/>
              </w:rPr>
              <w:t>；</w:t>
            </w:r>
            <w:r>
              <w:rPr>
                <w:rFonts w:hint="default" w:ascii="Times New Roman" w:hAnsi="Times New Roman" w:eastAsia="宋体" w:cs="Times New Roman"/>
                <w:sz w:val="20"/>
                <w:szCs w:val="20"/>
                <w:highlight w:val="none"/>
              </w:rPr>
              <w:t>车辆在施工区内严禁鸣笛</w:t>
            </w:r>
          </w:p>
        </w:tc>
        <w:tc>
          <w:tcPr>
            <w:tcW w:w="138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eastAsia="zh-CN"/>
              </w:rPr>
              <w:t>《建筑施工场界环境噪声排放标准》（GB12523-2011）</w:t>
            </w:r>
          </w:p>
        </w:tc>
        <w:tc>
          <w:tcPr>
            <w:tcW w:w="61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c>
          <w:tcPr>
            <w:tcW w:w="445"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振动</w:t>
            </w:r>
          </w:p>
        </w:tc>
        <w:tc>
          <w:tcPr>
            <w:tcW w:w="1702"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无</w:t>
            </w:r>
          </w:p>
        </w:tc>
        <w:tc>
          <w:tcPr>
            <w:tcW w:w="138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无</w:t>
            </w:r>
          </w:p>
        </w:tc>
        <w:tc>
          <w:tcPr>
            <w:tcW w:w="61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c>
          <w:tcPr>
            <w:tcW w:w="445"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大气环境</w:t>
            </w:r>
          </w:p>
        </w:tc>
        <w:tc>
          <w:tcPr>
            <w:tcW w:w="1702"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both"/>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0"/>
                <w:highlight w:val="none"/>
                <w:lang w:val="en-US" w:eastAsia="zh-CN"/>
              </w:rPr>
              <w:t>采用国家合格燃料处理后达标排放、洒水降尘</w:t>
            </w:r>
          </w:p>
        </w:tc>
        <w:tc>
          <w:tcPr>
            <w:tcW w:w="138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《大气污染物综合排放标准》（GB16297-1996）表2中的二级标准限值</w:t>
            </w:r>
          </w:p>
        </w:tc>
        <w:tc>
          <w:tcPr>
            <w:tcW w:w="61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c>
          <w:tcPr>
            <w:tcW w:w="445"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固体废物</w:t>
            </w:r>
          </w:p>
        </w:tc>
        <w:tc>
          <w:tcPr>
            <w:tcW w:w="1702"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2"/>
                <w:highlight w:val="none"/>
                <w:lang w:val="en-US" w:eastAsia="zh-CN"/>
              </w:rPr>
              <w:t>钻井泥浆、岩屑全部进入泥浆不落地系统，生活垃圾及一般固废</w:t>
            </w:r>
            <w:r>
              <w:rPr>
                <w:rFonts w:hint="eastAsia" w:cs="Times New Roman"/>
                <w:sz w:val="20"/>
                <w:szCs w:val="22"/>
                <w:highlight w:val="none"/>
                <w:lang w:val="en-US" w:eastAsia="zh-CN"/>
              </w:rPr>
              <w:t>由</w:t>
            </w:r>
            <w:r>
              <w:rPr>
                <w:rFonts w:hint="eastAsia" w:ascii="Times New Roman" w:hAnsi="Times New Roman" w:eastAsia="宋体" w:cs="Times New Roman"/>
                <w:sz w:val="20"/>
                <w:szCs w:val="22"/>
                <w:highlight w:val="none"/>
              </w:rPr>
              <w:t>玛纳斯县垃圾填埋场处置</w:t>
            </w:r>
          </w:p>
        </w:tc>
        <w:tc>
          <w:tcPr>
            <w:tcW w:w="138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2"/>
                <w:highlight w:val="none"/>
                <w:lang w:val="en-US" w:eastAsia="zh-CN"/>
              </w:rPr>
              <w:t>采用不落地达标处置，现场无固废遗留，钻井结束后恢复地貌</w:t>
            </w:r>
          </w:p>
        </w:tc>
        <w:tc>
          <w:tcPr>
            <w:tcW w:w="61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c>
          <w:tcPr>
            <w:tcW w:w="445"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电磁环境</w:t>
            </w:r>
          </w:p>
        </w:tc>
        <w:tc>
          <w:tcPr>
            <w:tcW w:w="1702"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c>
          <w:tcPr>
            <w:tcW w:w="138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c>
          <w:tcPr>
            <w:tcW w:w="61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c>
          <w:tcPr>
            <w:tcW w:w="445"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环境风险</w:t>
            </w:r>
          </w:p>
        </w:tc>
        <w:tc>
          <w:tcPr>
            <w:tcW w:w="1702"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2"/>
                <w:highlight w:val="none"/>
              </w:rPr>
              <w:t>井口设防喷器</w:t>
            </w:r>
            <w:r>
              <w:rPr>
                <w:rFonts w:hint="eastAsia" w:cs="Times New Roman"/>
                <w:sz w:val="20"/>
                <w:szCs w:val="22"/>
                <w:highlight w:val="none"/>
                <w:lang w:eastAsia="zh-CN"/>
              </w:rPr>
              <w:t>；及时收集溢油，设置防渗措施，避免柴油外泄引起生态破坏（配备灭火装置、应急点火系统等）</w:t>
            </w:r>
          </w:p>
        </w:tc>
        <w:tc>
          <w:tcPr>
            <w:tcW w:w="138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sz w:val="20"/>
                <w:szCs w:val="20"/>
                <w:highlight w:val="none"/>
                <w:lang w:eastAsia="zh-CN"/>
              </w:rPr>
            </w:pPr>
            <w:r>
              <w:rPr>
                <w:rFonts w:hint="eastAsia" w:ascii="Times New Roman" w:hAnsi="Times New Roman" w:eastAsia="宋体" w:cs="Times New Roman"/>
                <w:sz w:val="20"/>
                <w:szCs w:val="22"/>
                <w:highlight w:val="none"/>
              </w:rPr>
              <w:t>防止井喷</w:t>
            </w:r>
            <w:r>
              <w:rPr>
                <w:rFonts w:hint="eastAsia" w:cs="Times New Roman"/>
                <w:sz w:val="20"/>
                <w:szCs w:val="22"/>
                <w:highlight w:val="none"/>
                <w:lang w:eastAsia="zh-CN"/>
              </w:rPr>
              <w:t>；是否收集溢油、是否防渗；是否发生环境风险事故，针对环境风险制定应急方案</w:t>
            </w:r>
          </w:p>
        </w:tc>
        <w:tc>
          <w:tcPr>
            <w:tcW w:w="61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c>
          <w:tcPr>
            <w:tcW w:w="445"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环境监测</w:t>
            </w:r>
          </w:p>
        </w:tc>
        <w:tc>
          <w:tcPr>
            <w:tcW w:w="1702"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施工期</w:t>
            </w:r>
            <w:r>
              <w:rPr>
                <w:rFonts w:hint="eastAsia" w:ascii="Times New Roman" w:hAnsi="Times New Roman" w:eastAsia="宋体" w:cs="Times New Roman"/>
                <w:sz w:val="20"/>
                <w:szCs w:val="20"/>
                <w:highlight w:val="none"/>
                <w:lang w:val="en-US" w:eastAsia="zh-CN"/>
              </w:rPr>
              <w:t>噪声</w:t>
            </w:r>
            <w:r>
              <w:rPr>
                <w:rFonts w:hint="eastAsia" w:cs="Times New Roman"/>
                <w:sz w:val="20"/>
                <w:szCs w:val="20"/>
                <w:highlight w:val="none"/>
                <w:lang w:val="en-US" w:eastAsia="zh-CN"/>
              </w:rPr>
              <w:t>及非甲烷总烃</w:t>
            </w:r>
          </w:p>
        </w:tc>
        <w:tc>
          <w:tcPr>
            <w:tcW w:w="138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《建筑施工场界环境噪声排放标准》（GB12523-2011）</w:t>
            </w:r>
            <w:r>
              <w:rPr>
                <w:rFonts w:hint="eastAsia" w:cs="Times New Roman"/>
                <w:sz w:val="20"/>
                <w:szCs w:val="20"/>
                <w:highlight w:val="none"/>
                <w:lang w:val="en-US" w:eastAsia="zh-CN"/>
              </w:rPr>
              <w:t>及《大气污染物综合排放标准》（GB16297-1996）</w:t>
            </w:r>
          </w:p>
        </w:tc>
        <w:tc>
          <w:tcPr>
            <w:tcW w:w="61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c>
          <w:tcPr>
            <w:tcW w:w="445"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其他</w:t>
            </w:r>
          </w:p>
        </w:tc>
        <w:tc>
          <w:tcPr>
            <w:tcW w:w="1702"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c>
          <w:tcPr>
            <w:tcW w:w="138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c>
          <w:tcPr>
            <w:tcW w:w="613"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c>
          <w:tcPr>
            <w:tcW w:w="445" w:type="pct"/>
            <w:noWrap w:val="0"/>
            <w:vAlign w:val="center"/>
          </w:tcPr>
          <w:p>
            <w:pPr>
              <w:keepNext w:val="0"/>
              <w:keepLines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sz w:val="20"/>
                <w:szCs w:val="22"/>
                <w:highlight w:val="none"/>
              </w:rPr>
              <w:t>无</w:t>
            </w:r>
          </w:p>
        </w:tc>
      </w:tr>
    </w:tbl>
    <w:p>
      <w:pPr>
        <w:rPr>
          <w:rFonts w:hint="default"/>
          <w:highlight w:val="yellow"/>
        </w:rPr>
      </w:pPr>
    </w:p>
    <w:p>
      <w:pPr>
        <w:pStyle w:val="17"/>
        <w:keepNext w:val="0"/>
        <w:keepLines w:val="0"/>
        <w:pageBreakBefore w:val="0"/>
        <w:widowControl/>
        <w:kinsoku/>
        <w:wordWrap/>
        <w:overflowPunct/>
        <w:topLinePunct w:val="0"/>
        <w:autoSpaceDE/>
        <w:autoSpaceDN/>
        <w:bidi w:val="0"/>
        <w:adjustRightInd/>
        <w:snapToGrid/>
        <w:spacing w:before="0" w:beforeAutospacing="0" w:line="240" w:lineRule="auto"/>
        <w:jc w:val="center"/>
        <w:textAlignment w:val="auto"/>
        <w:outlineLvl w:val="0"/>
        <w:rPr>
          <w:rFonts w:hint="default" w:ascii="Times New Roman" w:hAnsi="Times New Roman" w:eastAsia="黑体" w:cs="Times New Roman"/>
          <w:snapToGrid w:val="0"/>
          <w:sz w:val="30"/>
          <w:szCs w:val="30"/>
          <w:highlight w:val="none"/>
        </w:rPr>
      </w:pPr>
      <w:r>
        <w:rPr>
          <w:rFonts w:hint="default" w:ascii="Times New Roman" w:hAnsi="Times New Roman" w:eastAsia="黑体" w:cs="Times New Roman"/>
          <w:snapToGrid w:val="0"/>
          <w:sz w:val="30"/>
          <w:szCs w:val="30"/>
          <w:highlight w:val="yellow"/>
        </w:rPr>
        <w:br w:type="page"/>
      </w:r>
      <w:bookmarkStart w:id="22" w:name="_Toc4571"/>
      <w:r>
        <w:rPr>
          <w:rFonts w:hint="default" w:ascii="Times New Roman" w:hAnsi="Times New Roman" w:eastAsia="黑体" w:cs="Times New Roman"/>
          <w:snapToGrid w:val="0"/>
          <w:sz w:val="30"/>
          <w:szCs w:val="30"/>
          <w:highlight w:val="none"/>
        </w:rPr>
        <w:t>七、结论</w:t>
      </w:r>
      <w:bookmarkEnd w:id="22"/>
    </w:p>
    <w:tbl>
      <w:tblPr>
        <w:tblStyle w:val="20"/>
        <w:tblW w:w="82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283" w:type="dxa"/>
            <w:noWrap w:val="0"/>
            <w:vAlign w:val="top"/>
          </w:tcPr>
          <w:p>
            <w:pPr>
              <w:keepNext w:val="0"/>
              <w:keepLines w:val="0"/>
              <w:suppressLineNumbers w:val="0"/>
              <w:adjustRightInd w:val="0"/>
              <w:snapToGrid w:val="0"/>
              <w:spacing w:before="0" w:beforeAutospacing="0" w:after="0" w:afterAutospacing="0" w:line="360" w:lineRule="auto"/>
              <w:ind w:left="0" w:leftChars="0" w:right="0" w:rightChars="0" w:firstLine="420" w:firstLineChars="200"/>
              <w:jc w:val="both"/>
              <w:rPr>
                <w:rFonts w:hint="default" w:ascii="Times New Roman" w:hAnsi="Times New Roman" w:eastAsia="宋体" w:cs="Times New Roman"/>
                <w:szCs w:val="21"/>
                <w:highlight w:val="none"/>
              </w:rPr>
            </w:pPr>
          </w:p>
          <w:p>
            <w:pPr>
              <w:keepNext w:val="0"/>
              <w:keepLines w:val="0"/>
              <w:suppressLineNumbers w:val="0"/>
              <w:adjustRightInd w:val="0"/>
              <w:snapToGrid w:val="0"/>
              <w:spacing w:before="0" w:beforeAutospacing="0" w:after="0" w:afterAutospacing="0" w:line="360" w:lineRule="auto"/>
              <w:ind w:left="0" w:leftChars="0" w:right="0" w:rightChars="0" w:firstLine="420" w:firstLineChars="200"/>
              <w:jc w:val="both"/>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从</w:t>
            </w:r>
            <w:r>
              <w:rPr>
                <w:rFonts w:hint="eastAsia" w:ascii="Times New Roman" w:hAnsi="Times New Roman" w:eastAsia="宋体" w:cs="Times New Roman"/>
                <w:szCs w:val="21"/>
                <w:highlight w:val="none"/>
                <w:lang w:val="en-US" w:eastAsia="zh-CN"/>
              </w:rPr>
              <w:t>生态环境</w:t>
            </w:r>
            <w:r>
              <w:rPr>
                <w:rFonts w:hint="default" w:ascii="Times New Roman" w:hAnsi="Times New Roman" w:eastAsia="宋体" w:cs="Times New Roman"/>
                <w:szCs w:val="21"/>
                <w:highlight w:val="none"/>
              </w:rPr>
              <w:t>角度考虑，建设单位在严格执行“三同时”制度、在</w:t>
            </w:r>
            <w:r>
              <w:rPr>
                <w:rFonts w:hint="eastAsia" w:ascii="Times New Roman" w:hAnsi="Times New Roman" w:eastAsia="宋体" w:cs="Times New Roman"/>
                <w:szCs w:val="21"/>
                <w:highlight w:val="none"/>
                <w:lang w:val="en-US" w:eastAsia="zh-CN"/>
              </w:rPr>
              <w:t>施工期各个环节</w:t>
            </w:r>
            <w:r>
              <w:rPr>
                <w:rFonts w:hint="default" w:ascii="Times New Roman" w:hAnsi="Times New Roman" w:eastAsia="宋体" w:cs="Times New Roman"/>
                <w:szCs w:val="21"/>
                <w:highlight w:val="none"/>
              </w:rPr>
              <w:t>采取工程措施、临时防护措施相结合的综合防治体系，对各项</w:t>
            </w:r>
            <w:r>
              <w:rPr>
                <w:rFonts w:hint="eastAsia" w:ascii="Times New Roman" w:hAnsi="Times New Roman" w:eastAsia="宋体" w:cs="Times New Roman"/>
                <w:szCs w:val="21"/>
                <w:highlight w:val="none"/>
                <w:lang w:val="en-US" w:eastAsia="zh-CN"/>
              </w:rPr>
              <w:t>生态环境保护措施</w:t>
            </w:r>
            <w:r>
              <w:rPr>
                <w:rFonts w:hint="default" w:ascii="Times New Roman" w:hAnsi="Times New Roman" w:eastAsia="宋体" w:cs="Times New Roman"/>
                <w:szCs w:val="21"/>
                <w:highlight w:val="none"/>
              </w:rPr>
              <w:t>切实逐项予以落实、并加强</w:t>
            </w:r>
            <w:r>
              <w:rPr>
                <w:rFonts w:hint="eastAsia" w:ascii="Times New Roman" w:hAnsi="Times New Roman" w:eastAsia="宋体" w:cs="Times New Roman"/>
                <w:szCs w:val="21"/>
                <w:highlight w:val="none"/>
                <w:lang w:val="en-US" w:eastAsia="zh-CN"/>
              </w:rPr>
              <w:t>施工期</w:t>
            </w:r>
            <w:r>
              <w:rPr>
                <w:rFonts w:hint="default" w:ascii="Times New Roman" w:hAnsi="Times New Roman" w:eastAsia="宋体" w:cs="Times New Roman"/>
                <w:szCs w:val="21"/>
                <w:highlight w:val="none"/>
              </w:rPr>
              <w:t>管理的前提下，</w:t>
            </w:r>
            <w:r>
              <w:rPr>
                <w:rFonts w:hint="eastAsia" w:ascii="Times New Roman" w:hAnsi="Times New Roman" w:eastAsia="宋体" w:cs="Times New Roman"/>
                <w:szCs w:val="21"/>
                <w:highlight w:val="none"/>
                <w:lang w:eastAsia="zh-CN"/>
              </w:rPr>
              <w:t>本项目</w:t>
            </w:r>
            <w:r>
              <w:rPr>
                <w:rFonts w:hint="default" w:ascii="Times New Roman" w:hAnsi="Times New Roman" w:eastAsia="宋体" w:cs="Times New Roman"/>
                <w:szCs w:val="21"/>
                <w:highlight w:val="none"/>
              </w:rPr>
              <w:t>对周围</w:t>
            </w:r>
            <w:r>
              <w:rPr>
                <w:rFonts w:hint="eastAsia" w:ascii="Times New Roman" w:hAnsi="Times New Roman" w:eastAsia="宋体" w:cs="Times New Roman"/>
                <w:szCs w:val="21"/>
                <w:highlight w:val="none"/>
                <w:lang w:val="en-US" w:eastAsia="zh-CN"/>
              </w:rPr>
              <w:t>生态</w:t>
            </w:r>
            <w:r>
              <w:rPr>
                <w:rFonts w:hint="default" w:ascii="Times New Roman" w:hAnsi="Times New Roman" w:eastAsia="宋体" w:cs="Times New Roman"/>
                <w:szCs w:val="21"/>
                <w:highlight w:val="none"/>
              </w:rPr>
              <w:t>环境</w:t>
            </w:r>
            <w:r>
              <w:rPr>
                <w:rFonts w:hint="eastAsia" w:ascii="Times New Roman" w:hAnsi="Times New Roman" w:eastAsia="宋体" w:cs="Times New Roman"/>
                <w:szCs w:val="21"/>
                <w:highlight w:val="none"/>
                <w:lang w:val="en-US" w:eastAsia="zh-CN"/>
              </w:rPr>
              <w:t>的不利</w:t>
            </w:r>
            <w:r>
              <w:rPr>
                <w:rFonts w:hint="default" w:ascii="Times New Roman" w:hAnsi="Times New Roman" w:eastAsia="宋体" w:cs="Times New Roman"/>
                <w:szCs w:val="21"/>
                <w:highlight w:val="none"/>
              </w:rPr>
              <w:t>影响较小</w:t>
            </w: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lang w:val="en-US" w:eastAsia="zh-CN"/>
              </w:rPr>
              <w:t>同时本项目的</w:t>
            </w:r>
            <w:r>
              <w:rPr>
                <w:rFonts w:hint="default" w:ascii="Times New Roman" w:hAnsi="Times New Roman" w:eastAsia="宋体" w:cs="Times New Roman"/>
                <w:szCs w:val="21"/>
                <w:highlight w:val="none"/>
              </w:rPr>
              <w:t>实施具有显著的经济效益和生态效益，项目</w:t>
            </w:r>
            <w:r>
              <w:rPr>
                <w:rFonts w:hint="eastAsia" w:ascii="Times New Roman" w:hAnsi="Times New Roman" w:eastAsia="宋体" w:cs="Times New Roman"/>
                <w:szCs w:val="21"/>
                <w:highlight w:val="none"/>
                <w:lang w:val="en-US" w:eastAsia="zh-CN"/>
              </w:rPr>
              <w:t>从生态</w:t>
            </w:r>
            <w:r>
              <w:rPr>
                <w:rFonts w:hint="default" w:ascii="Times New Roman" w:hAnsi="Times New Roman" w:eastAsia="宋体" w:cs="Times New Roman"/>
                <w:szCs w:val="21"/>
                <w:highlight w:val="none"/>
              </w:rPr>
              <w:t>环境</w:t>
            </w:r>
            <w:r>
              <w:rPr>
                <w:rFonts w:hint="eastAsia" w:ascii="Times New Roman" w:hAnsi="Times New Roman" w:eastAsia="宋体" w:cs="Times New Roman"/>
                <w:szCs w:val="21"/>
                <w:highlight w:val="none"/>
                <w:lang w:val="en-US" w:eastAsia="zh-CN"/>
              </w:rPr>
              <w:t>保护</w:t>
            </w:r>
            <w:r>
              <w:rPr>
                <w:rFonts w:hint="default" w:ascii="Times New Roman" w:hAnsi="Times New Roman" w:eastAsia="宋体" w:cs="Times New Roman"/>
                <w:szCs w:val="21"/>
                <w:highlight w:val="none"/>
              </w:rPr>
              <w:t>角度可行。</w:t>
            </w:r>
          </w:p>
          <w:p>
            <w:pPr>
              <w:keepNext w:val="0"/>
              <w:keepLines w:val="0"/>
              <w:suppressLineNumbers w:val="0"/>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szCs w:val="21"/>
                <w:highlight w:val="none"/>
              </w:rPr>
            </w:pPr>
          </w:p>
        </w:tc>
      </w:tr>
    </w:tbl>
    <w:p>
      <w:pPr>
        <w:widowControl/>
        <w:adjustRightInd w:val="0"/>
        <w:snapToGrid w:val="0"/>
        <w:spacing w:before="192" w:beforeLines="80"/>
        <w:jc w:val="left"/>
        <w:rPr>
          <w:rFonts w:ascii="宋体"/>
          <w:highlight w:val="yellow"/>
        </w:rPr>
      </w:pPr>
    </w:p>
    <w:sectPr>
      <w:pgSz w:w="11906" w:h="16838"/>
      <w:pgMar w:top="1440" w:right="1800" w:bottom="1440" w:left="1800" w:header="851" w:footer="1077"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方正小标宋_GBK">
    <w:altName w:val="Arial Unicode MS"/>
    <w:panose1 w:val="03000509000000000000"/>
    <w:charset w:val="86"/>
    <w:family w:val="script"/>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23"/>
      </w:rPr>
    </w:pPr>
    <w:r>
      <w:fldChar w:fldCharType="begin"/>
    </w:r>
    <w:r>
      <w:rPr>
        <w:rStyle w:val="23"/>
      </w:rPr>
      <w:instrText xml:space="preserve">PAGE  </w:instrText>
    </w:r>
    <w:r>
      <w:fldChar w:fldCharType="end"/>
    </w:r>
  </w:p>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szCs w:val="20"/>
                            </w:rPr>
                            <w:t xml:space="preserve">  </w:t>
                          </w:r>
                          <w:r>
                            <w:rPr>
                              <w:rFonts w:hint="default" w:ascii="Times New Roman" w:hAnsi="Times New Roman" w:cs="Times New Roman"/>
                              <w:sz w:val="26"/>
                              <w:szCs w:val="26"/>
                            </w:rPr>
                            <w:fldChar w:fldCharType="begin"/>
                          </w:r>
                          <w:r>
                            <w:rPr>
                              <w:rStyle w:val="23"/>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23"/>
                              <w:rFonts w:hint="default" w:ascii="Times New Roman" w:hAnsi="Times New Roman" w:cs="Times New Roman"/>
                              <w:sz w:val="26"/>
                              <w:szCs w:val="26"/>
                            </w:rPr>
                            <w:t>22</w:t>
                          </w:r>
                          <w:r>
                            <w:rPr>
                              <w:rFonts w:hint="default" w:ascii="Times New Roman" w:hAnsi="Times New Roman" w:cs="Times New Roman"/>
                              <w:sz w:val="26"/>
                              <w:szCs w:val="26"/>
                            </w:rPr>
                            <w:fldChar w:fldCharType="end"/>
                          </w:r>
                          <w:r>
                            <w:rPr>
                              <w:rStyle w:val="23"/>
                              <w:rFonts w:hint="eastAsia" w:ascii="宋体" w:hAnsi="宋体"/>
                              <w:sz w:val="20"/>
                              <w:szCs w:val="20"/>
                            </w:rPr>
                            <w:t xml:space="preserve">  </w:t>
                          </w:r>
                          <w:r>
                            <w:rPr>
                              <w:rStyle w:val="23"/>
                              <w:rFonts w:hint="eastAsia" w:ascii="宋体" w:hAnsi="宋体"/>
                              <w:sz w:val="28"/>
                              <w:szCs w:val="28"/>
                            </w:rPr>
                            <w:t>—</w:t>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gC7eeLIB&#10;AABPAwAADgAAAAAAAAABACAAAAAeAQAAZHJzL2Uyb0RvYy54bWxQSwUGAAAAAAYABgBZAQAAQgUA&#10;AAAA&#10;">
              <v:fill on="f" focussize="0,0"/>
              <v:stroke on="f"/>
              <v:imagedata o:title=""/>
              <o:lock v:ext="edit" aspectratio="f"/>
              <v:textbox inset="0mm,0mm,0mm,0mm" style="mso-fit-shape-to-text:t;">
                <w:txbxContent>
                  <w:p>
                    <w:pPr>
                      <w:pStyle w:val="11"/>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szCs w:val="20"/>
                      </w:rPr>
                      <w:t xml:space="preserve">  </w:t>
                    </w:r>
                    <w:r>
                      <w:rPr>
                        <w:rFonts w:hint="default" w:ascii="Times New Roman" w:hAnsi="Times New Roman" w:cs="Times New Roman"/>
                        <w:sz w:val="26"/>
                        <w:szCs w:val="26"/>
                      </w:rPr>
                      <w:fldChar w:fldCharType="begin"/>
                    </w:r>
                    <w:r>
                      <w:rPr>
                        <w:rStyle w:val="23"/>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23"/>
                        <w:rFonts w:hint="default" w:ascii="Times New Roman" w:hAnsi="Times New Roman" w:cs="Times New Roman"/>
                        <w:sz w:val="26"/>
                        <w:szCs w:val="26"/>
                      </w:rPr>
                      <w:t>22</w:t>
                    </w:r>
                    <w:r>
                      <w:rPr>
                        <w:rFonts w:hint="default" w:ascii="Times New Roman" w:hAnsi="Times New Roman" w:cs="Times New Roman"/>
                        <w:sz w:val="26"/>
                        <w:szCs w:val="26"/>
                      </w:rPr>
                      <w:fldChar w:fldCharType="end"/>
                    </w:r>
                    <w:r>
                      <w:rPr>
                        <w:rStyle w:val="23"/>
                        <w:rFonts w:hint="eastAsia" w:ascii="宋体" w:hAnsi="宋体"/>
                        <w:sz w:val="20"/>
                        <w:szCs w:val="20"/>
                      </w:rPr>
                      <w:t xml:space="preserve">  </w:t>
                    </w:r>
                    <w:r>
                      <w:rPr>
                        <w:rStyle w:val="23"/>
                        <w:rFonts w:hint="eastAsia" w:ascii="宋体" w:hAnsi="宋体"/>
                        <w:sz w:val="28"/>
                        <w:szCs w:val="28"/>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55F23"/>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0174"/>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93DB6"/>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384D03"/>
    <w:rsid w:val="01545010"/>
    <w:rsid w:val="01DB21F3"/>
    <w:rsid w:val="024863E4"/>
    <w:rsid w:val="024C763E"/>
    <w:rsid w:val="025D728B"/>
    <w:rsid w:val="02601690"/>
    <w:rsid w:val="02CF5EB8"/>
    <w:rsid w:val="02D40E96"/>
    <w:rsid w:val="02EC4052"/>
    <w:rsid w:val="02F00068"/>
    <w:rsid w:val="031927A5"/>
    <w:rsid w:val="04224B0F"/>
    <w:rsid w:val="04376652"/>
    <w:rsid w:val="048331BC"/>
    <w:rsid w:val="048F0CB6"/>
    <w:rsid w:val="05024E4F"/>
    <w:rsid w:val="05742AC8"/>
    <w:rsid w:val="0579317A"/>
    <w:rsid w:val="05A364ED"/>
    <w:rsid w:val="05B01B6F"/>
    <w:rsid w:val="05B749BC"/>
    <w:rsid w:val="05D4678F"/>
    <w:rsid w:val="062F4BAE"/>
    <w:rsid w:val="06352F05"/>
    <w:rsid w:val="063E7D85"/>
    <w:rsid w:val="06537736"/>
    <w:rsid w:val="066B5F7D"/>
    <w:rsid w:val="06B45637"/>
    <w:rsid w:val="06B878E4"/>
    <w:rsid w:val="06C81DFF"/>
    <w:rsid w:val="07024F00"/>
    <w:rsid w:val="070875E0"/>
    <w:rsid w:val="07293586"/>
    <w:rsid w:val="07295285"/>
    <w:rsid w:val="072C4B5B"/>
    <w:rsid w:val="07364900"/>
    <w:rsid w:val="07770C56"/>
    <w:rsid w:val="07ED1FA5"/>
    <w:rsid w:val="07F20373"/>
    <w:rsid w:val="07FB4621"/>
    <w:rsid w:val="080B5379"/>
    <w:rsid w:val="08933EAB"/>
    <w:rsid w:val="08A23D8C"/>
    <w:rsid w:val="08B14D7B"/>
    <w:rsid w:val="08DE79D7"/>
    <w:rsid w:val="08EE6E86"/>
    <w:rsid w:val="092217DD"/>
    <w:rsid w:val="093852B8"/>
    <w:rsid w:val="093A7294"/>
    <w:rsid w:val="09EF76FF"/>
    <w:rsid w:val="0A5A679C"/>
    <w:rsid w:val="0A747A3C"/>
    <w:rsid w:val="0A754F6C"/>
    <w:rsid w:val="0A820437"/>
    <w:rsid w:val="0A825337"/>
    <w:rsid w:val="0ABA1E8C"/>
    <w:rsid w:val="0AD27D78"/>
    <w:rsid w:val="0AEC71A5"/>
    <w:rsid w:val="0B393802"/>
    <w:rsid w:val="0B503B73"/>
    <w:rsid w:val="0B5409D4"/>
    <w:rsid w:val="0BD27BF6"/>
    <w:rsid w:val="0D615B8A"/>
    <w:rsid w:val="0D8B1F8B"/>
    <w:rsid w:val="0D9A176D"/>
    <w:rsid w:val="0DB26330"/>
    <w:rsid w:val="0E110D06"/>
    <w:rsid w:val="0EC57500"/>
    <w:rsid w:val="0EFC648B"/>
    <w:rsid w:val="0F13775A"/>
    <w:rsid w:val="0F3F4EE6"/>
    <w:rsid w:val="0F4B1CB0"/>
    <w:rsid w:val="0F9A112B"/>
    <w:rsid w:val="10124E2D"/>
    <w:rsid w:val="10200CC1"/>
    <w:rsid w:val="103D3529"/>
    <w:rsid w:val="106D2F64"/>
    <w:rsid w:val="10B63710"/>
    <w:rsid w:val="11041ABA"/>
    <w:rsid w:val="111C2F7A"/>
    <w:rsid w:val="113013DE"/>
    <w:rsid w:val="11D00B14"/>
    <w:rsid w:val="121D6EE3"/>
    <w:rsid w:val="122B06C2"/>
    <w:rsid w:val="12867D36"/>
    <w:rsid w:val="12906843"/>
    <w:rsid w:val="12A1137C"/>
    <w:rsid w:val="12B76EC8"/>
    <w:rsid w:val="12C9216D"/>
    <w:rsid w:val="12FB17CC"/>
    <w:rsid w:val="13037F2D"/>
    <w:rsid w:val="1344094D"/>
    <w:rsid w:val="13761886"/>
    <w:rsid w:val="137A48CF"/>
    <w:rsid w:val="13951726"/>
    <w:rsid w:val="13FD5C0C"/>
    <w:rsid w:val="141D25E6"/>
    <w:rsid w:val="14396509"/>
    <w:rsid w:val="143C2E35"/>
    <w:rsid w:val="1447165C"/>
    <w:rsid w:val="14B913E7"/>
    <w:rsid w:val="14D07834"/>
    <w:rsid w:val="14F67556"/>
    <w:rsid w:val="15324F9F"/>
    <w:rsid w:val="1549263B"/>
    <w:rsid w:val="15744724"/>
    <w:rsid w:val="15861865"/>
    <w:rsid w:val="15A54E59"/>
    <w:rsid w:val="15D66D05"/>
    <w:rsid w:val="15E42EE2"/>
    <w:rsid w:val="15EC6D56"/>
    <w:rsid w:val="160539EB"/>
    <w:rsid w:val="1607060A"/>
    <w:rsid w:val="163E0CEE"/>
    <w:rsid w:val="16AF0E84"/>
    <w:rsid w:val="170A3B01"/>
    <w:rsid w:val="170F0488"/>
    <w:rsid w:val="1715407F"/>
    <w:rsid w:val="172F259F"/>
    <w:rsid w:val="17735226"/>
    <w:rsid w:val="17A97078"/>
    <w:rsid w:val="17AB229E"/>
    <w:rsid w:val="17FC7F0D"/>
    <w:rsid w:val="1812110F"/>
    <w:rsid w:val="18951F25"/>
    <w:rsid w:val="18A54B93"/>
    <w:rsid w:val="18D352FD"/>
    <w:rsid w:val="19041624"/>
    <w:rsid w:val="19126398"/>
    <w:rsid w:val="19296498"/>
    <w:rsid w:val="19504025"/>
    <w:rsid w:val="19576E0D"/>
    <w:rsid w:val="1983305B"/>
    <w:rsid w:val="19CA7EE3"/>
    <w:rsid w:val="19E02DBA"/>
    <w:rsid w:val="19E25296"/>
    <w:rsid w:val="1A080892"/>
    <w:rsid w:val="1A1B670A"/>
    <w:rsid w:val="1A1C66C0"/>
    <w:rsid w:val="1A42393B"/>
    <w:rsid w:val="1AB07C35"/>
    <w:rsid w:val="1AC4283F"/>
    <w:rsid w:val="1B046F80"/>
    <w:rsid w:val="1B3267B5"/>
    <w:rsid w:val="1B4862A4"/>
    <w:rsid w:val="1B5B5D5B"/>
    <w:rsid w:val="1B6B36D8"/>
    <w:rsid w:val="1B761354"/>
    <w:rsid w:val="1BBF39F5"/>
    <w:rsid w:val="1BC25DC8"/>
    <w:rsid w:val="1BC627D4"/>
    <w:rsid w:val="1BE64EED"/>
    <w:rsid w:val="1C5E7925"/>
    <w:rsid w:val="1C7753A8"/>
    <w:rsid w:val="1C887FC8"/>
    <w:rsid w:val="1CB152E4"/>
    <w:rsid w:val="1D5F6196"/>
    <w:rsid w:val="1D6132A5"/>
    <w:rsid w:val="1D8E56D5"/>
    <w:rsid w:val="1E1B0F57"/>
    <w:rsid w:val="1E7A43DA"/>
    <w:rsid w:val="1EB277FE"/>
    <w:rsid w:val="1EFE79C6"/>
    <w:rsid w:val="1F0636B1"/>
    <w:rsid w:val="1F68796D"/>
    <w:rsid w:val="1F6B0E33"/>
    <w:rsid w:val="1F8C07D2"/>
    <w:rsid w:val="1FAD26D7"/>
    <w:rsid w:val="1FE7539E"/>
    <w:rsid w:val="205C6BDC"/>
    <w:rsid w:val="206269DC"/>
    <w:rsid w:val="206327B9"/>
    <w:rsid w:val="206E60D8"/>
    <w:rsid w:val="20710E73"/>
    <w:rsid w:val="208B1A55"/>
    <w:rsid w:val="20963CB8"/>
    <w:rsid w:val="20A23046"/>
    <w:rsid w:val="20B07FB6"/>
    <w:rsid w:val="20C167DD"/>
    <w:rsid w:val="20C26EF9"/>
    <w:rsid w:val="20CC7919"/>
    <w:rsid w:val="20CF593C"/>
    <w:rsid w:val="21087584"/>
    <w:rsid w:val="21106D08"/>
    <w:rsid w:val="21183FD2"/>
    <w:rsid w:val="213B74B1"/>
    <w:rsid w:val="215A2310"/>
    <w:rsid w:val="21607984"/>
    <w:rsid w:val="216D7E44"/>
    <w:rsid w:val="217636EF"/>
    <w:rsid w:val="21836934"/>
    <w:rsid w:val="21C06FC5"/>
    <w:rsid w:val="21DE318A"/>
    <w:rsid w:val="21EF5B80"/>
    <w:rsid w:val="221C033B"/>
    <w:rsid w:val="22450D45"/>
    <w:rsid w:val="22456111"/>
    <w:rsid w:val="22576990"/>
    <w:rsid w:val="22603D68"/>
    <w:rsid w:val="229C4EAB"/>
    <w:rsid w:val="230E23B4"/>
    <w:rsid w:val="235C4697"/>
    <w:rsid w:val="236909F5"/>
    <w:rsid w:val="238B3A04"/>
    <w:rsid w:val="23E31695"/>
    <w:rsid w:val="23F51C38"/>
    <w:rsid w:val="241C5F38"/>
    <w:rsid w:val="24362AD4"/>
    <w:rsid w:val="247434A2"/>
    <w:rsid w:val="248C2137"/>
    <w:rsid w:val="24A1755A"/>
    <w:rsid w:val="252D53FE"/>
    <w:rsid w:val="25773BFB"/>
    <w:rsid w:val="258A78FE"/>
    <w:rsid w:val="25CF10AE"/>
    <w:rsid w:val="25EC2D81"/>
    <w:rsid w:val="26232B4C"/>
    <w:rsid w:val="263B6811"/>
    <w:rsid w:val="264528BD"/>
    <w:rsid w:val="266A552F"/>
    <w:rsid w:val="2743730C"/>
    <w:rsid w:val="277E1C08"/>
    <w:rsid w:val="27822202"/>
    <w:rsid w:val="279823D5"/>
    <w:rsid w:val="27AD1C23"/>
    <w:rsid w:val="27D15DD1"/>
    <w:rsid w:val="28632186"/>
    <w:rsid w:val="28A76295"/>
    <w:rsid w:val="29206EB8"/>
    <w:rsid w:val="29E325E0"/>
    <w:rsid w:val="2A30794B"/>
    <w:rsid w:val="2A452503"/>
    <w:rsid w:val="2A726CFB"/>
    <w:rsid w:val="2B0D6DE4"/>
    <w:rsid w:val="2B18099A"/>
    <w:rsid w:val="2B4F2110"/>
    <w:rsid w:val="2B787D1A"/>
    <w:rsid w:val="2B7D2E2F"/>
    <w:rsid w:val="2BA936A8"/>
    <w:rsid w:val="2BAD7E3E"/>
    <w:rsid w:val="2BCA1EF9"/>
    <w:rsid w:val="2C1F4AC5"/>
    <w:rsid w:val="2C28246F"/>
    <w:rsid w:val="2C315A5A"/>
    <w:rsid w:val="2C5D0D1B"/>
    <w:rsid w:val="2C6C45CF"/>
    <w:rsid w:val="2D28776C"/>
    <w:rsid w:val="2D4F3D2D"/>
    <w:rsid w:val="2D996FB0"/>
    <w:rsid w:val="2D9E56F5"/>
    <w:rsid w:val="2DEE6645"/>
    <w:rsid w:val="2E095CBD"/>
    <w:rsid w:val="2E526D21"/>
    <w:rsid w:val="2E667F96"/>
    <w:rsid w:val="2E6C6EF0"/>
    <w:rsid w:val="2E6F44FD"/>
    <w:rsid w:val="2E7B708B"/>
    <w:rsid w:val="2E7F07D3"/>
    <w:rsid w:val="2E8226AB"/>
    <w:rsid w:val="2EDE2DEE"/>
    <w:rsid w:val="2EF06F9C"/>
    <w:rsid w:val="2EFA45DA"/>
    <w:rsid w:val="2F2462EF"/>
    <w:rsid w:val="2F2F5609"/>
    <w:rsid w:val="2F832C79"/>
    <w:rsid w:val="2F983363"/>
    <w:rsid w:val="2FA306C1"/>
    <w:rsid w:val="2FAA12F1"/>
    <w:rsid w:val="2FE139D6"/>
    <w:rsid w:val="2FEF2D58"/>
    <w:rsid w:val="303D5993"/>
    <w:rsid w:val="30580BC9"/>
    <w:rsid w:val="30995571"/>
    <w:rsid w:val="30E91D47"/>
    <w:rsid w:val="311E2ED7"/>
    <w:rsid w:val="315C449C"/>
    <w:rsid w:val="31B4684A"/>
    <w:rsid w:val="31B82709"/>
    <w:rsid w:val="31E06BF5"/>
    <w:rsid w:val="32064BD6"/>
    <w:rsid w:val="320658F3"/>
    <w:rsid w:val="320E6458"/>
    <w:rsid w:val="32251E59"/>
    <w:rsid w:val="32400B34"/>
    <w:rsid w:val="32510771"/>
    <w:rsid w:val="326821DE"/>
    <w:rsid w:val="329E6876"/>
    <w:rsid w:val="32C36D62"/>
    <w:rsid w:val="333D131B"/>
    <w:rsid w:val="33565879"/>
    <w:rsid w:val="3375132D"/>
    <w:rsid w:val="3394188A"/>
    <w:rsid w:val="339900B9"/>
    <w:rsid w:val="33A44449"/>
    <w:rsid w:val="33C517A2"/>
    <w:rsid w:val="33D934D4"/>
    <w:rsid w:val="33FE2F6A"/>
    <w:rsid w:val="342A710D"/>
    <w:rsid w:val="342D3A31"/>
    <w:rsid w:val="343013B9"/>
    <w:rsid w:val="34AA7C69"/>
    <w:rsid w:val="34BC1D2B"/>
    <w:rsid w:val="34CA659D"/>
    <w:rsid w:val="34FE0811"/>
    <w:rsid w:val="35443706"/>
    <w:rsid w:val="35456D9D"/>
    <w:rsid w:val="35BB6C2B"/>
    <w:rsid w:val="35D956FF"/>
    <w:rsid w:val="36074A7F"/>
    <w:rsid w:val="360E5020"/>
    <w:rsid w:val="3617394A"/>
    <w:rsid w:val="36301EB2"/>
    <w:rsid w:val="364A4C88"/>
    <w:rsid w:val="36541113"/>
    <w:rsid w:val="36923549"/>
    <w:rsid w:val="369B05BE"/>
    <w:rsid w:val="36B30C52"/>
    <w:rsid w:val="36B75FBF"/>
    <w:rsid w:val="36F61BAA"/>
    <w:rsid w:val="36FB4891"/>
    <w:rsid w:val="37236EB5"/>
    <w:rsid w:val="37284D38"/>
    <w:rsid w:val="37B021A0"/>
    <w:rsid w:val="37BB609F"/>
    <w:rsid w:val="380021A7"/>
    <w:rsid w:val="38433BF7"/>
    <w:rsid w:val="385B2612"/>
    <w:rsid w:val="38615B56"/>
    <w:rsid w:val="38AF7ED8"/>
    <w:rsid w:val="38F12CD3"/>
    <w:rsid w:val="38F94775"/>
    <w:rsid w:val="392971ED"/>
    <w:rsid w:val="394D145D"/>
    <w:rsid w:val="394D6509"/>
    <w:rsid w:val="395A3CC0"/>
    <w:rsid w:val="396314DA"/>
    <w:rsid w:val="39882D27"/>
    <w:rsid w:val="39A16295"/>
    <w:rsid w:val="39C0081C"/>
    <w:rsid w:val="3A393D19"/>
    <w:rsid w:val="3A466578"/>
    <w:rsid w:val="3B3763D1"/>
    <w:rsid w:val="3B4004A2"/>
    <w:rsid w:val="3B4B530C"/>
    <w:rsid w:val="3BD13C9D"/>
    <w:rsid w:val="3BE032A9"/>
    <w:rsid w:val="3C5F4060"/>
    <w:rsid w:val="3C9352DC"/>
    <w:rsid w:val="3CB3319A"/>
    <w:rsid w:val="3CDA245A"/>
    <w:rsid w:val="3CE874F6"/>
    <w:rsid w:val="3CEE0A37"/>
    <w:rsid w:val="3D4E71AD"/>
    <w:rsid w:val="3D4E7830"/>
    <w:rsid w:val="3D6A0FAA"/>
    <w:rsid w:val="3E6C5F86"/>
    <w:rsid w:val="3E9E5797"/>
    <w:rsid w:val="3F5E5A6D"/>
    <w:rsid w:val="3F660E74"/>
    <w:rsid w:val="3F9E44BB"/>
    <w:rsid w:val="407A6407"/>
    <w:rsid w:val="407B6301"/>
    <w:rsid w:val="40845ED9"/>
    <w:rsid w:val="40891F3F"/>
    <w:rsid w:val="414D1683"/>
    <w:rsid w:val="41657E84"/>
    <w:rsid w:val="41674098"/>
    <w:rsid w:val="416D2F7C"/>
    <w:rsid w:val="41DF73A6"/>
    <w:rsid w:val="41F4225B"/>
    <w:rsid w:val="41F92D71"/>
    <w:rsid w:val="423A3BCC"/>
    <w:rsid w:val="424C255D"/>
    <w:rsid w:val="426A7E40"/>
    <w:rsid w:val="433A6FE6"/>
    <w:rsid w:val="4350713C"/>
    <w:rsid w:val="435579C0"/>
    <w:rsid w:val="43582361"/>
    <w:rsid w:val="436653E0"/>
    <w:rsid w:val="43746447"/>
    <w:rsid w:val="43995F6E"/>
    <w:rsid w:val="439E3F3A"/>
    <w:rsid w:val="43C14F11"/>
    <w:rsid w:val="444A64FA"/>
    <w:rsid w:val="444E479D"/>
    <w:rsid w:val="44516865"/>
    <w:rsid w:val="44CD14E0"/>
    <w:rsid w:val="44F8062C"/>
    <w:rsid w:val="44F962A9"/>
    <w:rsid w:val="45764B0E"/>
    <w:rsid w:val="45814F01"/>
    <w:rsid w:val="458946E9"/>
    <w:rsid w:val="45924FC2"/>
    <w:rsid w:val="459A4C4E"/>
    <w:rsid w:val="45CB0D65"/>
    <w:rsid w:val="45DA1BED"/>
    <w:rsid w:val="45E12C55"/>
    <w:rsid w:val="45F950C8"/>
    <w:rsid w:val="468B5B30"/>
    <w:rsid w:val="46BF44AF"/>
    <w:rsid w:val="46C162A7"/>
    <w:rsid w:val="46D4250B"/>
    <w:rsid w:val="46D7751B"/>
    <w:rsid w:val="46D955A7"/>
    <w:rsid w:val="46E4651E"/>
    <w:rsid w:val="47133957"/>
    <w:rsid w:val="476E1C95"/>
    <w:rsid w:val="4779329E"/>
    <w:rsid w:val="47A07E0C"/>
    <w:rsid w:val="47DC4E89"/>
    <w:rsid w:val="4870272E"/>
    <w:rsid w:val="48BC4628"/>
    <w:rsid w:val="49440286"/>
    <w:rsid w:val="496A2EF3"/>
    <w:rsid w:val="49A72EC5"/>
    <w:rsid w:val="49DC6AFB"/>
    <w:rsid w:val="49DC7715"/>
    <w:rsid w:val="4A023139"/>
    <w:rsid w:val="4A0250B2"/>
    <w:rsid w:val="4A682F0C"/>
    <w:rsid w:val="4A7B576F"/>
    <w:rsid w:val="4B2E31F1"/>
    <w:rsid w:val="4BF12868"/>
    <w:rsid w:val="4C2D29EE"/>
    <w:rsid w:val="4C4A0649"/>
    <w:rsid w:val="4CD73584"/>
    <w:rsid w:val="4CE470D3"/>
    <w:rsid w:val="4D177E0D"/>
    <w:rsid w:val="4D6D17E5"/>
    <w:rsid w:val="4D717D57"/>
    <w:rsid w:val="4D99663A"/>
    <w:rsid w:val="4D9B25FF"/>
    <w:rsid w:val="4DEC4FB0"/>
    <w:rsid w:val="4E075D8A"/>
    <w:rsid w:val="4E1923E0"/>
    <w:rsid w:val="4E850D15"/>
    <w:rsid w:val="4EB8078A"/>
    <w:rsid w:val="4F1F5248"/>
    <w:rsid w:val="4FC62A8C"/>
    <w:rsid w:val="4FDF1D46"/>
    <w:rsid w:val="4FE20F0D"/>
    <w:rsid w:val="50096911"/>
    <w:rsid w:val="50504C4B"/>
    <w:rsid w:val="50857577"/>
    <w:rsid w:val="509C6E7C"/>
    <w:rsid w:val="509F7F44"/>
    <w:rsid w:val="50B87886"/>
    <w:rsid w:val="50FB43C8"/>
    <w:rsid w:val="50FD6637"/>
    <w:rsid w:val="51052F81"/>
    <w:rsid w:val="51075ADB"/>
    <w:rsid w:val="511E3C3C"/>
    <w:rsid w:val="51404F9B"/>
    <w:rsid w:val="51430489"/>
    <w:rsid w:val="5162104E"/>
    <w:rsid w:val="51896447"/>
    <w:rsid w:val="51C542AB"/>
    <w:rsid w:val="51EF186A"/>
    <w:rsid w:val="520712D1"/>
    <w:rsid w:val="521846EA"/>
    <w:rsid w:val="52601D62"/>
    <w:rsid w:val="52850984"/>
    <w:rsid w:val="529E298D"/>
    <w:rsid w:val="5309453B"/>
    <w:rsid w:val="53950AC1"/>
    <w:rsid w:val="539E3FF0"/>
    <w:rsid w:val="53A039CC"/>
    <w:rsid w:val="53A1505A"/>
    <w:rsid w:val="53BE3A73"/>
    <w:rsid w:val="54063E08"/>
    <w:rsid w:val="54152395"/>
    <w:rsid w:val="543437E8"/>
    <w:rsid w:val="544604C7"/>
    <w:rsid w:val="54AB7A93"/>
    <w:rsid w:val="54C46F7B"/>
    <w:rsid w:val="55003A74"/>
    <w:rsid w:val="55014C5D"/>
    <w:rsid w:val="55056F91"/>
    <w:rsid w:val="55400E13"/>
    <w:rsid w:val="554E5307"/>
    <w:rsid w:val="559B174B"/>
    <w:rsid w:val="55B134DB"/>
    <w:rsid w:val="55CE0CF4"/>
    <w:rsid w:val="55D71EB6"/>
    <w:rsid w:val="56630279"/>
    <w:rsid w:val="566D6F60"/>
    <w:rsid w:val="568216E9"/>
    <w:rsid w:val="56B22A9C"/>
    <w:rsid w:val="56E34A14"/>
    <w:rsid w:val="57167BC6"/>
    <w:rsid w:val="5726351B"/>
    <w:rsid w:val="576B5502"/>
    <w:rsid w:val="577636E6"/>
    <w:rsid w:val="57B72A76"/>
    <w:rsid w:val="57FC6CAB"/>
    <w:rsid w:val="581B077B"/>
    <w:rsid w:val="582F65EF"/>
    <w:rsid w:val="584A52CE"/>
    <w:rsid w:val="585063E5"/>
    <w:rsid w:val="586420D3"/>
    <w:rsid w:val="58C966DA"/>
    <w:rsid w:val="58EE7932"/>
    <w:rsid w:val="59442687"/>
    <w:rsid w:val="5959702A"/>
    <w:rsid w:val="595C4787"/>
    <w:rsid w:val="59AA5ADE"/>
    <w:rsid w:val="5A3C747D"/>
    <w:rsid w:val="5A437F72"/>
    <w:rsid w:val="5A537513"/>
    <w:rsid w:val="5AA82865"/>
    <w:rsid w:val="5ABE2233"/>
    <w:rsid w:val="5AD57911"/>
    <w:rsid w:val="5B19056F"/>
    <w:rsid w:val="5B276D18"/>
    <w:rsid w:val="5B891EB0"/>
    <w:rsid w:val="5B9C1F7E"/>
    <w:rsid w:val="5BA965F4"/>
    <w:rsid w:val="5BDF5D95"/>
    <w:rsid w:val="5BF43A22"/>
    <w:rsid w:val="5BF84B5B"/>
    <w:rsid w:val="5C232131"/>
    <w:rsid w:val="5C32314C"/>
    <w:rsid w:val="5C8422D7"/>
    <w:rsid w:val="5CEB6DE2"/>
    <w:rsid w:val="5DB24787"/>
    <w:rsid w:val="5DF87A0F"/>
    <w:rsid w:val="5E4876BA"/>
    <w:rsid w:val="5F1A2B43"/>
    <w:rsid w:val="5F1D049A"/>
    <w:rsid w:val="5F3A5D06"/>
    <w:rsid w:val="5FB837BB"/>
    <w:rsid w:val="5FF863BC"/>
    <w:rsid w:val="612E3BFC"/>
    <w:rsid w:val="61774C63"/>
    <w:rsid w:val="61805DA6"/>
    <w:rsid w:val="61BD3357"/>
    <w:rsid w:val="61BF5CEA"/>
    <w:rsid w:val="61C47845"/>
    <w:rsid w:val="61F72BAF"/>
    <w:rsid w:val="61FB2388"/>
    <w:rsid w:val="62364782"/>
    <w:rsid w:val="627C366A"/>
    <w:rsid w:val="62BE7D6E"/>
    <w:rsid w:val="63300923"/>
    <w:rsid w:val="63314848"/>
    <w:rsid w:val="63D40BE9"/>
    <w:rsid w:val="63D6748E"/>
    <w:rsid w:val="63E0211F"/>
    <w:rsid w:val="64023D1D"/>
    <w:rsid w:val="64496510"/>
    <w:rsid w:val="64640551"/>
    <w:rsid w:val="64A23C51"/>
    <w:rsid w:val="65044C3C"/>
    <w:rsid w:val="652B2355"/>
    <w:rsid w:val="65373578"/>
    <w:rsid w:val="653C4D28"/>
    <w:rsid w:val="655C5F96"/>
    <w:rsid w:val="65800A4F"/>
    <w:rsid w:val="65915904"/>
    <w:rsid w:val="664A2A13"/>
    <w:rsid w:val="66641BA1"/>
    <w:rsid w:val="6689456E"/>
    <w:rsid w:val="66AF0102"/>
    <w:rsid w:val="66B80AB9"/>
    <w:rsid w:val="673F2C7A"/>
    <w:rsid w:val="6757795F"/>
    <w:rsid w:val="67831CF7"/>
    <w:rsid w:val="6790294C"/>
    <w:rsid w:val="681B4D7C"/>
    <w:rsid w:val="681F6961"/>
    <w:rsid w:val="682648BC"/>
    <w:rsid w:val="682F67D5"/>
    <w:rsid w:val="68610A2F"/>
    <w:rsid w:val="68805514"/>
    <w:rsid w:val="688A35AE"/>
    <w:rsid w:val="688D0FB6"/>
    <w:rsid w:val="68A81B6E"/>
    <w:rsid w:val="694C1DD6"/>
    <w:rsid w:val="694E2071"/>
    <w:rsid w:val="697A3B33"/>
    <w:rsid w:val="699E2456"/>
    <w:rsid w:val="6A127C42"/>
    <w:rsid w:val="6A2317BA"/>
    <w:rsid w:val="6A63552E"/>
    <w:rsid w:val="6B0F6197"/>
    <w:rsid w:val="6B322639"/>
    <w:rsid w:val="6B4C672B"/>
    <w:rsid w:val="6B7E4032"/>
    <w:rsid w:val="6B913FC8"/>
    <w:rsid w:val="6C4970C2"/>
    <w:rsid w:val="6C636C38"/>
    <w:rsid w:val="6C7F6194"/>
    <w:rsid w:val="6C9720ED"/>
    <w:rsid w:val="6C9724C0"/>
    <w:rsid w:val="6CB069B8"/>
    <w:rsid w:val="6D2842AF"/>
    <w:rsid w:val="6D346C7D"/>
    <w:rsid w:val="6DB34098"/>
    <w:rsid w:val="6DB545B6"/>
    <w:rsid w:val="6DF17573"/>
    <w:rsid w:val="6DF4632A"/>
    <w:rsid w:val="6E304A6E"/>
    <w:rsid w:val="6E4375A0"/>
    <w:rsid w:val="6E514CED"/>
    <w:rsid w:val="6E6A11A4"/>
    <w:rsid w:val="6E79491A"/>
    <w:rsid w:val="6E794F16"/>
    <w:rsid w:val="6EA3640F"/>
    <w:rsid w:val="6EB563D5"/>
    <w:rsid w:val="6ED21506"/>
    <w:rsid w:val="6F225983"/>
    <w:rsid w:val="6F7A7A24"/>
    <w:rsid w:val="6F946183"/>
    <w:rsid w:val="6FEE7EB7"/>
    <w:rsid w:val="6FF627FD"/>
    <w:rsid w:val="6FFC5590"/>
    <w:rsid w:val="70301DA3"/>
    <w:rsid w:val="703B1E39"/>
    <w:rsid w:val="705654C8"/>
    <w:rsid w:val="7065786D"/>
    <w:rsid w:val="70690CF7"/>
    <w:rsid w:val="706D1DD0"/>
    <w:rsid w:val="70856B87"/>
    <w:rsid w:val="70BB7A82"/>
    <w:rsid w:val="70D527EE"/>
    <w:rsid w:val="715B5300"/>
    <w:rsid w:val="715F4BD7"/>
    <w:rsid w:val="71646E35"/>
    <w:rsid w:val="716A2A6C"/>
    <w:rsid w:val="71BD6682"/>
    <w:rsid w:val="71D27F8A"/>
    <w:rsid w:val="71DF00CE"/>
    <w:rsid w:val="71F744C6"/>
    <w:rsid w:val="71F960CF"/>
    <w:rsid w:val="72043CB0"/>
    <w:rsid w:val="72C61071"/>
    <w:rsid w:val="73034AD1"/>
    <w:rsid w:val="731F5D5E"/>
    <w:rsid w:val="73380BFC"/>
    <w:rsid w:val="73565CFB"/>
    <w:rsid w:val="73717294"/>
    <w:rsid w:val="73B4293C"/>
    <w:rsid w:val="74013838"/>
    <w:rsid w:val="741E793C"/>
    <w:rsid w:val="74554957"/>
    <w:rsid w:val="746E0CF1"/>
    <w:rsid w:val="748038A4"/>
    <w:rsid w:val="74A07372"/>
    <w:rsid w:val="74A41501"/>
    <w:rsid w:val="7503645D"/>
    <w:rsid w:val="7533487F"/>
    <w:rsid w:val="758D75E2"/>
    <w:rsid w:val="75AC4FD9"/>
    <w:rsid w:val="76426966"/>
    <w:rsid w:val="76472A01"/>
    <w:rsid w:val="765349EA"/>
    <w:rsid w:val="768360EB"/>
    <w:rsid w:val="76B65F60"/>
    <w:rsid w:val="76D06582"/>
    <w:rsid w:val="76EE02DE"/>
    <w:rsid w:val="775D33E8"/>
    <w:rsid w:val="77762421"/>
    <w:rsid w:val="77927A39"/>
    <w:rsid w:val="77F865C5"/>
    <w:rsid w:val="77FA70C4"/>
    <w:rsid w:val="78027455"/>
    <w:rsid w:val="780F09F4"/>
    <w:rsid w:val="787611B9"/>
    <w:rsid w:val="789C4F47"/>
    <w:rsid w:val="78A90480"/>
    <w:rsid w:val="78C540D9"/>
    <w:rsid w:val="78CF0496"/>
    <w:rsid w:val="793A0B77"/>
    <w:rsid w:val="79771493"/>
    <w:rsid w:val="79811327"/>
    <w:rsid w:val="79991077"/>
    <w:rsid w:val="79B03F79"/>
    <w:rsid w:val="79C133F6"/>
    <w:rsid w:val="79CF054B"/>
    <w:rsid w:val="7A11233B"/>
    <w:rsid w:val="7A1B0C93"/>
    <w:rsid w:val="7A364017"/>
    <w:rsid w:val="7A5D383D"/>
    <w:rsid w:val="7A8265E1"/>
    <w:rsid w:val="7A942405"/>
    <w:rsid w:val="7AC618E9"/>
    <w:rsid w:val="7AC93B39"/>
    <w:rsid w:val="7B2A12CA"/>
    <w:rsid w:val="7B3E3C6C"/>
    <w:rsid w:val="7B686D42"/>
    <w:rsid w:val="7B841746"/>
    <w:rsid w:val="7BA17E2B"/>
    <w:rsid w:val="7BC45B36"/>
    <w:rsid w:val="7C8377ED"/>
    <w:rsid w:val="7C991C8F"/>
    <w:rsid w:val="7C9C69CE"/>
    <w:rsid w:val="7D0239FF"/>
    <w:rsid w:val="7D151831"/>
    <w:rsid w:val="7D5C7EEB"/>
    <w:rsid w:val="7D5E40CD"/>
    <w:rsid w:val="7D693BED"/>
    <w:rsid w:val="7D7B2E65"/>
    <w:rsid w:val="7DBF642C"/>
    <w:rsid w:val="7DC15189"/>
    <w:rsid w:val="7DDB557F"/>
    <w:rsid w:val="7E0034AD"/>
    <w:rsid w:val="7E4779D3"/>
    <w:rsid w:val="7E797250"/>
    <w:rsid w:val="7E9158CD"/>
    <w:rsid w:val="7E9B494F"/>
    <w:rsid w:val="7F3A11E4"/>
    <w:rsid w:val="7F3C4D17"/>
    <w:rsid w:val="7F7012FB"/>
    <w:rsid w:val="7FDB5781"/>
    <w:rsid w:val="7FE47E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ocked="1"/>
    <w:lsdException w:unhideWhenUsed="0" w:uiPriority="0" w:semiHidden="0" w:name="heading 3" w:locked="1"/>
    <w:lsdException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ocked="1"/>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qFormat="1" w:uiPriority="0" w:semiHidden="0" w:name="Body Text Indent 3"/>
    <w:lsdException w:qFormat="1" w:uiPriority="0" w:semiHidden="0" w:name="Block Text"/>
    <w:lsdException w:qFormat="1"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2">
    <w:name w:val="Default Paragraph Font"/>
    <w:semiHidden/>
    <w:qFormat/>
    <w:uiPriority w:val="0"/>
  </w:style>
  <w:style w:type="table" w:default="1" w:styleId="2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宋体" w:cs="Times New Roman"/>
      <w:sz w:val="20"/>
      <w:szCs w:val="20"/>
    </w:rPr>
    <w:tblPr>
      <w:tblCellMar>
        <w:top w:w="0" w:type="dxa"/>
        <w:left w:w="108" w:type="dxa"/>
        <w:bottom w:w="0" w:type="dxa"/>
        <w:right w:w="108" w:type="dxa"/>
      </w:tblCellMar>
    </w:tblPr>
  </w:style>
  <w:style w:type="paragraph" w:styleId="3">
    <w:name w:val="Normal Indent"/>
    <w:basedOn w:val="1"/>
    <w:unhideWhenUsed/>
    <w:qFormat/>
    <w:uiPriority w:val="0"/>
    <w:pPr>
      <w:adjustRightInd w:val="0"/>
      <w:spacing w:beforeLines="0" w:afterLines="0" w:line="360" w:lineRule="atLeast"/>
      <w:ind w:firstLine="420"/>
      <w:textAlignment w:val="baseline"/>
    </w:pPr>
    <w:rPr>
      <w:rFonts w:hint="default"/>
      <w:sz w:val="21"/>
    </w:rPr>
  </w:style>
  <w:style w:type="paragraph" w:styleId="4">
    <w:name w:val="annotation text"/>
    <w:basedOn w:val="1"/>
    <w:link w:val="52"/>
    <w:semiHidden/>
    <w:qFormat/>
    <w:uiPriority w:val="0"/>
    <w:pPr>
      <w:jc w:val="left"/>
    </w:pPr>
    <w:rPr>
      <w:kern w:val="0"/>
      <w:sz w:val="20"/>
    </w:rPr>
  </w:style>
  <w:style w:type="paragraph" w:styleId="5">
    <w:name w:val="Body Text"/>
    <w:basedOn w:val="1"/>
    <w:link w:val="47"/>
    <w:qFormat/>
    <w:uiPriority w:val="0"/>
    <w:pPr>
      <w:widowControl/>
      <w:snapToGrid w:val="0"/>
      <w:spacing w:before="60" w:after="160" w:line="259" w:lineRule="auto"/>
      <w:ind w:right="113"/>
    </w:pPr>
    <w:rPr>
      <w:kern w:val="0"/>
      <w:sz w:val="18"/>
      <w:szCs w:val="18"/>
    </w:rPr>
  </w:style>
  <w:style w:type="paragraph" w:styleId="6">
    <w:name w:val="Body Text Indent"/>
    <w:basedOn w:val="1"/>
    <w:link w:val="42"/>
    <w:semiHidden/>
    <w:qFormat/>
    <w:uiPriority w:val="0"/>
    <w:pPr>
      <w:spacing w:after="120"/>
      <w:ind w:left="420" w:leftChars="200"/>
    </w:pPr>
  </w:style>
  <w:style w:type="paragraph" w:styleId="7">
    <w:name w:val="Block Text"/>
    <w:basedOn w:val="1"/>
    <w:unhideWhenUsed/>
    <w:qFormat/>
    <w:uiPriority w:val="0"/>
    <w:pPr>
      <w:spacing w:beforeLines="0" w:afterLines="0" w:line="500" w:lineRule="exact"/>
      <w:ind w:left="-105" w:leftChars="-50" w:right="-525" w:rightChars="-250" w:firstLine="601"/>
    </w:pPr>
    <w:rPr>
      <w:rFonts w:hint="eastAsia" w:ascii="仿宋_GB2312" w:hAnsi="Times New Roman" w:eastAsia="仿宋_GB2312"/>
      <w:sz w:val="28"/>
    </w:rPr>
  </w:style>
  <w:style w:type="paragraph" w:styleId="8">
    <w:name w:val="Plain Text"/>
    <w:basedOn w:val="1"/>
    <w:unhideWhenUsed/>
    <w:qFormat/>
    <w:uiPriority w:val="0"/>
    <w:pPr>
      <w:spacing w:beforeLines="0" w:afterLines="0"/>
    </w:pPr>
    <w:rPr>
      <w:rFonts w:hint="eastAsia" w:ascii="宋体" w:hAnsi="Courier New" w:eastAsia="宋体"/>
      <w:sz w:val="21"/>
    </w:rPr>
  </w:style>
  <w:style w:type="paragraph" w:styleId="9">
    <w:name w:val="Date"/>
    <w:basedOn w:val="1"/>
    <w:next w:val="1"/>
    <w:link w:val="44"/>
    <w:qFormat/>
    <w:uiPriority w:val="0"/>
    <w:pPr>
      <w:ind w:left="100" w:leftChars="2500"/>
    </w:pPr>
    <w:rPr>
      <w:kern w:val="0"/>
      <w:sz w:val="20"/>
    </w:rPr>
  </w:style>
  <w:style w:type="paragraph" w:styleId="10">
    <w:name w:val="Balloon Text"/>
    <w:basedOn w:val="1"/>
    <w:link w:val="48"/>
    <w:semiHidden/>
    <w:qFormat/>
    <w:uiPriority w:val="0"/>
    <w:rPr>
      <w:sz w:val="18"/>
      <w:szCs w:val="18"/>
    </w:rPr>
  </w:style>
  <w:style w:type="paragraph" w:styleId="11">
    <w:name w:val="footer"/>
    <w:basedOn w:val="1"/>
    <w:link w:val="54"/>
    <w:qFormat/>
    <w:uiPriority w:val="0"/>
    <w:pPr>
      <w:tabs>
        <w:tab w:val="center" w:pos="4153"/>
        <w:tab w:val="right" w:pos="8306"/>
      </w:tabs>
      <w:snapToGrid w:val="0"/>
      <w:jc w:val="left"/>
    </w:pPr>
    <w:rPr>
      <w:sz w:val="18"/>
      <w:szCs w:val="18"/>
    </w:rPr>
  </w:style>
  <w:style w:type="paragraph" w:styleId="12">
    <w:name w:val="header"/>
    <w:basedOn w:val="1"/>
    <w:link w:val="40"/>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Indent 3"/>
    <w:basedOn w:val="1"/>
    <w:unhideWhenUsed/>
    <w:qFormat/>
    <w:uiPriority w:val="0"/>
    <w:pPr>
      <w:spacing w:beforeLines="0" w:after="120" w:afterLines="0"/>
      <w:ind w:left="420" w:leftChars="200"/>
    </w:pPr>
    <w:rPr>
      <w:rFonts w:hint="default"/>
      <w:sz w:val="16"/>
    </w:rPr>
  </w:style>
  <w:style w:type="paragraph" w:styleId="14">
    <w:name w:val="table of figures"/>
    <w:basedOn w:val="1"/>
    <w:next w:val="1"/>
    <w:unhideWhenUsed/>
    <w:qFormat/>
    <w:uiPriority w:val="0"/>
    <w:pPr>
      <w:spacing w:beforeLines="0" w:afterLines="0"/>
      <w:jc w:val="center"/>
    </w:pPr>
    <w:rPr>
      <w:rFonts w:hint="default"/>
      <w:spacing w:val="-8"/>
      <w:kern w:val="0"/>
      <w:sz w:val="21"/>
    </w:rPr>
  </w:style>
  <w:style w:type="paragraph" w:styleId="15">
    <w:name w:val="toc 2"/>
    <w:basedOn w:val="1"/>
    <w:next w:val="1"/>
    <w:unhideWhenUsed/>
    <w:qFormat/>
    <w:locked/>
    <w:uiPriority w:val="39"/>
    <w:pPr>
      <w:widowControl/>
      <w:spacing w:beforeLines="0" w:afterLines="0"/>
      <w:ind w:left="420" w:leftChars="200"/>
      <w:jc w:val="left"/>
    </w:pPr>
    <w:rPr>
      <w:rFonts w:hint="eastAsia" w:ascii="宋体" w:hAnsi="宋体" w:eastAsia="宋体"/>
      <w:kern w:val="0"/>
      <w:sz w:val="24"/>
    </w:rPr>
  </w:style>
  <w:style w:type="paragraph" w:styleId="16">
    <w:name w:val="Body Text 2"/>
    <w:basedOn w:val="1"/>
    <w:unhideWhenUsed/>
    <w:qFormat/>
    <w:uiPriority w:val="0"/>
    <w:pPr>
      <w:spacing w:beforeLines="0" w:after="120" w:afterLines="0" w:line="480" w:lineRule="auto"/>
    </w:pPr>
    <w:rPr>
      <w:rFonts w:hint="default"/>
      <w:sz w:val="21"/>
    </w:rPr>
  </w:style>
  <w:style w:type="paragraph" w:styleId="17">
    <w:name w:val="Normal (Web)"/>
    <w:basedOn w:val="1"/>
    <w:link w:val="50"/>
    <w:qFormat/>
    <w:uiPriority w:val="0"/>
    <w:pPr>
      <w:widowControl/>
      <w:spacing w:before="100" w:beforeAutospacing="1" w:after="100" w:afterAutospacing="1"/>
      <w:jc w:val="left"/>
    </w:pPr>
    <w:rPr>
      <w:rFonts w:ascii="宋体" w:hAnsi="宋体"/>
      <w:kern w:val="0"/>
      <w:sz w:val="24"/>
    </w:rPr>
  </w:style>
  <w:style w:type="paragraph" w:styleId="18">
    <w:name w:val="annotation subject"/>
    <w:basedOn w:val="4"/>
    <w:next w:val="4"/>
    <w:link w:val="51"/>
    <w:semiHidden/>
    <w:qFormat/>
    <w:uiPriority w:val="0"/>
    <w:rPr>
      <w:b/>
      <w:bCs/>
    </w:rPr>
  </w:style>
  <w:style w:type="paragraph" w:styleId="19">
    <w:name w:val="Body Text First Indent"/>
    <w:basedOn w:val="5"/>
    <w:unhideWhenUsed/>
    <w:qFormat/>
    <w:uiPriority w:val="0"/>
    <w:pPr>
      <w:spacing w:beforeLines="0" w:afterLines="0"/>
      <w:ind w:firstLine="420" w:firstLineChars="100"/>
    </w:pPr>
    <w:rPr>
      <w:rFonts w:hint="default"/>
      <w:sz w:val="21"/>
    </w:r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Hyperlink"/>
    <w:basedOn w:val="22"/>
    <w:qFormat/>
    <w:uiPriority w:val="0"/>
    <w:rPr>
      <w:color w:val="0000FF"/>
      <w:u w:val="single"/>
    </w:rPr>
  </w:style>
  <w:style w:type="character" w:styleId="25">
    <w:name w:val="annotation reference"/>
    <w:basedOn w:val="22"/>
    <w:semiHidden/>
    <w:qFormat/>
    <w:uiPriority w:val="0"/>
    <w:rPr>
      <w:sz w:val="21"/>
    </w:rPr>
  </w:style>
  <w:style w:type="paragraph" w:customStyle="1" w:styleId="2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7">
    <w:name w:val="正文(首行缩进)"/>
    <w:basedOn w:val="1"/>
    <w:next w:val="1"/>
    <w:unhideWhenUsed/>
    <w:qFormat/>
    <w:uiPriority w:val="0"/>
    <w:pPr>
      <w:spacing w:beforeLines="0" w:afterLines="0" w:line="360" w:lineRule="auto"/>
      <w:ind w:firstLine="540" w:firstLineChars="225"/>
    </w:pPr>
    <w:rPr>
      <w:rFonts w:hint="default"/>
      <w:snapToGrid w:val="0"/>
      <w:color w:val="000000"/>
      <w:kern w:val="0"/>
      <w:sz w:val="24"/>
    </w:rPr>
  </w:style>
  <w:style w:type="paragraph" w:customStyle="1" w:styleId="28">
    <w:name w:val="Table Paragraph"/>
    <w:basedOn w:val="1"/>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1"/>
      <w:szCs w:val="21"/>
      <w:lang w:val="en-US" w:eastAsia="zh-CN" w:bidi="ar"/>
    </w:rPr>
  </w:style>
  <w:style w:type="paragraph" w:customStyle="1" w:styleId="29">
    <w:name w:val="表名图名"/>
    <w:qFormat/>
    <w:uiPriority w:val="0"/>
    <w:pPr>
      <w:widowControl w:val="0"/>
      <w:adjustRightInd w:val="0"/>
      <w:spacing w:line="520" w:lineRule="exact"/>
      <w:ind w:firstLine="0" w:firstLineChars="0"/>
      <w:jc w:val="center"/>
    </w:pPr>
    <w:rPr>
      <w:rFonts w:ascii="Times New Roman" w:hAnsi="Times New Roman" w:eastAsia="华文中宋" w:cs="Times New Roman"/>
      <w:b/>
      <w:kern w:val="2"/>
      <w:sz w:val="30"/>
      <w:szCs w:val="24"/>
      <w:lang w:val="en-US" w:eastAsia="zh-CN" w:bidi="ar-SA"/>
    </w:rPr>
  </w:style>
  <w:style w:type="paragraph" w:customStyle="1" w:styleId="30">
    <w:name w:val="WPSOffice手动目录 1"/>
    <w:qFormat/>
    <w:uiPriority w:val="0"/>
    <w:pPr>
      <w:ind w:leftChars="0"/>
    </w:pPr>
    <w:rPr>
      <w:rFonts w:ascii="Times New Roman" w:hAnsi="Times New Roman" w:eastAsia="宋体" w:cs="Times New Roman"/>
      <w:sz w:val="20"/>
      <w:szCs w:val="20"/>
    </w:rPr>
  </w:style>
  <w:style w:type="paragraph" w:customStyle="1" w:styleId="3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32">
    <w:name w:val="样式1"/>
    <w:basedOn w:val="1"/>
    <w:unhideWhenUsed/>
    <w:qFormat/>
    <w:uiPriority w:val="0"/>
    <w:pPr>
      <w:spacing w:beforeLines="0" w:afterLines="0" w:line="480" w:lineRule="exact"/>
      <w:jc w:val="center"/>
    </w:pPr>
    <w:rPr>
      <w:rFonts w:hint="default"/>
      <w:sz w:val="21"/>
    </w:rPr>
  </w:style>
  <w:style w:type="paragraph" w:customStyle="1" w:styleId="33">
    <w:name w:val="表、图名"/>
    <w:basedOn w:val="1"/>
    <w:unhideWhenUsed/>
    <w:qFormat/>
    <w:uiPriority w:val="0"/>
    <w:pPr>
      <w:spacing w:beforeLines="0" w:afterLines="0" w:line="240" w:lineRule="auto"/>
      <w:ind w:firstLine="2317" w:firstLineChars="1099"/>
    </w:pPr>
    <w:rPr>
      <w:rFonts w:hint="eastAsia" w:ascii="等线" w:hAnsi="等线" w:eastAsia="等线"/>
      <w:b/>
      <w:position w:val="-3"/>
      <w:sz w:val="21"/>
    </w:rPr>
  </w:style>
  <w:style w:type="paragraph" w:customStyle="1" w:styleId="34">
    <w:name w:val="表格内容"/>
    <w:basedOn w:val="1"/>
    <w:qFormat/>
    <w:uiPriority w:val="0"/>
    <w:pPr>
      <w:autoSpaceDE w:val="0"/>
      <w:autoSpaceDN w:val="0"/>
      <w:adjustRightInd w:val="0"/>
      <w:snapToGrid w:val="0"/>
      <w:jc w:val="center"/>
    </w:pPr>
    <w:rPr>
      <w:kern w:val="0"/>
    </w:rPr>
  </w:style>
  <w:style w:type="paragraph" w:customStyle="1" w:styleId="35">
    <w:name w:val="表中内容"/>
    <w:basedOn w:val="1"/>
    <w:unhideWhenUsed/>
    <w:qFormat/>
    <w:uiPriority w:val="0"/>
    <w:pPr>
      <w:widowControl/>
      <w:shd w:val="clear" w:color="auto" w:fill="FFFFFF"/>
      <w:overflowPunct w:val="0"/>
      <w:autoSpaceDE w:val="0"/>
      <w:autoSpaceDN w:val="0"/>
      <w:adjustRightInd w:val="0"/>
      <w:snapToGrid w:val="0"/>
      <w:spacing w:beforeLines="0" w:afterLines="0"/>
      <w:jc w:val="center"/>
      <w:textAlignment w:val="baseline"/>
    </w:pPr>
    <w:rPr>
      <w:rFonts w:hint="default"/>
      <w:sz w:val="21"/>
    </w:rPr>
  </w:style>
  <w:style w:type="paragraph" w:customStyle="1" w:styleId="36">
    <w:name w:val="表格"/>
    <w:basedOn w:val="1"/>
    <w:next w:val="1"/>
    <w:link w:val="49"/>
    <w:qFormat/>
    <w:uiPriority w:val="0"/>
    <w:pPr>
      <w:adjustRightInd w:val="0"/>
      <w:snapToGrid w:val="0"/>
      <w:spacing w:beforeLines="10" w:afterLines="10" w:line="259" w:lineRule="auto"/>
      <w:jc w:val="center"/>
    </w:pPr>
    <w:rPr>
      <w:rFonts w:ascii="宋体"/>
      <w:kern w:val="0"/>
      <w:sz w:val="20"/>
      <w:szCs w:val="21"/>
    </w:rPr>
  </w:style>
  <w:style w:type="paragraph" w:customStyle="1" w:styleId="37">
    <w:name w:val="表格2"/>
    <w:unhideWhenUsed/>
    <w:qFormat/>
    <w:uiPriority w:val="0"/>
    <w:pPr>
      <w:spacing w:beforeLines="0" w:afterLines="0" w:line="400" w:lineRule="exact"/>
      <w:jc w:val="center"/>
    </w:pPr>
    <w:rPr>
      <w:rFonts w:hint="default" w:ascii="Times New Roman" w:hAnsi="Times New Roman" w:eastAsia="宋体" w:cs="Times New Roman"/>
      <w:sz w:val="21"/>
      <w:lang w:val="en-US" w:eastAsia="zh-CN"/>
    </w:rPr>
  </w:style>
  <w:style w:type="paragraph" w:customStyle="1" w:styleId="38">
    <w:name w:val="IDDS表格正文"/>
    <w:qFormat/>
    <w:uiPriority w:val="0"/>
    <w:pPr>
      <w:widowControl w:val="0"/>
      <w:spacing w:line="300" w:lineRule="auto"/>
      <w:jc w:val="center"/>
    </w:pPr>
    <w:rPr>
      <w:rFonts w:ascii="Times New Roman" w:hAnsi="Times New Roman" w:eastAsia="宋体" w:cs="宋体"/>
      <w:kern w:val="2"/>
      <w:sz w:val="21"/>
      <w:szCs w:val="20"/>
      <w:lang w:val="en-US" w:eastAsia="zh-CN" w:bidi="ar-SA"/>
    </w:rPr>
  </w:style>
  <w:style w:type="paragraph" w:styleId="39">
    <w:name w:val="List Paragraph"/>
    <w:qFormat/>
    <w:uiPriority w:val="34"/>
    <w:pPr>
      <w:widowControl/>
      <w:spacing w:line="240" w:lineRule="auto"/>
      <w:ind w:firstLine="420" w:firstLineChars="200"/>
      <w:jc w:val="left"/>
    </w:pPr>
    <w:rPr>
      <w:rFonts w:ascii="宋体" w:hAnsi="宋体" w:eastAsia="宋体" w:cs="宋体"/>
      <w:kern w:val="0"/>
      <w:sz w:val="24"/>
      <w:szCs w:val="24"/>
      <w:lang w:val="en-US" w:eastAsia="zh-CN" w:bidi="ar-SA"/>
    </w:rPr>
  </w:style>
  <w:style w:type="character" w:customStyle="1" w:styleId="40">
    <w:name w:val="Header Char"/>
    <w:basedOn w:val="22"/>
    <w:link w:val="12"/>
    <w:qFormat/>
    <w:locked/>
    <w:uiPriority w:val="0"/>
    <w:rPr>
      <w:rFonts w:cs="Times New Roman"/>
      <w:sz w:val="18"/>
      <w:szCs w:val="18"/>
    </w:rPr>
  </w:style>
  <w:style w:type="character" w:customStyle="1" w:styleId="41">
    <w:name w:val="15"/>
    <w:basedOn w:val="22"/>
    <w:qFormat/>
    <w:uiPriority w:val="0"/>
    <w:rPr>
      <w:rFonts w:hint="default" w:ascii="Times New Roman" w:hAnsi="Times New Roman" w:cs="Times New Roman"/>
    </w:rPr>
  </w:style>
  <w:style w:type="character" w:customStyle="1" w:styleId="42">
    <w:name w:val="Body Text Indent Char"/>
    <w:basedOn w:val="22"/>
    <w:link w:val="6"/>
    <w:semiHidden/>
    <w:qFormat/>
    <w:locked/>
    <w:uiPriority w:val="0"/>
    <w:rPr>
      <w:rFonts w:ascii="Times New Roman" w:hAnsi="Times New Roman" w:eastAsia="宋体" w:cs="Times New Roman"/>
      <w:sz w:val="24"/>
      <w:szCs w:val="24"/>
    </w:rPr>
  </w:style>
  <w:style w:type="character" w:customStyle="1" w:styleId="43">
    <w:name w:val="普通(网站) Char"/>
    <w:qFormat/>
    <w:locked/>
    <w:uiPriority w:val="0"/>
    <w:rPr>
      <w:rFonts w:ascii="宋体" w:hAnsi="宋体" w:eastAsia="宋体"/>
      <w:sz w:val="24"/>
    </w:rPr>
  </w:style>
  <w:style w:type="character" w:customStyle="1" w:styleId="44">
    <w:name w:val="Date Char"/>
    <w:link w:val="9"/>
    <w:qFormat/>
    <w:locked/>
    <w:uiPriority w:val="0"/>
    <w:rPr>
      <w:rFonts w:ascii="Times New Roman" w:hAnsi="Times New Roman" w:eastAsia="宋体"/>
      <w:sz w:val="24"/>
    </w:rPr>
  </w:style>
  <w:style w:type="character" w:customStyle="1" w:styleId="45">
    <w:name w:val="批注文字 字符1"/>
    <w:basedOn w:val="22"/>
    <w:semiHidden/>
    <w:qFormat/>
    <w:uiPriority w:val="0"/>
    <w:rPr>
      <w:rFonts w:ascii="Times New Roman" w:hAnsi="Times New Roman" w:eastAsia="宋体" w:cs="Times New Roman"/>
      <w:sz w:val="24"/>
      <w:szCs w:val="24"/>
    </w:rPr>
  </w:style>
  <w:style w:type="character" w:customStyle="1" w:styleId="46">
    <w:name w:val="正文文本 字符1"/>
    <w:basedOn w:val="22"/>
    <w:semiHidden/>
    <w:qFormat/>
    <w:uiPriority w:val="0"/>
    <w:rPr>
      <w:rFonts w:ascii="Times New Roman" w:hAnsi="Times New Roman" w:eastAsia="宋体" w:cs="Times New Roman"/>
      <w:sz w:val="24"/>
      <w:szCs w:val="24"/>
    </w:rPr>
  </w:style>
  <w:style w:type="character" w:customStyle="1" w:styleId="47">
    <w:name w:val="Body Text Char"/>
    <w:link w:val="5"/>
    <w:qFormat/>
    <w:locked/>
    <w:uiPriority w:val="0"/>
    <w:rPr>
      <w:sz w:val="18"/>
    </w:rPr>
  </w:style>
  <w:style w:type="character" w:customStyle="1" w:styleId="48">
    <w:name w:val="Balloon Text Char"/>
    <w:basedOn w:val="22"/>
    <w:link w:val="10"/>
    <w:semiHidden/>
    <w:qFormat/>
    <w:locked/>
    <w:uiPriority w:val="0"/>
    <w:rPr>
      <w:rFonts w:ascii="Times New Roman" w:hAnsi="Times New Roman" w:eastAsia="宋体" w:cs="Times New Roman"/>
      <w:sz w:val="18"/>
      <w:szCs w:val="18"/>
    </w:rPr>
  </w:style>
  <w:style w:type="character" w:customStyle="1" w:styleId="49">
    <w:name w:val="表格 Char"/>
    <w:link w:val="36"/>
    <w:qFormat/>
    <w:locked/>
    <w:uiPriority w:val="0"/>
    <w:rPr>
      <w:rFonts w:ascii="宋体"/>
      <w:sz w:val="21"/>
    </w:rPr>
  </w:style>
  <w:style w:type="character" w:customStyle="1" w:styleId="50">
    <w:name w:val="Normal (Web) Char"/>
    <w:link w:val="17"/>
    <w:qFormat/>
    <w:locked/>
    <w:uiPriority w:val="0"/>
    <w:rPr>
      <w:rFonts w:ascii="宋体" w:hAnsi="宋体" w:eastAsia="宋体"/>
      <w:sz w:val="24"/>
    </w:rPr>
  </w:style>
  <w:style w:type="character" w:customStyle="1" w:styleId="51">
    <w:name w:val="Comment Subject Char"/>
    <w:basedOn w:val="52"/>
    <w:link w:val="18"/>
    <w:semiHidden/>
    <w:qFormat/>
    <w:locked/>
    <w:uiPriority w:val="0"/>
    <w:rPr>
      <w:rFonts w:cs="Times New Roman"/>
      <w:b/>
      <w:bCs/>
      <w:kern w:val="2"/>
      <w:szCs w:val="24"/>
    </w:rPr>
  </w:style>
  <w:style w:type="character" w:customStyle="1" w:styleId="52">
    <w:name w:val="Comment Text Char"/>
    <w:link w:val="4"/>
    <w:qFormat/>
    <w:locked/>
    <w:uiPriority w:val="0"/>
    <w:rPr>
      <w:rFonts w:ascii="Times New Roman" w:hAnsi="Times New Roman" w:eastAsia="宋体"/>
      <w:sz w:val="24"/>
    </w:rPr>
  </w:style>
  <w:style w:type="character" w:customStyle="1" w:styleId="53">
    <w:name w:val="日期 字符"/>
    <w:basedOn w:val="22"/>
    <w:semiHidden/>
    <w:qFormat/>
    <w:uiPriority w:val="0"/>
    <w:rPr>
      <w:rFonts w:ascii="Times New Roman" w:hAnsi="Times New Roman" w:eastAsia="宋体" w:cs="Times New Roman"/>
      <w:sz w:val="24"/>
      <w:szCs w:val="24"/>
    </w:rPr>
  </w:style>
  <w:style w:type="character" w:customStyle="1" w:styleId="54">
    <w:name w:val="Footer Char"/>
    <w:basedOn w:val="22"/>
    <w:link w:val="11"/>
    <w:qFormat/>
    <w:locked/>
    <w:uiPriority w:val="0"/>
    <w:rPr>
      <w:rFonts w:cs="Times New Roman"/>
      <w:sz w:val="18"/>
      <w:szCs w:val="18"/>
    </w:rPr>
  </w:style>
  <w:style w:type="character" w:customStyle="1" w:styleId="55">
    <w:name w:val="10"/>
    <w:basedOn w:val="22"/>
    <w:qFormat/>
    <w:uiPriority w:val="0"/>
    <w:rPr>
      <w:rFonts w:hint="default" w:ascii="Calibri" w:hAnsi="Calibri" w:cs="Calibri"/>
    </w:rPr>
  </w:style>
  <w:style w:type="paragraph" w:customStyle="1" w:styleId="56">
    <w:name w:val="表头"/>
    <w:next w:val="1"/>
    <w:unhideWhenUsed/>
    <w:qFormat/>
    <w:uiPriority w:val="0"/>
    <w:pPr>
      <w:spacing w:before="156" w:beforeLines="50" w:afterLines="0"/>
      <w:ind w:firstLine="602" w:firstLineChars="250"/>
      <w:jc w:val="both"/>
    </w:pPr>
    <w:rPr>
      <w:rFonts w:hint="eastAsia" w:ascii="黑体" w:hAnsi="黑体" w:eastAsia="黑体" w:cs="Times New Roman"/>
      <w:b/>
      <w:snapToGrid w:val="0"/>
      <w:sz w:val="24"/>
      <w:lang w:val="en-US" w:eastAsia="zh-CN"/>
    </w:rPr>
  </w:style>
  <w:style w:type="paragraph" w:customStyle="1" w:styleId="57">
    <w:name w:val="正文 CDD"/>
    <w:qFormat/>
    <w:uiPriority w:val="0"/>
    <w:pPr>
      <w:widowControl w:val="0"/>
      <w:spacing w:line="52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58">
    <w:name w:val="00.正文格式"/>
    <w:qFormat/>
    <w:uiPriority w:val="0"/>
    <w:pPr>
      <w:widowControl/>
      <w:spacing w:line="360" w:lineRule="auto"/>
      <w:ind w:firstLine="200" w:firstLineChars="200"/>
      <w:jc w:val="left"/>
    </w:pPr>
    <w:rPr>
      <w:rFonts w:ascii="Times New Roman" w:hAnsi="宋体" w:eastAsia="宋体" w:cs="Times New Roman"/>
      <w:color w:val="000000"/>
      <w:kern w:val="0"/>
      <w:sz w:val="24"/>
      <w:szCs w:val="24"/>
      <w:lang w:val="en-US" w:eastAsia="zh-CN" w:bidi="ar-SA"/>
    </w:rPr>
  </w:style>
  <w:style w:type="paragraph" w:customStyle="1" w:styleId="59">
    <w:name w:val="YJ正文*"/>
    <w:qFormat/>
    <w:uiPriority w:val="0"/>
    <w:pPr>
      <w:widowControl w:val="0"/>
      <w:spacing w:line="500" w:lineRule="exact"/>
      <w:ind w:firstLine="200" w:firstLineChars="200"/>
      <w:jc w:val="both"/>
    </w:pPr>
    <w:rPr>
      <w:rFonts w:ascii="宋体" w:hAnsi="宋体" w:eastAsia="宋体" w:cs="Times New Roman"/>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62</Pages>
  <Words>37497</Words>
  <Characters>41897</Characters>
  <Lines>1</Lines>
  <Paragraphs>1</Paragraphs>
  <TotalTime>22</TotalTime>
  <ScaleCrop>false</ScaleCrop>
  <LinksUpToDate>false</LinksUpToDate>
  <CharactersWithSpaces>42151</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sky??</cp:lastModifiedBy>
  <cp:lastPrinted>2020-12-24T01:50:00Z</cp:lastPrinted>
  <dcterms:modified xsi:type="dcterms:W3CDTF">2021-06-04T02:53:48Z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