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昌吉州住房和城乡建设局事业</w:t>
      </w:r>
      <w:r>
        <w:rPr>
          <w:rFonts w:hint="eastAsia" w:ascii="方正小标宋_GBK" w:hAnsi="宋体" w:eastAsia="方正小标宋_GBK"/>
          <w:kern w:val="0"/>
          <w:sz w:val="44"/>
          <w:szCs w:val="44"/>
        </w:rPr>
        <w:br w:type="textWrapping"/>
      </w: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第一部分昌吉州住房和城乡建设局单位概况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一、关于昌吉州住房和城乡建设局事业2020年收支预算情况的总体说明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二、关于昌吉州住房和城乡建设局事业2020年收入预算情况说明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三、关于昌吉州住房和城乡建设局事业2020年支出预算情况说明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昌吉州住房和城乡建设局事业2020</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五、关于昌吉州住房和城乡建设局事业2020年一般公共预算当年拨款情况说明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六、关于昌吉州住房和城乡建设局事业2020年一般公共预算基本支出情况说明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七、关于昌吉州住房和城乡建设局2020事业年项目支出情况说明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八、关于昌吉州住房和城乡建设局2020事业年一般公共预算“三公”经费预算情况说明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九、关于昌吉州住房和城乡建设局事业2020年政府性基金预算拨款情况说明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第四部分名词解释</w:t>
      </w:r>
    </w:p>
    <w:p>
      <w:pPr>
        <w:rPr>
          <w:rFonts w:ascii="黑体" w:hAnsi="黑体" w:eastAsia="黑体"/>
          <w:kern w:val="0"/>
          <w:sz w:val="32"/>
          <w:szCs w:val="32"/>
        </w:rPr>
      </w:pPr>
      <w:r>
        <w:rPr>
          <w:rFonts w:ascii="黑体" w:hAnsi="黑体" w:eastAsia="黑体"/>
          <w:kern w:val="0"/>
          <w:sz w:val="32"/>
          <w:szCs w:val="32"/>
        </w:rPr>
        <w:br w:type="page"/>
      </w:r>
    </w:p>
    <w:p>
      <w:pPr>
        <w:widowControl/>
        <w:jc w:val="center"/>
        <w:outlineLvl w:val="1"/>
        <w:rPr>
          <w:rFonts w:ascii="黑体" w:hAnsi="黑体" w:eastAsia="黑体"/>
          <w:kern w:val="0"/>
          <w:sz w:val="32"/>
          <w:szCs w:val="32"/>
        </w:rPr>
      </w:pPr>
    </w:p>
    <w:p>
      <w:pPr>
        <w:widowControl/>
        <w:jc w:val="center"/>
        <w:outlineLvl w:val="1"/>
        <w:rPr>
          <w:rFonts w:ascii="黑体" w:hAnsi="黑体" w:eastAsia="黑体"/>
          <w:b/>
          <w:kern w:val="0"/>
          <w:sz w:val="32"/>
          <w:szCs w:val="32"/>
        </w:rPr>
      </w:pPr>
      <w:r>
        <w:rPr>
          <w:rFonts w:hint="eastAsia" w:ascii="黑体" w:hAnsi="黑体" w:eastAsia="黑体"/>
          <w:kern w:val="0"/>
          <w:sz w:val="32"/>
          <w:szCs w:val="32"/>
        </w:rPr>
        <w:t>第一部分</w:t>
      </w:r>
      <w:r>
        <w:rPr>
          <w:rFonts w:hint="eastAsia" w:ascii="黑体" w:hAnsi="黑体" w:eastAsia="黑体" w:cs="黑体"/>
          <w:b/>
          <w:kern w:val="0"/>
          <w:sz w:val="32"/>
          <w:szCs w:val="32"/>
        </w:rPr>
        <w:t>昌吉州住房和城乡建设局事业</w:t>
      </w:r>
      <w:r>
        <w:rPr>
          <w:rFonts w:hint="eastAsia" w:ascii="黑体" w:hAnsi="黑体" w:eastAsia="黑体"/>
          <w:b/>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楷体" w:hAnsi="楷体" w:eastAsia="楷体" w:cs="楷体"/>
          <w:b/>
          <w:bCs/>
          <w:color w:val="2B2B2B"/>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一、主要职能</w:t>
      </w:r>
    </w:p>
    <w:p>
      <w:pPr>
        <w:widowControl/>
        <w:spacing w:line="560" w:lineRule="exact"/>
        <w:ind w:firstLine="64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承担保障城镇低收入家庭住房的责任。拟订全州住房保障相关政策并指导实施、承担推进住房制度改革的责任。承担规范住房和城乡建设管理秩序的责任、组织实施住房和城乡建设的国家标准、地方标准、全国统一定额和行业标准、承担规范房地产市场秩序、监督管理房地产市场的责任、监督管理自治州建筑市场，规范各方主体行为、承担建筑工程质量安全监管的责任、承担推进建筑节能、城镇减排的责任、拟订城市建设的政策并指导实施。负责市政公用事业特许经营；监督指导供水、供气、供热和市容环境卫生、园林绿化法律法规规章执行的执行；指导城市市政公用设施建设、安全和应急管理、承担规范和指导全州村镇建设的责任、负责对全州建设行业中介机构及从业人员的管理；指导和管理建设行业的职工培训和继续教育工作，负责建设系统的社团管理、承办自治州人民政府交办的其他事项。</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昌吉州住房和城乡建设局事业</w:t>
      </w:r>
      <w:r>
        <w:rPr>
          <w:rFonts w:hint="eastAsia" w:ascii="仿宋_GB2312" w:hAnsi="黑体" w:eastAsia="仿宋_GB2312" w:cs="宋体"/>
          <w:bCs/>
          <w:kern w:val="0"/>
          <w:sz w:val="32"/>
          <w:szCs w:val="32"/>
        </w:rPr>
        <w:t>无下属预算单位，无下设个科室</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yellow"/>
        </w:rPr>
        <w:t>昌吉州住房和城乡建设局事业编制数39，实有人数38人，其中：在职33人，增加10人；退休5人，</w:t>
      </w:r>
      <w:r>
        <w:rPr>
          <w:rFonts w:hint="eastAsia" w:ascii="仿宋_GB2312" w:hAnsi="宋体" w:eastAsia="仿宋_GB2312" w:cs="宋体"/>
          <w:kern w:val="0"/>
          <w:sz w:val="32"/>
          <w:szCs w:val="32"/>
        </w:rPr>
        <w:t>增加或减少</w:t>
      </w:r>
      <w:r>
        <w:rPr>
          <w:rFonts w:hint="eastAsia" w:ascii="仿宋_GB2312" w:hAnsi="宋体" w:eastAsia="仿宋_GB2312" w:cs="宋体"/>
          <w:kern w:val="0"/>
          <w:sz w:val="32"/>
          <w:szCs w:val="32"/>
          <w:highlight w:val="yellow"/>
        </w:rPr>
        <w:t>0人；无离休人员。</w:t>
      </w:r>
    </w:p>
    <w:p>
      <w:pPr>
        <w:widowControl/>
        <w:spacing w:line="560" w:lineRule="exact"/>
        <w:ind w:firstLine="640"/>
        <w:jc w:val="left"/>
        <w:rPr>
          <w:rFonts w:ascii="仿宋" w:hAnsi="仿宋" w:eastAsia="仿宋" w:cs="仿宋"/>
          <w:color w:val="2B2B2B"/>
          <w:kern w:val="0"/>
          <w:sz w:val="32"/>
          <w:szCs w:val="32"/>
          <w:lang w:bidi="ar"/>
        </w:rPr>
      </w:pPr>
    </w:p>
    <w:p>
      <w:pPr>
        <w:widowControl/>
        <w:numPr>
          <w:ilvl w:val="0"/>
          <w:numId w:val="1"/>
        </w:numPr>
        <w:spacing w:line="560" w:lineRule="exact"/>
        <w:jc w:val="center"/>
        <w:rPr>
          <w:rFonts w:ascii="黑体" w:hAnsi="黑体" w:eastAsia="黑体"/>
          <w:kern w:val="0"/>
          <w:sz w:val="32"/>
          <w:szCs w:val="32"/>
        </w:rPr>
      </w:pPr>
      <w:r>
        <w:rPr>
          <w:rFonts w:hint="eastAsia" w:ascii="黑体" w:hAnsi="黑体" w:eastAsia="黑体"/>
          <w:kern w:val="0"/>
          <w:sz w:val="32"/>
          <w:szCs w:val="32"/>
        </w:rPr>
        <w:t>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编制部门：昌吉州住房和城乡建设局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466.99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466.99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466.99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466.99</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466.99</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收入总计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466.99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支出合计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466.99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填报部门：昌吉州住房和城乡建设局                              单位：万元</w:t>
      </w:r>
    </w:p>
    <w:tbl>
      <w:tblPr>
        <w:tblStyle w:val="7"/>
        <w:tblW w:w="9654" w:type="dxa"/>
        <w:tblInd w:w="-450" w:type="dxa"/>
        <w:tblLayout w:type="fixed"/>
        <w:tblCellMar>
          <w:top w:w="0" w:type="dxa"/>
          <w:left w:w="108" w:type="dxa"/>
          <w:bottom w:w="0" w:type="dxa"/>
          <w:right w:w="108" w:type="dxa"/>
        </w:tblCellMar>
      </w:tblPr>
      <w:tblGrid>
        <w:gridCol w:w="588"/>
        <w:gridCol w:w="405"/>
        <w:gridCol w:w="555"/>
        <w:gridCol w:w="1848"/>
        <w:gridCol w:w="820"/>
        <w:gridCol w:w="842"/>
        <w:gridCol w:w="518"/>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5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84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总计</w:t>
            </w:r>
          </w:p>
        </w:tc>
        <w:tc>
          <w:tcPr>
            <w:tcW w:w="8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84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4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212</w:t>
            </w: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01</w:t>
            </w: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06</w:t>
            </w: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工程建设管理</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466.99</w:t>
            </w:r>
          </w:p>
        </w:tc>
        <w:tc>
          <w:tcPr>
            <w:tcW w:w="84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466.99</w:t>
            </w:r>
          </w:p>
        </w:tc>
        <w:tc>
          <w:tcPr>
            <w:tcW w:w="51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8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466.99</w:t>
            </w:r>
          </w:p>
        </w:tc>
        <w:tc>
          <w:tcPr>
            <w:tcW w:w="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466.99</w:t>
            </w:r>
          </w:p>
        </w:tc>
        <w:tc>
          <w:tcPr>
            <w:tcW w:w="5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编制部门：昌吉州住房和城乡建设局                      单位：万元</w:t>
      </w:r>
    </w:p>
    <w:tbl>
      <w:tblPr>
        <w:tblStyle w:val="7"/>
        <w:tblW w:w="9420" w:type="dxa"/>
        <w:tblInd w:w="-240" w:type="dxa"/>
        <w:tblLayout w:type="fixed"/>
        <w:tblCellMar>
          <w:top w:w="0" w:type="dxa"/>
          <w:left w:w="108" w:type="dxa"/>
          <w:bottom w:w="0" w:type="dxa"/>
          <w:right w:w="108" w:type="dxa"/>
        </w:tblCellMar>
      </w:tblPr>
      <w:tblGrid>
        <w:gridCol w:w="513"/>
        <w:gridCol w:w="435"/>
        <w:gridCol w:w="480"/>
        <w:gridCol w:w="2377"/>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212</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工程建设管理</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466.99</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466.99</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3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466.99</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466.99</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jc w:val="left"/>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编制部门：昌吉州住房和城乡建设局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466.99</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466.99</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466.99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466.99</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收入总计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466.99</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支出总计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466.99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466.99</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编制部门：昌吉州住房和城乡建设局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kern w:val="0"/>
                <w:sz w:val="18"/>
                <w:szCs w:val="18"/>
              </w:rPr>
              <w:t>212</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kern w:val="0"/>
                <w:sz w:val="18"/>
                <w:szCs w:val="18"/>
              </w:rPr>
              <w:t>06</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kern w:val="0"/>
                <w:sz w:val="18"/>
                <w:szCs w:val="18"/>
              </w:rPr>
              <w:t>工程建设管理</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kern w:val="0"/>
                <w:sz w:val="18"/>
                <w:szCs w:val="18"/>
              </w:rPr>
              <w:t>466.99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kern w:val="0"/>
                <w:sz w:val="18"/>
                <w:szCs w:val="18"/>
              </w:rPr>
              <w:t>466.99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466.99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466.99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120" w:type="dxa"/>
        <w:tblInd w:w="93" w:type="dxa"/>
        <w:tblLayout w:type="fixed"/>
        <w:tblCellMar>
          <w:top w:w="0" w:type="dxa"/>
          <w:left w:w="108" w:type="dxa"/>
          <w:bottom w:w="0" w:type="dxa"/>
          <w:right w:w="108" w:type="dxa"/>
        </w:tblCellMar>
      </w:tblPr>
      <w:tblGrid>
        <w:gridCol w:w="518"/>
        <w:gridCol w:w="732"/>
        <w:gridCol w:w="2748"/>
        <w:gridCol w:w="999"/>
        <w:gridCol w:w="707"/>
        <w:gridCol w:w="982"/>
        <w:gridCol w:w="727"/>
        <w:gridCol w:w="1707"/>
      </w:tblGrid>
      <w:tr>
        <w:tblPrEx>
          <w:tblLayout w:type="fixed"/>
          <w:tblCellMar>
            <w:top w:w="0" w:type="dxa"/>
            <w:left w:w="108" w:type="dxa"/>
            <w:bottom w:w="0" w:type="dxa"/>
            <w:right w:w="108" w:type="dxa"/>
          </w:tblCellMar>
        </w:tblPrEx>
        <w:trPr>
          <w:trHeight w:val="636" w:hRule="atLeast"/>
        </w:trPr>
        <w:tc>
          <w:tcPr>
            <w:tcW w:w="9120"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265" w:hRule="atLeast"/>
        </w:trPr>
        <w:tc>
          <w:tcPr>
            <w:tcW w:w="3998"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编制部门：昌吉州住房和城乡建设局</w:t>
            </w:r>
          </w:p>
        </w:tc>
        <w:tc>
          <w:tcPr>
            <w:tcW w:w="999"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9"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434"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223" w:hRule="atLeast"/>
        </w:trPr>
        <w:tc>
          <w:tcPr>
            <w:tcW w:w="399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22"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30" w:hRule="atLeast"/>
        </w:trPr>
        <w:tc>
          <w:tcPr>
            <w:tcW w:w="1250"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74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经济分类科目名称</w:t>
            </w:r>
          </w:p>
        </w:tc>
        <w:tc>
          <w:tcPr>
            <w:tcW w:w="170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小计</w:t>
            </w:r>
          </w:p>
        </w:tc>
        <w:tc>
          <w:tcPr>
            <w:tcW w:w="170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人员经费</w:t>
            </w:r>
          </w:p>
        </w:tc>
        <w:tc>
          <w:tcPr>
            <w:tcW w:w="170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公用经费</w:t>
            </w:r>
          </w:p>
        </w:tc>
      </w:tr>
      <w:tr>
        <w:tblPrEx>
          <w:tblLayout w:type="fixed"/>
          <w:tblCellMar>
            <w:top w:w="0" w:type="dxa"/>
            <w:left w:w="108" w:type="dxa"/>
            <w:bottom w:w="0" w:type="dxa"/>
            <w:right w:w="108" w:type="dxa"/>
          </w:tblCellMar>
        </w:tblPrEx>
        <w:trPr>
          <w:trHeight w:val="226" w:hRule="atLeast"/>
        </w:trPr>
        <w:tc>
          <w:tcPr>
            <w:tcW w:w="51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3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74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32"/>
                <w:szCs w:val="32"/>
              </w:rPr>
            </w:pPr>
          </w:p>
        </w:tc>
        <w:tc>
          <w:tcPr>
            <w:tcW w:w="170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32"/>
                <w:szCs w:val="32"/>
              </w:rPr>
            </w:pPr>
          </w:p>
        </w:tc>
        <w:tc>
          <w:tcPr>
            <w:tcW w:w="170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32"/>
                <w:szCs w:val="32"/>
              </w:rPr>
            </w:pPr>
          </w:p>
        </w:tc>
        <w:tc>
          <w:tcPr>
            <w:tcW w:w="17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32"/>
                <w:szCs w:val="32"/>
              </w:rPr>
            </w:pP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01</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基本工资</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167.89</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167.89</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02</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津贴补贴</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7.9</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7.9</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03</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奖金</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11.65</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11.65</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06</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伙食补助费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41.58</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41.58</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07</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绩效工资</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81.86</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81.86</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08</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机关事业单位基本养老保险缴费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43.09</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43.09</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10</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职工基本医疗保险缴费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21.62</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21.62</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11</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公务员医疗补助缴费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9.11</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9.11</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12</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其他社会保障缴费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2.06</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2.06</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301</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13</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住房公积金</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32.32</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32.32</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01</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办公费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6</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6</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02</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印刷费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0.8</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0.8</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05</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水费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0.1</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0.1</w:t>
            </w:r>
          </w:p>
        </w:tc>
      </w:tr>
      <w:tr>
        <w:tblPrEx>
          <w:tblLayout w:type="fixed"/>
          <w:tblCellMar>
            <w:top w:w="0" w:type="dxa"/>
            <w:left w:w="108" w:type="dxa"/>
            <w:bottom w:w="0" w:type="dxa"/>
            <w:right w:w="108" w:type="dxa"/>
          </w:tblCellMar>
        </w:tblPrEx>
        <w:trPr>
          <w:trHeight w:val="285" w:hRule="atLeast"/>
        </w:trPr>
        <w:tc>
          <w:tcPr>
            <w:tcW w:w="518" w:type="dxa"/>
            <w:tcBorders>
              <w:top w:val="single" w:color="auto" w:sz="4" w:space="0"/>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single" w:color="auto" w:sz="4" w:space="0"/>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06</w:t>
            </w:r>
          </w:p>
        </w:tc>
        <w:tc>
          <w:tcPr>
            <w:tcW w:w="2748" w:type="dxa"/>
            <w:tcBorders>
              <w:top w:val="single" w:color="auto" w:sz="4" w:space="0"/>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电费</w:t>
            </w:r>
          </w:p>
        </w:tc>
        <w:tc>
          <w:tcPr>
            <w:tcW w:w="1706" w:type="dxa"/>
            <w:gridSpan w:val="2"/>
            <w:tcBorders>
              <w:top w:val="single" w:color="auto" w:sz="4" w:space="0"/>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2.13</w:t>
            </w:r>
          </w:p>
        </w:tc>
        <w:tc>
          <w:tcPr>
            <w:tcW w:w="1709" w:type="dxa"/>
            <w:gridSpan w:val="2"/>
            <w:tcBorders>
              <w:top w:val="single" w:color="auto" w:sz="4" w:space="0"/>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single" w:color="auto" w:sz="4" w:space="0"/>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2.13</w:t>
            </w:r>
          </w:p>
        </w:tc>
      </w:tr>
      <w:tr>
        <w:tblPrEx>
          <w:tblLayout w:type="fixed"/>
          <w:tblCellMar>
            <w:top w:w="0" w:type="dxa"/>
            <w:left w:w="108" w:type="dxa"/>
            <w:bottom w:w="0" w:type="dxa"/>
            <w:right w:w="108" w:type="dxa"/>
          </w:tblCellMar>
        </w:tblPrEx>
        <w:trPr>
          <w:trHeight w:val="284"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09</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物业管理费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2.8</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2.8</w:t>
            </w:r>
          </w:p>
        </w:tc>
      </w:tr>
      <w:tr>
        <w:tblPrEx>
          <w:tblLayout w:type="fixed"/>
          <w:tblCellMar>
            <w:top w:w="0" w:type="dxa"/>
            <w:left w:w="108" w:type="dxa"/>
            <w:bottom w:w="0" w:type="dxa"/>
            <w:right w:w="108" w:type="dxa"/>
          </w:tblCellMar>
        </w:tblPrEx>
        <w:trPr>
          <w:trHeight w:val="284"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11</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差旅费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13</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维修(护)费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3.07</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3.07</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16</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培训费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0.6</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0.6</w:t>
            </w:r>
          </w:p>
        </w:tc>
      </w:tr>
      <w:tr>
        <w:tblPrEx>
          <w:tblLayout w:type="fixed"/>
          <w:tblCellMar>
            <w:top w:w="0" w:type="dxa"/>
            <w:left w:w="108" w:type="dxa"/>
            <w:bottom w:w="0" w:type="dxa"/>
            <w:right w:w="108" w:type="dxa"/>
          </w:tblCellMar>
        </w:tblPrEx>
        <w:trPr>
          <w:trHeight w:val="284"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27</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委托业务费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28</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工会经费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3.36</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3.36</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29</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福利费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7.72</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7.72</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31</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公务车运行维护费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5.1</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5.1</w:t>
            </w:r>
          </w:p>
        </w:tc>
      </w:tr>
      <w:tr>
        <w:tblPrEx>
          <w:tblLayout w:type="fixed"/>
          <w:tblCellMar>
            <w:top w:w="0" w:type="dxa"/>
            <w:left w:w="108" w:type="dxa"/>
            <w:bottom w:w="0" w:type="dxa"/>
            <w:right w:w="108" w:type="dxa"/>
          </w:tblCellMar>
        </w:tblPrEx>
        <w:trPr>
          <w:trHeight w:val="285"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302</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99</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其他商品和服务支出</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4.13</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4.13</w:t>
            </w:r>
          </w:p>
        </w:tc>
      </w:tr>
      <w:tr>
        <w:tblPrEx>
          <w:tblLayout w:type="fixed"/>
          <w:tblCellMar>
            <w:top w:w="0" w:type="dxa"/>
            <w:left w:w="108" w:type="dxa"/>
            <w:bottom w:w="0" w:type="dxa"/>
            <w:right w:w="108" w:type="dxa"/>
          </w:tblCellMar>
        </w:tblPrEx>
        <w:trPr>
          <w:trHeight w:val="379"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303</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09</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奖励金</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0.3</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0.3</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422"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303</w:t>
            </w: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14</w:t>
            </w: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职工住宅取暖费</w:t>
            </w: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3.8</w:t>
            </w: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3.8</w:t>
            </w: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r>
              <w:rPr>
                <w:rFonts w:ascii="Dialog" w:hAnsi="Dialog"/>
                <w:color w:val="000000"/>
              </w:rPr>
              <w:t>0</w:t>
            </w:r>
          </w:p>
        </w:tc>
      </w:tr>
      <w:tr>
        <w:tblPrEx>
          <w:tblLayout w:type="fixed"/>
          <w:tblCellMar>
            <w:top w:w="0" w:type="dxa"/>
            <w:left w:w="108" w:type="dxa"/>
            <w:bottom w:w="0" w:type="dxa"/>
            <w:right w:w="108" w:type="dxa"/>
          </w:tblCellMar>
        </w:tblPrEx>
        <w:trPr>
          <w:trHeight w:val="290" w:hRule="atLeast"/>
        </w:trPr>
        <w:tc>
          <w:tcPr>
            <w:tcW w:w="518" w:type="dxa"/>
            <w:tcBorders>
              <w:top w:val="nil"/>
              <w:left w:val="single" w:color="auto" w:sz="4" w:space="0"/>
              <w:bottom w:val="single" w:color="auto" w:sz="4" w:space="0"/>
              <w:right w:val="single" w:color="auto" w:sz="4" w:space="0"/>
            </w:tcBorders>
            <w:vAlign w:val="center"/>
          </w:tcPr>
          <w:p>
            <w:pPr>
              <w:rPr>
                <w:rFonts w:hint="eastAsia" w:ascii="Dialog" w:hAnsi="Dialog" w:cs="宋体"/>
                <w:color w:val="000000"/>
                <w:sz w:val="24"/>
              </w:rPr>
            </w:pPr>
          </w:p>
        </w:tc>
        <w:tc>
          <w:tcPr>
            <w:tcW w:w="732"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p>
        </w:tc>
        <w:tc>
          <w:tcPr>
            <w:tcW w:w="2748"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p>
        </w:tc>
        <w:tc>
          <w:tcPr>
            <w:tcW w:w="1706"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p>
        </w:tc>
        <w:tc>
          <w:tcPr>
            <w:tcW w:w="1709" w:type="dxa"/>
            <w:gridSpan w:val="2"/>
            <w:tcBorders>
              <w:top w:val="nil"/>
              <w:left w:val="nil"/>
              <w:bottom w:val="single" w:color="auto" w:sz="4" w:space="0"/>
              <w:right w:val="single" w:color="auto" w:sz="4" w:space="0"/>
            </w:tcBorders>
            <w:vAlign w:val="center"/>
          </w:tcPr>
          <w:p>
            <w:pPr>
              <w:rPr>
                <w:rFonts w:hint="eastAsia" w:ascii="Dialog" w:hAnsi="Dialog" w:cs="宋体"/>
                <w:color w:val="000000"/>
                <w:sz w:val="24"/>
              </w:rPr>
            </w:pPr>
          </w:p>
        </w:tc>
        <w:tc>
          <w:tcPr>
            <w:tcW w:w="1707" w:type="dxa"/>
            <w:tcBorders>
              <w:top w:val="nil"/>
              <w:left w:val="nil"/>
              <w:bottom w:val="single" w:color="auto" w:sz="4" w:space="0"/>
              <w:right w:val="single" w:color="auto" w:sz="4" w:space="0"/>
            </w:tcBorders>
            <w:vAlign w:val="center"/>
          </w:tcPr>
          <w:p>
            <w:pPr>
              <w:rPr>
                <w:rFonts w:hint="eastAsia" w:ascii="Dialog" w:hAnsi="Dialog" w:cs="宋体"/>
                <w:color w:val="000000"/>
                <w:sz w:val="24"/>
              </w:rPr>
            </w:pPr>
          </w:p>
        </w:tc>
      </w:tr>
      <w:tr>
        <w:tblPrEx>
          <w:tblLayout w:type="fixed"/>
          <w:tblCellMar>
            <w:top w:w="0" w:type="dxa"/>
            <w:left w:w="108" w:type="dxa"/>
            <w:bottom w:w="0" w:type="dxa"/>
            <w:right w:w="108" w:type="dxa"/>
          </w:tblCellMar>
        </w:tblPrEx>
        <w:trPr>
          <w:trHeight w:val="307" w:hRule="atLeast"/>
        </w:trPr>
        <w:tc>
          <w:tcPr>
            <w:tcW w:w="518" w:type="dxa"/>
            <w:tcBorders>
              <w:top w:val="nil"/>
              <w:left w:val="single" w:color="auto" w:sz="4" w:space="0"/>
              <w:bottom w:val="single" w:color="auto" w:sz="4" w:space="0"/>
              <w:right w:val="single" w:color="auto" w:sz="4" w:space="0"/>
            </w:tcBorders>
            <w:vAlign w:val="center"/>
          </w:tcPr>
          <w:p>
            <w:pPr>
              <w:widowControl/>
              <w:spacing w:line="1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tcBorders>
              <w:top w:val="nil"/>
              <w:left w:val="nil"/>
              <w:bottom w:val="single" w:color="auto" w:sz="4" w:space="0"/>
              <w:right w:val="single" w:color="auto" w:sz="4" w:space="0"/>
            </w:tcBorders>
            <w:vAlign w:val="center"/>
          </w:tcPr>
          <w:p>
            <w:pPr>
              <w:widowControl/>
              <w:spacing w:line="1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748" w:type="dxa"/>
            <w:tcBorders>
              <w:top w:val="nil"/>
              <w:left w:val="nil"/>
              <w:bottom w:val="single" w:color="auto" w:sz="4" w:space="0"/>
              <w:right w:val="single" w:color="auto" w:sz="4" w:space="0"/>
            </w:tcBorders>
            <w:vAlign w:val="center"/>
          </w:tcPr>
          <w:p>
            <w:pPr>
              <w:widowControl/>
              <w:spacing w:line="180" w:lineRule="exact"/>
              <w:jc w:val="center"/>
              <w:rPr>
                <w:rFonts w:ascii="仿宋" w:hAnsi="仿宋" w:eastAsia="仿宋" w:cs="仿宋"/>
                <w:color w:val="000000"/>
                <w:kern w:val="0"/>
                <w:sz w:val="20"/>
                <w:szCs w:val="20"/>
              </w:rPr>
            </w:pPr>
            <w:r>
              <w:rPr>
                <w:rFonts w:hint="eastAsia" w:ascii="仿宋" w:hAnsi="仿宋" w:eastAsia="仿宋" w:cs="仿宋"/>
                <w:b/>
                <w:bCs/>
                <w:color w:val="000000"/>
                <w:kern w:val="0"/>
                <w:sz w:val="20"/>
                <w:szCs w:val="20"/>
              </w:rPr>
              <w:t>合计</w:t>
            </w:r>
          </w:p>
        </w:tc>
        <w:tc>
          <w:tcPr>
            <w:tcW w:w="1706" w:type="dxa"/>
            <w:gridSpan w:val="2"/>
            <w:tcBorders>
              <w:top w:val="nil"/>
              <w:left w:val="nil"/>
              <w:bottom w:val="single" w:color="auto" w:sz="4" w:space="0"/>
              <w:right w:val="single" w:color="auto" w:sz="4" w:space="0"/>
            </w:tcBorders>
            <w:vAlign w:val="center"/>
          </w:tcPr>
          <w:p>
            <w:pPr>
              <w:widowControl/>
              <w:spacing w:line="1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466.99</w:t>
            </w:r>
          </w:p>
        </w:tc>
        <w:tc>
          <w:tcPr>
            <w:tcW w:w="1709" w:type="dxa"/>
            <w:gridSpan w:val="2"/>
            <w:tcBorders>
              <w:top w:val="nil"/>
              <w:left w:val="nil"/>
              <w:bottom w:val="single" w:color="auto" w:sz="4" w:space="0"/>
              <w:right w:val="single" w:color="auto" w:sz="4" w:space="0"/>
            </w:tcBorders>
            <w:vAlign w:val="center"/>
          </w:tcPr>
          <w:p>
            <w:pPr>
              <w:widowControl/>
              <w:spacing w:line="1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423.18</w:t>
            </w:r>
          </w:p>
        </w:tc>
        <w:tc>
          <w:tcPr>
            <w:tcW w:w="1707" w:type="dxa"/>
            <w:tcBorders>
              <w:top w:val="nil"/>
              <w:left w:val="nil"/>
              <w:bottom w:val="single" w:color="auto" w:sz="4" w:space="0"/>
              <w:right w:val="single" w:color="auto" w:sz="4" w:space="0"/>
            </w:tcBorders>
            <w:vAlign w:val="center"/>
          </w:tcPr>
          <w:p>
            <w:pPr>
              <w:widowControl/>
              <w:spacing w:line="18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43.81</w:t>
            </w:r>
          </w:p>
        </w:tc>
      </w:tr>
    </w:tbl>
    <w:p>
      <w:pPr>
        <w:widowControl/>
        <w:spacing w:line="180" w:lineRule="exact"/>
        <w:jc w:val="left"/>
        <w:outlineLvl w:val="1"/>
        <w:rPr>
          <w:rFonts w:ascii="仿宋_GB2312" w:hAnsi="宋体" w:eastAsia="仿宋_GB2312"/>
          <w:b/>
          <w:kern w:val="0"/>
          <w:sz w:val="32"/>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1224"/>
        <w:gridCol w:w="1083"/>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编制部门：昌吉州住房和城乡建设局</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科目编码</w:t>
            </w:r>
          </w:p>
        </w:tc>
        <w:tc>
          <w:tcPr>
            <w:tcW w:w="1224"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83"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24"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08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tcPr>
          <w:p>
            <w:pPr>
              <w:widowControl/>
              <w:jc w:val="center"/>
              <w:outlineLvl w:val="1"/>
              <w:rPr>
                <w:rFonts w:ascii="仿宋_GB2312" w:hAnsi="宋体" w:eastAsia="仿宋_GB2312"/>
                <w:kern w:val="0"/>
                <w:sz w:val="18"/>
                <w:szCs w:val="18"/>
              </w:rPr>
            </w:pPr>
          </w:p>
        </w:tc>
        <w:tc>
          <w:tcPr>
            <w:tcW w:w="750" w:type="dxa"/>
            <w:shd w:val="clear" w:color="auto" w:fill="auto"/>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1224" w:type="dxa"/>
            <w:shd w:val="clear" w:color="auto" w:fill="auto"/>
          </w:tcPr>
          <w:p>
            <w:pPr>
              <w:widowControl/>
              <w:jc w:val="center"/>
              <w:outlineLvl w:val="1"/>
              <w:rPr>
                <w:rFonts w:ascii="仿宋_GB2312" w:hAnsi="宋体" w:eastAsia="仿宋_GB2312"/>
                <w:kern w:val="0"/>
                <w:sz w:val="18"/>
                <w:szCs w:val="18"/>
              </w:rPr>
            </w:pPr>
          </w:p>
        </w:tc>
        <w:tc>
          <w:tcPr>
            <w:tcW w:w="1083"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50" w:type="dxa"/>
            <w:shd w:val="clear" w:color="auto" w:fill="auto"/>
            <w:vAlign w:val="center"/>
          </w:tcPr>
          <w:p>
            <w:pPr>
              <w:widowControl/>
              <w:jc w:val="center"/>
              <w:outlineLvl w:val="1"/>
              <w:rPr>
                <w:rFonts w:ascii="仿宋_GB2312" w:hAnsi="宋体" w:eastAsia="仿宋_GB2312"/>
                <w:kern w:val="0"/>
                <w:sz w:val="18"/>
                <w:szCs w:val="18"/>
              </w:rPr>
            </w:pP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36"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652" w:type="dxa"/>
            <w:shd w:val="clear" w:color="auto" w:fill="auto"/>
          </w:tcPr>
          <w:p>
            <w:pPr>
              <w:widowControl/>
              <w:jc w:val="center"/>
              <w:outlineLvl w:val="1"/>
              <w:rPr>
                <w:rFonts w:ascii="仿宋_GB2312" w:hAnsi="宋体" w:eastAsia="仿宋_GB2312"/>
                <w:kern w:val="0"/>
                <w:sz w:val="18"/>
                <w:szCs w:val="18"/>
              </w:rPr>
            </w:pPr>
          </w:p>
        </w:tc>
        <w:tc>
          <w:tcPr>
            <w:tcW w:w="578" w:type="dxa"/>
            <w:gridSpan w:val="2"/>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578"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20" w:type="dxa"/>
            <w:shd w:val="clear" w:color="auto" w:fill="auto"/>
          </w:tcPr>
          <w:p>
            <w:pPr>
              <w:widowControl/>
              <w:jc w:val="center"/>
              <w:outlineLvl w:val="1"/>
              <w:rPr>
                <w:rFonts w:ascii="仿宋_GB2312" w:hAnsi="宋体" w:eastAsia="仿宋_GB2312"/>
                <w:kern w:val="0"/>
                <w:sz w:val="18"/>
                <w:szCs w:val="18"/>
              </w:rPr>
            </w:pPr>
          </w:p>
        </w:tc>
        <w:tc>
          <w:tcPr>
            <w:tcW w:w="468" w:type="dxa"/>
            <w:gridSpan w:val="2"/>
            <w:shd w:val="clear" w:color="auto" w:fill="auto"/>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备注：本单位无项目支出预算。</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编制单位：昌吉州住房和城乡建设局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5.1</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编制单位：昌吉州住房和城乡建设局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备注：本单位无政府性基金预算。</w:t>
      </w:r>
    </w:p>
    <w:p>
      <w:pPr>
        <w:widowControl/>
        <w:jc w:val="left"/>
        <w:outlineLvl w:val="1"/>
        <w:rPr>
          <w:rFonts w:ascii="仿宋_GB2312" w:hAnsi="宋体" w:eastAsia="仿宋_GB2312"/>
          <w:kern w:val="0"/>
          <w:sz w:val="32"/>
          <w:szCs w:val="32"/>
        </w:rPr>
        <w:sectPr>
          <w:headerReference r:id="rId3" w:type="default"/>
          <w:footerReference r:id="rId4" w:type="default"/>
          <w:footerReference r:id="rId5"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关于昌吉州住房和城乡建设局2020年收支预算情况的总体说明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按照全口径预算的原则，昌吉州住房和城乡建设局2020年所有收入和支出均纳入部门预算管理。收支总预算466.99万元。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收入预算包括：一般公共预算466.99万元。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支出预算包括：城乡社区支出466.99万元。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二、关于昌吉州住房和城乡建设局2020年收入预算情况说明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昌吉州住房和城乡建设局收入预算466.99元，其中：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一般公共预算466.99万元，占100%，比上年增加183.53万元，主要原因是增加原住建局本级核算的事业编制人员10人，增加费用183.53万元。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政府性基金预算未安排。主要原因是没有政府性基金。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43.22万元，占4.57%，比上年增加6.7万元，主要原是项目资金结转结余41.39万元，其中：安全生产专项结转33.39万元，四五房地产规划编制结转8万元。基本支出结转1.83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三、关于昌吉州住房和城乡建设局事业2020年支出预算情况说明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昌吉州住房和城乡建设局2020年支出预算466.99万元元，其中：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基本支出466.99万元，占100%，比上年增加183.53万元，主要原因是增加原住建局本级核算的事业编制人员10人，增加费用183.53万元。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highlight w:val="yellow"/>
        </w:rPr>
        <w:t>项目支出0万元，</w:t>
      </w:r>
      <w:r>
        <w:rPr>
          <w:rFonts w:hint="eastAsia" w:ascii="仿宋_GB2312" w:hAnsi="宋体" w:eastAsia="仿宋_GB2312" w:cs="宋体"/>
          <w:kern w:val="0"/>
          <w:sz w:val="32"/>
          <w:szCs w:val="32"/>
        </w:rPr>
        <w:t xml:space="preserve">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val="en-US" w:eastAsia="zh-CN"/>
        </w:rPr>
        <w:t>未安排项目支出。</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四、关于昌吉州住房和城乡建设局2020年财政拨款收支预算情况的总体说明</w:t>
      </w:r>
    </w:p>
    <w:p>
      <w:pPr>
        <w:spacing w:line="560" w:lineRule="exact"/>
        <w:ind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2020年财政拨款收支总预算466.99万元。</w:t>
      </w:r>
    </w:p>
    <w:p>
      <w:pPr>
        <w:spacing w:line="560" w:lineRule="exact"/>
        <w:ind w:firstLine="616" w:firstLineChars="200"/>
        <w:rPr>
          <w:rFonts w:ascii="仿宋_GB2312" w:hAnsi="宋体" w:eastAsia="仿宋_GB2312" w:cs="宋体"/>
          <w:kern w:val="0"/>
          <w:sz w:val="32"/>
          <w:szCs w:val="32"/>
        </w:rPr>
      </w:pPr>
      <w:r>
        <w:rPr>
          <w:rFonts w:hint="eastAsia" w:ascii="仿宋_GB2312" w:hAnsi="宋体" w:eastAsia="仿宋_GB2312" w:cs="宋体"/>
          <w:spacing w:val="-6"/>
          <w:kern w:val="0"/>
          <w:sz w:val="32"/>
          <w:szCs w:val="32"/>
          <w:highlight w:val="yellow"/>
        </w:rPr>
        <w:t>收入全部为一般公共预算拨款，无政府性基金预算拨款。</w:t>
      </w: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466.99</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val="en-US" w:eastAsia="zh-CN"/>
        </w:rPr>
        <w:t>工资及福利支出、商品和服务支出及对个人和家庭的支出</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五、关于昌吉州住房和城乡建设局2020年一般公共预算当年拨款情况说明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昌吉州住房和城乡建设局2020年一般公共预算拨款基本支出466.99万元，比上年执行数增加183.53万元，增长64.74%。主要原因是：增加原住建局本级核算的事业编制人员10人，增加费用183.53万元。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212</w:t>
      </w:r>
      <w:r>
        <w:rPr>
          <w:rFonts w:hint="eastAsia" w:ascii="仿宋_GB2312" w:eastAsia="仿宋_GB2312"/>
          <w:sz w:val="32"/>
          <w:szCs w:val="32"/>
        </w:rPr>
        <w:t>城乡社区支出</w:t>
      </w:r>
      <w:r>
        <w:rPr>
          <w:rFonts w:hint="eastAsia" w:ascii="楷体_GB2312" w:eastAsia="楷体_GB2312"/>
          <w:bCs/>
          <w:sz w:val="32"/>
          <w:szCs w:val="32"/>
        </w:rPr>
        <w:t>466.99</w:t>
      </w:r>
      <w:r>
        <w:rPr>
          <w:rFonts w:hint="eastAsia" w:ascii="仿宋_GB2312" w:hAnsi="宋体" w:eastAsia="仿宋_GB2312" w:cs="宋体"/>
          <w:kern w:val="0"/>
          <w:sz w:val="32"/>
          <w:szCs w:val="32"/>
        </w:rPr>
        <w:t>万元，占100%。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left="958" w:leftChars="304" w:hanging="320" w:hangingChars="100"/>
        <w:rPr>
          <w:rFonts w:hint="eastAsia" w:ascii="仿宋_GB2312" w:hAnsi="宋体" w:eastAsia="仿宋_GB2312" w:cs="宋体"/>
          <w:kern w:val="0"/>
          <w:sz w:val="32"/>
          <w:szCs w:val="32"/>
        </w:rPr>
      </w:pP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lang w:eastAsia="zh-CN"/>
        </w:rPr>
        <w:t>：1、</w:t>
      </w:r>
      <w:r>
        <w:rPr>
          <w:rFonts w:hint="eastAsia" w:ascii="仿宋_GB2312" w:hAnsi="宋体" w:eastAsia="仿宋_GB2312" w:cs="宋体"/>
          <w:kern w:val="0"/>
          <w:sz w:val="32"/>
          <w:szCs w:val="32"/>
          <w:lang w:val="en-US" w:eastAsia="zh-CN"/>
        </w:rPr>
        <w:t>2120106</w:t>
      </w:r>
      <w:r>
        <w:rPr>
          <w:rFonts w:hint="eastAsia" w:ascii="仿宋_GB2312" w:eastAsia="仿宋_GB2312"/>
          <w:sz w:val="32"/>
          <w:szCs w:val="32"/>
        </w:rPr>
        <w:t>城乡社区支出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466.99</w:t>
      </w:r>
    </w:p>
    <w:p>
      <w:pPr>
        <w:spacing w:line="560" w:lineRule="exact"/>
        <w:ind w:left="958" w:leftChars="304" w:hanging="320" w:hangingChars="100"/>
        <w:rPr>
          <w:rFonts w:hint="eastAsia" w:ascii="仿宋_GB2312" w:hAnsi="宋体" w:eastAsia="仿宋_GB2312" w:cs="宋体"/>
          <w:kern w:val="0"/>
          <w:sz w:val="32"/>
          <w:szCs w:val="32"/>
        </w:rPr>
      </w:pP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比上年执行数增加183.53万元，增加64.75%，</w:t>
      </w:r>
    </w:p>
    <w:p>
      <w:pPr>
        <w:spacing w:line="56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主要原因是：2020年预算中将10名事业单位人员从行政运行中调整到工程建设管理项目（事业人员）中。</w:t>
      </w:r>
      <w:r>
        <w:rPr>
          <w:rFonts w:hint="eastAsia" w:ascii="仿宋_GB2312" w:hAnsi="宋体" w:eastAsia="仿宋_GB2312" w:cs="宋体"/>
          <w:kern w:val="0"/>
          <w:sz w:val="32"/>
          <w:szCs w:val="32"/>
          <w:lang w:val="en-US" w:eastAsia="zh-CN"/>
        </w:rPr>
        <w:t>主要用于工资及福利支出、商品和服务支出及其他对个人和家庭的支出。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六、关于昌吉州住房和城乡建设局事业2020年一般公共预算基本支出情况说明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昌吉州住房和城乡建设局事业2020年一般公共预算基本支出466.99万元，其中：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423.18万元，主要包括：基本工资167.89万元、津贴补贴7.9万元、奖金11.65万元、伙食补助费41.58万元、绩效工资81.86万元、机关事业单位基本养老保险缴费43.09万元、职工基本医疗保险缴费21.62万元、公务员医疗补助缴费9.11万元、其他社会保障缴费2.06万元、住房公积金32.32万元、奖励金0.3万元、对个人和家庭的补助支出3.8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43.81万元，主要包括：办公费6万元、印刷费0.8万元、水费0.1万元、电费2.13万元、物业管理费2.8万元、差旅费4万元、维修（护）费3.07万元、培训费0.6万元、委托业务费4万元、工会经费3.36万元、福利费7.72万元、公务用车运行维护费5.1万元、</w:t>
      </w:r>
      <w:r>
        <w:rPr>
          <w:rFonts w:hint="eastAsia" w:ascii="仿宋_GB2312" w:hAnsi="宋体" w:eastAsia="仿宋_GB2312" w:cs="宋体"/>
          <w:kern w:val="0"/>
          <w:sz w:val="32"/>
          <w:szCs w:val="32"/>
          <w:highlight w:val="yellow"/>
        </w:rPr>
        <w:t>其他商品和服务支出</w:t>
      </w:r>
      <w:r>
        <w:rPr>
          <w:rFonts w:hint="eastAsia" w:ascii="仿宋_GB2312" w:hAnsi="宋体" w:eastAsia="仿宋_GB2312" w:cs="宋体"/>
          <w:kern w:val="0"/>
          <w:sz w:val="32"/>
          <w:szCs w:val="32"/>
          <w:highlight w:val="yellow"/>
          <w:lang w:val="en-US" w:eastAsia="zh-CN"/>
        </w:rPr>
        <w:t>4.13万元</w:t>
      </w:r>
      <w:r>
        <w:rPr>
          <w:rFonts w:hint="eastAsia" w:ascii="仿宋_GB2312" w:hAnsi="宋体" w:eastAsia="仿宋_GB2312" w:cs="宋体"/>
          <w:kern w:val="0"/>
          <w:sz w:val="32"/>
          <w:szCs w:val="32"/>
          <w:highlight w:val="yellow"/>
        </w:rPr>
        <w:t>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七、关于昌吉州住房和城乡建设局事业2020年项目支出情况说明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本部门无项目支出。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八、关于昌吉州住房和城乡建设局事业2020年一般公共预算“三公”经费预算情况说明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昌吉州住房和城乡建设局事业2020年“三公”经费财政拨款预算数为5.1万元，其中：因公出国（境）费0万元，公务用车购置0万元，公务用车运行费5.1万元，公务接待费0万元。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0.14万元，其中：因公出国（境）费增加（减少）0万元，主要原因是无因公出国（境）费用；公务用车购置费为0，未安排预算。公务用车运行费减少0.14万元，主要原因是加强对公务用车的管理，降低车辆费用；公务接待费增加（减少）</w:t>
      </w:r>
      <w:r>
        <w:rPr>
          <w:rFonts w:hint="eastAsia" w:ascii="仿宋_GB2312" w:hAnsi="宋体" w:eastAsia="仿宋_GB2312" w:cs="宋体"/>
          <w:kern w:val="0"/>
          <w:sz w:val="32"/>
          <w:szCs w:val="32"/>
          <w:highlight w:val="yellow"/>
        </w:rPr>
        <w:t>0</w:t>
      </w:r>
      <w:r>
        <w:rPr>
          <w:rFonts w:hint="eastAsia" w:ascii="仿宋_GB2312" w:hAnsi="宋体" w:eastAsia="仿宋_GB2312" w:cs="宋体"/>
          <w:kern w:val="0"/>
          <w:sz w:val="32"/>
          <w:szCs w:val="32"/>
        </w:rPr>
        <w:t>万元，主要原因是严格执行中央八项及区州十项规定，节约开支。</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九、关于昌吉州住房和城乡建设局事业2020年政府性基金预算拨款情况说明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昌吉州住房和城乡建设局事业2020年没有使用政府性基金预算拨款安排的支出，政府性基金预算支出情况表为空表。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2020年，昌吉州住房和城乡建设局事业的机关运行经费财政拨款预算43.81万元，比上年预算减少1.58万元，下降</w:t>
      </w:r>
      <w:r>
        <w:rPr>
          <w:rFonts w:hint="eastAsia" w:ascii="仿宋_GB2312" w:hAnsi="宋体" w:eastAsia="仿宋_GB2312" w:cs="宋体"/>
          <w:kern w:val="0"/>
          <w:sz w:val="32"/>
          <w:szCs w:val="32"/>
          <w:highlight w:val="yellow"/>
          <w:lang w:val="en-US" w:eastAsia="zh-CN"/>
        </w:rPr>
        <w:t>3.48</w:t>
      </w:r>
      <w:bookmarkStart w:id="0" w:name="_GoBack"/>
      <w:bookmarkEnd w:id="0"/>
      <w:r>
        <w:rPr>
          <w:rFonts w:hint="eastAsia" w:ascii="仿宋_GB2312" w:hAnsi="宋体" w:eastAsia="仿宋_GB2312" w:cs="宋体"/>
          <w:kern w:val="0"/>
          <w:sz w:val="32"/>
          <w:szCs w:val="32"/>
          <w:highlight w:val="yellow"/>
        </w:rPr>
        <w:t>%</w:t>
      </w:r>
      <w:r>
        <w:rPr>
          <w:rFonts w:hint="eastAsia" w:ascii="仿宋_GB2312" w:hAnsi="宋体" w:eastAsia="仿宋_GB2312" w:cs="宋体"/>
          <w:kern w:val="0"/>
          <w:sz w:val="32"/>
          <w:szCs w:val="32"/>
        </w:rPr>
        <w:t>。主要原因是压减公用经费，节约开支，降低费用。</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2020年，昌吉州住房和城乡建设局事业政府采购预算8万元，其中：政府采购货物预算0万元，政府采购工程预算0万元，政府采购服务预算8万元。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截至2019年底，昌吉州住房和城乡建设局事业占用使用国有资产总体情况为：昌吉州住房和城乡建设局事业单位与州住房和城乡建设局本级集中管理、统一核算，所以所有国有资产占有情况均在局本级账面。</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1.房屋28.8平方米，价值3.8万元。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2.车辆3辆，价值67.42万元；其中：一般公务用车3辆，价值67.42万元；执法执勤用车0辆，价值0万元；其他车辆0辆，价值0万元。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项目支出绩效目标表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Dialog">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pPr>
          <w:pStyle w:val="3"/>
          <w:jc w:val="center"/>
        </w:pPr>
        <w:r>
          <w:fldChar w:fldCharType="begin"/>
        </w:r>
        <w:r>
          <w:instrText xml:space="preserve">PAGE   \* MERGEFORMAT</w:instrText>
        </w:r>
        <w:r>
          <w:fldChar w:fldCharType="separate"/>
        </w:r>
        <w:r>
          <w:t>- 4 -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-12-</w:t>
    </w:r>
    <w:r>
      <w:rPr>
        <w:rFonts w:ascii="宋体" w:hAnsi="宋体" w:eastAsia="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9AB83"/>
    <w:multiLevelType w:val="singleLevel"/>
    <w:tmpl w:val="5D59AB83"/>
    <w:lvl w:ilvl="0" w:tentative="0">
      <w:start w:val="2"/>
      <w:numFmt w:val="chineseCounting"/>
      <w:suff w:val="space"/>
      <w:lvlText w:val="第%1部分"/>
      <w:lvlJc w:val="left"/>
      <w:pPr>
        <w:ind w:left="110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206E59"/>
    <w:rsid w:val="002A1A64"/>
    <w:rsid w:val="003E370E"/>
    <w:rsid w:val="005618A6"/>
    <w:rsid w:val="00575B0A"/>
    <w:rsid w:val="006F5771"/>
    <w:rsid w:val="008A6238"/>
    <w:rsid w:val="008C554F"/>
    <w:rsid w:val="00907EA6"/>
    <w:rsid w:val="0091715F"/>
    <w:rsid w:val="00944B81"/>
    <w:rsid w:val="00C8617D"/>
    <w:rsid w:val="00D00CDC"/>
    <w:rsid w:val="00D134D1"/>
    <w:rsid w:val="00D85033"/>
    <w:rsid w:val="00DA2B10"/>
    <w:rsid w:val="00DE7566"/>
    <w:rsid w:val="00F235C1"/>
    <w:rsid w:val="00F37E22"/>
    <w:rsid w:val="020B6557"/>
    <w:rsid w:val="022273DE"/>
    <w:rsid w:val="024A6D8E"/>
    <w:rsid w:val="030035D7"/>
    <w:rsid w:val="0E3E3832"/>
    <w:rsid w:val="1A5D1F31"/>
    <w:rsid w:val="1DA56B82"/>
    <w:rsid w:val="1E48758B"/>
    <w:rsid w:val="1E7A42A0"/>
    <w:rsid w:val="1FB93EF3"/>
    <w:rsid w:val="202D587C"/>
    <w:rsid w:val="229159E2"/>
    <w:rsid w:val="270F13A4"/>
    <w:rsid w:val="27C83206"/>
    <w:rsid w:val="28503978"/>
    <w:rsid w:val="2D481D80"/>
    <w:rsid w:val="2E4C4F4B"/>
    <w:rsid w:val="345C4FCF"/>
    <w:rsid w:val="350569DD"/>
    <w:rsid w:val="374068C9"/>
    <w:rsid w:val="37F67EA5"/>
    <w:rsid w:val="387A32C3"/>
    <w:rsid w:val="3A1F2884"/>
    <w:rsid w:val="3BEE32A5"/>
    <w:rsid w:val="3C1252AA"/>
    <w:rsid w:val="3CB15D23"/>
    <w:rsid w:val="3D706810"/>
    <w:rsid w:val="3E2171F8"/>
    <w:rsid w:val="3EC0323A"/>
    <w:rsid w:val="433A3757"/>
    <w:rsid w:val="44140E58"/>
    <w:rsid w:val="444209EC"/>
    <w:rsid w:val="4669350B"/>
    <w:rsid w:val="46A112A5"/>
    <w:rsid w:val="484E1D48"/>
    <w:rsid w:val="49E348FB"/>
    <w:rsid w:val="4A7B085E"/>
    <w:rsid w:val="4AD823CF"/>
    <w:rsid w:val="4BC30393"/>
    <w:rsid w:val="4D710704"/>
    <w:rsid w:val="4DE5454A"/>
    <w:rsid w:val="4EF672B4"/>
    <w:rsid w:val="4F4F00A8"/>
    <w:rsid w:val="50794D78"/>
    <w:rsid w:val="52C6043E"/>
    <w:rsid w:val="55F50500"/>
    <w:rsid w:val="561F4E84"/>
    <w:rsid w:val="56B92927"/>
    <w:rsid w:val="56EE0304"/>
    <w:rsid w:val="58692BB2"/>
    <w:rsid w:val="5D454DEE"/>
    <w:rsid w:val="60DF0911"/>
    <w:rsid w:val="6384569F"/>
    <w:rsid w:val="63F0543A"/>
    <w:rsid w:val="63FC7DF3"/>
    <w:rsid w:val="67842731"/>
    <w:rsid w:val="6C581993"/>
    <w:rsid w:val="6CAF5060"/>
    <w:rsid w:val="6DB2551B"/>
    <w:rsid w:val="6E1127FA"/>
    <w:rsid w:val="732563C0"/>
    <w:rsid w:val="73CC0742"/>
    <w:rsid w:val="771C19BD"/>
    <w:rsid w:val="796F5FD6"/>
    <w:rsid w:val="7B3540BE"/>
    <w:rsid w:val="7C9C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lang w:val="zh-CN"/>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字符"/>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字符"/>
    <w:basedOn w:val="9"/>
    <w:link w:val="5"/>
    <w:qFormat/>
    <w:uiPriority w:val="0"/>
    <w:rPr>
      <w:rFonts w:ascii="Times New Roman" w:hAnsi="Times New Roman" w:eastAsia="仿宋_GB2312" w:cs="Times New Roman"/>
      <w:sz w:val="32"/>
      <w:szCs w:val="24"/>
      <w:lang w:val="zh-CN" w:eastAsia="zh-CN"/>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character" w:customStyle="1" w:styleId="21">
    <w:name w:val="font11"/>
    <w:basedOn w:val="9"/>
    <w:qFormat/>
    <w:uiPriority w:val="0"/>
    <w:rPr>
      <w:rFonts w:ascii="Dialog" w:hAnsi="Dialog" w:eastAsia="Dialog" w:cs="Dialog"/>
      <w:color w:val="000000"/>
      <w:sz w:val="20"/>
      <w:szCs w:val="20"/>
      <w:u w:val="none"/>
    </w:rPr>
  </w:style>
  <w:style w:type="character" w:customStyle="1" w:styleId="22">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C9879-FF9D-406D-80B3-408EA57A113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1289</Words>
  <Characters>7351</Characters>
  <Lines>61</Lines>
  <Paragraphs>17</Paragraphs>
  <TotalTime>1</TotalTime>
  <ScaleCrop>false</ScaleCrop>
  <LinksUpToDate>false</LinksUpToDate>
  <CharactersWithSpaces>8623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cw01</cp:lastModifiedBy>
  <cp:lastPrinted>2020-04-07T12:47:00Z</cp:lastPrinted>
  <dcterms:modified xsi:type="dcterms:W3CDTF">2021-05-27T12:02:25Z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