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昌吉州供销社</w:t>
      </w:r>
      <w:r>
        <w:rPr>
          <w:rFonts w:ascii="方正小标宋_GBK" w:hAnsi="宋体" w:eastAsia="方正小标宋_GBK" w:cs="方正小标宋_GBK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line="400" w:lineRule="exact"/>
        <w:jc w:val="center"/>
        <w:outlineLvl w:val="1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目</w:t>
      </w:r>
      <w:r>
        <w:rPr>
          <w:rFonts w:ascii="黑体" w:hAnsi="黑体" w:eastAsia="黑体" w:cs="黑体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kern w:val="0"/>
          <w:sz w:val="36"/>
          <w:szCs w:val="36"/>
        </w:rPr>
        <w:t>录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第一部分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昌吉州供销社单位概况</w:t>
      </w:r>
    </w:p>
    <w:p>
      <w:pPr>
        <w:widowControl/>
        <w:numPr>
          <w:ilvl w:val="0"/>
          <w:numId w:val="1"/>
        </w:numPr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主要职能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第二部分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年部门预算公开表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七、项目支出情况表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第三部分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年部门预算情况说明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二、关于昌吉州供销社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年收入预算情况说明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三、关于昌吉州供销社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年支出预算情况说明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四、关于昌吉州供销社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五、关于昌吉州供销社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六、关于昌吉州供销社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七、关于昌吉州供销社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年项目支出情况说明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八、关于昌吉州供销社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九、关于昌吉州供销社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00" w:lineRule="exact"/>
        <w:ind w:firstLine="643" w:firstLineChars="20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第四部分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昌吉州供销社单位概况</w:t>
      </w:r>
    </w:p>
    <w:p>
      <w:pPr>
        <w:widowControl/>
        <w:jc w:val="center"/>
        <w:outlineLvl w:val="1"/>
        <w:rPr>
          <w:rFonts w:ascii="宋体" w:cs="宋体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　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贯彻落实党和政府有关农村经济和社会发展的方针、政策和法规；研究制定全州供销社和农村合作经济组织的发展战略和发展规划，指导全州供销社的改革发展和农村合作经济组织的业务活动。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负责有关农村流通体制改革，发展和完善有关农村农业生产资料和消费品市场体系建设，指导推进有关农村流通现代化及连锁经营、物流配送、电子商务等现代流通方式，负责全州现代农业流通网络建设工作。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按照自治州人民政府授权，负责对重要农业生产资料、农副产品、再生资源的组织协调和经营管理；负责棉花、化肥、农药、边销茶等重要物资的全州级储备工作。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行使州社社有资产出资人代表职能，监督社有资产保值增值，对控股和参股企业进行监管。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负责对全州供销社系统指导、协调等行业管理工作；向党委、政府及有关部门反映农民社员和供销社的意见和要求，维护各级供销社、社办企业、农村合作经济组织和全体社员的合法权益。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按照干部管理权限，负责州供销社机关干部人事管理工作；负责全州供销社系统干部和职工的教育与培训工作；指导有关行业协会、学会的工作。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代表全州供销社参加全国总社和自治区供销社的有关活动，组织指导全州供销社发展对外经济贸易和技术合作事宜。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承办州党委、人民政府和自治区供销合作社交办的其它事项。</w:t>
      </w:r>
    </w:p>
    <w:p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　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无下属预算单位，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下设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个科室，分别是：办公室、监事会办公室、综合业务科、合作经济指导科、财务统计科。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昌吉州供销社单位编制数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，实有人数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人；退休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人；离休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人，减少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 w:cs="黑体"/>
          <w:kern w:val="0"/>
          <w:sz w:val="32"/>
          <w:szCs w:val="32"/>
        </w:rPr>
        <w:t>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编制部门：昌吉州供销社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0" w:type="auto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收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支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填报部门：昌吉州供销社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</w:t>
      </w:r>
    </w:p>
    <w:tbl>
      <w:tblPr>
        <w:tblStyle w:val="7"/>
        <w:tblW w:w="0" w:type="auto"/>
        <w:tblInd w:w="-5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420"/>
        <w:gridCol w:w="405"/>
        <w:gridCol w:w="2013"/>
        <w:gridCol w:w="820"/>
        <w:gridCol w:w="767"/>
        <w:gridCol w:w="593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322.47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322.47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322.47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322.47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编制部门：昌吉州供销社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</w:t>
      </w:r>
    </w:p>
    <w:tbl>
      <w:tblPr>
        <w:tblStyle w:val="7"/>
        <w:tblW w:w="0" w:type="auto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32"/>
        <w:gridCol w:w="450"/>
        <w:gridCol w:w="2362"/>
        <w:gridCol w:w="28"/>
        <w:gridCol w:w="1827"/>
        <w:gridCol w:w="28"/>
        <w:gridCol w:w="1828"/>
        <w:gridCol w:w="28"/>
        <w:gridCol w:w="1876"/>
        <w:gridCol w:w="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0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编制部门：昌吉州供销社</w:t>
      </w: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单位：万元</w:t>
      </w:r>
    </w:p>
    <w:tbl>
      <w:tblPr>
        <w:tblStyle w:val="7"/>
        <w:tblW w:w="0" w:type="auto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收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入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支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出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总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t>322.47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表五：</w:t>
      </w:r>
    </w:p>
    <w:tbl>
      <w:tblPr>
        <w:tblStyle w:val="7"/>
        <w:tblW w:w="0" w:type="auto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昌吉州供销社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表六：</w:t>
      </w:r>
    </w:p>
    <w:tbl>
      <w:tblPr>
        <w:tblStyle w:val="7"/>
        <w:tblW w:w="0" w:type="auto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昌吉州供销社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105.61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52.41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22.68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26.46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322.47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286.68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35.79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表七：</w:t>
      </w:r>
    </w:p>
    <w:tbl>
      <w:tblPr>
        <w:tblStyle w:val="7"/>
        <w:tblW w:w="0" w:type="auto"/>
        <w:tblInd w:w="-4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昌吉州供销社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备注：无内容应公开空表并说明情况。我单位无项目支出预算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编制单位：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昌吉州供销社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</w:t>
      </w:r>
    </w:p>
    <w:tbl>
      <w:tblPr>
        <w:tblStyle w:val="7"/>
        <w:tblW w:w="0" w:type="auto"/>
        <w:tblInd w:w="-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2.13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编制单位：昌吉州供销社</w:t>
      </w: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单位：万元</w:t>
      </w:r>
    </w:p>
    <w:tbl>
      <w:tblPr>
        <w:tblStyle w:val="7"/>
        <w:tblW w:w="0" w:type="auto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备注：无内容应公开空表并说明情况。我单位无政府性基金预算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 w:cs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green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宋体" w:eastAsia="黑体" w:cs="黑体"/>
          <w:kern w:val="0"/>
          <w:sz w:val="32"/>
          <w:szCs w:val="32"/>
        </w:rPr>
        <w:t>关于供销社部门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gree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按照全口径预算的原则，昌吉州供销社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支出预算包括：商业服务业等支出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二、关于昌吉州供销社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昌吉州供销社收入预算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8.61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万元，主要原因是人员增加。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财政专户管理资金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事业收入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事业单位经营收入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其他收入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用事业基金弥补收支差额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三、关于昌吉州供销社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基本支出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8.61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万元，主要原因是人员增加。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项目支出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黑体"/>
          <w:kern w:val="0"/>
          <w:sz w:val="32"/>
          <w:szCs w:val="32"/>
        </w:rPr>
        <w:t>昌吉州供销社</w:t>
      </w:r>
      <w:r>
        <w:rPr>
          <w:rFonts w:ascii="黑体" w:hAnsi="黑体" w:eastAsia="黑体" w:cs="黑体"/>
          <w:kern w:val="0"/>
          <w:sz w:val="32"/>
          <w:szCs w:val="32"/>
        </w:rPr>
        <w:t>2020</w:t>
      </w:r>
      <w:r>
        <w:rPr>
          <w:rFonts w:hint="eastAsia" w:ascii="黑体" w:hAnsi="黑体" w:eastAsia="黑体" w:cs="黑体"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五、关于昌吉州供销社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8.61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2.7%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。主要原因是人员增加。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商业服务业等支出（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类）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100 %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商业服务业等支出（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216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类）商业流通事务（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款）行政支行（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项）</w:t>
      </w:r>
      <w:r>
        <w:rPr>
          <w:rFonts w:ascii="仿宋_GB2312" w:hAnsi="宋体" w:eastAsia="仿宋_GB2312" w:cs="仿宋_GB2312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8.61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2.7%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，主要原因是人员增加。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六、关于昌吉州供销社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322.47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  <w:highlight w:val="gree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人员经费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286.68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万元，主要包括：基本工资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105.61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万元、津贴补贴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52.41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7.38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万元、伙食补助费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22.68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26.46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25.71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10.83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万元、其他社会保障缴费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0.56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19.85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万元、离休费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7.32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万元、生活补助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1.06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万元、奖励金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2.11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万元、其他对个人和家庭的补助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4.7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公用经费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35.79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6.73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万元、电费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0.96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万元、邮电费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1.72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万元、取暖费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4.19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万元、差旅费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万元、培训费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0.58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万元、公务接待费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0.3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2.11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4.86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万元、公务用车运行维护费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1.83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仿宋_GB2312"/>
          <w:kern w:val="0"/>
          <w:sz w:val="32"/>
          <w:szCs w:val="32"/>
        </w:rPr>
        <w:t>6.51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七、关于昌吉州供销社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昌吉州供销社没有安排项目支出，项目支出情况表为空表。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八、关于昌吉州供销社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2.13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万元，公用用车购置费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1.83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0.3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年“三公”经费财政拨款预算比上年增加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万元，未安排预算；公用用车购置费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万元，未安排预算；公务用车运行费增加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主要原因是我单位严格落实中央八项规定和自治区十条规定，公务用车运行费较上年没有增加；公务接待费与上年持平，主要原因是我单位严格落实中央八项规定和自治区十条规定，公务接待费较上年没有增加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九、关于昌吉州供销社</w:t>
      </w:r>
      <w:r>
        <w:rPr>
          <w:rFonts w:ascii="黑体" w:hAnsi="宋体" w:eastAsia="黑体" w:cs="黑体"/>
          <w:kern w:val="0"/>
          <w:sz w:val="32"/>
          <w:szCs w:val="32"/>
        </w:rPr>
        <w:t>2020</w:t>
      </w:r>
      <w:r>
        <w:rPr>
          <w:rFonts w:hint="eastAsia" w:ascii="黑体" w:hAnsi="宋体" w:eastAsia="黑体" w:cs="黑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年，昌吉州供销社的机关运行经费财政拨款预算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35.79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0.79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2.26%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。主要原因是人员增加。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  <w:highlight w:val="green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年，昌吉州供销社政府采购预算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年度本部门面向中小企业预留政府采购项目预算金额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万元，其中：面向小微企业预留政府采购项目预算金额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截至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年底，昌吉州供销社占用使用国有资产总体情况为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房屋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1860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192.34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车辆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辆，价值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48.86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辆，价值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48.86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0.16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18.95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年部门预算未安排购置车辆经费，安排购置价值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昌吉州供销社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无其他需说明的事项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第四部分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kern w:val="0"/>
          <w:sz w:val="32"/>
          <w:szCs w:val="32"/>
        </w:rPr>
        <w:t>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green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一、财政拨款：</w:t>
      </w:r>
      <w:r>
        <w:rPr>
          <w:rFonts w:hint="eastAsia" w:ascii="仿宋_GB2312" w:eastAsia="仿宋_GB2312" w:cs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二、一般公共预算：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三、基本支出：</w:t>
      </w:r>
      <w:r>
        <w:rPr>
          <w:rFonts w:hint="eastAsia" w:ascii="仿宋_GB2312" w:eastAsia="仿宋_GB2312" w:cs="仿宋_GB2312"/>
          <w:sz w:val="32"/>
          <w:szCs w:val="32"/>
        </w:rPr>
        <w:t>包括人员经费、商品和服务支出（定额）。其中，人员经费包括工资福利支出、对个人和家庭的补助。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四、“三公”经费：</w:t>
      </w:r>
      <w:r>
        <w:rPr>
          <w:rFonts w:hint="eastAsia" w:ascii="仿宋_GB2312" w:eastAsia="仿宋_GB2312" w:cs="仿宋_GB2312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五、机关运行经费：</w:t>
      </w:r>
      <w:r>
        <w:rPr>
          <w:rFonts w:hint="eastAsia" w:ascii="仿宋_GB2312" w:eastAsia="仿宋_GB2312" w:cs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            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昌吉州供销社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                          2020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>22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95"/>
    <w:rsid w:val="000D039B"/>
    <w:rsid w:val="001041B7"/>
    <w:rsid w:val="003D3108"/>
    <w:rsid w:val="004A0995"/>
    <w:rsid w:val="004D7D3D"/>
    <w:rsid w:val="00B32D15"/>
    <w:rsid w:val="00B779BA"/>
    <w:rsid w:val="00BB6FDB"/>
    <w:rsid w:val="00CB67B7"/>
    <w:rsid w:val="00DA1E53"/>
    <w:rsid w:val="00ED0D21"/>
    <w:rsid w:val="3CED3954"/>
    <w:rsid w:val="674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99"/>
    <w:rPr>
      <w:sz w:val="18"/>
      <w:szCs w:val="18"/>
    </w:rPr>
  </w:style>
  <w:style w:type="paragraph" w:styleId="3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uiPriority w:val="99"/>
  </w:style>
  <w:style w:type="character" w:customStyle="1" w:styleId="11">
    <w:name w:val="Body Text Indent 3 Char1"/>
    <w:link w:val="5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12">
    <w:name w:val="Header Char1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1"/>
    <w:link w:val="3"/>
    <w:locked/>
    <w:uiPriority w:val="99"/>
    <w:rPr>
      <w:rFonts w:ascii="Times New Roman" w:hAnsi="Times New Roman" w:eastAsia="黑体" w:cs="Times New Roman"/>
      <w:kern w:val="0"/>
      <w:sz w:val="18"/>
      <w:szCs w:val="18"/>
    </w:rPr>
  </w:style>
  <w:style w:type="character" w:customStyle="1" w:styleId="14">
    <w:name w:val="Balloon Text Char1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alloon Text Char"/>
    <w:basedOn w:val="8"/>
    <w:link w:val="2"/>
    <w:semiHidden/>
    <w:uiPriority w:val="99"/>
    <w:rPr>
      <w:sz w:val="0"/>
      <w:szCs w:val="0"/>
    </w:rPr>
  </w:style>
  <w:style w:type="character" w:customStyle="1" w:styleId="16">
    <w:name w:val="Header Char"/>
    <w:basedOn w:val="8"/>
    <w:link w:val="4"/>
    <w:semiHidden/>
    <w:uiPriority w:val="99"/>
    <w:rPr>
      <w:sz w:val="18"/>
      <w:szCs w:val="18"/>
    </w:rPr>
  </w:style>
  <w:style w:type="character" w:customStyle="1" w:styleId="17">
    <w:name w:val="Footer Char"/>
    <w:basedOn w:val="8"/>
    <w:link w:val="3"/>
    <w:semiHidden/>
    <w:uiPriority w:val="99"/>
    <w:rPr>
      <w:sz w:val="18"/>
      <w:szCs w:val="18"/>
    </w:rPr>
  </w:style>
  <w:style w:type="character" w:customStyle="1" w:styleId="18">
    <w:name w:val="Body Text Indent 3 Char"/>
    <w:basedOn w:val="8"/>
    <w:link w:val="5"/>
    <w:semiHidden/>
    <w:uiPriority w:val="99"/>
    <w:rPr>
      <w:sz w:val="16"/>
      <w:szCs w:val="16"/>
    </w:rPr>
  </w:style>
  <w:style w:type="paragraph" w:customStyle="1" w:styleId="19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0">
    <w:name w:val="普通(网站)1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1">
    <w:name w:val="普通(网站)2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2">
    <w:name w:val="普通(网站)3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3">
    <w:name w:val="列出段落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21</Pages>
  <Words>1306</Words>
  <Characters>7445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2021-05-27T04:58:00Z</dcterms:created>
  <dc:creator>闫超</dc:creator>
  <cp:lastModifiedBy>Administrator</cp:lastModifiedBy>
  <cp:lastPrinted>2020-04-01T11:15:00Z</cp:lastPrinted>
  <dcterms:modified xsi:type="dcterms:W3CDTF">2021-05-27T04:59:58Z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7F1BCF69C3344E0FB2FEAEBFC180861C</vt:lpwstr>
  </property>
</Properties>
</file>