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昌吉州林木种苗森林病虫防治检疫站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2019年部门预算公开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56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单位概况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  2019年部门预算公开表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宋体" w:hAnsi="宋体" w:eastAsia="仿宋_GB2312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一、关于昌吉州林木种苗森林病虫防治检疫站2019年收支预算情况的总体说明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二、关于昌吉州林木种苗森林病虫防治检疫站2019年收入预算情况说明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三、关于昌吉州林木种苗森林病虫防治检疫站2019年支出预算情况说明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昌吉州林木种苗森林病虫防治检疫站2019年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财政拨款收支预算情况的总体说明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五、关于昌吉州林木种苗森林病虫防治检疫站2019年一般公共预算当年拨款情况说明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六、关于昌吉州林木种苗森林病虫防治检疫站2019年一般公共预算基本支出情况说明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七、关于昌吉州林木种苗森林病虫防治检疫站2019年项目支出情况说明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八、关于昌吉州林木种苗森林病虫防治检疫站2019年一般公共预算“三公”经费预算情况说明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九、关于昌吉州林木种苗森林病虫防治检疫站2019年年政府性基金预算拨款情况说明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昌吉州林木种苗森林病虫防治检疫站</w:t>
      </w:r>
      <w:r>
        <w:rPr>
          <w:rFonts w:hint="eastAsia" w:ascii="黑体" w:hAnsi="黑体" w:eastAsia="黑体"/>
          <w:kern w:val="0"/>
          <w:sz w:val="32"/>
          <w:szCs w:val="32"/>
        </w:rPr>
        <w:t>概况</w:t>
      </w:r>
    </w:p>
    <w:p>
      <w:pPr>
        <w:widowControl/>
        <w:spacing w:line="560" w:lineRule="exact"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根据《植物检疫条例》、《森林病虫害防治条例》，负责森林病虫害防治的具体工作；根据国家和自治区有关法律、法规和政策，负责全区林业种子的管理等工作；承担林木种苗质量监督检验等工作。</w:t>
      </w: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机构设置及人员情况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昌吉州林木种苗森林病虫防治检疫站无下属预算单位，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下设五个科室，分别是：</w:t>
      </w:r>
      <w:r>
        <w:rPr>
          <w:rFonts w:hint="eastAsia" w:ascii="仿宋_GB2312" w:hAnsi="宋体" w:eastAsia="仿宋_GB2312"/>
          <w:sz w:val="32"/>
          <w:szCs w:val="32"/>
        </w:rPr>
        <w:t>办公室、种苗花卉科、测报防治科、检疫科、质量监督检验科，内设机构规格相当于科级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昌吉州林木种苗森林病虫防治检疫站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单位编制数 18人，实有人数35人，其中：在职 17人，增加或减少0人； 退休 18人，增加1 人；离休 0 人，增加或减少 0人。退休职工遗属3人。</w:t>
      </w:r>
    </w:p>
    <w:p>
      <w:pPr>
        <w:widowControl/>
        <w:spacing w:before="120" w:beforeLines="50"/>
        <w:ind w:firstLine="1280" w:firstLineChars="400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ind w:firstLine="1280" w:firstLineChars="400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ind w:firstLine="1280" w:firstLineChars="400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ind w:firstLine="1280" w:firstLineChars="400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ind w:firstLine="1280" w:firstLineChars="400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ind w:firstLine="1280" w:firstLineChars="400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ind w:firstLine="1600" w:firstLineChars="500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ind w:firstLine="1600" w:firstLineChars="500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ind w:firstLine="2240" w:firstLineChars="7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2019年部门预算公开表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编制部门：昌吉州林木种苗森林病虫防治检疫站                 单位：万元</w:t>
      </w:r>
    </w:p>
    <w:tbl>
      <w:tblPr>
        <w:tblStyle w:val="8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315.72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315.72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315.72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315.72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315.72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315.72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315.72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填报部门：昌吉州林木种苗森林病虫防治检疫站                      单位：万元</w:t>
      </w:r>
    </w:p>
    <w:tbl>
      <w:tblPr>
        <w:tblStyle w:val="8"/>
        <w:tblW w:w="9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420"/>
        <w:gridCol w:w="465"/>
        <w:gridCol w:w="1515"/>
        <w:gridCol w:w="945"/>
        <w:gridCol w:w="1018"/>
        <w:gridCol w:w="680"/>
        <w:gridCol w:w="680"/>
        <w:gridCol w:w="680"/>
        <w:gridCol w:w="680"/>
        <w:gridCol w:w="680"/>
        <w:gridCol w:w="680"/>
        <w:gridCol w:w="6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事业机构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315.72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315.72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315.72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315.72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编制部门：昌吉州林木种苗森林病虫防治检疫站                       单位：万元</w:t>
      </w:r>
    </w:p>
    <w:tbl>
      <w:tblPr>
        <w:tblStyle w:val="8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400"/>
        <w:gridCol w:w="400"/>
        <w:gridCol w:w="2604"/>
        <w:gridCol w:w="1855"/>
        <w:gridCol w:w="1856"/>
        <w:gridCol w:w="17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213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04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事业机构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315.72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315.72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315.72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315.72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</w:rPr>
        <w:t xml:space="preserve">昌吉州林木种苗森林病虫防治检疫站 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单位：万元</w:t>
      </w:r>
    </w:p>
    <w:tbl>
      <w:tblPr>
        <w:tblStyle w:val="8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250"/>
        <w:gridCol w:w="1294"/>
        <w:gridCol w:w="1418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315.72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315.72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315.72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315.72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315.72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315.72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315.72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315.72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315.72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315.72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8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435"/>
        <w:gridCol w:w="495"/>
        <w:gridCol w:w="1545"/>
        <w:gridCol w:w="1467"/>
        <w:gridCol w:w="102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昌吉州林木种苗森林病虫防治检疫站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60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15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249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事业机构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315.72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315.72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315.72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315.72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8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昌吉州林木种苗森林病虫防治检疫站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62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315.72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241.94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73.78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81.06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81.06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31.81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31.81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5.4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5.4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伙食补助费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21.42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21.42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14.39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14.39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26.53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26.53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22.28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22.28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17.33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17.33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0.58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0.58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15.92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15.92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32.35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32.35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印刷费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物业管理费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维修(护)费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租赁费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公务招待费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劳务费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1.62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公务车运行维护费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12.87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12.87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4.14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4.14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0.89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0.89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0.83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0.83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职工住宅取暖费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622"/>
              </w:tabs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315.72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241.94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73.78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8"/>
        <w:tblW w:w="94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昌吉州林木种苗森林病虫防治检疫站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。</w:t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编制单位：昌吉州林木种苗森林病虫防治检疫站                                                     单位：万元</w:t>
      </w:r>
    </w:p>
    <w:tbl>
      <w:tblPr>
        <w:tblStyle w:val="8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13.07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12.87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12.87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spacing w:val="-20"/>
          <w:kern w:val="0"/>
          <w:sz w:val="24"/>
        </w:rPr>
        <w:t>编制单位：昌吉州林木种苗森林病虫防治检疫站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              单位：万元</w:t>
      </w:r>
    </w:p>
    <w:tbl>
      <w:tblPr>
        <w:tblStyle w:val="8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</w:t>
      </w:r>
    </w:p>
    <w:p>
      <w:pPr>
        <w:widowControl/>
        <w:spacing w:before="156" w:beforeLines="50"/>
        <w:ind w:firstLine="1600" w:firstLineChars="5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2019年部门预算情况说明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关于昌吉州林木种苗森林病虫防治检疫站2019年收支预算情况的总体说明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昌吉州林木种苗森林病虫防治检疫站2019年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所有收入和支出均纳入部门预算管理。收支总预算315.72万元。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收入预算包括一般公共预算315.72万元。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支出预算包括农林水支出315.72万元。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二、关于昌吉州林木种苗森林病虫防治检疫站2019年收入预算情况说明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昌吉州林木种苗森林病虫防治检疫站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收入预算315.72万元，其中：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一般公共预算315.72万元，占100%，比上年增加 25.43万元，主要原因是单位人员工资增加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三、关于昌吉州林木种苗森林病虫防治检疫站2019年支出预算情况说明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昌吉州林木种苗森林病虫防治检疫站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2019年支出预算315.72万元，其中：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基本支出315.72万元，占100%，比上年增加25.43万元，主要原因是单位人员工资增加 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项目支出0万元，占0%，比上年减少10万元，主要原因是由自治区统一安排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林业有害生物防治项目资金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宋体" w:eastAsia="黑体" w:cs="宋体"/>
          <w:kern w:val="0"/>
          <w:sz w:val="32"/>
          <w:szCs w:val="32"/>
        </w:rPr>
        <w:t>昌吉州林木种苗森林病虫防治检疫站2019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8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2019年财政拨款收支总预算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val="en-US" w:eastAsia="zh-CN"/>
        </w:rPr>
        <w:t>315.72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万元。</w:t>
      </w:r>
    </w:p>
    <w:p>
      <w:pPr>
        <w:spacing w:line="580" w:lineRule="exact"/>
        <w:ind w:firstLine="640"/>
        <w:rPr>
          <w:rFonts w:ascii="仿宋_GB2312" w:hAnsi="宋体" w:eastAsia="仿宋_GB2312" w:cs="宋体"/>
          <w:b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收入全部为一般公共预算拨款，无政府性基金预算拨款。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支出预算包括：一般公共服务支出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val="en-US" w:eastAsia="zh-CN"/>
        </w:rPr>
        <w:t>315.72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万元，主要用于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val="en-US" w:eastAsia="zh-CN"/>
        </w:rPr>
        <w:t>人员经费和公用支出。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val="en-US" w:eastAsia="zh-CN"/>
        </w:rPr>
        <w:t>213农林水支出315.72万元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val="en-US" w:eastAsia="zh-CN"/>
        </w:rPr>
        <w:t xml:space="preserve">    </w:t>
      </w:r>
    </w:p>
    <w:p>
      <w:pPr>
        <w:widowControl/>
        <w:spacing w:line="580" w:lineRule="exact"/>
        <w:ind w:firstLine="640" w:firstLineChars="20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五、关于昌吉州林木种苗森林病虫防治检疫站2019年一般公共预算当年拨款情况说明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昌吉州林木种苗森林病虫防治检疫站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2019年一般公共预算拨款基本支出315.72万元，比上年执行数增加25.43   万元，增长8 %。主要原因是：单位人员工资增加。     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农林水支出（类）</w:t>
      </w:r>
      <w:r>
        <w:rPr>
          <w:rFonts w:hint="eastAsia" w:ascii="楷体_GB2312" w:eastAsia="楷体_GB2312"/>
          <w:b/>
          <w:sz w:val="32"/>
          <w:szCs w:val="32"/>
        </w:rPr>
        <w:t>315.72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万元，占100%。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农林水支出（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val="en-US" w:eastAsia="zh-CN"/>
        </w:rPr>
        <w:t>213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）林业（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val="en-US" w:eastAsia="zh-CN"/>
        </w:rPr>
        <w:t>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）事业机构（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val="en-US" w:eastAsia="zh-CN"/>
        </w:rPr>
        <w:t>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）2019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315.72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比上年执行数增加25.43 万元，增长8 %，主要原因是：单位人员工资增加。     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六、关于昌吉州林木种苗森林病虫防治检疫站2019年一般公共预算基本支出情况说明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昌吉州林木种苗森林病虫防治检疫站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val="en-US" w:eastAsia="zh-CN"/>
        </w:rPr>
        <w:t>315.72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 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241.94万元，主要包括：基本工资81.06万元、津贴补贴31.81万元、奖金5.40万元、伙食补助费21.42万元、绩效工资14.39万元、机关事业单位基本养老保险缴费26.53万元、职工基本医疗保险缴费22.28万元、公务员医疗补助缴费17.33万元、其他社会保障缴费0.58万元、住房公积金15.92万元、生活补助0.89万元、奖励金0.83万元、对个人和家庭的补助（职工住宅取暖费）3.5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73.78万元，主要包括：办公费32.35万元、印刷费1.4万元、水费1万元、电费3万元、邮电费1万元、物业管理费0.5万元、差旅费6万元、维修（护）费1万元、租赁费0.5万元、培训费1万元、公务接待费0.20万元、劳务费6万元、工会经费1.62万元、福利费1.2万元、公务用车运行维护费12.87万元、其他商品和服务支出4.14万元（离退休人员活动费1.17万元、基层党组织活动费2.97万元。</w:t>
      </w:r>
    </w:p>
    <w:p>
      <w:pPr>
        <w:widowControl/>
        <w:numPr>
          <w:ilvl w:val="0"/>
          <w:numId w:val="2"/>
        </w:numPr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关于昌吉州林木种苗森林病虫防治检疫站2019年项目支出情况说明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2019年我单位无项目支出。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八、关于昌吉州林木种苗森林病虫防治检疫站2019年一般公共预算“三公”经费预算情况说明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昌吉州林木种苗森林病虫防治检疫站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2019年“三公”经费财政拨款预算数为13.07万元，其中：因公出国（境）费 0 万元，公务用车购置 0万元，公务用车运行费12.87万元，公务接待费 0.20万元。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2019年“三公”经费财政拨款预算比上年减少0.13万元，其中：因公出国（境）费增加减少0万元，主要原因是执行中央八项规定，无出国出境情况 ；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公务用车购置费0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eastAsia="zh-CN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，未安排预算。公务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用车运行费减少0.13万元，主要原因是压缩车辆运行费用支出；公务接待费增加（减少）0万元，主要原因是</w:t>
      </w:r>
      <w:r>
        <w:rPr>
          <w:rFonts w:hint="eastAsia" w:ascii="仿宋_GB2312" w:hAnsi="宋体" w:eastAsia="仿宋_GB2312"/>
          <w:sz w:val="32"/>
          <w:szCs w:val="32"/>
        </w:rPr>
        <w:t>严格执行中央八项规定和自治区十条规定，差旅费相关规定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九、关于昌吉州林木种苗森林病虫防治检疫站2019年政府性基金预算拨款情况说明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昌吉州林木种苗森林病虫防治检疫站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2019年没有使用政府性基金预算拨款安排的支出，政府性基金预算支出情况表为空表。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年，昌吉州林木种苗森林病虫防治检疫站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eastAsia="zh-CN"/>
        </w:rPr>
        <w:t>本级参公事业单位的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机关运行经费财政拨款预算73.78万元，比上年预算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val="en-US" w:eastAsia="zh-CN"/>
        </w:rPr>
        <w:t>32.46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val="en-US" w:eastAsia="zh-CN"/>
        </w:rPr>
        <w:t>44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%。主要原因是：办公费用的增长。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昌吉州林木种苗森林病虫防治检疫站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政府采购预算187.71万元，其中：政府采购货物预算187.71万元，政府采购工程预算 0万元，政府采购服务预算0万元。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昌吉州林木种苗森林病虫防治检疫站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占用使用国有资产总体情况为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1.无偿使用昌吉州林业局办公楼。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2.车辆8 辆，价值159.21万元；其中：一般公务用车2辆，价值65.04万元；执法执勤用车0辆，价值0万元；其他车辆6辆，价值94.17万元。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 13.39万元。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4.其他资产价值123.01万元。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单位价值50万元以上大型设备0台（套），单位价值100万元以上大型设备0台（套）。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2019年部门预算未安排购置车辆经费，安排购置50万元以上大型设备0台（套），单位价值100万元以上大型设备 0台（套）。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2019年度，本年度实行绩效管理的项目 0 个，涉及预算金额 0万元。</w:t>
      </w: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8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XX单位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XXXXX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60" w:lineRule="exact"/>
        <w:ind w:firstLine="627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无。     </w:t>
      </w: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line="56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包括公共财政拨款（补助）资金、专项收入。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五、“三公”经费：</w:t>
      </w:r>
      <w:r>
        <w:rPr>
          <w:rFonts w:hint="eastAsia" w:ascii="仿宋_GB2312" w:eastAsia="仿宋_GB2312"/>
          <w:sz w:val="32"/>
          <w:szCs w:val="32"/>
        </w:rPr>
        <w:t>指自治区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50" w:lineRule="exact"/>
        <w:ind w:firstLine="642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昌吉州林木种苗森林病虫防治检疫站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2019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31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18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726045"/>
    <w:multiLevelType w:val="singleLevel"/>
    <w:tmpl w:val="9C726045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D67DE67"/>
    <w:multiLevelType w:val="singleLevel"/>
    <w:tmpl w:val="9D67DE67"/>
    <w:lvl w:ilvl="0" w:tentative="0">
      <w:start w:val="2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B5144"/>
    <w:rsid w:val="001833B0"/>
    <w:rsid w:val="001A0250"/>
    <w:rsid w:val="002B5144"/>
    <w:rsid w:val="00325B17"/>
    <w:rsid w:val="00446C90"/>
    <w:rsid w:val="00757310"/>
    <w:rsid w:val="007D16C7"/>
    <w:rsid w:val="00802858"/>
    <w:rsid w:val="008338D8"/>
    <w:rsid w:val="00841512"/>
    <w:rsid w:val="00B62BAC"/>
    <w:rsid w:val="00CE7496"/>
    <w:rsid w:val="00D95B2F"/>
    <w:rsid w:val="00DD303A"/>
    <w:rsid w:val="00E9659E"/>
    <w:rsid w:val="00EE458B"/>
    <w:rsid w:val="00F800EB"/>
    <w:rsid w:val="00FC6ABD"/>
    <w:rsid w:val="010C3E33"/>
    <w:rsid w:val="04155B95"/>
    <w:rsid w:val="042A15D9"/>
    <w:rsid w:val="045652EF"/>
    <w:rsid w:val="056F6F4B"/>
    <w:rsid w:val="05BF36A1"/>
    <w:rsid w:val="060565A6"/>
    <w:rsid w:val="065348A7"/>
    <w:rsid w:val="07C1061A"/>
    <w:rsid w:val="09673C52"/>
    <w:rsid w:val="0ABB17F5"/>
    <w:rsid w:val="101213EF"/>
    <w:rsid w:val="10AD6E5E"/>
    <w:rsid w:val="10FC7218"/>
    <w:rsid w:val="113C6EBD"/>
    <w:rsid w:val="12335F76"/>
    <w:rsid w:val="133B0965"/>
    <w:rsid w:val="14655E5A"/>
    <w:rsid w:val="14D35A9D"/>
    <w:rsid w:val="14EF6229"/>
    <w:rsid w:val="18212AE1"/>
    <w:rsid w:val="1AB53FF9"/>
    <w:rsid w:val="1B854194"/>
    <w:rsid w:val="1CDA0328"/>
    <w:rsid w:val="1D8F4789"/>
    <w:rsid w:val="1ECD4E47"/>
    <w:rsid w:val="1FD968C9"/>
    <w:rsid w:val="222B3B03"/>
    <w:rsid w:val="230779CC"/>
    <w:rsid w:val="23694AA6"/>
    <w:rsid w:val="26017402"/>
    <w:rsid w:val="271E18DF"/>
    <w:rsid w:val="273674E9"/>
    <w:rsid w:val="297A1C50"/>
    <w:rsid w:val="297C73CC"/>
    <w:rsid w:val="2C6C2F05"/>
    <w:rsid w:val="2DC301D5"/>
    <w:rsid w:val="2E542B02"/>
    <w:rsid w:val="2ED33A45"/>
    <w:rsid w:val="2F3E4B43"/>
    <w:rsid w:val="320E709C"/>
    <w:rsid w:val="351E11BB"/>
    <w:rsid w:val="3665406F"/>
    <w:rsid w:val="367B63A5"/>
    <w:rsid w:val="3C7503B8"/>
    <w:rsid w:val="3E7D305D"/>
    <w:rsid w:val="42F07E82"/>
    <w:rsid w:val="440E200C"/>
    <w:rsid w:val="4438104C"/>
    <w:rsid w:val="44895031"/>
    <w:rsid w:val="478679A2"/>
    <w:rsid w:val="478B0362"/>
    <w:rsid w:val="480671C3"/>
    <w:rsid w:val="48D8103E"/>
    <w:rsid w:val="49E03D9F"/>
    <w:rsid w:val="4A112300"/>
    <w:rsid w:val="4A837A77"/>
    <w:rsid w:val="4D061DD4"/>
    <w:rsid w:val="4D2838AA"/>
    <w:rsid w:val="4D7E4116"/>
    <w:rsid w:val="4E464D1C"/>
    <w:rsid w:val="4F7B2163"/>
    <w:rsid w:val="4FF43DA9"/>
    <w:rsid w:val="51103785"/>
    <w:rsid w:val="52157F7C"/>
    <w:rsid w:val="537332FE"/>
    <w:rsid w:val="53A645A0"/>
    <w:rsid w:val="544E1C00"/>
    <w:rsid w:val="57182C60"/>
    <w:rsid w:val="57B77E63"/>
    <w:rsid w:val="57D64CB8"/>
    <w:rsid w:val="58FF4D0B"/>
    <w:rsid w:val="5C21633E"/>
    <w:rsid w:val="5C9B73A1"/>
    <w:rsid w:val="5D700E20"/>
    <w:rsid w:val="5E512D68"/>
    <w:rsid w:val="61DB0208"/>
    <w:rsid w:val="62240A73"/>
    <w:rsid w:val="64B36069"/>
    <w:rsid w:val="66C26E90"/>
    <w:rsid w:val="67254822"/>
    <w:rsid w:val="677C54BD"/>
    <w:rsid w:val="68E9043A"/>
    <w:rsid w:val="6A256498"/>
    <w:rsid w:val="6C085F9C"/>
    <w:rsid w:val="6D1D01AB"/>
    <w:rsid w:val="6D895CF2"/>
    <w:rsid w:val="6F1A39CB"/>
    <w:rsid w:val="700D42C6"/>
    <w:rsid w:val="70A224CE"/>
    <w:rsid w:val="70CC1BEE"/>
    <w:rsid w:val="72DF74DE"/>
    <w:rsid w:val="74260C74"/>
    <w:rsid w:val="74786733"/>
    <w:rsid w:val="76D02A21"/>
    <w:rsid w:val="78423A18"/>
    <w:rsid w:val="798411C4"/>
    <w:rsid w:val="7A1F3230"/>
    <w:rsid w:val="7EA76C56"/>
    <w:rsid w:val="7F30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7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rFonts w:cs="Times New Roman"/>
      <w:b/>
      <w:bCs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页脚 Char"/>
    <w:basedOn w:val="10"/>
    <w:link w:val="4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5">
    <w:name w:val="批注框文本 Char"/>
    <w:basedOn w:val="10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缩进 3 Char"/>
    <w:basedOn w:val="10"/>
    <w:link w:val="6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1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98B7D2-0F16-4D9E-B388-37212CEF0F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1456</Words>
  <Characters>8300</Characters>
  <Lines>69</Lines>
  <Paragraphs>19</Paragraphs>
  <TotalTime>0</TotalTime>
  <ScaleCrop>false</ScaleCrop>
  <LinksUpToDate>false</LinksUpToDate>
  <CharactersWithSpaces>9737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Administrator</cp:lastModifiedBy>
  <dcterms:modified xsi:type="dcterms:W3CDTF">2021-05-27T10:53:15Z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