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b/>
          <w:bCs/>
          <w:kern w:val="0"/>
          <w:sz w:val="44"/>
          <w:szCs w:val="44"/>
        </w:rPr>
      </w:pPr>
      <w:r>
        <w:rPr>
          <w:rFonts w:hint="eastAsia" w:ascii="方正小标宋_GBK" w:hAnsi="宋体" w:eastAsia="方正小标宋_GBK"/>
          <w:b/>
          <w:bCs/>
          <w:kern w:val="0"/>
          <w:sz w:val="44"/>
          <w:szCs w:val="44"/>
        </w:rPr>
        <w:t>昌吉州发展和改革委员会2019年部门预算公开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昌吉州发改委部门单位概况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一、关于昌吉州发改委2019年收支预算情况的总体说明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二、关于昌吉州发改委2019年收入预算情况说明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三、关于昌吉州发改委2019年支出预算情况说明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昌吉州发改委2019</w:t>
      </w:r>
      <w:r>
        <w:rPr>
          <w:rFonts w:hint="eastAsia" w:ascii="仿宋_GB2312" w:hAnsi="宋体" w:eastAsia="仿宋_GB2312"/>
          <w:bCs/>
          <w:kern w:val="0"/>
          <w:sz w:val="32"/>
          <w:szCs w:val="32"/>
        </w:rPr>
        <w:t>年财政拨款收支预算情况总体说明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五、关于昌吉州发改委2019年一般公共预算当年拨款情况说明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六、关于昌吉州发改委2019年一般公共预算基本支出情况说明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七、关于昌吉州发改委2019年项目支出情况说明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八、关于昌吉州发改委2019年一般公共预算“三公”经费预算情况说明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九、关于昌吉州发改委2019年政府性基金预算拨款情况说明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昌吉州发改委部门概况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 xml:space="preserve">    一、主要职能</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一）贯彻执行国家和自治区国民经济、社会发展方针、政策及法律、法规；研究提出自治州国民经济和社会发展战略、中长期规划和年度发展计划；统筹协调自治州经济社会发展，提出国民经济发展、价格总水平调控和优化重大经济结构的目标、政策，提出综合运用各种经济手段和政策的建议；组织研究、协调实施重点专项规划，衔接、平衡各地区及主要行业的规划；受自治州人民政府委托向自治州人大提交国民经济和社会发展计划的报告。</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二）负责监测宏观经济和社会发展态势，承担预测预警和信息引导的责任。提出促进自治州国民经济持续快速协调健康发展的政策建议；研究涉及国家、自治区、自治州经济安全及总体产业安全等重要问题并提出政策措施和建议；负责自治区国民经济动员办公室的工作。</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三）负责汇总分析自治州财政、金融、产业、价格政策等方面的情况和执行效果，提出政策建议；负责分析研究自治州价格宏观调控情况和执行效果，提出政策建议，拟订并组织实施价格政策。制定和调整政府定价、政府指导价范围的商品价格、服务价格和收费标准。发布重大价格信息；负责实施市场调价范围的重要商品、服务价格和收费等价格行政干预措施。</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四）承担指导推进和综合协调经济体制改革的责任。研究制定自治州经济体制改革中长期规划和年度工作要点，组织拟订自治州综合性经济体制改革方案，协调有关专项经济体制改革方案；对自治州改革开放重大决策的实施情况进行调查研究、指导和协调；组织编制主体功能区规划及协调实施并进行监测评估；组织制定区域经济协调发展规划和政策；推进西部大开发战略和重大政策的实施；推进自治州城镇化建设。</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五）承担规划重大建设项目和生产力布局的责任。研究提出自治州全社会固定资产投资总规模和投资方向，规划重点项目和生产力布局；汇总编制自治州固定资产投资计划、建设项目的项目建议书、可行性研究报告和初步设计的审核、审批、报批及开工报告；审批国家、自治区级规划内和年度计划规模内的固定资产投资项目（除需报国家、自治区人民政府审批、核准或由自治区发展和改革委员会审批、核准外）；负责自治州重点项目的管理和组织协调；组织实施自治州固定资产项目节能评估审查工作；安排自治州财政预算内建设资金，指导和监督国外贷款建设资金的使用，向政策性银行推荐贷款项目并指导监督贷款的使用方向，会同有关部门研究直接融资用于固定资产投资的总量和使用方向；指导和协调自治州招投标工作，负责重点项目招投标活动有关监督管理工作；负责自治州重大建设项目稽察工作。</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六）推进产业结构调整和升级。组织拟定自治州综合性产业政策，负责协调第一、二、三产业发展的重大问题，并衔接平衡相关发展规划和政策，做好与国民经济和社会发展规划、计划的衔接平衡；提出自治区国民经济重要产业的发展战略和规划，组织审核上报、审批专项规划；研究并协调农业和农村经济社会发展的有关重大问题，衔接农村专项规划和政策；拟订并实施以工代赈规划和计划；研究提出能源发展战略、规划，会同有关部门做好战略储备工作；组织拟订高技术产业发展、产业技术进步的战略、规划和政策，推动高技术产业化发展；规划、指导服务业的建设与发展。</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七）研究提出自治州利用外资的发展战略、结构优化的目标和政策；监测国外资金利用和境外投资情况；按照管理权限，负责审核上报、审批、核准国外贷款、外商直接投资和境外投资项目；会同有关部门协调和审查利用重大内外资项目；负责自治州世界银行贷款项目办公室的工作。</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八）承担自治州重要商品的总量平衡和宏观调控的责任。研究分析国内外市场供求状况，编制粮食、棉花等重要农产品、工业品和原材料进出口计划，负责自治州重要农产品配额的管理和实施，安排自治州粮食、棉花等重要商品的储备计划，指导监督自治州重要商品订货活动，引导和调控市场。</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九）负责自治州社会发展与国民经济发展的政策衔接，组织拟订社会发展战略，总体规划和年度计划，研究和拟定发展人口战略、规划及人口政策，参与拟定自治州教育、卫生和计生、文化、民政等社会事业发展政策，协调自治州社会事业发展的重大问题；研究提出促进就业、调整收入分配、完善社会保障与经济协调发展的措施和建议，协调就业、收入分配和社会保障的重大问题。</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十）推进可持续发展战略，负责自治州全社会节能减排综合协调工作，会同有关部门提出自治州生态建设、资源节约综合利用规划和计划，协调生态建设、环保产业和资源节约综合利用的重大问题，促进经济与资源、环境协调发展。负责自治州节能减排领导小组办公室的工作。</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（十一）制定自治州粮食宏观调控、总量平衡及粮食流通、进出口、储备中长期规划、年度收支计划；提出全州粮油流通产业政策、产业结构和县（市）布局意见；提出全州粮油市场体系建设规划和布局的建议。</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十二）负责自治州粮食流通的行政管理和行业指导，对有关粮食流通的政策法规执行情况进行监督；管理地方储备粮油，监督检查自治州周转粮油的储存安全，核拨费用和利息及超储备费用补贴以及军供粮油补贴；保障军需民用和各种紧急特殊用粮；协调、指导自治州粮油质量的监督；指导自治州粮食系统财务会计工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从预算单位构成看，州发改委的部门预算包括：州发改委本级预算及下属5家预算单位在内的汇总预算。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昌吉州发改委部门本级</w:t>
      </w:r>
      <w:r>
        <w:rPr>
          <w:rFonts w:hint="eastAsia" w:ascii="仿宋_GB2312" w:hAnsi="黑体" w:eastAsia="仿宋_GB2312" w:cs="宋体"/>
          <w:bCs/>
          <w:kern w:val="0"/>
          <w:sz w:val="32"/>
          <w:szCs w:val="32"/>
        </w:rPr>
        <w:t>下设18个科室，分别是：办公室、组织人事科、综合业务科、法规科、农村经济发展科、工业交通发展科、能源科、资源节约和环境保护科（应对气候变化科）、社会发展科、固定资产投资科、经济贸易科、价格管理科、收费管理科、项目建设管理科、国民经济动员办公室、粮食市场调控科、粮食产业科技科、州建设项目稽察特派员办公室</w:t>
      </w:r>
      <w:r>
        <w:rPr>
          <w:rFonts w:hint="eastAsia" w:ascii="仿宋_GB2312" w:hAnsi="宋体" w:eastAsia="仿宋_GB2312" w:cs="宋体"/>
          <w:kern w:val="0"/>
          <w:sz w:val="32"/>
          <w:szCs w:val="32"/>
        </w:rPr>
        <w:t>。</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本部门中，州发改委本级行政单位1家，参公管理事业单位2家,事业单位3家，纳入昌吉州发改委2019年部门预算编制范围的二级预算单位包括：</w:t>
      </w:r>
    </w:p>
    <w:p>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州军粮管理办公室</w:t>
      </w:r>
    </w:p>
    <w:p>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州粮食监督检查大队</w:t>
      </w:r>
    </w:p>
    <w:p>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州援疆领导小组办公室</w:t>
      </w:r>
    </w:p>
    <w:p>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州节能减排领导小组办公室</w:t>
      </w:r>
    </w:p>
    <w:p>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 xml:space="preserve">州粮油质量检验监测中心。     </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昌吉州发改委部门编制数65人，实有人数129人，其中：在职62人，增加4人，减少3人； 退休65人，增加2人，减少1人；离休2人，减少1人。</w:t>
      </w: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编制部门：昌吉回族自治州发展和改革委员会                  单位：万元</w:t>
      </w:r>
    </w:p>
    <w:tbl>
      <w:tblPr>
        <w:tblStyle w:val="4"/>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1261.78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1261.78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1261.78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tabs>
                <w:tab w:val="left" w:pos="500"/>
              </w:tabs>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1261.78</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1261.78</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1261.78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1261.78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填报部门：昌吉回族自治州发展和改革委员会                        单位：万元</w:t>
      </w:r>
    </w:p>
    <w:tbl>
      <w:tblPr>
        <w:tblStyle w:val="4"/>
        <w:tblW w:w="9548" w:type="dxa"/>
        <w:tblInd w:w="93" w:type="dxa"/>
        <w:tblLayout w:type="fixed"/>
        <w:tblCellMar>
          <w:top w:w="0" w:type="dxa"/>
          <w:left w:w="108" w:type="dxa"/>
          <w:bottom w:w="0" w:type="dxa"/>
          <w:right w:w="108" w:type="dxa"/>
        </w:tblCellMar>
      </w:tblPr>
      <w:tblGrid>
        <w:gridCol w:w="518"/>
        <w:gridCol w:w="420"/>
        <w:gridCol w:w="510"/>
        <w:gridCol w:w="1860"/>
        <w:gridCol w:w="1110"/>
        <w:gridCol w:w="918"/>
        <w:gridCol w:w="537"/>
        <w:gridCol w:w="383"/>
        <w:gridCol w:w="427"/>
        <w:gridCol w:w="750"/>
        <w:gridCol w:w="645"/>
        <w:gridCol w:w="630"/>
        <w:gridCol w:w="840"/>
      </w:tblGrid>
      <w:tr>
        <w:tblPrEx>
          <w:tblLayout w:type="fixed"/>
          <w:tblCellMar>
            <w:top w:w="0" w:type="dxa"/>
            <w:left w:w="108" w:type="dxa"/>
            <w:bottom w:w="0" w:type="dxa"/>
            <w:right w:w="108" w:type="dxa"/>
          </w:tblCellMar>
        </w:tblPrEx>
        <w:trPr>
          <w:trHeight w:val="510" w:hRule="atLeast"/>
        </w:trPr>
        <w:tc>
          <w:tcPr>
            <w:tcW w:w="14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1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3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38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2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3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8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8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3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5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186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行政运行</w:t>
            </w:r>
          </w:p>
        </w:tc>
        <w:tc>
          <w:tcPr>
            <w:tcW w:w="111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1036.78　</w:t>
            </w:r>
          </w:p>
        </w:tc>
        <w:tc>
          <w:tcPr>
            <w:tcW w:w="91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1036.78　</w:t>
            </w:r>
          </w:p>
        </w:tc>
        <w:tc>
          <w:tcPr>
            <w:tcW w:w="53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186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一般行政管理事务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225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225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186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90" w:hRule="atLeast"/>
        </w:trPr>
        <w:tc>
          <w:tcPr>
            <w:tcW w:w="51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1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1261.78　</w:t>
            </w:r>
          </w:p>
        </w:tc>
        <w:tc>
          <w:tcPr>
            <w:tcW w:w="9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1261.78　</w:t>
            </w:r>
          </w:p>
        </w:tc>
        <w:tc>
          <w:tcPr>
            <w:tcW w:w="5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编制部门：昌吉回族自治州发展和改革委员会                       单位：万元</w:t>
      </w:r>
    </w:p>
    <w:tbl>
      <w:tblPr>
        <w:tblStyle w:val="4"/>
        <w:tblW w:w="9262" w:type="dxa"/>
        <w:tblInd w:w="93" w:type="dxa"/>
        <w:tblLayout w:type="fixed"/>
        <w:tblCellMar>
          <w:top w:w="0" w:type="dxa"/>
          <w:left w:w="108" w:type="dxa"/>
          <w:bottom w:w="0" w:type="dxa"/>
          <w:right w:w="108" w:type="dxa"/>
        </w:tblCellMar>
      </w:tblPr>
      <w:tblGrid>
        <w:gridCol w:w="561"/>
        <w:gridCol w:w="437"/>
        <w:gridCol w:w="495"/>
        <w:gridCol w:w="1935"/>
        <w:gridCol w:w="2232"/>
        <w:gridCol w:w="1856"/>
        <w:gridCol w:w="1713"/>
        <w:gridCol w:w="33"/>
      </w:tblGrid>
      <w:tr>
        <w:tblPrEx>
          <w:tblLayout w:type="fixed"/>
          <w:tblCellMar>
            <w:top w:w="0" w:type="dxa"/>
            <w:left w:w="108" w:type="dxa"/>
            <w:bottom w:w="0" w:type="dxa"/>
            <w:right w:w="108" w:type="dxa"/>
          </w:tblCellMar>
        </w:tblPrEx>
        <w:trPr>
          <w:gridAfter w:val="1"/>
          <w:wAfter w:w="33" w:type="dxa"/>
          <w:trHeight w:val="345" w:hRule="atLeast"/>
        </w:trPr>
        <w:tc>
          <w:tcPr>
            <w:tcW w:w="34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801"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gridAfter w:val="1"/>
          <w:wAfter w:w="33" w:type="dxa"/>
          <w:trHeight w:val="480" w:hRule="atLeast"/>
        </w:trPr>
        <w:tc>
          <w:tcPr>
            <w:tcW w:w="14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193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2232"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1935"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232"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46"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201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04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01</w:t>
            </w:r>
          </w:p>
        </w:tc>
        <w:tc>
          <w:tcPr>
            <w:tcW w:w="1935"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2"/>
                <w:szCs w:val="22"/>
              </w:rPr>
            </w:pPr>
            <w:r>
              <w:rPr>
                <w:rFonts w:hint="eastAsia" w:ascii="仿宋_GB2312" w:eastAsia="仿宋_GB2312"/>
                <w:color w:val="000000"/>
                <w:sz w:val="20"/>
                <w:szCs w:val="20"/>
              </w:rPr>
              <w:t>行政运行</w:t>
            </w:r>
          </w:p>
        </w:tc>
        <w:tc>
          <w:tcPr>
            <w:tcW w:w="2232" w:type="dxa"/>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kern w:val="0"/>
                <w:sz w:val="22"/>
                <w:szCs w:val="22"/>
              </w:rPr>
            </w:pPr>
            <w:r>
              <w:rPr>
                <w:rFonts w:hint="eastAsia" w:ascii="仿宋_GB2312" w:eastAsia="仿宋_GB2312"/>
                <w:color w:val="000000"/>
                <w:sz w:val="20"/>
                <w:szCs w:val="20"/>
              </w:rPr>
              <w:t>1036.78</w:t>
            </w:r>
          </w:p>
        </w:tc>
        <w:tc>
          <w:tcPr>
            <w:tcW w:w="1856" w:type="dxa"/>
            <w:tcBorders>
              <w:top w:val="nil"/>
              <w:left w:val="nil"/>
              <w:bottom w:val="single" w:color="auto" w:sz="4" w:space="0"/>
              <w:right w:val="single" w:color="auto" w:sz="4" w:space="0"/>
            </w:tcBorders>
            <w:shd w:val="clear" w:color="000000" w:fill="FFFFFF"/>
            <w:vAlign w:val="center"/>
          </w:tcPr>
          <w:p>
            <w:pPr>
              <w:jc w:val="right"/>
              <w:rPr>
                <w:rFonts w:ascii="宋体" w:hAnsi="宋体" w:cs="宋体"/>
                <w:color w:val="000000"/>
                <w:kern w:val="0"/>
                <w:sz w:val="22"/>
                <w:szCs w:val="22"/>
              </w:rPr>
            </w:pPr>
            <w:r>
              <w:rPr>
                <w:rFonts w:hint="eastAsia" w:ascii="仿宋_GB2312" w:eastAsia="仿宋_GB2312"/>
                <w:color w:val="000000"/>
                <w:sz w:val="20"/>
                <w:szCs w:val="20"/>
              </w:rPr>
              <w:t>1036.78</w:t>
            </w:r>
          </w:p>
        </w:tc>
        <w:tc>
          <w:tcPr>
            <w:tcW w:w="174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201　</w:t>
            </w:r>
          </w:p>
        </w:tc>
        <w:tc>
          <w:tcPr>
            <w:tcW w:w="437"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04　</w:t>
            </w:r>
          </w:p>
        </w:tc>
        <w:tc>
          <w:tcPr>
            <w:tcW w:w="495"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rPr>
              <w:t>02　</w:t>
            </w:r>
          </w:p>
        </w:tc>
        <w:tc>
          <w:tcPr>
            <w:tcW w:w="1935"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szCs w:val="22"/>
              </w:rPr>
            </w:pPr>
            <w:r>
              <w:rPr>
                <w:rFonts w:hint="eastAsia" w:ascii="仿宋_GB2312" w:eastAsia="仿宋_GB2312"/>
                <w:color w:val="000000"/>
                <w:sz w:val="20"/>
                <w:szCs w:val="20"/>
              </w:rPr>
              <w:t>一般行政管理事务　</w:t>
            </w:r>
          </w:p>
        </w:tc>
        <w:tc>
          <w:tcPr>
            <w:tcW w:w="2232"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r>
              <w:rPr>
                <w:rFonts w:hint="eastAsia" w:ascii="仿宋_GB2312" w:eastAsia="仿宋_GB2312"/>
                <w:color w:val="000000"/>
                <w:sz w:val="20"/>
                <w:szCs w:val="20"/>
              </w:rPr>
              <w:t>225</w:t>
            </w:r>
          </w:p>
        </w:tc>
        <w:tc>
          <w:tcPr>
            <w:tcW w:w="1856"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174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仿宋_GB2312" w:eastAsia="仿宋_GB2312"/>
                <w:color w:val="000000"/>
                <w:sz w:val="20"/>
                <w:szCs w:val="20"/>
              </w:rPr>
              <w:t>225</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p>
        </w:tc>
        <w:tc>
          <w:tcPr>
            <w:tcW w:w="1856"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3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46"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23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1261.78</w:t>
            </w:r>
          </w:p>
        </w:tc>
        <w:tc>
          <w:tcPr>
            <w:tcW w:w="185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1036.78</w:t>
            </w:r>
          </w:p>
        </w:tc>
        <w:tc>
          <w:tcPr>
            <w:tcW w:w="1746"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225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jc w:val="center"/>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编制部门：昌吉回族自治州发展和改革委员会             单位：万元</w:t>
      </w:r>
    </w:p>
    <w:tbl>
      <w:tblPr>
        <w:tblStyle w:val="4"/>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3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1261.78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1261.78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1261.78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1261.78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1261.78</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1261.78</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1261.78</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1261.78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1261.78</w:t>
            </w: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1261.78</w:t>
            </w: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087" w:type="dxa"/>
        <w:tblInd w:w="93" w:type="dxa"/>
        <w:tblLayout w:type="fixed"/>
        <w:tblCellMar>
          <w:top w:w="0" w:type="dxa"/>
          <w:left w:w="108" w:type="dxa"/>
          <w:bottom w:w="0" w:type="dxa"/>
          <w:right w:w="108" w:type="dxa"/>
        </w:tblCellMar>
      </w:tblPr>
      <w:tblGrid>
        <w:gridCol w:w="593"/>
        <w:gridCol w:w="480"/>
        <w:gridCol w:w="420"/>
        <w:gridCol w:w="2367"/>
        <w:gridCol w:w="168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5760"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8"/>
                <w:szCs w:val="28"/>
              </w:rPr>
              <w:t>昌吉回族自治州发展和改革委员会</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9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6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201　</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04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01</w:t>
            </w:r>
          </w:p>
        </w:tc>
        <w:tc>
          <w:tcPr>
            <w:tcW w:w="2367"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color w:val="000000"/>
                <w:kern w:val="0"/>
                <w:sz w:val="20"/>
                <w:szCs w:val="20"/>
              </w:rPr>
            </w:pPr>
            <w:r>
              <w:rPr>
                <w:rFonts w:hint="eastAsia" w:ascii="仿宋_GB2312" w:eastAsia="仿宋_GB2312"/>
                <w:color w:val="000000"/>
                <w:sz w:val="20"/>
                <w:szCs w:val="20"/>
              </w:rPr>
              <w:t>行政运行</w:t>
            </w:r>
          </w:p>
        </w:tc>
        <w:tc>
          <w:tcPr>
            <w:tcW w:w="1684"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1036.78</w:t>
            </w:r>
          </w:p>
        </w:tc>
        <w:tc>
          <w:tcPr>
            <w:tcW w:w="1842" w:type="dxa"/>
            <w:gridSpan w:val="2"/>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rPr>
              <w:t>1036.78</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宋体" w:hAnsi="宋体" w:cs="宋体"/>
                <w:color w:val="000000"/>
                <w:kern w:val="0"/>
                <w:sz w:val="22"/>
                <w:szCs w:val="22"/>
              </w:rPr>
              <w:t>0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201　</w:t>
            </w:r>
          </w:p>
        </w:tc>
        <w:tc>
          <w:tcPr>
            <w:tcW w:w="48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04　</w:t>
            </w:r>
          </w:p>
        </w:tc>
        <w:tc>
          <w:tcPr>
            <w:tcW w:w="42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02　</w:t>
            </w:r>
          </w:p>
        </w:tc>
        <w:tc>
          <w:tcPr>
            <w:tcW w:w="2367" w:type="dxa"/>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仿宋_GB2312" w:eastAsia="仿宋_GB2312"/>
                <w:color w:val="000000"/>
                <w:sz w:val="20"/>
                <w:szCs w:val="20"/>
              </w:rPr>
              <w:t>一般行政管理事务　</w:t>
            </w:r>
          </w:p>
        </w:tc>
        <w:tc>
          <w:tcPr>
            <w:tcW w:w="1684"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225</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eastAsia="仿宋_GB2312"/>
                <w:color w:val="000000"/>
                <w:sz w:val="20"/>
                <w:szCs w:val="20"/>
              </w:rPr>
              <w:t>225</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2367" w:type="dxa"/>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4"/>
              </w:rPr>
              <w:t>　1261.78</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4"/>
              </w:rPr>
              <w:t>　1036.78</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4"/>
              </w:rPr>
              <w:t>　225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087" w:type="dxa"/>
        <w:tblInd w:w="93" w:type="dxa"/>
        <w:tblLayout w:type="fixed"/>
        <w:tblCellMar>
          <w:top w:w="0" w:type="dxa"/>
          <w:left w:w="108" w:type="dxa"/>
          <w:bottom w:w="0" w:type="dxa"/>
          <w:right w:w="108" w:type="dxa"/>
        </w:tblCellMar>
      </w:tblPr>
      <w:tblGrid>
        <w:gridCol w:w="516"/>
        <w:gridCol w:w="577"/>
        <w:gridCol w:w="3070"/>
        <w:gridCol w:w="1522"/>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6661"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昌吉回族自治州发展和改革委员会</w:t>
            </w: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16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24"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9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01</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基本工资</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275.14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275.14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31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02</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津贴补贴</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121.03</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121.03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31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03</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奖金</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18.63</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18.63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32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06</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伙食补助费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81.9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81.9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23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07</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绩效工资</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46.97</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46.97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08</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机关事业单位基本养老保险缴费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92.36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92.36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10</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职工基本医疗保险缴费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82.06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82.06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11</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公务员医疗补助缴费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63.83</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63.83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12</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其他社会保障缴费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1.95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1.95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32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13</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住房公积金</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55.41</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55.41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26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99</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其他工资福利支出</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7.4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7.4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01</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办公费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14.37</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14.37</w:t>
            </w:r>
          </w:p>
        </w:tc>
      </w:tr>
      <w:tr>
        <w:tblPrEx>
          <w:tblLayout w:type="fixed"/>
          <w:tblCellMar>
            <w:top w:w="0" w:type="dxa"/>
            <w:left w:w="108" w:type="dxa"/>
            <w:bottom w:w="0" w:type="dxa"/>
            <w:right w:w="108" w:type="dxa"/>
          </w:tblCellMar>
        </w:tblPrEx>
        <w:trPr>
          <w:trHeight w:val="35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02</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印刷费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5</w:t>
            </w: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06</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电费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3.19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3.19</w:t>
            </w:r>
          </w:p>
        </w:tc>
      </w:tr>
      <w:tr>
        <w:tblPrEx>
          <w:tblLayout w:type="fixed"/>
          <w:tblCellMar>
            <w:top w:w="0" w:type="dxa"/>
            <w:left w:w="108" w:type="dxa"/>
            <w:bottom w:w="0" w:type="dxa"/>
            <w:right w:w="108" w:type="dxa"/>
          </w:tblCellMar>
        </w:tblPrEx>
        <w:trPr>
          <w:trHeight w:val="34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07</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邮电费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3.72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3.72</w:t>
            </w:r>
          </w:p>
        </w:tc>
      </w:tr>
      <w:tr>
        <w:tblPrEx>
          <w:tblLayout w:type="fixed"/>
          <w:tblCellMar>
            <w:top w:w="0" w:type="dxa"/>
            <w:left w:w="108" w:type="dxa"/>
            <w:bottom w:w="0" w:type="dxa"/>
            <w:right w:w="108" w:type="dxa"/>
          </w:tblCellMar>
        </w:tblPrEx>
        <w:trPr>
          <w:trHeight w:val="31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08</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取暖费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20</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20</w:t>
            </w:r>
          </w:p>
        </w:tc>
      </w:tr>
      <w:tr>
        <w:tblPrEx>
          <w:tblLayout w:type="fixed"/>
          <w:tblCellMar>
            <w:top w:w="0" w:type="dxa"/>
            <w:left w:w="108" w:type="dxa"/>
            <w:bottom w:w="0" w:type="dxa"/>
            <w:right w:w="108" w:type="dxa"/>
          </w:tblCellMar>
        </w:tblPrEx>
        <w:trPr>
          <w:trHeight w:val="37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09</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物业管理费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2.4</w:t>
            </w:r>
          </w:p>
        </w:tc>
      </w:tr>
      <w:tr>
        <w:tblPrEx>
          <w:tblLayout w:type="fixed"/>
          <w:tblCellMar>
            <w:top w:w="0" w:type="dxa"/>
            <w:left w:w="108" w:type="dxa"/>
            <w:bottom w:w="0" w:type="dxa"/>
            <w:right w:w="108" w:type="dxa"/>
          </w:tblCellMar>
        </w:tblPrEx>
        <w:trPr>
          <w:trHeight w:val="26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11</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差旅费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39.68</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39.68</w:t>
            </w:r>
          </w:p>
        </w:tc>
      </w:tr>
      <w:tr>
        <w:tblPrEx>
          <w:tblLayout w:type="fixed"/>
          <w:tblCellMar>
            <w:top w:w="0" w:type="dxa"/>
            <w:left w:w="108" w:type="dxa"/>
            <w:bottom w:w="0" w:type="dxa"/>
            <w:right w:w="108" w:type="dxa"/>
          </w:tblCellMar>
        </w:tblPrEx>
        <w:trPr>
          <w:trHeight w:val="25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13</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维修(护)费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0.62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0.62</w:t>
            </w:r>
          </w:p>
        </w:tc>
      </w:tr>
      <w:tr>
        <w:tblPrEx>
          <w:tblLayout w:type="fixed"/>
          <w:tblCellMar>
            <w:top w:w="0" w:type="dxa"/>
            <w:left w:w="108" w:type="dxa"/>
            <w:bottom w:w="0" w:type="dxa"/>
            <w:right w:w="108" w:type="dxa"/>
          </w:tblCellMar>
        </w:tblPrEx>
        <w:trPr>
          <w:trHeight w:val="25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16</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培训费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3.35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3.35</w:t>
            </w:r>
          </w:p>
        </w:tc>
      </w:tr>
      <w:tr>
        <w:tblPrEx>
          <w:tblLayout w:type="fixed"/>
          <w:tblCellMar>
            <w:top w:w="0" w:type="dxa"/>
            <w:left w:w="108" w:type="dxa"/>
            <w:bottom w:w="0" w:type="dxa"/>
            <w:right w:w="108" w:type="dxa"/>
          </w:tblCellMar>
        </w:tblPrEx>
        <w:trPr>
          <w:trHeight w:val="22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17</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公务招待费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0.99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0.99</w:t>
            </w: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26</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劳务费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2.4</w:t>
            </w:r>
          </w:p>
        </w:tc>
      </w:tr>
      <w:tr>
        <w:tblPrEx>
          <w:tblLayout w:type="fixed"/>
          <w:tblCellMar>
            <w:top w:w="0" w:type="dxa"/>
            <w:left w:w="108" w:type="dxa"/>
            <w:bottom w:w="0" w:type="dxa"/>
            <w:right w:w="108" w:type="dxa"/>
          </w:tblCellMar>
        </w:tblPrEx>
        <w:trPr>
          <w:trHeight w:val="29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28</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工会经费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5.5</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5.5</w:t>
            </w:r>
          </w:p>
        </w:tc>
      </w:tr>
      <w:tr>
        <w:tblPrEx>
          <w:tblLayout w:type="fixed"/>
          <w:tblCellMar>
            <w:top w:w="0" w:type="dxa"/>
            <w:left w:w="108" w:type="dxa"/>
            <w:bottom w:w="0" w:type="dxa"/>
            <w:right w:w="108" w:type="dxa"/>
          </w:tblCellMar>
        </w:tblPrEx>
        <w:trPr>
          <w:trHeight w:val="90"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29</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福利费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10.29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10.29</w:t>
            </w:r>
          </w:p>
        </w:tc>
      </w:tr>
      <w:tr>
        <w:tblPrEx>
          <w:tblLayout w:type="fixed"/>
          <w:tblCellMar>
            <w:top w:w="0" w:type="dxa"/>
            <w:left w:w="108" w:type="dxa"/>
            <w:bottom w:w="0" w:type="dxa"/>
            <w:right w:w="108" w:type="dxa"/>
          </w:tblCellMar>
        </w:tblPrEx>
        <w:trPr>
          <w:trHeight w:val="19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31</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公务车运行维护费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17.92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17.92</w:t>
            </w:r>
          </w:p>
        </w:tc>
      </w:tr>
      <w:tr>
        <w:tblPrEx>
          <w:tblLayout w:type="fixed"/>
          <w:tblCellMar>
            <w:top w:w="0" w:type="dxa"/>
            <w:left w:w="108" w:type="dxa"/>
            <w:bottom w:w="0" w:type="dxa"/>
            <w:right w:w="108" w:type="dxa"/>
          </w:tblCellMar>
        </w:tblPrEx>
        <w:trPr>
          <w:trHeight w:val="16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99</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其他商品和服务支出</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15.7</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15.7</w:t>
            </w:r>
          </w:p>
        </w:tc>
      </w:tr>
      <w:tr>
        <w:tblPrEx>
          <w:tblLayout w:type="fixed"/>
          <w:tblCellMar>
            <w:top w:w="0" w:type="dxa"/>
            <w:left w:w="108" w:type="dxa"/>
            <w:bottom w:w="0" w:type="dxa"/>
            <w:right w:w="108" w:type="dxa"/>
          </w:tblCellMar>
        </w:tblPrEx>
        <w:trPr>
          <w:trHeight w:val="28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303</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01</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离休费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23.72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23.72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267"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303</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05</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生活补助</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3.96</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3.96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19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303</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07</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医疗费补助</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22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303</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09</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奖励金</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4.19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4.19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25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303</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14</w:t>
            </w:r>
          </w:p>
        </w:tc>
        <w:tc>
          <w:tcPr>
            <w:tcW w:w="30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职工住宅取暖费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12.9</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12.9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0</w:t>
            </w:r>
          </w:p>
        </w:tc>
      </w:tr>
      <w:tr>
        <w:tblPrEx>
          <w:tblLayout w:type="fixed"/>
          <w:tblCellMar>
            <w:top w:w="0" w:type="dxa"/>
            <w:left w:w="108" w:type="dxa"/>
            <w:bottom w:w="0" w:type="dxa"/>
            <w:right w:w="108" w:type="dxa"/>
          </w:tblCellMar>
        </w:tblPrEx>
        <w:trPr>
          <w:trHeight w:val="23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eastAsia="仿宋_GB2312"/>
                <w:color w:val="000000"/>
                <w:sz w:val="20"/>
                <w:szCs w:val="20"/>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eastAsia="仿宋_GB2312"/>
                <w:color w:val="000000"/>
                <w:sz w:val="20"/>
                <w:szCs w:val="20"/>
              </w:rPr>
            </w:pPr>
          </w:p>
        </w:tc>
        <w:tc>
          <w:tcPr>
            <w:tcW w:w="307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eastAsia="仿宋_GB2312"/>
                <w:color w:val="000000"/>
                <w:sz w:val="20"/>
                <w:szCs w:val="20"/>
              </w:rPr>
            </w:pPr>
            <w:r>
              <w:rPr>
                <w:rFonts w:hint="eastAsia" w:ascii="仿宋_GB2312" w:eastAsia="仿宋_GB2312"/>
                <w:color w:val="000000"/>
                <w:sz w:val="20"/>
                <w:szCs w:val="20"/>
              </w:rPr>
              <w:t>合计</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eastAsia="仿宋_GB2312"/>
                <w:color w:val="000000"/>
                <w:sz w:val="20"/>
                <w:szCs w:val="20"/>
              </w:rPr>
            </w:pPr>
            <w:r>
              <w:rPr>
                <w:rFonts w:hint="eastAsia" w:ascii="仿宋_GB2312" w:eastAsia="仿宋_GB2312"/>
                <w:color w:val="000000"/>
                <w:sz w:val="20"/>
                <w:szCs w:val="20"/>
              </w:rPr>
              <w:t>1036.78</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仿宋_GB2312" w:eastAsia="仿宋_GB2312"/>
                <w:color w:val="000000"/>
                <w:sz w:val="20"/>
                <w:szCs w:val="20"/>
              </w:rPr>
            </w:pPr>
            <w:r>
              <w:rPr>
                <w:rFonts w:hint="eastAsia" w:ascii="仿宋_GB2312" w:eastAsia="仿宋_GB2312"/>
                <w:color w:val="000000"/>
                <w:sz w:val="20"/>
                <w:szCs w:val="20"/>
              </w:rPr>
              <w:t>891.65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145.13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486" w:type="dxa"/>
        <w:tblInd w:w="93" w:type="dxa"/>
        <w:tblLayout w:type="fixed"/>
        <w:tblCellMar>
          <w:top w:w="0" w:type="dxa"/>
          <w:left w:w="108" w:type="dxa"/>
          <w:bottom w:w="0" w:type="dxa"/>
          <w:right w:w="108" w:type="dxa"/>
        </w:tblCellMar>
      </w:tblPr>
      <w:tblGrid>
        <w:gridCol w:w="8"/>
        <w:gridCol w:w="480"/>
        <w:gridCol w:w="420"/>
        <w:gridCol w:w="420"/>
        <w:gridCol w:w="945"/>
        <w:gridCol w:w="1695"/>
        <w:gridCol w:w="555"/>
        <w:gridCol w:w="311"/>
        <w:gridCol w:w="536"/>
        <w:gridCol w:w="652"/>
        <w:gridCol w:w="652"/>
        <w:gridCol w:w="361"/>
        <w:gridCol w:w="217"/>
        <w:gridCol w:w="419"/>
        <w:gridCol w:w="578"/>
        <w:gridCol w:w="420"/>
        <w:gridCol w:w="420"/>
        <w:gridCol w:w="372"/>
        <w:gridCol w:w="25"/>
      </w:tblGrid>
      <w:tr>
        <w:tblPrEx>
          <w:tblLayout w:type="fixed"/>
          <w:tblCellMar>
            <w:top w:w="0" w:type="dxa"/>
            <w:left w:w="108" w:type="dxa"/>
            <w:bottom w:w="0" w:type="dxa"/>
            <w:right w:w="108" w:type="dxa"/>
          </w:tblCellMar>
        </w:tblPrEx>
        <w:trPr>
          <w:gridBefore w:val="1"/>
          <w:gridAfter w:val="1"/>
          <w:wBefore w:w="8" w:type="dxa"/>
          <w:wAfter w:w="25" w:type="dxa"/>
          <w:trHeight w:val="375" w:hRule="atLeast"/>
        </w:trPr>
        <w:tc>
          <w:tcPr>
            <w:tcW w:w="9453" w:type="dxa"/>
            <w:gridSpan w:val="1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25" w:type="dxa"/>
          <w:trHeight w:val="405" w:hRule="atLeast"/>
        </w:trPr>
        <w:tc>
          <w:tcPr>
            <w:tcW w:w="7027" w:type="dxa"/>
            <w:gridSpan w:val="1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昌吉回族自治州发展和改革委员会</w:t>
            </w: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28"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4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695"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55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1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88"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0"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0"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45"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69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5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11"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04</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945" w:type="dxa"/>
            <w:vAlign w:val="center"/>
          </w:tcPr>
          <w:p>
            <w:pPr>
              <w:widowControl/>
              <w:jc w:val="center"/>
              <w:textAlignment w:val="center"/>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695" w:type="dxa"/>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州粮食流通监督检查专项业务经费6万元</w:t>
            </w:r>
          </w:p>
        </w:tc>
        <w:tc>
          <w:tcPr>
            <w:tcW w:w="55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w:t>
            </w:r>
          </w:p>
        </w:tc>
        <w:tc>
          <w:tcPr>
            <w:tcW w:w="311"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w:t>
            </w:r>
          </w:p>
        </w:tc>
        <w:tc>
          <w:tcPr>
            <w:tcW w:w="65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39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04</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945" w:type="dxa"/>
            <w:vAlign w:val="center"/>
          </w:tcPr>
          <w:p>
            <w:pPr>
              <w:widowControl/>
              <w:jc w:val="center"/>
              <w:textAlignment w:val="center"/>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695" w:type="dxa"/>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“信用昌吉”网站运行维护费10万元</w:t>
            </w:r>
          </w:p>
        </w:tc>
        <w:tc>
          <w:tcPr>
            <w:tcW w:w="55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311" w:type="dxa"/>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04</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945" w:type="dxa"/>
            <w:vAlign w:val="center"/>
          </w:tcPr>
          <w:p>
            <w:pPr>
              <w:widowControl/>
              <w:jc w:val="center"/>
              <w:textAlignment w:val="center"/>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695" w:type="dxa"/>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州“放心粮油进农村”专项业务经费4万元</w:t>
            </w:r>
          </w:p>
        </w:tc>
        <w:tc>
          <w:tcPr>
            <w:tcW w:w="55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4</w:t>
            </w:r>
          </w:p>
        </w:tc>
        <w:tc>
          <w:tcPr>
            <w:tcW w:w="311" w:type="dxa"/>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4</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04</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945" w:type="dxa"/>
            <w:vAlign w:val="center"/>
          </w:tcPr>
          <w:p>
            <w:pPr>
              <w:widowControl/>
              <w:jc w:val="center"/>
              <w:textAlignment w:val="center"/>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695" w:type="dxa"/>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州“主食产业发展”20万元专项业务经费</w:t>
            </w:r>
          </w:p>
        </w:tc>
        <w:tc>
          <w:tcPr>
            <w:tcW w:w="55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311" w:type="dxa"/>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04</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945" w:type="dxa"/>
            <w:vAlign w:val="center"/>
          </w:tcPr>
          <w:p>
            <w:pPr>
              <w:widowControl/>
              <w:jc w:val="center"/>
              <w:textAlignment w:val="center"/>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695" w:type="dxa"/>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州粮油质量检测专项业务经费20万元</w:t>
            </w:r>
          </w:p>
        </w:tc>
        <w:tc>
          <w:tcPr>
            <w:tcW w:w="55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311" w:type="dxa"/>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04</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945" w:type="dxa"/>
            <w:vAlign w:val="center"/>
          </w:tcPr>
          <w:p>
            <w:pPr>
              <w:widowControl/>
              <w:jc w:val="center"/>
              <w:textAlignment w:val="center"/>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695" w:type="dxa"/>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州社会信用体系建设领导小组办公室专项业务费5万元</w:t>
            </w:r>
          </w:p>
        </w:tc>
        <w:tc>
          <w:tcPr>
            <w:tcW w:w="55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w:t>
            </w:r>
          </w:p>
        </w:tc>
        <w:tc>
          <w:tcPr>
            <w:tcW w:w="311" w:type="dxa"/>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04</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945" w:type="dxa"/>
            <w:vAlign w:val="center"/>
          </w:tcPr>
          <w:p>
            <w:pPr>
              <w:widowControl/>
              <w:jc w:val="center"/>
              <w:textAlignment w:val="center"/>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695" w:type="dxa"/>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州项目工作前期费（评估评审）60万元</w:t>
            </w:r>
          </w:p>
        </w:tc>
        <w:tc>
          <w:tcPr>
            <w:tcW w:w="55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60</w:t>
            </w:r>
          </w:p>
        </w:tc>
        <w:tc>
          <w:tcPr>
            <w:tcW w:w="311" w:type="dxa"/>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60</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201</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04</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945" w:type="dxa"/>
            <w:vAlign w:val="center"/>
          </w:tcPr>
          <w:p>
            <w:pPr>
              <w:widowControl/>
              <w:jc w:val="center"/>
              <w:textAlignment w:val="center"/>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695" w:type="dxa"/>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州援疆领导小组办公室专项业务经费100万元</w:t>
            </w:r>
          </w:p>
        </w:tc>
        <w:tc>
          <w:tcPr>
            <w:tcW w:w="555"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w:t>
            </w:r>
          </w:p>
        </w:tc>
        <w:tc>
          <w:tcPr>
            <w:tcW w:w="311" w:type="dxa"/>
          </w:tcPr>
          <w:p>
            <w:pPr>
              <w:widowControl/>
              <w:jc w:val="center"/>
              <w:outlineLvl w:val="1"/>
              <w:rPr>
                <w:rFonts w:ascii="仿宋_GB2312" w:hAnsi="宋体" w:eastAsia="仿宋_GB2312"/>
                <w:kern w:val="0"/>
                <w:sz w:val="18"/>
                <w:szCs w:val="18"/>
              </w:rPr>
            </w:pPr>
          </w:p>
        </w:tc>
        <w:tc>
          <w:tcPr>
            <w:tcW w:w="536" w:type="dxa"/>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4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4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4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945" w:type="dxa"/>
          </w:tcPr>
          <w:p>
            <w:pPr>
              <w:widowControl/>
              <w:jc w:val="left"/>
              <w:outlineLvl w:val="1"/>
              <w:rPr>
                <w:rFonts w:ascii="仿宋_GB2312" w:hAnsi="宋体" w:eastAsia="仿宋_GB2312"/>
                <w:kern w:val="0"/>
                <w:sz w:val="32"/>
                <w:szCs w:val="32"/>
              </w:rPr>
            </w:pPr>
          </w:p>
        </w:tc>
        <w:tc>
          <w:tcPr>
            <w:tcW w:w="1695" w:type="dxa"/>
          </w:tcPr>
          <w:p>
            <w:pPr>
              <w:widowControl/>
              <w:jc w:val="left"/>
              <w:outlineLvl w:val="1"/>
              <w:rPr>
                <w:rFonts w:ascii="仿宋_GB2312" w:hAnsi="宋体" w:eastAsia="仿宋_GB2312"/>
                <w:kern w:val="0"/>
                <w:sz w:val="32"/>
                <w:szCs w:val="32"/>
              </w:rPr>
            </w:pPr>
          </w:p>
        </w:tc>
        <w:tc>
          <w:tcPr>
            <w:tcW w:w="555" w:type="dxa"/>
          </w:tcPr>
          <w:p>
            <w:pPr>
              <w:widowControl/>
              <w:jc w:val="left"/>
              <w:outlineLvl w:val="1"/>
              <w:rPr>
                <w:rFonts w:ascii="仿宋_GB2312" w:hAnsi="宋体" w:eastAsia="仿宋_GB2312"/>
                <w:kern w:val="0"/>
                <w:sz w:val="32"/>
                <w:szCs w:val="32"/>
              </w:rPr>
            </w:pPr>
          </w:p>
        </w:tc>
        <w:tc>
          <w:tcPr>
            <w:tcW w:w="311" w:type="dxa"/>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4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4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9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1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4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9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555" w:type="dxa"/>
            <w:vAlign w:val="center"/>
          </w:tcPr>
          <w:p>
            <w:pPr>
              <w:widowControl/>
              <w:jc w:val="right"/>
              <w:outlineLvl w:val="1"/>
              <w:rPr>
                <w:rFonts w:ascii="仿宋_GB2312" w:hAnsi="宋体" w:eastAsia="仿宋_GB2312"/>
                <w:kern w:val="0"/>
                <w:szCs w:val="21"/>
              </w:rPr>
            </w:pPr>
            <w:r>
              <w:rPr>
                <w:rFonts w:hint="eastAsia" w:ascii="仿宋_GB2312" w:hAnsi="宋体" w:eastAsia="仿宋_GB2312"/>
                <w:kern w:val="0"/>
                <w:sz w:val="18"/>
                <w:szCs w:val="18"/>
              </w:rPr>
              <w:t>225</w:t>
            </w:r>
          </w:p>
        </w:tc>
        <w:tc>
          <w:tcPr>
            <w:tcW w:w="311" w:type="dxa"/>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right"/>
              <w:outlineLvl w:val="1"/>
              <w:rPr>
                <w:rFonts w:ascii="仿宋_GB2312" w:hAnsi="宋体" w:eastAsia="仿宋_GB2312"/>
                <w:kern w:val="0"/>
                <w:sz w:val="18"/>
                <w:szCs w:val="18"/>
              </w:rPr>
            </w:pPr>
            <w:r>
              <w:rPr>
                <w:rFonts w:hint="eastAsia" w:ascii="仿宋_GB2312" w:hAnsi="宋体" w:eastAsia="仿宋_GB2312"/>
                <w:kern w:val="0"/>
                <w:sz w:val="18"/>
                <w:szCs w:val="18"/>
              </w:rPr>
              <w:t>　225</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编制单位：昌吉回族自治州发展和改革委员会                     单位：万元</w:t>
      </w:r>
    </w:p>
    <w:tbl>
      <w:tblPr>
        <w:tblStyle w:val="4"/>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18.91</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17.92</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17.92</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0.99</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编制单位：昌吉回族自治州发展和改革委员会                         单位：万元</w:t>
      </w:r>
    </w:p>
    <w:tbl>
      <w:tblPr>
        <w:tblStyle w:val="4"/>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pPr>
    </w:p>
    <w:p>
      <w:pPr>
        <w:widowControl/>
        <w:jc w:val="left"/>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rPr>
        <w:t xml:space="preserve">      </w:t>
      </w:r>
      <w:r>
        <w:rPr>
          <w:rFonts w:hint="eastAsia" w:ascii="仿宋_GB2312" w:hAnsi="宋体" w:eastAsia="仿宋_GB2312"/>
          <w:b/>
          <w:kern w:val="0"/>
          <w:sz w:val="32"/>
          <w:szCs w:val="32"/>
        </w:rPr>
        <w:t>本单位无政府性基金预算支出</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关于昌吉州发改委2019年收支预算情况总体说明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kern w:val="0"/>
          <w:sz w:val="32"/>
          <w:szCs w:val="32"/>
        </w:rPr>
        <w:t>昌吉州发改委2019</w:t>
      </w:r>
      <w:r>
        <w:rPr>
          <w:rFonts w:hint="eastAsia" w:ascii="仿宋_GB2312" w:hAnsi="宋体" w:eastAsia="仿宋_GB2312" w:cs="宋体"/>
          <w:kern w:val="0"/>
          <w:sz w:val="32"/>
          <w:szCs w:val="32"/>
        </w:rPr>
        <w:t>年所有收入和支出均纳入部门预算管理。收支总预算1261.78万元。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收入预算包括：一般公共预算收入1261.78万元。</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支出预算包括：一般公共服务支出1261.78万元</w:t>
      </w:r>
      <w:r>
        <w:rPr>
          <w:rFonts w:hint="eastAsia" w:ascii="仿宋_GB2312" w:hAnsi="宋体" w:eastAsia="仿宋_GB2312" w:cs="宋体"/>
          <w:b/>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二、关于昌吉州发改委2019年收入预算情况说明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昌吉州发改委部门收入预算1261.78万元，其中：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一般公共预算1261.78万元，占100 %，比上年增加379.10万元，主要原因是：原州粮食局机构合并，人员增加，增加人员经费和公用经费预算支出；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政府性基金预算未安排。占0 %，比上年增加（减少）0万元，主要原因是：未安排；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三、关于昌吉州发改委2019年支出预算情况说明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昌吉州发改委2019年支出预算1261.78万元，其中：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基本支出1036.78万元，占82.17%，比上年增加329.10万元，主要原因是：原州粮食局机构合并，人员增加,增加人员经费和公用经费预算支出；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项目支出175万元，占13%，比上年增加（减少）0万元，主要原因是：续建项目支出。</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昌吉州发改委2019</w:t>
      </w:r>
      <w:r>
        <w:rPr>
          <w:rFonts w:hint="eastAsia" w:ascii="黑体" w:hAnsi="黑体" w:eastAsia="黑体" w:cs="宋体"/>
          <w:bCs/>
          <w:kern w:val="0"/>
          <w:sz w:val="32"/>
          <w:szCs w:val="32"/>
        </w:rPr>
        <w:t>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2019年财政拨款收支总预算1261.78万元。</w:t>
      </w:r>
    </w:p>
    <w:p>
      <w:pPr>
        <w:spacing w:line="580" w:lineRule="exact"/>
        <w:ind w:firstLine="64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收入全部为一般公共预算拨款，无政府性基金预算拨款。</w:t>
      </w:r>
    </w:p>
    <w:p>
      <w:pPr>
        <w:spacing w:line="580" w:lineRule="exact"/>
        <w:ind w:firstLine="64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1169.44</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保障单位正常运转、履行职能</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五、关于昌吉州发改委2019年一般公共预算当年拨款情况说明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昌吉州发改委2019年一般公共预算拨款基本支出1036.78万元，比上年执行数</w:t>
      </w:r>
      <w:r>
        <w:rPr>
          <w:rFonts w:hint="eastAsia" w:ascii="仿宋_GB2312" w:hAnsi="宋体" w:eastAsia="仿宋_GB2312" w:cs="宋体"/>
          <w:strike w:val="0"/>
          <w:kern w:val="0"/>
          <w:sz w:val="32"/>
          <w:szCs w:val="32"/>
        </w:rPr>
        <w:t>减少</w:t>
      </w:r>
      <w:r>
        <w:rPr>
          <w:rFonts w:hint="eastAsia" w:ascii="仿宋_GB2312" w:hAnsi="宋体" w:eastAsia="仿宋_GB2312" w:cs="宋体"/>
          <w:strike w:val="0"/>
          <w:kern w:val="0"/>
          <w:sz w:val="32"/>
          <w:szCs w:val="32"/>
          <w:lang w:val="en-US" w:eastAsia="zh-CN"/>
        </w:rPr>
        <w:t>692.76</w:t>
      </w:r>
      <w:r>
        <w:rPr>
          <w:rFonts w:hint="eastAsia" w:ascii="仿宋_GB2312" w:hAnsi="宋体" w:eastAsia="仿宋_GB2312" w:cs="宋体"/>
          <w:strike w:val="0"/>
          <w:kern w:val="0"/>
          <w:sz w:val="32"/>
          <w:szCs w:val="32"/>
        </w:rPr>
        <w:t>万元，下降</w:t>
      </w:r>
      <w:r>
        <w:rPr>
          <w:rFonts w:hint="eastAsia" w:ascii="仿宋_GB2312" w:hAnsi="宋体" w:eastAsia="仿宋_GB2312" w:cs="宋体"/>
          <w:strike w:val="0"/>
          <w:kern w:val="0"/>
          <w:sz w:val="32"/>
          <w:szCs w:val="32"/>
          <w:lang w:val="en-US" w:eastAsia="zh-CN"/>
        </w:rPr>
        <w:t>40.05</w:t>
      </w:r>
      <w:r>
        <w:rPr>
          <w:rFonts w:hint="eastAsia" w:ascii="仿宋_GB2312" w:hAnsi="宋体" w:eastAsia="仿宋_GB2312" w:cs="宋体"/>
          <w:strike w:val="0"/>
          <w:kern w:val="0"/>
          <w:sz w:val="32"/>
          <w:szCs w:val="32"/>
        </w:rPr>
        <w:t>%。</w:t>
      </w:r>
      <w:r>
        <w:rPr>
          <w:rFonts w:hint="eastAsia" w:ascii="仿宋_GB2312" w:hAnsi="宋体" w:eastAsia="仿宋_GB2312" w:cs="宋体"/>
          <w:kern w:val="0"/>
          <w:sz w:val="32"/>
          <w:szCs w:val="32"/>
        </w:rPr>
        <w:t xml:space="preserve">主要原因是：减少人员经费和公用经费预算支出。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w:t>
      </w:r>
      <w:r>
        <w:rPr>
          <w:rFonts w:hint="eastAsia" w:ascii="仿宋_GB2312" w:eastAsia="仿宋_GB2312"/>
          <w:sz w:val="32"/>
          <w:szCs w:val="32"/>
          <w:lang w:val="en-US" w:eastAsia="zh-CN"/>
        </w:rPr>
        <w:t>201</w:t>
      </w:r>
      <w:r>
        <w:rPr>
          <w:rFonts w:hint="eastAsia" w:ascii="仿宋_GB2312" w:eastAsia="仿宋_GB2312"/>
          <w:sz w:val="32"/>
          <w:szCs w:val="32"/>
        </w:rPr>
        <w:t>）</w:t>
      </w:r>
      <w:r>
        <w:rPr>
          <w:rFonts w:hint="eastAsia" w:ascii="仿宋_GB2312" w:hAnsi="宋体" w:eastAsia="仿宋_GB2312" w:cs="宋体"/>
          <w:kern w:val="0"/>
          <w:sz w:val="32"/>
          <w:szCs w:val="32"/>
        </w:rPr>
        <w:t>1261.78万元，占100%。</w:t>
      </w:r>
    </w:p>
    <w:p>
      <w:pPr>
        <w:widowControl/>
        <w:spacing w:line="580" w:lineRule="exact"/>
        <w:ind w:firstLine="642"/>
        <w:jc w:val="left"/>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highlight w:val="none"/>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w:t>
      </w:r>
      <w:r>
        <w:rPr>
          <w:rFonts w:hint="eastAsia" w:ascii="仿宋_GB2312" w:hAnsi="宋体" w:eastAsia="仿宋_GB2312" w:cs="宋体"/>
          <w:kern w:val="0"/>
          <w:sz w:val="32"/>
          <w:szCs w:val="32"/>
        </w:rPr>
        <w:t>发展和改革事务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04</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1036.78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比上年执行数减少692.76万元，下降40.05%，主要原因是：减少人员经费和公用经费预算支出。     </w:t>
      </w:r>
    </w:p>
    <w:p>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w:t>
      </w:r>
      <w:r>
        <w:rPr>
          <w:rFonts w:hint="eastAsia" w:ascii="仿宋_GB2312" w:hAnsi="宋体" w:eastAsia="仿宋_GB2312" w:cs="宋体"/>
          <w:kern w:val="0"/>
          <w:sz w:val="32"/>
          <w:szCs w:val="32"/>
        </w:rPr>
        <w:t>发展和改革事务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04</w:t>
      </w:r>
      <w:r>
        <w:rPr>
          <w:rFonts w:ascii="仿宋_GB2312" w:hAnsi="宋体" w:eastAsia="仿宋_GB2312" w:cs="宋体"/>
          <w:kern w:val="0"/>
          <w:sz w:val="32"/>
          <w:szCs w:val="32"/>
        </w:rPr>
        <w:t>）</w:t>
      </w:r>
      <w:r>
        <w:rPr>
          <w:rFonts w:hint="eastAsia" w:ascii="仿宋_GB2312" w:hAnsi="宋体" w:eastAsia="仿宋_GB2312" w:cs="宋体"/>
          <w:kern w:val="0"/>
          <w:sz w:val="32"/>
          <w:szCs w:val="32"/>
        </w:rPr>
        <w:t>一般</w:t>
      </w:r>
      <w:r>
        <w:rPr>
          <w:rFonts w:ascii="仿宋_GB2312" w:hAnsi="宋体" w:eastAsia="仿宋_GB2312" w:cs="宋体"/>
          <w:kern w:val="0"/>
          <w:sz w:val="32"/>
          <w:szCs w:val="32"/>
        </w:rPr>
        <w:t>行政</w:t>
      </w:r>
      <w:r>
        <w:rPr>
          <w:rFonts w:hint="eastAsia" w:ascii="仿宋_GB2312" w:hAnsi="宋体" w:eastAsia="仿宋_GB2312" w:cs="宋体"/>
          <w:kern w:val="0"/>
          <w:sz w:val="32"/>
          <w:szCs w:val="32"/>
        </w:rPr>
        <w:t>管理事务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02</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225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24.69</w:t>
      </w:r>
      <w:r>
        <w:rPr>
          <w:rFonts w:hint="eastAsia" w:ascii="仿宋_GB2312" w:hAnsi="宋体" w:eastAsia="仿宋_GB2312" w:cs="宋体"/>
          <w:kern w:val="0"/>
          <w:sz w:val="32"/>
          <w:szCs w:val="32"/>
        </w:rPr>
        <w:t>万元，主要原因是：续建项目支出。</w:t>
      </w:r>
      <w:bookmarkStart w:id="0" w:name="_GoBack"/>
      <w:bookmarkEnd w:id="0"/>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六、关于昌吉州发改委2019年一般公共预算基本支出情况说明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昌吉州发改委2019年一般公共预算基本支出1036.78万元，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905.96万元，主要包括：基本工资、津贴补贴、奖金、伙食补助费、绩效工资、机关事业单位基本养老保险缴费、职工基本医疗保险缴费、公务员医疗补助缴费、其他社会保障缴费、住房公积金、医疗费、其他工资福利支出、离休费、生活补助、医疗费补助、奖励金、其他对个人和家庭的补助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130.82万元，主要包括：办公费、印刷费、水费、电费、邮电费、取暖费、物业管理费、差旅费、维修（护）费、培训费、公务接待费、劳务费、工会经费、福利费、公务用车运行维护费、其他商品和服务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七、关于昌吉州发改委2019年项目支出情况说明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项目名称一</w:t>
      </w:r>
      <w:r>
        <w:rPr>
          <w:rFonts w:hint="eastAsia" w:ascii="仿宋_GB2312" w:hAnsi="宋体" w:eastAsia="仿宋_GB2312" w:cs="宋体"/>
          <w:kern w:val="0"/>
          <w:sz w:val="32"/>
          <w:szCs w:val="32"/>
        </w:rPr>
        <w:t>：州重点项目前期费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设立的政策依据：国家、自治区、自治州相关政策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预算安排规模：60万元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项目承担单位：昌吉州发改委</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资金分配情况：60万元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资金执行时间：2019.01至2019.12</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项目名称二</w:t>
      </w:r>
      <w:r>
        <w:rPr>
          <w:rFonts w:hint="eastAsia" w:ascii="仿宋_GB2312" w:hAnsi="宋体" w:eastAsia="仿宋_GB2312" w:cs="宋体"/>
          <w:kern w:val="0"/>
          <w:sz w:val="32"/>
          <w:szCs w:val="32"/>
        </w:rPr>
        <w:t>：州对口援疆工作领导小组办公室业务经费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设立的政策依据：国家、自治区、自治州相关政策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预算安排规模：100万元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项目承担单位：昌吉州发改委</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资金分配情况：100万元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资金执行时间：2019.01至2019.12</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项目名称三</w:t>
      </w:r>
      <w:r>
        <w:rPr>
          <w:rFonts w:hint="eastAsia" w:ascii="仿宋_GB2312" w:hAnsi="宋体" w:eastAsia="仿宋_GB2312" w:cs="宋体"/>
          <w:kern w:val="0"/>
          <w:sz w:val="32"/>
          <w:szCs w:val="32"/>
        </w:rPr>
        <w:t>：州社会信用体系建设领导小组办公室业务经费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设立的政策依据：国家、自治区、自治州相关政策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项目承担单位：昌吉州发改委</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资金执行时间：2019.01至2019.12</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项目名称四</w:t>
      </w:r>
      <w:r>
        <w:rPr>
          <w:rFonts w:hint="eastAsia" w:ascii="仿宋_GB2312" w:hAnsi="宋体" w:eastAsia="仿宋_GB2312" w:cs="宋体"/>
          <w:kern w:val="0"/>
          <w:sz w:val="32"/>
          <w:szCs w:val="32"/>
        </w:rPr>
        <w:t>：州“信用昌吉”网站体系运行维护费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设立的政策依据：国家、自治区、自治州相关政策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预算安排规模：10万元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项目承担单位：昌吉州发改委</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资金分配情况：10万元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资金执行时间：2019.01至2019.12</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项目名称五</w:t>
      </w:r>
      <w:r>
        <w:rPr>
          <w:rFonts w:hint="eastAsia" w:ascii="仿宋_GB2312" w:hAnsi="宋体" w:eastAsia="仿宋_GB2312" w:cs="宋体"/>
          <w:kern w:val="0"/>
          <w:sz w:val="32"/>
          <w:szCs w:val="32"/>
        </w:rPr>
        <w:t>：州粮食流通监督检查业务经费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设立的政策依据：国家《粮食流通管理条例》</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项目承担单位：昌吉州发改委</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资金执行时间：2019.01至2019.12</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项目名称六</w:t>
      </w:r>
      <w:r>
        <w:rPr>
          <w:rFonts w:hint="eastAsia" w:ascii="仿宋_GB2312" w:hAnsi="宋体" w:eastAsia="仿宋_GB2312" w:cs="宋体"/>
          <w:kern w:val="0"/>
          <w:sz w:val="32"/>
          <w:szCs w:val="32"/>
        </w:rPr>
        <w:t>：放心粮油进农村业务经费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设立的政策依据：国家、自治区、州相关政策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项目承担单位：昌吉州发改委</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资金执行时间：2019.01至2019.12</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项目名称七</w:t>
      </w:r>
      <w:r>
        <w:rPr>
          <w:rFonts w:hint="eastAsia" w:ascii="仿宋_GB2312" w:hAnsi="宋体" w:eastAsia="仿宋_GB2312" w:cs="宋体"/>
          <w:kern w:val="0"/>
          <w:sz w:val="32"/>
          <w:szCs w:val="32"/>
        </w:rPr>
        <w:t>：州主食产业化发展业务经费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设立的政策依据：国家《粮食流通管理条例》</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项目承担单位：昌吉州发改委</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资金分配情况：20万元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资金执行时间：2019.01至2019.12</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项目名称八</w:t>
      </w:r>
      <w:r>
        <w:rPr>
          <w:rFonts w:hint="eastAsia" w:ascii="仿宋_GB2312" w:hAnsi="宋体" w:eastAsia="仿宋_GB2312" w:cs="宋体"/>
          <w:kern w:val="0"/>
          <w:sz w:val="32"/>
          <w:szCs w:val="32"/>
        </w:rPr>
        <w:t>：州粮食质量安全检测业务经费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州设立的政策依据：国家、自治区、自治州相关政策</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项目承担单位：昌吉州发改委</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资金分配情况：20万元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资金执行时间：2019.01至2019.12</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八、关于昌吉州发改委2019年一般公共预算“三公”经费预算情况说明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昌吉州发改委2019年“三公”经费财政拨款预算数为    18.91万元，其中：因公出国（境）费0万元，公务用车购置0万元，公务用车运行费17.92万元，公务接待费0.99万元。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减少0.2万元，其中：因公出国（境）费增加（减少）0万元，主要原因是：未安排预算；公务用车购置费为0，未安排预算。公务用车运行费减少0.19万元，主要原因是减少公务用车运行费支出；公务接待费减少0.01万元，主要原因是严格执行中央八项规定和自治区十条规定，以及昌吉州政府关于厉行节约反对浪费的规定。</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九、关于昌吉州发改委2019年政府性基金预算拨款情况说明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昌吉州发改委2019年没有使用政府性基金预算拨款安排的支出，政府性基金预算支出情况表为空表。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2019年，昌吉州发改委本级及下属</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家行政单位、2家参公管理事业单位和3家事业单位的机关运行经费财政拨款预算130.82万元，比上年预算增加33.39万元，增长34.27%。主要原因是：原州粮食局机构合并，增加人员经费和公用经费预算支出。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2019年，昌吉州发改委部门及下属单位政府采购预算   335万元，其中：政府采购货物预算110万元，政府采购工程预算20万元，政府采购服务预算205万元。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年底，昌吉州发改委部门及下属各预算单位占用使用国有资产总体情况为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1.房屋8881.01平方米，价值576.71万元。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2.车辆1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辆，价值416.94万元；其中：一般公务用车18辆，价值416.94万元；执法执勤用车0辆，价值0万元；其他车辆0辆，价值0万元。</w:t>
      </w:r>
    </w:p>
    <w:p>
      <w:pPr>
        <w:widowControl/>
        <w:tabs>
          <w:tab w:val="left" w:pos="5676"/>
        </w:tabs>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3.办公家具价值71.04万元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4.其他资产价值701.35万元。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 xml:space="preserve">年部门预算未安排购置车辆经费（或安排购置车辆经费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万元），安排购置50万元以上大型设备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台（套），单位价值100万元以上大型设备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2019年度，本年度实行绩效管理的项目8个，涉及预算金额225万元。具体情况见下表（按项目分别填报）：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sectPr>
          <w:pgSz w:w="11906" w:h="16838"/>
          <w:pgMar w:top="1440" w:right="1800" w:bottom="1440" w:left="1800" w:header="851" w:footer="992" w:gutter="0"/>
          <w:cols w:space="720" w:num="1"/>
          <w:docGrid w:type="lines" w:linePitch="312" w:charSpace="0"/>
        </w:sectPr>
      </w:pPr>
    </w:p>
    <w:tbl>
      <w:tblPr>
        <w:tblStyle w:val="4"/>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昌吉州发展和改革委员会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项目工作前期费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60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color w:val="000000"/>
                <w:kern w:val="0"/>
                <w:sz w:val="18"/>
                <w:szCs w:val="18"/>
              </w:rPr>
              <w:t xml:space="preserve"> 2019年预计审批政府投资类项目（社会事业、政法维稳、基础设施）可研报告120个、初步设计60个；预计核准企业投资项目（工业、交通、能源）50个。</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审批政府投资类项目、核准企业投资项目评审费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60万元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可研报告按时完成率（%）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核准企业投资项目按时完成率（%）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100%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审批政府投资类项目可研报告数量（个）</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120个</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color w:val="000000"/>
                <w:kern w:val="0"/>
                <w:sz w:val="18"/>
                <w:szCs w:val="18"/>
              </w:rPr>
              <w:t>审批政府投资类项目初步设计数量（个）</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color w:val="000000"/>
                <w:kern w:val="0"/>
                <w:sz w:val="18"/>
                <w:szCs w:val="18"/>
              </w:rPr>
              <w:t>60个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核准企业投资项目数量（个）</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50个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可研报告合格率（%）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kern w:val="0"/>
                <w:sz w:val="18"/>
                <w:szCs w:val="18"/>
              </w:rPr>
            </w:pPr>
            <w:r>
              <w:rPr>
                <w:rFonts w:hint="eastAsia" w:ascii="宋体" w:hAnsi="宋体" w:cs="宋体"/>
                <w:color w:val="000000"/>
                <w:kern w:val="0"/>
                <w:sz w:val="18"/>
                <w:szCs w:val="18"/>
              </w:rPr>
              <w:t>初步设计合格率（%）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核准企业投资项目合格率（%）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持续提升群众幸福感、获得感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持续提升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提高社会生态环境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改善社会生态环境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改善</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18"/>
                <w:szCs w:val="18"/>
              </w:rPr>
              <w:t>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昌吉州发展和改革委员会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自治州对口援疆领导小组办公室业务经费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color w:val="000000"/>
                <w:kern w:val="0"/>
                <w:sz w:val="20"/>
                <w:szCs w:val="20"/>
                <w:lang w:bidi="ar"/>
              </w:rPr>
              <w:t xml:space="preserve"> 自治州对口援疆领导小组组织协调援疆事项等日常事务，保证2019年度福建、山西两省对口支援昌吉州计划实施项目顺利实施及竣工验收。</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援受双方交往交流交融等费用开支（万元)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争取援疆项目资金及时到位率（%）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确保援疆项目顺利实施率（%）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争取2019年福建对口支援昌吉州计划实施项目（个）</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113个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争取2019年山西对口支援昌吉州计划实施项目（个）</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22个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争取援疆项目资金全部到位率（%）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提高援疆项目申报成功率（%）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持续提高群众生产生活条件、促进就业、教育和医疗卫生等方面。</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持续提高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夯实农村基础设施，为贫困村改善发展环境，加强协调服务，着力提高贫困群众的生产生活条件。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受益群体满意度（%）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昌吉州发展和改革委员会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0"/>
                <w:szCs w:val="20"/>
                <w:lang w:bidi="ar"/>
              </w:rPr>
              <w:t>州社会信用体系领导小组办公室业务经费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color w:val="000000"/>
                <w:kern w:val="0"/>
                <w:sz w:val="20"/>
                <w:szCs w:val="20"/>
                <w:lang w:bidi="ar"/>
              </w:rPr>
              <w:t>确保“信用昌吉”网站系统正常运行，确保公共信用信息平台数据的及时性、完整性、准确性，平台数据得到充分利用，加快我州社会信用体系建设步伐，整顿和规范市场经济秩序，优化发展环境，更好地促进经济社会协调健康发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管理工作费用（万元）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5万元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信息更新及时率（%）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&gt;99%</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各类公示信息年录入量（条）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&gt;2万条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网站日常运行稳定性（%）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&gt;99.5%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通过网站信息公示、节约人工成本和时间（工作日）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15个工作日</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实现统一登记、信息管理的全覆盖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&gt;98%</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kern w:val="0"/>
                <w:sz w:val="18"/>
                <w:szCs w:val="18"/>
              </w:rPr>
            </w:pPr>
            <w:r>
              <w:rPr>
                <w:rFonts w:hint="eastAsia" w:ascii="宋体" w:hAnsi="宋体" w:cs="宋体"/>
                <w:color w:val="000000"/>
                <w:kern w:val="0"/>
                <w:sz w:val="20"/>
                <w:szCs w:val="20"/>
                <w:lang w:bidi="ar"/>
              </w:rPr>
              <w:t>数据将接入自治区信用平台，提升信用信息数据向各部门实时自动推送的实现率(%)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20"/>
                <w:szCs w:val="20"/>
                <w:lang w:bidi="ar"/>
              </w:rPr>
              <w:t>&gt;80%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信用体系信息归集发布持续率（%）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实现统一信息管理，覆盖率（%）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&gt;95%</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昌吉州发展和改革委员会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0"/>
                <w:szCs w:val="20"/>
                <w:lang w:bidi="ar"/>
              </w:rPr>
              <w:t>“信用昌吉”网站体系运行维护费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color w:val="000000"/>
                <w:kern w:val="0"/>
                <w:sz w:val="20"/>
                <w:szCs w:val="20"/>
                <w:lang w:bidi="ar"/>
              </w:rPr>
              <w:t xml:space="preserve"> 确保“信用昌吉”网站系统正常运行，确保公共信用信息平台数据的及时性、完整性、准确性，平台数据得到充分利用，加快我州社会信用体系建设步伐，整顿和规范市场经济秩序，优化发展环境，更好地促进经济社会协调健康发展。</w:t>
            </w: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网站体系维护费（万元）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信息更新及时率（%）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&gt;99%</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18"/>
                <w:szCs w:val="18"/>
                <w:lang w:eastAsia="zh-CN"/>
              </w:rPr>
            </w:pPr>
            <w:r>
              <w:rPr>
                <w:rFonts w:hint="eastAsia" w:ascii="宋体" w:hAnsi="宋体" w:cs="宋体"/>
                <w:color w:val="000000"/>
                <w:kern w:val="0"/>
                <w:sz w:val="20"/>
                <w:szCs w:val="20"/>
                <w:lang w:bidi="ar"/>
              </w:rPr>
              <w:t>各类公示信息年录入量（条）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&gt;2万条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网站日常运行稳定性（%）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&gt;99.5%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通过网站信息公示、节约人工成本和时间（工作日）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15个工作日</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18"/>
                <w:szCs w:val="18"/>
                <w:lang w:val="en-US" w:eastAsia="zh-CN"/>
              </w:rPr>
            </w:pPr>
            <w:r>
              <w:rPr>
                <w:rFonts w:hint="eastAsia" w:ascii="宋体" w:hAnsi="宋体" w:cs="宋体"/>
                <w:color w:val="000000"/>
                <w:kern w:val="0"/>
                <w:sz w:val="20"/>
                <w:szCs w:val="20"/>
                <w:lang w:bidi="ar"/>
              </w:rPr>
              <w:t>实现统一登记、信息管理的全覆盖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&gt;98%</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kern w:val="0"/>
                <w:sz w:val="18"/>
                <w:szCs w:val="18"/>
                <w:lang w:val="en-US" w:eastAsia="zh-CN"/>
              </w:rPr>
            </w:pPr>
            <w:r>
              <w:rPr>
                <w:rFonts w:hint="eastAsia" w:ascii="宋体" w:hAnsi="宋体" w:cs="宋体"/>
                <w:color w:val="000000"/>
                <w:kern w:val="0"/>
                <w:sz w:val="20"/>
                <w:szCs w:val="20"/>
                <w:lang w:bidi="ar"/>
              </w:rPr>
              <w:t>数据将接入自治区信用平台，提升信用信息数据向各部门实时自动推送的实现率(%)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20"/>
                <w:szCs w:val="20"/>
                <w:lang w:bidi="ar"/>
              </w:rPr>
              <w:t>&gt;80%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18"/>
                <w:szCs w:val="18"/>
                <w:lang w:val="en-US" w:eastAsia="zh-CN"/>
              </w:rPr>
            </w:pPr>
            <w:r>
              <w:rPr>
                <w:rFonts w:hint="eastAsia" w:ascii="宋体" w:hAnsi="宋体" w:cs="宋体"/>
                <w:color w:val="000000"/>
                <w:kern w:val="0"/>
                <w:sz w:val="20"/>
                <w:szCs w:val="20"/>
                <w:lang w:bidi="ar"/>
              </w:rPr>
              <w:t>信用体系信息归集发布持续率（%）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实现统一信息管理，覆盖率（%）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&gt;95%</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昌吉州发展和改革委员会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0"/>
                <w:szCs w:val="20"/>
                <w:lang w:bidi="ar"/>
              </w:rPr>
              <w:t>放心粮油进农村业务经费　</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color w:val="000000"/>
                <w:kern w:val="0"/>
                <w:sz w:val="20"/>
                <w:szCs w:val="20"/>
                <w:lang w:bidi="ar"/>
              </w:rPr>
              <w:t xml:space="preserve"> 坚持“因地制宜，有序展开，规范运作，务求实效”的原则，发挥粮食行业优势，以为民、便民、利民为出发点，以服务百姓生活为重点，通过整合粮油加工、购销企业和营销网络，在全州范围推广放心粮油进农村工程。</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建立放心粮油销售门店、创建国家级和自治区级放心粮食示范企业管理费用（万元）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4万元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建立放心粮油销售门店按时完成率（%)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创建国家级和自治区级放心粮食示范企业按时完成率（%)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建立放心粮油销售门店市场占有率(%)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创建国家级和自治区级放心粮食示范企业（家）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12家</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建立放心粮油销售门店合格率（%）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创建国家级和自治区级放心粮食示范企业合格率（%）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保障放心粮油市场供应，持续稳定市场秩序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持续稳定</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改善人民群众的饮食结构和生活水平，为群众提供更加丰富多样的放心粮油产品，提高食品安全水平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昌吉州发展和改革委员会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0"/>
                <w:szCs w:val="20"/>
                <w:lang w:bidi="ar"/>
              </w:rPr>
              <w:t>主食产业化发展业务经费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color w:val="000000"/>
                <w:kern w:val="0"/>
                <w:sz w:val="20"/>
                <w:szCs w:val="20"/>
                <w:lang w:bidi="ar"/>
              </w:rPr>
              <w:t>以政府推动为主导，以龙头企业为带动，以实施“主食产业示范工程”为抓手，以推动产业转型升级为目标，以建设“丝绸之路经济带”为契机，立足昌吉、主攻乌市、服务“三化”，抓点带面，逐步做强主食产业、做优特色品牌，提升昌吉美食文化影响力。</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培育示范加工企业、建设主食厨房门店管理费用（万元）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20万元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培育示范加工企业3家按时完成率（%）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建设主食厨房门店50家按时完成率（%）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培育示范加工企业(家）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3家</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建设主食厨房门店(家）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50家</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培育示范加工企业合格率（%）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建设主食厨房门店合格率（%）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做强主食产业、做优特色品牌，持续提升昌吉美食文化影响力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持续提升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改善提高人民群众的饮食结构和生活水平，为群众提供更加丰富多样的放心粮油产品，提高食品安全水平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402"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422"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昌吉州发展和改革委员会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0"/>
                <w:szCs w:val="20"/>
                <w:lang w:bidi="ar"/>
              </w:rPr>
              <w:t>粮油质量安全检测业务经费　</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color w:val="000000"/>
                <w:kern w:val="0"/>
                <w:sz w:val="20"/>
                <w:szCs w:val="20"/>
                <w:lang w:bidi="ar"/>
              </w:rPr>
              <w:t>完成2019年度粮食库存抽检、政策性粮食抽检及军供粮油抽检1批次。</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检测费用（元）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20万元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检测完成及时率（%）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粮食库存质量抽检批次（批次）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1批次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kern w:val="0"/>
                <w:sz w:val="18"/>
                <w:szCs w:val="18"/>
              </w:rPr>
            </w:pPr>
            <w:r>
              <w:rPr>
                <w:rFonts w:hint="eastAsia" w:ascii="宋体" w:hAnsi="宋体" w:cs="宋体"/>
                <w:color w:val="000000"/>
                <w:kern w:val="0"/>
                <w:sz w:val="20"/>
                <w:szCs w:val="20"/>
                <w:lang w:bidi="ar"/>
              </w:rPr>
              <w:t>政策性粮食抽检批次（批次）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18"/>
                <w:szCs w:val="18"/>
              </w:rPr>
            </w:pPr>
            <w:r>
              <w:rPr>
                <w:rFonts w:hint="eastAsia" w:ascii="宋体" w:hAnsi="宋体" w:cs="宋体"/>
                <w:color w:val="000000"/>
                <w:kern w:val="0"/>
                <w:sz w:val="20"/>
                <w:szCs w:val="20"/>
                <w:lang w:bidi="ar"/>
              </w:rPr>
              <w:t>1批次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军供粮油的质量抽检批次（批次）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1批次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检验产品批次达标率（%）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重点管理计量器具鉴定率（%）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持续监督粮食质量安全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持续</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保障粮食安全，提高居民生活水平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r>
              <w:rPr>
                <w:rFonts w:hint="eastAsia" w:ascii="宋体" w:hAnsi="宋体" w:cs="宋体"/>
                <w:color w:val="000000"/>
                <w:kern w:val="0"/>
                <w:sz w:val="20"/>
                <w:szCs w:val="20"/>
                <w:lang w:bidi="ar"/>
              </w:rPr>
              <w:t>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718"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22"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昌吉州发展和改革委员会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0"/>
                <w:szCs w:val="20"/>
                <w:lang w:bidi="ar"/>
              </w:rPr>
              <w:t>粮食流通监督检查业务经费</w:t>
            </w:r>
          </w:p>
        </w:tc>
      </w:tr>
      <w:tr>
        <w:tblPrEx>
          <w:tblLayout w:type="fixed"/>
          <w:tblCellMar>
            <w:top w:w="0" w:type="dxa"/>
            <w:left w:w="108" w:type="dxa"/>
            <w:bottom w:w="0" w:type="dxa"/>
            <w:right w:w="108" w:type="dxa"/>
          </w:tblCellMar>
        </w:tblPrEx>
        <w:trPr>
          <w:trHeight w:val="30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245"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18"/>
                <w:szCs w:val="18"/>
              </w:rPr>
            </w:pPr>
            <w:r>
              <w:rPr>
                <w:rFonts w:hint="eastAsia" w:ascii="宋体" w:hAnsi="宋体" w:cs="宋体"/>
                <w:kern w:val="0"/>
                <w:sz w:val="18"/>
                <w:szCs w:val="18"/>
              </w:rPr>
              <w:t>　</w:t>
            </w:r>
            <w:r>
              <w:rPr>
                <w:rFonts w:hint="eastAsia" w:ascii="宋体" w:hAnsi="宋体" w:cs="宋体"/>
                <w:color w:val="000000"/>
                <w:kern w:val="0"/>
                <w:sz w:val="15"/>
                <w:szCs w:val="15"/>
                <w:lang w:bidi="ar"/>
              </w:rPr>
              <w:t>　一是开展政策性粮食库存数量和质量大清查工作，逢仓必到、逢粮必查、查必彻底。二是开展夏粮收购过程中的联合执法检查，确保夏粮收购有序进行，保护种粮农民利益。三是严格按照12325热线管理的有关规定，做好涉粮案件查处工作，认真履行法定程序，进一步拓宽社会监督渠道。四是配合其他科室开展对地方储备粮油、应急面粉、安全生产的检查，确保储备粮油和应急粮油数量真实、质量良好，生产安全。五是配合开展粮食流通统计制度的检查，坚决打击弄虚作假、违规瞒报、篡改等违法行为，确保全州粮食流通统计数据全面真实，为调控指导全州粮食购销平衡提供有力的数据支持。六是加强与各县市、相关部门的协调沟通，做好秋粮收购工作，及时发现存在的问题和困难，保障种粮农民利益。</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检查费用（万元）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6万元</w:t>
            </w:r>
          </w:p>
        </w:tc>
      </w:tr>
      <w:tr>
        <w:tblPrEx>
          <w:tblLayout w:type="fixed"/>
          <w:tblCellMar>
            <w:top w:w="0" w:type="dxa"/>
            <w:left w:w="108" w:type="dxa"/>
            <w:bottom w:w="0" w:type="dxa"/>
            <w:right w:w="108" w:type="dxa"/>
          </w:tblCellMar>
        </w:tblPrEx>
        <w:trPr>
          <w:trHeight w:val="32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检查完成及时率（%）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开展夏粮收购执法检查（批次）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2批次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kern w:val="0"/>
                <w:sz w:val="18"/>
                <w:szCs w:val="18"/>
              </w:rPr>
            </w:pPr>
            <w:r>
              <w:rPr>
                <w:rFonts w:hint="eastAsia" w:ascii="宋体" w:hAnsi="宋体" w:cs="宋体"/>
                <w:color w:val="000000"/>
                <w:kern w:val="0"/>
                <w:sz w:val="20"/>
                <w:szCs w:val="20"/>
                <w:lang w:bidi="ar"/>
              </w:rPr>
              <w:t>开展粮食安全生产检查（批次）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18"/>
                <w:szCs w:val="18"/>
              </w:rPr>
            </w:pPr>
            <w:r>
              <w:rPr>
                <w:rFonts w:hint="eastAsia" w:ascii="宋体" w:hAnsi="宋体" w:cs="宋体"/>
                <w:color w:val="000000"/>
                <w:kern w:val="0"/>
                <w:sz w:val="20"/>
                <w:szCs w:val="20"/>
                <w:lang w:bidi="ar"/>
              </w:rPr>
              <w:t>6批次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开展粮食库存检查（批次）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4批次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 xml:space="preserve"> 夏粮收购执法检查达标率（%）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kern w:val="0"/>
                <w:sz w:val="18"/>
                <w:szCs w:val="18"/>
              </w:rPr>
            </w:pPr>
            <w:r>
              <w:rPr>
                <w:rFonts w:hint="eastAsia" w:ascii="宋体" w:hAnsi="宋体" w:cs="宋体"/>
                <w:color w:val="000000"/>
                <w:kern w:val="0"/>
                <w:sz w:val="20"/>
                <w:szCs w:val="20"/>
                <w:lang w:bidi="ar"/>
              </w:rPr>
              <w:t>粮食安全生产检查达标率（%）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开展粮食库存检查达标率（%）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粮食市场秩序持续良好</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持续</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粮食库存质量好、数量真实、市场安全，提高粮食安全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kern w:val="0"/>
                <w:sz w:val="18"/>
                <w:szCs w:val="18"/>
              </w:rPr>
            </w:pPr>
            <w:r>
              <w:rPr>
                <w:rFonts w:hint="eastAsia" w:ascii="宋体" w:hAnsi="宋体" w:cs="宋体"/>
                <w:color w:val="000000"/>
                <w:kern w:val="0"/>
                <w:sz w:val="20"/>
                <w:szCs w:val="20"/>
                <w:lang w:bidi="ar"/>
              </w:rPr>
              <w:t>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 w:val="18"/>
                <w:szCs w:val="18"/>
              </w:rPr>
            </w:pPr>
            <w:r>
              <w:rPr>
                <w:rFonts w:hint="eastAsia" w:ascii="宋体" w:hAnsi="宋体" w:cs="宋体"/>
                <w:color w:val="000000"/>
                <w:kern w:val="0"/>
                <w:sz w:val="20"/>
                <w:szCs w:val="20"/>
                <w:lang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r>
    </w:tbl>
    <w:p>
      <w:pPr>
        <w:widowControl/>
        <w:jc w:val="left"/>
        <w:rPr>
          <w:rFonts w:ascii="楷体_GB2312" w:hAnsi="宋体" w:eastAsia="楷体_GB2312" w:cs="宋体"/>
          <w:b/>
          <w:kern w:val="0"/>
          <w:sz w:val="32"/>
          <w:szCs w:val="32"/>
        </w:rPr>
      </w:pPr>
    </w:p>
    <w:p>
      <w:pPr>
        <w:widowControl/>
        <w:jc w:val="left"/>
        <w:rPr>
          <w:rFonts w:ascii="楷体_GB2312" w:hAnsi="宋体" w:eastAsia="楷体_GB2312" w:cs="宋体"/>
          <w:b/>
          <w:kern w:val="0"/>
          <w:sz w:val="32"/>
          <w:szCs w:val="32"/>
        </w:rPr>
        <w:sectPr>
          <w:pgSz w:w="16838" w:h="11906" w:orient="landscape"/>
          <w:pgMar w:top="1803" w:right="1440" w:bottom="1803" w:left="1440" w:header="851" w:footer="992" w:gutter="0"/>
          <w:cols w:space="720" w:num="1"/>
          <w:docGrid w:type="lines" w:linePitch="312" w:charSpace="0"/>
        </w:sectPr>
      </w:pPr>
    </w:p>
    <w:p>
      <w:pPr>
        <w:widowControl/>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无其他需要说明的事项。</w:t>
      </w:r>
      <w:r>
        <w:rPr>
          <w:rFonts w:hint="eastAsia" w:ascii="仿宋_GB2312" w:hAnsi="宋体" w:eastAsia="仿宋_GB2312" w:cs="宋体"/>
          <w:kern w:val="0"/>
          <w:sz w:val="32"/>
          <w:szCs w:val="32"/>
        </w:rPr>
        <w:t xml:space="preserve">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w:t>
      </w:r>
    </w:p>
    <w:p>
      <w:pPr>
        <w:spacing w:line="55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本级部门用一般公共预算财政拨款安排的公务用车运行费和公务接待费。其中，公务用车运行费指单位公务用车燃料费、维修费、过路过桥费、保险费等支出；公务接待费指单位按规定开支的各类公务接待（含外宾接待）支出。</w:t>
      </w:r>
    </w:p>
    <w:p>
      <w:pPr>
        <w:spacing w:line="550" w:lineRule="exact"/>
        <w:ind w:firstLine="642"/>
        <w:rPr>
          <w:rFonts w:ascii="仿宋_GB2312" w:hAnsi="宋体" w:eastAsia="仿宋_GB2312" w:cs="宋体"/>
          <w:kern w:val="0"/>
          <w:sz w:val="32"/>
          <w:szCs w:val="32"/>
        </w:rPr>
      </w:pPr>
      <w:r>
        <w:rPr>
          <w:rFonts w:hint="eastAsia" w:ascii="黑体" w:hAnsi="黑体" w:eastAsia="黑体"/>
          <w:sz w:val="32"/>
          <w:szCs w:val="32"/>
        </w:rPr>
        <w:t>八、机关运行经费：</w:t>
      </w:r>
      <w:r>
        <w:rPr>
          <w:rFonts w:hint="eastAsia" w:ascii="仿宋_GB2312" w:eastAsia="仿宋_GB2312"/>
          <w:sz w:val="32"/>
          <w:szCs w:val="32"/>
        </w:rPr>
        <w:t>指本级部门的公用经费，包括办公及印刷费、邮电费、差旅费、会议费、福利费、日常维修费、专用材料及一般设备购置费、办公用房水电费、办公用房取暖费、办公用房物业管理费、公务用车运行维护费及其他费用。</w:t>
      </w:r>
      <w:r>
        <w:rPr>
          <w:rFonts w:hint="eastAsia" w:ascii="仿宋_GB2312" w:hAnsi="宋体" w:eastAsia="仿宋_GB2312" w:cs="宋体"/>
          <w:kern w:val="0"/>
          <w:sz w:val="32"/>
          <w:szCs w:val="32"/>
        </w:rPr>
        <w:t xml:space="preserve">                       </w:t>
      </w:r>
    </w:p>
    <w:p>
      <w:pPr>
        <w:spacing w:line="550" w:lineRule="exact"/>
        <w:ind w:firstLine="642"/>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昌吉州发展和改革委员会</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Dialog">
    <w:altName w:val="Times New Roman"/>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1EFB0"/>
    <w:multiLevelType w:val="singleLevel"/>
    <w:tmpl w:val="5CB1EFB0"/>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2C0808"/>
    <w:rsid w:val="007343B6"/>
    <w:rsid w:val="00945F93"/>
    <w:rsid w:val="00990350"/>
    <w:rsid w:val="00A710D8"/>
    <w:rsid w:val="00CA1485"/>
    <w:rsid w:val="00E5038F"/>
    <w:rsid w:val="00FD5EBA"/>
    <w:rsid w:val="01A45240"/>
    <w:rsid w:val="02F45E67"/>
    <w:rsid w:val="03071604"/>
    <w:rsid w:val="03A6048B"/>
    <w:rsid w:val="04AC7736"/>
    <w:rsid w:val="050E3F58"/>
    <w:rsid w:val="052109FA"/>
    <w:rsid w:val="06133805"/>
    <w:rsid w:val="064258CA"/>
    <w:rsid w:val="066C7717"/>
    <w:rsid w:val="06C8202F"/>
    <w:rsid w:val="06ED47ED"/>
    <w:rsid w:val="074A1304"/>
    <w:rsid w:val="085F33CA"/>
    <w:rsid w:val="093A1669"/>
    <w:rsid w:val="09F04A5A"/>
    <w:rsid w:val="0A21302B"/>
    <w:rsid w:val="0A420FE1"/>
    <w:rsid w:val="0B1161B7"/>
    <w:rsid w:val="0DF626F7"/>
    <w:rsid w:val="1127642E"/>
    <w:rsid w:val="16D23D7F"/>
    <w:rsid w:val="17361C58"/>
    <w:rsid w:val="17631678"/>
    <w:rsid w:val="1A1A0363"/>
    <w:rsid w:val="1B1E10E7"/>
    <w:rsid w:val="1E1959ED"/>
    <w:rsid w:val="1F461165"/>
    <w:rsid w:val="21A57AC0"/>
    <w:rsid w:val="2255468D"/>
    <w:rsid w:val="22EB6936"/>
    <w:rsid w:val="23E55A70"/>
    <w:rsid w:val="24FE7DDD"/>
    <w:rsid w:val="27BB513C"/>
    <w:rsid w:val="27EF3B31"/>
    <w:rsid w:val="2960326E"/>
    <w:rsid w:val="2B1264B8"/>
    <w:rsid w:val="2BE62B6F"/>
    <w:rsid w:val="2CDB3B2D"/>
    <w:rsid w:val="2D8E0DCA"/>
    <w:rsid w:val="2E8E41F0"/>
    <w:rsid w:val="2E9C5704"/>
    <w:rsid w:val="2F3E6592"/>
    <w:rsid w:val="2FEA0E86"/>
    <w:rsid w:val="2FF86615"/>
    <w:rsid w:val="32445586"/>
    <w:rsid w:val="335F426E"/>
    <w:rsid w:val="350F0F1C"/>
    <w:rsid w:val="35F90E99"/>
    <w:rsid w:val="36E70B22"/>
    <w:rsid w:val="39BE02CB"/>
    <w:rsid w:val="3A692962"/>
    <w:rsid w:val="3E790F0E"/>
    <w:rsid w:val="3EEC59CA"/>
    <w:rsid w:val="3F345DBE"/>
    <w:rsid w:val="409B1E62"/>
    <w:rsid w:val="42605DFA"/>
    <w:rsid w:val="44E1570C"/>
    <w:rsid w:val="44F616AB"/>
    <w:rsid w:val="478046DF"/>
    <w:rsid w:val="481A5E03"/>
    <w:rsid w:val="48973EA7"/>
    <w:rsid w:val="4B1906C2"/>
    <w:rsid w:val="4B481211"/>
    <w:rsid w:val="4BBF710C"/>
    <w:rsid w:val="4C3B1A9E"/>
    <w:rsid w:val="4E7F4257"/>
    <w:rsid w:val="4E9A7E7F"/>
    <w:rsid w:val="508072DE"/>
    <w:rsid w:val="517814A8"/>
    <w:rsid w:val="538B39A0"/>
    <w:rsid w:val="548D4024"/>
    <w:rsid w:val="55DB79EC"/>
    <w:rsid w:val="568A741E"/>
    <w:rsid w:val="56CC14F3"/>
    <w:rsid w:val="56D0597B"/>
    <w:rsid w:val="57C54F8E"/>
    <w:rsid w:val="57F347D8"/>
    <w:rsid w:val="58F37008"/>
    <w:rsid w:val="592461CF"/>
    <w:rsid w:val="5A6C6166"/>
    <w:rsid w:val="5C5B3413"/>
    <w:rsid w:val="5D7209DD"/>
    <w:rsid w:val="667F60B7"/>
    <w:rsid w:val="66903DD3"/>
    <w:rsid w:val="669427D9"/>
    <w:rsid w:val="6987602F"/>
    <w:rsid w:val="6AD1534B"/>
    <w:rsid w:val="6D303931"/>
    <w:rsid w:val="6F5B51C0"/>
    <w:rsid w:val="713B7C54"/>
    <w:rsid w:val="715920DB"/>
    <w:rsid w:val="72890BDD"/>
    <w:rsid w:val="79B26D06"/>
    <w:rsid w:val="7BAD2677"/>
    <w:rsid w:val="7C9570F1"/>
    <w:rsid w:val="7E163CF9"/>
    <w:rsid w:val="7F926D36"/>
    <w:rsid w:val="7FED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character" w:styleId="7">
    <w:name w:val="page number"/>
    <w:basedOn w:val="5"/>
    <w:unhideWhenUsed/>
    <w:qFormat/>
    <w:uiPriority w:val="99"/>
  </w:style>
  <w:style w:type="paragraph" w:customStyle="1" w:styleId="8">
    <w:name w:val="批注框文本1"/>
    <w:basedOn w:val="1"/>
    <w:link w:val="16"/>
    <w:qFormat/>
    <w:uiPriority w:val="0"/>
    <w:rPr>
      <w:sz w:val="18"/>
      <w:szCs w:val="18"/>
    </w:rPr>
  </w:style>
  <w:style w:type="paragraph" w:customStyle="1" w:styleId="9">
    <w:name w:val="正文文本缩进 31"/>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
    <w:name w:val="列出段落1"/>
    <w:basedOn w:val="1"/>
    <w:qFormat/>
    <w:uiPriority w:val="0"/>
    <w:pPr>
      <w:ind w:firstLine="420" w:firstLineChars="200"/>
    </w:pPr>
    <w:rPr>
      <w:rFonts w:ascii="Calibri" w:hAnsi="Calibri"/>
      <w:szCs w:val="22"/>
    </w:rPr>
  </w:style>
  <w:style w:type="paragraph" w:customStyle="1" w:styleId="12">
    <w:name w:val="普通(网站)1"/>
    <w:basedOn w:val="1"/>
    <w:qFormat/>
    <w:uiPriority w:val="0"/>
    <w:rPr>
      <w:rFonts w:ascii="Calibri" w:hAnsi="Calibri" w:cs="黑体"/>
      <w:sz w:val="24"/>
    </w:rPr>
  </w:style>
  <w:style w:type="paragraph" w:customStyle="1" w:styleId="13">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普通(网站)21"/>
    <w:basedOn w:val="1"/>
    <w:qFormat/>
    <w:uiPriority w:val="0"/>
    <w:rPr>
      <w:rFonts w:ascii="Calibri" w:hAnsi="Calibri" w:cs="黑体"/>
      <w:sz w:val="24"/>
    </w:rPr>
  </w:style>
  <w:style w:type="paragraph" w:customStyle="1" w:styleId="15">
    <w:name w:val="普通(网站)3"/>
    <w:basedOn w:val="1"/>
    <w:qFormat/>
    <w:uiPriority w:val="0"/>
    <w:rPr>
      <w:rFonts w:ascii="Calibri" w:hAnsi="Calibri" w:cs="黑体"/>
      <w:sz w:val="24"/>
    </w:rPr>
  </w:style>
  <w:style w:type="character" w:customStyle="1" w:styleId="16">
    <w:name w:val="批注框文本 Char"/>
    <w:link w:val="8"/>
    <w:semiHidden/>
    <w:qFormat/>
    <w:uiPriority w:val="0"/>
    <w:rPr>
      <w:rFonts w:ascii="Times New Roman" w:hAnsi="Times New Roman" w:eastAsia="宋体" w:cs="Times New Roman"/>
      <w:sz w:val="18"/>
      <w:szCs w:val="18"/>
    </w:rPr>
  </w:style>
  <w:style w:type="character" w:customStyle="1" w:styleId="17">
    <w:name w:val="页脚 字符"/>
    <w:link w:val="2"/>
    <w:semiHidden/>
    <w:qFormat/>
    <w:uiPriority w:val="0"/>
    <w:rPr>
      <w:rFonts w:ascii="Times New Roman" w:hAnsi="Times New Roman" w:eastAsia="黑体" w:cs="Times New Roman"/>
      <w:snapToGrid w:val="0"/>
      <w:kern w:val="0"/>
      <w:sz w:val="18"/>
      <w:szCs w:val="18"/>
    </w:rPr>
  </w:style>
  <w:style w:type="character" w:customStyle="1" w:styleId="18">
    <w:name w:val="页眉 字符"/>
    <w:link w:val="3"/>
    <w:semiHidden/>
    <w:qFormat/>
    <w:uiPriority w:val="0"/>
    <w:rPr>
      <w:rFonts w:ascii="Times New Roman" w:hAnsi="Times New Roman" w:eastAsia="宋体" w:cs="Times New Roman"/>
      <w:sz w:val="18"/>
      <w:szCs w:val="18"/>
    </w:rPr>
  </w:style>
  <w:style w:type="character" w:customStyle="1" w:styleId="19">
    <w:name w:val="正文文本缩进 3 Char"/>
    <w:link w:val="9"/>
    <w:semiHidden/>
    <w:qFormat/>
    <w:uiPriority w:val="0"/>
    <w:rPr>
      <w:rFonts w:ascii="Times New Roman" w:hAnsi="Times New Roman" w:eastAsia="仿宋_GB2312" w:cs="Times New Roman"/>
      <w:sz w:val="32"/>
      <w:szCs w:val="24"/>
    </w:rPr>
  </w:style>
  <w:style w:type="character" w:customStyle="1" w:styleId="20">
    <w:name w:val="页码1"/>
    <w:basedOn w:val="5"/>
    <w:qFormat/>
    <w:uiPriority w:val="0"/>
  </w:style>
  <w:style w:type="character" w:customStyle="1" w:styleId="21">
    <w:name w:val="font01"/>
    <w:qFormat/>
    <w:uiPriority w:val="0"/>
    <w:rPr>
      <w:rFonts w:hint="eastAsia" w:ascii="宋体" w:hAnsi="宋体" w:eastAsia="宋体" w:cs="宋体"/>
      <w:color w:val="000000"/>
      <w:sz w:val="24"/>
      <w:szCs w:val="24"/>
      <w:u w:val="none"/>
    </w:rPr>
  </w:style>
  <w:style w:type="character" w:customStyle="1" w:styleId="22">
    <w:name w:val="font11"/>
    <w:qFormat/>
    <w:uiPriority w:val="0"/>
    <w:rPr>
      <w:rFonts w:hint="default" w:ascii="Dialog" w:hAnsi="Dialog" w:eastAsia="Dialog" w:cs="Dialog"/>
      <w:color w:val="000000"/>
      <w:sz w:val="24"/>
      <w:szCs w:val="24"/>
      <w:u w:val="none"/>
    </w:rPr>
  </w:style>
  <w:style w:type="character" w:customStyle="1" w:styleId="23">
    <w:name w:val="font31"/>
    <w:qFormat/>
    <w:uiPriority w:val="0"/>
    <w:rPr>
      <w:rFonts w:hint="eastAsia" w:ascii="宋体" w:hAnsi="宋体" w:eastAsia="宋体" w:cs="宋体"/>
      <w:color w:val="000000"/>
      <w:sz w:val="24"/>
      <w:szCs w:val="24"/>
      <w:u w:val="none"/>
    </w:rPr>
  </w:style>
  <w:style w:type="character" w:customStyle="1" w:styleId="24">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2660</Words>
  <Characters>15166</Characters>
  <Lines>126</Lines>
  <Paragraphs>35</Paragraphs>
  <TotalTime>3</TotalTime>
  <ScaleCrop>false</ScaleCrop>
  <LinksUpToDate>false</LinksUpToDate>
  <CharactersWithSpaces>17791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2019-01-15T18:37:00Z</dcterms:created>
  <dc:creator>王怡</dc:creator>
  <cp:lastModifiedBy>谢娟</cp:lastModifiedBy>
  <dcterms:modified xsi:type="dcterms:W3CDTF">2021-05-27T12:14:49Z</dcterms:modified>
  <dc:title>王怡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