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昌吉州教育局2019年部门预算公开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昌吉州教育局概况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2019年部门预算公开表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一、关于昌吉州教育局2019年收支预算情况的总体说明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二、关于昌吉州教育局2019年收入预算情况说明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三、关于昌吉州教育局2019年支出预算情况说明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四、关于昌吉州教育局2019年财政拨款收支预算情况的总体说明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五、关于昌吉州教育局2019年一般公共预算当年拨款情况说明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六、关于昌吉州教育局2019年一般公共预算基本支出情况说明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七、关于昌吉州教育局2019年项目支出情况说明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八、关于昌吉州教育局2019年一般公共预算“三公”经费预算情况说明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九、关于昌吉州教育局2019年政府性基金预算拨款情况说明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昌吉州教育局单位概况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昌吉回族自治州教育局是自治州人民政府负责全州教育事业的工作部门。</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1、全面贯彻执行党和国家、自治区有关教育工作的方针、政策和法律法规，拟定自治州教育实施方案和管理办法并监督执行。</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2、制定全州教育事业发展战略、规划和计划，确立教育事业发展重点、规模、速度和步骤，并指导、协调各县(市)、各部门的贯彻实施。</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3、综合管理全州的基础教育、职业教育、成人教育、社会力量办学等工作；主管全州幼儿教育工作，指导协调各县(市)、各部门的有关教育工作。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4、负责拟定自治州“双语”教育发展规划，组织推进“双语”教学工作，扩大“双语”教学的范围和规模，督查“双语”教学常规和教学质量。</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5、承担自治州人民政府教育督导工作；制定自治州教育督导计划和评估方案，并进行指导、监督、检查、评估。</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6、指导、协调全州各级各类学枚的德育教育工作；组织实施素质教育；指导各类学校体育、卫生、劳动、艺术等各类学校教育工作；协助有关部门搞好国防教育和军训工作。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7、参与管理州本级教育经费预决算的管理，会同有关部门筹措教育经费，制定教育基建投资规划、方案；负责全州各级各类学校的校舍建设及各项配套设施建设；指导、协调家庭经济困难学生资助管理工作；归口管理国家和国外对自治州的教育援助和教育贷款；负责教育统计信息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8、负责自治州教育系统专业技术职务评聘工作、教师继续教育工作和教师资格认定工作；负责具有教师资格的大中专毕业生的就业指导工作；会同有关部门制定教育系统劳资和人事管理工作的有关政策和规范性文件。</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9、负责自治州内地高中班、区内初中班的协调、宣传、组织统考、协助招生等工作；负责自治州区内初中班的管理工作。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10、归口管理全州的学历教育及其考试工作，指导管理全州各类招生考试和高中会考工作；规划、指导、管理继续教育、勤工俭学、扫除青壮年文盲工作。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11、负责制定自治州学校安全工作考核目标，建立安全目标责任制和事故责任追究制。督促、检查、指导学校安全工作。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12、参与自治州科技体制改革研究，指导教育体制和办学体制的改革，组织、规划、指导教育系统教育信息化工作。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13、归口管理教育系统的对外交流合作、出国留学和来昌留学工作。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sz w:val="32"/>
          <w:szCs w:val="32"/>
        </w:rPr>
        <w:t>14、指导教育学会、协会等教育社团组织工作。</w:t>
      </w:r>
    </w:p>
    <w:p>
      <w:pPr>
        <w:spacing w:line="560" w:lineRule="exact"/>
        <w:ind w:firstLine="627" w:firstLineChars="196"/>
        <w:rPr>
          <w:rFonts w:ascii="仿宋_GB2312" w:hAnsi="宋体" w:eastAsia="仿宋_GB2312" w:cs="宋体"/>
          <w:bCs/>
          <w:kern w:val="0"/>
          <w:sz w:val="32"/>
          <w:szCs w:val="32"/>
        </w:rPr>
      </w:pPr>
      <w:r>
        <w:rPr>
          <w:rFonts w:hint="eastAsia" w:ascii="仿宋_GB2312" w:hAnsi="宋体" w:eastAsia="仿宋_GB2312"/>
          <w:sz w:val="32"/>
          <w:szCs w:val="32"/>
        </w:rPr>
        <w:t>15、承办自治州人民政府交办的其他事项。</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昌吉州教育局无下属预算单位，下设15个处室，分别是：办公室（政策法规科）、政治处、人事科、基础教育科、成人职业教育科、思想政治科、计划财务科、纪检监察室、安全管理科、教育督导室、民办教育管理办公室、内学办（双语办）、学生资助中心、师资管理办公室、州教育评估中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昌吉州教育局编制数53，实有人数97人，其中：在职47人，减少5人； 退休49人，增加2人；离休1人，增加或减少0人。</w:t>
      </w: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both"/>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编制部门：昌吉州教育局</w:t>
      </w:r>
      <w:r>
        <w:rPr>
          <w:rFonts w:ascii="仿宋_GB2312" w:hAnsi="宋体" w:eastAsia="仿宋_GB2312"/>
          <w:kern w:val="0"/>
          <w:sz w:val="24"/>
        </w:rPr>
        <w:t xml:space="preserve">                 </w:t>
      </w:r>
      <w:r>
        <w:rPr>
          <w:rFonts w:hint="eastAsia" w:ascii="仿宋_GB2312" w:hAnsi="宋体" w:eastAsia="仿宋_GB2312"/>
          <w:kern w:val="0"/>
          <w:sz w:val="24"/>
        </w:rPr>
        <w:t xml:space="preserve">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1004.39</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201 </w:t>
            </w:r>
            <w:r>
              <w:rPr>
                <w:rFonts w:hint="eastAsia" w:ascii="仿宋_GB2312" w:hAnsi="宋体" w:eastAsia="仿宋_GB2312" w:cs="宋体"/>
                <w:kern w:val="0"/>
                <w:szCs w:val="21"/>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1004.39</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202 </w:t>
            </w:r>
            <w:r>
              <w:rPr>
                <w:rFonts w:hint="eastAsia" w:ascii="仿宋_GB2312" w:hAnsi="宋体" w:eastAsia="仿宋_GB2312" w:cs="宋体"/>
                <w:kern w:val="0"/>
                <w:szCs w:val="21"/>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203 </w:t>
            </w:r>
            <w:r>
              <w:rPr>
                <w:rFonts w:hint="eastAsia" w:ascii="仿宋_GB2312" w:hAnsi="宋体" w:eastAsia="仿宋_GB2312" w:cs="宋体"/>
                <w:kern w:val="0"/>
                <w:szCs w:val="21"/>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204 </w:t>
            </w:r>
            <w:r>
              <w:rPr>
                <w:rFonts w:hint="eastAsia" w:ascii="仿宋_GB2312" w:hAnsi="宋体" w:eastAsia="仿宋_GB2312" w:cs="宋体"/>
                <w:kern w:val="0"/>
                <w:szCs w:val="21"/>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205 </w:t>
            </w:r>
            <w:r>
              <w:rPr>
                <w:rFonts w:hint="eastAsia" w:ascii="仿宋_GB2312" w:hAnsi="宋体" w:eastAsia="仿宋_GB2312" w:cs="宋体"/>
                <w:kern w:val="0"/>
                <w:szCs w:val="21"/>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1004.39</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206 </w:t>
            </w:r>
            <w:r>
              <w:rPr>
                <w:rFonts w:hint="eastAsia" w:ascii="仿宋_GB2312" w:hAnsi="宋体" w:eastAsia="仿宋_GB2312" w:cs="宋体"/>
                <w:kern w:val="0"/>
                <w:szCs w:val="21"/>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207 </w:t>
            </w:r>
            <w:r>
              <w:rPr>
                <w:rFonts w:hint="eastAsia" w:ascii="仿宋_GB2312" w:hAnsi="宋体" w:eastAsia="仿宋_GB2312" w:cs="宋体"/>
                <w:kern w:val="0"/>
                <w:szCs w:val="21"/>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208 </w:t>
            </w:r>
            <w:r>
              <w:rPr>
                <w:rFonts w:hint="eastAsia" w:ascii="仿宋_GB2312" w:hAnsi="宋体" w:eastAsia="仿宋_GB2312" w:cs="宋体"/>
                <w:kern w:val="0"/>
                <w:szCs w:val="21"/>
              </w:rPr>
              <w:t>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209 </w:t>
            </w:r>
            <w:r>
              <w:rPr>
                <w:rFonts w:hint="eastAsia" w:ascii="仿宋_GB2312" w:hAnsi="宋体" w:eastAsia="仿宋_GB2312" w:cs="宋体"/>
                <w:kern w:val="0"/>
                <w:szCs w:val="21"/>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210 </w:t>
            </w:r>
            <w:r>
              <w:rPr>
                <w:rFonts w:hint="eastAsia" w:ascii="仿宋_GB2312" w:hAnsi="宋体" w:eastAsia="仿宋_GB2312" w:cs="宋体"/>
                <w:kern w:val="0"/>
                <w:szCs w:val="21"/>
              </w:rPr>
              <w:t>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211 </w:t>
            </w:r>
            <w:r>
              <w:rPr>
                <w:rFonts w:hint="eastAsia" w:ascii="仿宋_GB2312" w:hAnsi="宋体" w:eastAsia="仿宋_GB2312" w:cs="宋体"/>
                <w:kern w:val="0"/>
                <w:szCs w:val="21"/>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212 </w:t>
            </w:r>
            <w:r>
              <w:rPr>
                <w:rFonts w:hint="eastAsia" w:ascii="仿宋_GB2312" w:hAnsi="宋体" w:eastAsia="仿宋_GB2312" w:cs="宋体"/>
                <w:kern w:val="0"/>
                <w:szCs w:val="21"/>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213 </w:t>
            </w:r>
            <w:r>
              <w:rPr>
                <w:rFonts w:hint="eastAsia" w:ascii="仿宋_GB2312" w:hAnsi="宋体" w:eastAsia="仿宋_GB2312" w:cs="宋体"/>
                <w:kern w:val="0"/>
                <w:szCs w:val="21"/>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214 </w:t>
            </w:r>
            <w:r>
              <w:rPr>
                <w:rFonts w:hint="eastAsia" w:ascii="仿宋_GB2312" w:hAnsi="宋体" w:eastAsia="仿宋_GB2312" w:cs="宋体"/>
                <w:kern w:val="0"/>
                <w:szCs w:val="21"/>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215 </w:t>
            </w:r>
            <w:r>
              <w:rPr>
                <w:rFonts w:hint="eastAsia" w:ascii="仿宋_GB2312" w:hAnsi="宋体" w:eastAsia="仿宋_GB2312" w:cs="宋体"/>
                <w:kern w:val="0"/>
                <w:szCs w:val="21"/>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216 </w:t>
            </w:r>
            <w:r>
              <w:rPr>
                <w:rFonts w:hint="eastAsia" w:ascii="仿宋_GB2312" w:hAnsi="宋体" w:eastAsia="仿宋_GB2312" w:cs="宋体"/>
                <w:kern w:val="0"/>
                <w:szCs w:val="21"/>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217 </w:t>
            </w:r>
            <w:r>
              <w:rPr>
                <w:rFonts w:hint="eastAsia" w:ascii="仿宋_GB2312" w:hAnsi="宋体" w:eastAsia="仿宋_GB2312" w:cs="宋体"/>
                <w:kern w:val="0"/>
                <w:szCs w:val="21"/>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219 </w:t>
            </w:r>
            <w:r>
              <w:rPr>
                <w:rFonts w:hint="eastAsia" w:ascii="仿宋_GB2312" w:hAnsi="宋体" w:eastAsia="仿宋_GB2312" w:cs="宋体"/>
                <w:kern w:val="0"/>
                <w:szCs w:val="21"/>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220 </w:t>
            </w:r>
            <w:r>
              <w:rPr>
                <w:rFonts w:hint="eastAsia" w:ascii="仿宋_GB2312" w:hAnsi="宋体" w:eastAsia="仿宋_GB2312" w:cs="宋体"/>
                <w:kern w:val="0"/>
                <w:szCs w:val="21"/>
              </w:rPr>
              <w:t>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221 </w:t>
            </w:r>
            <w:r>
              <w:rPr>
                <w:rFonts w:hint="eastAsia" w:ascii="仿宋_GB2312" w:hAnsi="宋体" w:eastAsia="仿宋_GB2312" w:cs="宋体"/>
                <w:kern w:val="0"/>
                <w:szCs w:val="21"/>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222 </w:t>
            </w:r>
            <w:r>
              <w:rPr>
                <w:rFonts w:hint="eastAsia" w:ascii="仿宋_GB2312" w:hAnsi="宋体" w:eastAsia="仿宋_GB2312" w:cs="宋体"/>
                <w:kern w:val="0"/>
                <w:szCs w:val="21"/>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223 </w:t>
            </w:r>
            <w:r>
              <w:rPr>
                <w:rFonts w:hint="eastAsia" w:ascii="仿宋_GB2312" w:hAnsi="宋体" w:eastAsia="仿宋_GB2312" w:cs="宋体"/>
                <w:kern w:val="0"/>
                <w:szCs w:val="21"/>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227 </w:t>
            </w:r>
            <w:r>
              <w:rPr>
                <w:rFonts w:hint="eastAsia" w:ascii="仿宋_GB2312" w:hAnsi="宋体" w:eastAsia="仿宋_GB2312" w:cs="宋体"/>
                <w:kern w:val="0"/>
                <w:szCs w:val="21"/>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229 </w:t>
            </w:r>
            <w:r>
              <w:rPr>
                <w:rFonts w:hint="eastAsia" w:ascii="仿宋_GB2312" w:hAnsi="宋体" w:eastAsia="仿宋_GB2312" w:cs="宋体"/>
                <w:kern w:val="0"/>
                <w:szCs w:val="21"/>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231 </w:t>
            </w:r>
            <w:r>
              <w:rPr>
                <w:rFonts w:hint="eastAsia" w:ascii="仿宋_GB2312" w:hAnsi="宋体" w:eastAsia="仿宋_GB2312" w:cs="宋体"/>
                <w:kern w:val="0"/>
                <w:szCs w:val="21"/>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232 </w:t>
            </w:r>
            <w:r>
              <w:rPr>
                <w:rFonts w:hint="eastAsia" w:ascii="仿宋_GB2312" w:hAnsi="宋体" w:eastAsia="仿宋_GB2312" w:cs="宋体"/>
                <w:kern w:val="0"/>
                <w:szCs w:val="21"/>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8" w:type="dxa"/>
            <w:tcBorders>
              <w:top w:val="nil"/>
              <w:left w:val="nil"/>
              <w:bottom w:val="single" w:color="auto" w:sz="4" w:space="0"/>
              <w:right w:val="single" w:color="auto" w:sz="4" w:space="0"/>
            </w:tcBorders>
            <w:noWrap/>
            <w:vAlign w:val="bottom"/>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ascii="仿宋_GB2312" w:hAnsi="宋体" w:eastAsia="仿宋_GB2312" w:cs="宋体"/>
                <w:kern w:val="0"/>
                <w:szCs w:val="21"/>
              </w:rPr>
              <w:t xml:space="preserve">233 </w:t>
            </w:r>
            <w:r>
              <w:rPr>
                <w:rFonts w:hint="eastAsia" w:ascii="仿宋_GB2312" w:hAnsi="宋体" w:eastAsia="仿宋_GB2312" w:cs="宋体"/>
                <w:kern w:val="0"/>
                <w:szCs w:val="21"/>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Cs w:val="21"/>
              </w:rPr>
            </w:pPr>
            <w:r>
              <w:rPr>
                <w:rFonts w:hint="eastAsia" w:ascii="仿宋_GB2312" w:hAnsi="宋体" w:eastAsia="仿宋_GB2312" w:cs="宋体"/>
                <w:kern w:val="0"/>
                <w:szCs w:val="21"/>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小</w:t>
            </w:r>
            <w:r>
              <w:rPr>
                <w:rFonts w:ascii="仿宋_GB2312" w:hAnsi="宋体" w:eastAsia="仿宋_GB2312" w:cs="宋体"/>
                <w:kern w:val="0"/>
                <w:szCs w:val="21"/>
              </w:rPr>
              <w:t xml:space="preserve">           </w:t>
            </w:r>
            <w:r>
              <w:rPr>
                <w:rFonts w:hint="eastAsia" w:ascii="仿宋_GB2312" w:hAnsi="宋体" w:eastAsia="仿宋_GB2312" w:cs="宋体"/>
                <w:kern w:val="0"/>
                <w:szCs w:val="21"/>
              </w:rPr>
              <w:t>计</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1004.39</w:t>
            </w:r>
          </w:p>
        </w:tc>
        <w:tc>
          <w:tcPr>
            <w:tcW w:w="2693" w:type="dxa"/>
            <w:tcBorders>
              <w:top w:val="nil"/>
              <w:left w:val="nil"/>
              <w:bottom w:val="single" w:color="auto" w:sz="4" w:space="0"/>
              <w:right w:val="single" w:color="auto" w:sz="4" w:space="0"/>
            </w:tcBorders>
            <w:noWrap/>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小</w:t>
            </w:r>
            <w:r>
              <w:rPr>
                <w:rFonts w:ascii="仿宋_GB2312" w:hAnsi="宋体" w:eastAsia="仿宋_GB2312" w:cs="宋体"/>
                <w:kern w:val="0"/>
                <w:szCs w:val="21"/>
              </w:rPr>
              <w:t xml:space="preserve">           </w:t>
            </w:r>
            <w:r>
              <w:rPr>
                <w:rFonts w:hint="eastAsia" w:ascii="仿宋_GB2312" w:hAnsi="宋体" w:eastAsia="仿宋_GB2312" w:cs="宋体"/>
                <w:kern w:val="0"/>
                <w:szCs w:val="21"/>
              </w:rPr>
              <w:t>计</w:t>
            </w:r>
          </w:p>
        </w:tc>
        <w:tc>
          <w:tcPr>
            <w:tcW w:w="1701"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1004.39</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noWrap/>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单位上年结余（不包括国库集中支付额度结余）</w:t>
            </w:r>
          </w:p>
        </w:tc>
        <w:tc>
          <w:tcPr>
            <w:tcW w:w="1988"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Cs w:val="21"/>
              </w:rPr>
            </w:pPr>
          </w:p>
        </w:tc>
        <w:tc>
          <w:tcPr>
            <w:tcW w:w="2693" w:type="dxa"/>
            <w:tcBorders>
              <w:top w:val="nil"/>
              <w:left w:val="nil"/>
              <w:bottom w:val="single" w:color="auto" w:sz="4" w:space="0"/>
              <w:right w:val="nil"/>
            </w:tcBorders>
            <w:noWrap/>
            <w:vAlign w:val="center"/>
          </w:tcPr>
          <w:p>
            <w:pPr>
              <w:widowControl/>
              <w:spacing w:line="300" w:lineRule="exact"/>
              <w:jc w:val="center"/>
              <w:rPr>
                <w:rFonts w:ascii="仿宋_GB2312" w:hAnsi="宋体" w:eastAsia="仿宋_GB2312" w:cs="宋体"/>
                <w:kern w:val="0"/>
                <w:szCs w:val="21"/>
              </w:rPr>
            </w:pPr>
            <w:r>
              <w:rPr>
                <w:rFonts w:ascii="仿宋_GB2312" w:hAnsi="宋体" w:eastAsia="仿宋_GB2312" w:cs="宋体"/>
                <w:kern w:val="0"/>
                <w:szCs w:val="21"/>
              </w:rPr>
              <w:t xml:space="preserve">230 </w:t>
            </w:r>
            <w:r>
              <w:rPr>
                <w:rFonts w:hint="eastAsia" w:ascii="仿宋_GB2312" w:hAnsi="宋体" w:eastAsia="仿宋_GB2312" w:cs="宋体"/>
                <w:kern w:val="0"/>
                <w:szCs w:val="21"/>
              </w:rPr>
              <w:t>转移性支出</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收</w:t>
            </w:r>
            <w:r>
              <w:rPr>
                <w:rFonts w:ascii="仿宋_GB2312" w:hAnsi="宋体" w:eastAsia="仿宋_GB2312" w:cs="宋体"/>
                <w:kern w:val="0"/>
                <w:szCs w:val="21"/>
              </w:rPr>
              <w:t xml:space="preserve">  </w:t>
            </w:r>
            <w:r>
              <w:rPr>
                <w:rFonts w:hint="eastAsia" w:ascii="仿宋_GB2312" w:hAnsi="宋体" w:eastAsia="仿宋_GB2312" w:cs="宋体"/>
                <w:kern w:val="0"/>
                <w:szCs w:val="21"/>
              </w:rPr>
              <w:t>入</w:t>
            </w:r>
            <w:r>
              <w:rPr>
                <w:rFonts w:ascii="仿宋_GB2312" w:hAnsi="宋体" w:eastAsia="仿宋_GB2312" w:cs="宋体"/>
                <w:kern w:val="0"/>
                <w:szCs w:val="21"/>
              </w:rPr>
              <w:t xml:space="preserve">  </w:t>
            </w:r>
            <w:r>
              <w:rPr>
                <w:rFonts w:hint="eastAsia" w:ascii="仿宋_GB2312" w:hAnsi="宋体" w:eastAsia="仿宋_GB2312" w:cs="宋体"/>
                <w:kern w:val="0"/>
                <w:szCs w:val="21"/>
              </w:rPr>
              <w:t>总</w:t>
            </w:r>
            <w:r>
              <w:rPr>
                <w:rFonts w:ascii="仿宋_GB2312" w:hAnsi="宋体" w:eastAsia="仿宋_GB2312" w:cs="宋体"/>
                <w:kern w:val="0"/>
                <w:szCs w:val="21"/>
              </w:rPr>
              <w:t xml:space="preserve">  </w:t>
            </w:r>
            <w:r>
              <w:rPr>
                <w:rFonts w:hint="eastAsia" w:ascii="仿宋_GB2312" w:hAnsi="宋体" w:eastAsia="仿宋_GB2312" w:cs="宋体"/>
                <w:kern w:val="0"/>
                <w:szCs w:val="21"/>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1004.39</w:t>
            </w:r>
          </w:p>
        </w:tc>
        <w:tc>
          <w:tcPr>
            <w:tcW w:w="2693" w:type="dxa"/>
            <w:tcBorders>
              <w:top w:val="nil"/>
              <w:left w:val="nil"/>
              <w:bottom w:val="single" w:color="auto" w:sz="4" w:space="0"/>
              <w:right w:val="nil"/>
            </w:tcBorders>
            <w:noWrap/>
            <w:vAlign w:val="center"/>
          </w:tcPr>
          <w:p>
            <w:pPr>
              <w:widowControl/>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支</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合</w:t>
            </w:r>
            <w:r>
              <w:rPr>
                <w:rFonts w:ascii="仿宋_GB2312" w:hAnsi="宋体" w:eastAsia="仿宋_GB2312" w:cs="宋体"/>
                <w:kern w:val="0"/>
                <w:szCs w:val="21"/>
              </w:rPr>
              <w:t xml:space="preserve">  </w:t>
            </w:r>
            <w:r>
              <w:rPr>
                <w:rFonts w:hint="eastAsia" w:ascii="仿宋_GB2312" w:hAnsi="宋体" w:eastAsia="仿宋_GB2312" w:cs="宋体"/>
                <w:kern w:val="0"/>
                <w:szCs w:val="21"/>
              </w:rPr>
              <w:t>计</w:t>
            </w:r>
          </w:p>
        </w:tc>
        <w:tc>
          <w:tcPr>
            <w:tcW w:w="1701"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1004.39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昌吉州教育局                                        单位：万元</w:t>
      </w:r>
    </w:p>
    <w:tbl>
      <w:tblPr>
        <w:tblStyle w:val="7"/>
        <w:tblW w:w="9654" w:type="dxa"/>
        <w:tblInd w:w="93"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Layout w:type="fixed"/>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205</w:t>
            </w:r>
          </w:p>
        </w:tc>
        <w:tc>
          <w:tcPr>
            <w:tcW w:w="4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01</w:t>
            </w:r>
          </w:p>
        </w:tc>
        <w:tc>
          <w:tcPr>
            <w:tcW w:w="214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行政运行</w:t>
            </w:r>
          </w:p>
        </w:tc>
        <w:tc>
          <w:tcPr>
            <w:tcW w:w="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805.39</w:t>
            </w:r>
          </w:p>
        </w:tc>
        <w:tc>
          <w:tcPr>
            <w:tcW w:w="6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805.39</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205</w:t>
            </w:r>
          </w:p>
        </w:tc>
        <w:tc>
          <w:tcPr>
            <w:tcW w:w="4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02</w:t>
            </w:r>
          </w:p>
        </w:tc>
        <w:tc>
          <w:tcPr>
            <w:tcW w:w="214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一般行政管理事务</w:t>
            </w:r>
          </w:p>
        </w:tc>
        <w:tc>
          <w:tcPr>
            <w:tcW w:w="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199</w:t>
            </w:r>
          </w:p>
        </w:tc>
        <w:tc>
          <w:tcPr>
            <w:tcW w:w="68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rPr>
              <w:t>199</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widowControl/>
              <w:textAlignment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1004.39　</w:t>
            </w:r>
          </w:p>
        </w:tc>
        <w:tc>
          <w:tcPr>
            <w:tcW w:w="680" w:type="dxa"/>
            <w:tcBorders>
              <w:top w:val="nil"/>
              <w:left w:val="nil"/>
              <w:bottom w:val="single" w:color="auto" w:sz="4" w:space="0"/>
              <w:right w:val="single" w:color="auto" w:sz="4" w:space="0"/>
            </w:tcBorders>
            <w:shd w:val="clear" w:color="auto" w:fill="auto"/>
            <w:vAlign w:val="center"/>
          </w:tcPr>
          <w:p>
            <w:pPr>
              <w:tabs>
                <w:tab w:val="left" w:pos="304"/>
                <w:tab w:val="right" w:pos="784"/>
              </w:tabs>
              <w:jc w:val="left"/>
              <w:rPr>
                <w:rFonts w:ascii="仿宋_GB2312" w:hAnsi="宋体" w:eastAsia="仿宋_GB2312" w:cs="宋体"/>
                <w:color w:val="000000"/>
                <w:sz w:val="20"/>
                <w:szCs w:val="20"/>
              </w:rPr>
            </w:pPr>
            <w:r>
              <w:rPr>
                <w:rFonts w:hint="eastAsia" w:ascii="仿宋_GB2312" w:eastAsia="仿宋_GB2312"/>
                <w:color w:val="000000"/>
                <w:sz w:val="20"/>
                <w:szCs w:val="20"/>
              </w:rPr>
              <w:t>1004.39</w:t>
            </w:r>
            <w:r>
              <w:rPr>
                <w:rFonts w:hint="eastAsia" w:ascii="仿宋_GB2312" w:eastAsia="仿宋_GB2312"/>
                <w:color w:val="000000"/>
                <w:sz w:val="20"/>
                <w:szCs w:val="20"/>
              </w:rPr>
              <w:tab/>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编制部门：昌吉州教育局                                         单位：万元</w:t>
      </w:r>
    </w:p>
    <w:tbl>
      <w:tblPr>
        <w:tblStyle w:val="7"/>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205</w:t>
            </w:r>
          </w:p>
        </w:tc>
        <w:tc>
          <w:tcPr>
            <w:tcW w:w="40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01</w:t>
            </w:r>
          </w:p>
        </w:tc>
        <w:tc>
          <w:tcPr>
            <w:tcW w:w="40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01</w:t>
            </w:r>
          </w:p>
        </w:tc>
        <w:tc>
          <w:tcPr>
            <w:tcW w:w="260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行政运行</w:t>
            </w:r>
          </w:p>
        </w:tc>
        <w:tc>
          <w:tcPr>
            <w:tcW w:w="1855"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805.39</w:t>
            </w:r>
          </w:p>
        </w:tc>
        <w:tc>
          <w:tcPr>
            <w:tcW w:w="1856"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805.39</w:t>
            </w:r>
          </w:p>
        </w:tc>
        <w:tc>
          <w:tcPr>
            <w:tcW w:w="1713"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0</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205</w:t>
            </w:r>
          </w:p>
        </w:tc>
        <w:tc>
          <w:tcPr>
            <w:tcW w:w="40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01</w:t>
            </w:r>
          </w:p>
        </w:tc>
        <w:tc>
          <w:tcPr>
            <w:tcW w:w="40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02</w:t>
            </w:r>
          </w:p>
        </w:tc>
        <w:tc>
          <w:tcPr>
            <w:tcW w:w="260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一般行政管理事务</w:t>
            </w:r>
          </w:p>
        </w:tc>
        <w:tc>
          <w:tcPr>
            <w:tcW w:w="1855"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199</w:t>
            </w:r>
          </w:p>
        </w:tc>
        <w:tc>
          <w:tcPr>
            <w:tcW w:w="1856"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0</w:t>
            </w:r>
          </w:p>
        </w:tc>
        <w:tc>
          <w:tcPr>
            <w:tcW w:w="1713"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b/>
                <w:bCs/>
                <w:color w:val="000000"/>
                <w:kern w:val="0"/>
                <w:szCs w:val="21"/>
              </w:rPr>
            </w:pPr>
            <w:r>
              <w:rPr>
                <w:rFonts w:ascii="Dialog" w:hAnsi="Dialog" w:eastAsia="Dialog" w:cs="Dialog"/>
                <w:color w:val="000000"/>
                <w:kern w:val="0"/>
                <w:szCs w:val="21"/>
              </w:rPr>
              <w:t>199</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r>
              <w:t>1004.39</w:t>
            </w:r>
          </w:p>
        </w:tc>
        <w:tc>
          <w:tcPr>
            <w:tcW w:w="1856" w:type="dxa"/>
            <w:tcBorders>
              <w:top w:val="nil"/>
              <w:left w:val="nil"/>
              <w:bottom w:val="single" w:color="auto" w:sz="4" w:space="0"/>
              <w:right w:val="single" w:color="auto" w:sz="4" w:space="0"/>
            </w:tcBorders>
            <w:shd w:val="clear" w:color="auto" w:fill="auto"/>
            <w:vAlign w:val="center"/>
          </w:tcPr>
          <w:p>
            <w:r>
              <w:t>805.39</w:t>
            </w:r>
          </w:p>
        </w:tc>
        <w:tc>
          <w:tcPr>
            <w:tcW w:w="1713" w:type="dxa"/>
            <w:tcBorders>
              <w:top w:val="nil"/>
              <w:left w:val="nil"/>
              <w:bottom w:val="single" w:color="auto" w:sz="4" w:space="0"/>
              <w:right w:val="single" w:color="auto" w:sz="4" w:space="0"/>
            </w:tcBorders>
            <w:shd w:val="clear" w:color="auto" w:fill="auto"/>
            <w:vAlign w:val="center"/>
          </w:tcPr>
          <w:p>
            <w:r>
              <w:t>199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  昌吉州教育局                           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1004.39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1004.39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1004.39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1004.39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1004.39</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1004.39　</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1004.39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1004.39　</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1004.39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1004.39　</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编制部门：昌吉州教育局                </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ind w:right="480" w:firstLine="1440" w:firstLineChars="6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805.39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805.39</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一般行政管理事务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199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199</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1004.39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805.39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编制部门：昌吉州教育局</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229.94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229.94</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93.5</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15.77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15.77</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60.48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60.48</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36.35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36.35</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75.11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75.11</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65.22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65.22</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50.73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50.73</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1.68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1.68</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45.07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45.07</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其他工资福利支出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2.61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2.61</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1.13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1.13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20.88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20.88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物业管理费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19.8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19.8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租赁费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专用材料费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2.35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4.6</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29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福利费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公务车运行维护费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12.3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12.3</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12.77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12.77</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离休费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奖励金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14</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职工住宅取暖费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9.7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rPr>
              <w:t>0</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18"/>
                <w:szCs w:val="18"/>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Dialog" w:hAnsi="Dialog" w:eastAsia="Dialog" w:cs="Dialog"/>
                <w:color w:val="000000"/>
                <w:kern w:val="0"/>
                <w:sz w:val="18"/>
                <w:szCs w:val="18"/>
              </w:rPr>
            </w:pPr>
          </w:p>
        </w:tc>
        <w:tc>
          <w:tcPr>
            <w:tcW w:w="2891" w:type="dxa"/>
            <w:tcBorders>
              <w:top w:val="single" w:color="auto" w:sz="4" w:space="0"/>
              <w:left w:val="single" w:color="auto" w:sz="4" w:space="0"/>
              <w:bottom w:val="single" w:color="auto" w:sz="4" w:space="0"/>
              <w:right w:val="single" w:color="auto" w:sz="4" w:space="0"/>
            </w:tcBorders>
            <w:vAlign w:val="center"/>
          </w:tcPr>
          <w:p>
            <w:r>
              <w:t>合计</w:t>
            </w:r>
          </w:p>
        </w:tc>
        <w:tc>
          <w:tcPr>
            <w:tcW w:w="1701" w:type="dxa"/>
            <w:gridSpan w:val="2"/>
            <w:tcBorders>
              <w:top w:val="single" w:color="auto" w:sz="4" w:space="0"/>
              <w:left w:val="single" w:color="auto" w:sz="4" w:space="0"/>
              <w:bottom w:val="single" w:color="auto" w:sz="4" w:space="0"/>
              <w:right w:val="single" w:color="auto" w:sz="4" w:space="0"/>
            </w:tcBorders>
            <w:vAlign w:val="center"/>
          </w:tcPr>
          <w:p>
            <w:r>
              <w:t>805.39</w:t>
            </w:r>
          </w:p>
        </w:tc>
        <w:tc>
          <w:tcPr>
            <w:tcW w:w="1701" w:type="dxa"/>
            <w:gridSpan w:val="2"/>
            <w:tcBorders>
              <w:top w:val="single" w:color="auto" w:sz="4" w:space="0"/>
              <w:left w:val="single" w:color="auto" w:sz="4" w:space="0"/>
              <w:bottom w:val="single" w:color="auto" w:sz="4" w:space="0"/>
              <w:right w:val="single" w:color="auto" w:sz="4" w:space="0"/>
            </w:tcBorders>
            <w:vAlign w:val="center"/>
          </w:tcPr>
          <w:p>
            <w:r>
              <w:t>695.96</w:t>
            </w:r>
          </w:p>
        </w:tc>
        <w:tc>
          <w:tcPr>
            <w:tcW w:w="1701" w:type="dxa"/>
            <w:tcBorders>
              <w:top w:val="single" w:color="auto" w:sz="4" w:space="0"/>
              <w:left w:val="single" w:color="auto" w:sz="4" w:space="0"/>
              <w:bottom w:val="single" w:color="auto" w:sz="4" w:space="0"/>
              <w:right w:val="single" w:color="auto" w:sz="4" w:space="0"/>
            </w:tcBorders>
            <w:vAlign w:val="center"/>
          </w:tcPr>
          <w:p>
            <w:r>
              <w:t>109.43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85"/>
        <w:gridCol w:w="603"/>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编制部门：昌吉州教育局</w:t>
            </w:r>
          </w:p>
        </w:tc>
        <w:tc>
          <w:tcPr>
            <w:tcW w:w="1044"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33"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8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0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8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0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vAlign w:val="center"/>
          </w:tcPr>
          <w:p>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18"/>
                <w:szCs w:val="18"/>
              </w:rPr>
              <w:t>205</w:t>
            </w:r>
          </w:p>
        </w:tc>
        <w:tc>
          <w:tcPr>
            <w:tcW w:w="397" w:type="dxa"/>
            <w:shd w:val="clear" w:color="auto" w:fill="auto"/>
            <w:vAlign w:val="center"/>
          </w:tcPr>
          <w:p>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18"/>
                <w:szCs w:val="18"/>
              </w:rPr>
              <w:t>01</w:t>
            </w:r>
          </w:p>
        </w:tc>
        <w:tc>
          <w:tcPr>
            <w:tcW w:w="397" w:type="dxa"/>
            <w:shd w:val="clear" w:color="auto" w:fill="auto"/>
            <w:vAlign w:val="center"/>
          </w:tcPr>
          <w:p>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18"/>
                <w:szCs w:val="18"/>
              </w:rPr>
              <w:t>02</w:t>
            </w:r>
          </w:p>
        </w:tc>
        <w:tc>
          <w:tcPr>
            <w:tcW w:w="851" w:type="dxa"/>
            <w:shd w:val="clear" w:color="auto" w:fill="auto"/>
            <w:vAlign w:val="center"/>
          </w:tcPr>
          <w:p>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rPr>
              <w:t>一般行政管理事务</w:t>
            </w:r>
          </w:p>
        </w:tc>
        <w:tc>
          <w:tcPr>
            <w:tcW w:w="1456" w:type="dxa"/>
            <w:shd w:val="clear" w:color="auto" w:fill="auto"/>
            <w:vAlign w:val="center"/>
          </w:tcPr>
          <w:p>
            <w:pPr>
              <w:widowControl/>
              <w:jc w:val="left"/>
              <w:textAlignment w:val="center"/>
              <w:rPr>
                <w:rFonts w:ascii="仿宋_GB2312" w:hAnsi="宋体" w:eastAsiaTheme="minorEastAsia"/>
                <w:kern w:val="0"/>
                <w:sz w:val="18"/>
                <w:szCs w:val="18"/>
              </w:rPr>
            </w:pPr>
            <w:r>
              <w:rPr>
                <w:rFonts w:hint="eastAsia" w:ascii="Dialog" w:hAnsi="Dialog" w:cs="Dialog" w:eastAsiaTheme="minorEastAsia"/>
                <w:color w:val="000000"/>
                <w:kern w:val="0"/>
                <w:sz w:val="18"/>
                <w:szCs w:val="18"/>
              </w:rPr>
              <w:t>对口南疆支教经费</w:t>
            </w:r>
          </w:p>
        </w:tc>
        <w:tc>
          <w:tcPr>
            <w:tcW w:w="750" w:type="dxa"/>
            <w:shd w:val="clear" w:color="auto" w:fill="auto"/>
            <w:vAlign w:val="center"/>
          </w:tcPr>
          <w:p>
            <w:pPr>
              <w:widowControl/>
              <w:jc w:val="center"/>
              <w:textAlignment w:val="center"/>
              <w:rPr>
                <w:rFonts w:ascii="仿宋_GB2312" w:hAnsi="宋体" w:eastAsiaTheme="minorEastAsia"/>
                <w:kern w:val="0"/>
                <w:sz w:val="18"/>
                <w:szCs w:val="18"/>
              </w:rPr>
            </w:pPr>
            <w:r>
              <w:rPr>
                <w:rFonts w:hint="eastAsia" w:ascii="Dialog" w:hAnsi="Dialog" w:cs="Dialog" w:eastAsiaTheme="minorEastAsia"/>
                <w:color w:val="000000"/>
                <w:kern w:val="0"/>
                <w:sz w:val="18"/>
                <w:szCs w:val="18"/>
              </w:rPr>
              <w:t>30</w:t>
            </w:r>
          </w:p>
        </w:tc>
        <w:tc>
          <w:tcPr>
            <w:tcW w:w="569" w:type="dxa"/>
            <w:gridSpan w:val="2"/>
            <w:shd w:val="clear" w:color="auto" w:fill="auto"/>
            <w:vAlign w:val="center"/>
          </w:tcPr>
          <w:p>
            <w:pPr>
              <w:jc w:val="center"/>
              <w:rPr>
                <w:rFonts w:ascii="仿宋_GB2312" w:hAnsi="宋体" w:eastAsia="仿宋_GB2312"/>
                <w:kern w:val="0"/>
                <w:sz w:val="18"/>
                <w:szCs w:val="18"/>
              </w:rPr>
            </w:pPr>
          </w:p>
        </w:tc>
        <w:tc>
          <w:tcPr>
            <w:tcW w:w="585" w:type="dxa"/>
            <w:shd w:val="clear" w:color="auto" w:fill="auto"/>
            <w:vAlign w:val="center"/>
          </w:tcPr>
          <w:p>
            <w:pPr>
              <w:widowControl/>
              <w:jc w:val="center"/>
              <w:textAlignment w:val="center"/>
              <w:rPr>
                <w:rFonts w:ascii="仿宋_GB2312" w:hAnsi="宋体" w:eastAsiaTheme="minorEastAsia"/>
                <w:kern w:val="0"/>
                <w:sz w:val="18"/>
                <w:szCs w:val="18"/>
              </w:rPr>
            </w:pPr>
            <w:r>
              <w:rPr>
                <w:rFonts w:hint="eastAsia" w:ascii="Dialog" w:hAnsi="Dialog" w:cs="Dialog" w:eastAsiaTheme="minorEastAsia"/>
                <w:color w:val="000000"/>
                <w:kern w:val="0"/>
                <w:sz w:val="18"/>
                <w:szCs w:val="18"/>
              </w:rPr>
              <w:t>30</w:t>
            </w:r>
          </w:p>
        </w:tc>
        <w:tc>
          <w:tcPr>
            <w:tcW w:w="603" w:type="dxa"/>
            <w:shd w:val="clear" w:color="auto" w:fill="auto"/>
            <w:vAlign w:val="center"/>
          </w:tcPr>
          <w:p>
            <w:pPr>
              <w:jc w:val="right"/>
              <w:rPr>
                <w:rFonts w:ascii="仿宋_GB2312" w:hAnsi="宋体" w:eastAsia="仿宋_GB2312"/>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205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kern w:val="0"/>
                <w:sz w:val="18"/>
                <w:szCs w:val="18"/>
              </w:rPr>
              <w:t>一</w:t>
            </w:r>
            <w:r>
              <w:rPr>
                <w:rFonts w:ascii="Dialog" w:hAnsi="Dialog" w:eastAsia="Dialog" w:cs="Dialog"/>
                <w:color w:val="000000"/>
                <w:kern w:val="0"/>
                <w:sz w:val="18"/>
                <w:szCs w:val="18"/>
              </w:rPr>
              <w:t>般行政管理事务</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教育督导专项经费</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85"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60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205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kern w:val="0"/>
                <w:sz w:val="18"/>
                <w:szCs w:val="18"/>
              </w:rPr>
              <w:t>一</w:t>
            </w:r>
            <w:r>
              <w:rPr>
                <w:rFonts w:ascii="Dialog" w:hAnsi="Dialog" w:eastAsia="Dialog" w:cs="Dialog"/>
                <w:color w:val="000000"/>
                <w:kern w:val="0"/>
                <w:sz w:val="18"/>
                <w:szCs w:val="18"/>
              </w:rPr>
              <w:t>般行政管理事务</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教育工委工作经费　</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85"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30</w:t>
            </w:r>
          </w:p>
        </w:tc>
        <w:tc>
          <w:tcPr>
            <w:tcW w:w="60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205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kern w:val="0"/>
                <w:sz w:val="18"/>
                <w:szCs w:val="18"/>
              </w:rPr>
              <w:t>一</w:t>
            </w:r>
            <w:r>
              <w:rPr>
                <w:rFonts w:ascii="Dialog" w:hAnsi="Dialog" w:eastAsia="Dialog" w:cs="Dialog"/>
                <w:color w:val="000000"/>
                <w:kern w:val="0"/>
                <w:sz w:val="18"/>
                <w:szCs w:val="18"/>
              </w:rPr>
              <w:t>般行政管理事务</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农村教育综合改革专项经费</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85"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w:t>
            </w:r>
          </w:p>
        </w:tc>
        <w:tc>
          <w:tcPr>
            <w:tcW w:w="60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205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kern w:val="0"/>
                <w:sz w:val="18"/>
                <w:szCs w:val="18"/>
              </w:rPr>
              <w:t>一</w:t>
            </w:r>
            <w:r>
              <w:rPr>
                <w:rFonts w:ascii="Dialog" w:hAnsi="Dialog" w:eastAsia="Dialog" w:cs="Dialog"/>
                <w:color w:val="000000"/>
                <w:kern w:val="0"/>
                <w:sz w:val="18"/>
                <w:szCs w:val="18"/>
              </w:rPr>
              <w:t>般行政管理事务</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双语教育工作经费</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58</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85"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58</w:t>
            </w:r>
          </w:p>
        </w:tc>
        <w:tc>
          <w:tcPr>
            <w:tcW w:w="60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205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kern w:val="0"/>
                <w:sz w:val="18"/>
                <w:szCs w:val="18"/>
              </w:rPr>
              <w:t>一</w:t>
            </w:r>
            <w:r>
              <w:rPr>
                <w:rFonts w:ascii="Dialog" w:hAnsi="Dialog" w:eastAsia="Dialog" w:cs="Dialog"/>
                <w:color w:val="000000"/>
                <w:kern w:val="0"/>
                <w:sz w:val="18"/>
                <w:szCs w:val="18"/>
              </w:rPr>
              <w:t>般行政管理事务</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校长书记培训专项经费</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85"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30</w:t>
            </w:r>
          </w:p>
        </w:tc>
        <w:tc>
          <w:tcPr>
            <w:tcW w:w="60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205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01　</w:t>
            </w:r>
          </w:p>
        </w:tc>
        <w:tc>
          <w:tcPr>
            <w:tcW w:w="397"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02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kern w:val="0"/>
                <w:sz w:val="18"/>
                <w:szCs w:val="18"/>
              </w:rPr>
              <w:t>一</w:t>
            </w:r>
            <w:r>
              <w:rPr>
                <w:rFonts w:ascii="Dialog" w:hAnsi="Dialog" w:eastAsia="Dialog" w:cs="Dialog"/>
                <w:color w:val="000000"/>
                <w:kern w:val="0"/>
                <w:sz w:val="18"/>
                <w:szCs w:val="18"/>
              </w:rPr>
              <w:t>般行政管理事务</w:t>
            </w:r>
          </w:p>
        </w:tc>
        <w:tc>
          <w:tcPr>
            <w:tcW w:w="1456" w:type="dxa"/>
            <w:shd w:val="clear" w:color="auto" w:fill="auto"/>
          </w:tcPr>
          <w:p>
            <w:pPr>
              <w:widowControl/>
              <w:jc w:val="left"/>
              <w:outlineLvl w:val="1"/>
              <w:rPr>
                <w:rFonts w:ascii="仿宋_GB2312" w:hAnsi="宋体" w:eastAsia="仿宋_GB2312"/>
                <w:kern w:val="0"/>
                <w:sz w:val="18"/>
                <w:szCs w:val="18"/>
              </w:rPr>
            </w:pPr>
            <w:r>
              <w:rPr>
                <w:rFonts w:hint="eastAsia" w:ascii="仿宋_GB2312" w:hAnsi="宋体" w:eastAsia="仿宋_GB2312"/>
                <w:kern w:val="0"/>
                <w:sz w:val="18"/>
                <w:szCs w:val="18"/>
              </w:rPr>
              <w:t>　中小学体育竞赛活动经费　</w:t>
            </w:r>
          </w:p>
        </w:tc>
        <w:tc>
          <w:tcPr>
            <w:tcW w:w="750"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30</w:t>
            </w:r>
          </w:p>
        </w:tc>
        <w:tc>
          <w:tcPr>
            <w:tcW w:w="569" w:type="dxa"/>
            <w:gridSpan w:val="2"/>
            <w:shd w:val="clear" w:color="auto" w:fill="auto"/>
          </w:tcPr>
          <w:p>
            <w:pPr>
              <w:widowControl/>
              <w:jc w:val="center"/>
              <w:outlineLvl w:val="1"/>
              <w:rPr>
                <w:rFonts w:ascii="仿宋_GB2312" w:hAnsi="宋体" w:eastAsia="仿宋_GB2312"/>
                <w:kern w:val="0"/>
                <w:sz w:val="18"/>
                <w:szCs w:val="18"/>
              </w:rPr>
            </w:pPr>
          </w:p>
        </w:tc>
        <w:tc>
          <w:tcPr>
            <w:tcW w:w="585" w:type="dxa"/>
            <w:shd w:val="clear" w:color="auto" w:fill="auto"/>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30</w:t>
            </w:r>
          </w:p>
        </w:tc>
        <w:tc>
          <w:tcPr>
            <w:tcW w:w="60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85" w:type="dxa"/>
            <w:shd w:val="clear" w:color="auto" w:fill="auto"/>
          </w:tcPr>
          <w:p>
            <w:pPr>
              <w:widowControl/>
              <w:jc w:val="left"/>
              <w:outlineLvl w:val="1"/>
              <w:rPr>
                <w:rFonts w:ascii="仿宋_GB2312" w:hAnsi="宋体" w:eastAsia="仿宋_GB2312"/>
                <w:kern w:val="0"/>
                <w:sz w:val="32"/>
                <w:szCs w:val="32"/>
              </w:rPr>
            </w:pPr>
          </w:p>
        </w:tc>
        <w:tc>
          <w:tcPr>
            <w:tcW w:w="603"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0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center"/>
              <w:outlineLvl w:val="1"/>
              <w:rPr>
                <w:rFonts w:ascii="仿宋_GB2312" w:hAnsi="宋体" w:eastAsia="仿宋_GB2312"/>
                <w:kern w:val="0"/>
                <w:sz w:val="32"/>
                <w:szCs w:val="32"/>
              </w:rPr>
            </w:pPr>
          </w:p>
        </w:tc>
        <w:tc>
          <w:tcPr>
            <w:tcW w:w="397" w:type="dxa"/>
            <w:shd w:val="clear" w:color="auto" w:fill="auto"/>
          </w:tcPr>
          <w:p>
            <w:pPr>
              <w:widowControl/>
              <w:jc w:val="center"/>
              <w:outlineLvl w:val="1"/>
              <w:rPr>
                <w:rFonts w:ascii="仿宋_GB2312" w:hAnsi="宋体" w:eastAsia="仿宋_GB2312"/>
                <w:kern w:val="0"/>
                <w:sz w:val="32"/>
                <w:szCs w:val="32"/>
              </w:rPr>
            </w:pPr>
          </w:p>
        </w:tc>
        <w:tc>
          <w:tcPr>
            <w:tcW w:w="397" w:type="dxa"/>
            <w:shd w:val="clear" w:color="auto" w:fill="auto"/>
          </w:tcPr>
          <w:p>
            <w:pPr>
              <w:widowControl/>
              <w:jc w:val="center"/>
              <w:outlineLvl w:val="1"/>
              <w:rPr>
                <w:rFonts w:ascii="仿宋_GB2312" w:hAnsi="宋体" w:eastAsia="仿宋_GB2312"/>
                <w:kern w:val="0"/>
                <w:sz w:val="32"/>
                <w:szCs w:val="32"/>
              </w:rPr>
            </w:pPr>
          </w:p>
        </w:tc>
        <w:tc>
          <w:tcPr>
            <w:tcW w:w="851" w:type="dxa"/>
            <w:shd w:val="clear" w:color="auto" w:fill="auto"/>
          </w:tcPr>
          <w:p>
            <w:pPr>
              <w:widowControl/>
              <w:jc w:val="center"/>
              <w:outlineLvl w:val="1"/>
              <w:rPr>
                <w:rFonts w:ascii="仿宋_GB2312" w:hAnsi="宋体" w:eastAsia="仿宋_GB2312"/>
                <w:kern w:val="0"/>
                <w:sz w:val="32"/>
                <w:szCs w:val="32"/>
              </w:rPr>
            </w:pP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199</w:t>
            </w:r>
          </w:p>
        </w:tc>
        <w:tc>
          <w:tcPr>
            <w:tcW w:w="569" w:type="dxa"/>
            <w:gridSpan w:val="2"/>
            <w:shd w:val="clear" w:color="auto" w:fill="auto"/>
          </w:tcPr>
          <w:p>
            <w:pPr>
              <w:widowControl/>
              <w:jc w:val="center"/>
              <w:outlineLvl w:val="1"/>
              <w:rPr>
                <w:rFonts w:ascii="仿宋_GB2312" w:hAnsi="宋体" w:eastAsia="仿宋_GB2312"/>
                <w:kern w:val="0"/>
                <w:sz w:val="32"/>
                <w:szCs w:val="32"/>
              </w:rPr>
            </w:pPr>
          </w:p>
        </w:tc>
        <w:tc>
          <w:tcPr>
            <w:tcW w:w="585" w:type="dxa"/>
            <w:shd w:val="clear" w:color="auto" w:fill="auto"/>
          </w:tcPr>
          <w:p>
            <w:pPr>
              <w:widowControl/>
              <w:jc w:val="center"/>
              <w:outlineLvl w:val="1"/>
              <w:rPr>
                <w:rFonts w:ascii="仿宋_GB2312" w:hAnsi="宋体" w:eastAsia="仿宋_GB2312"/>
                <w:kern w:val="0"/>
                <w:sz w:val="18"/>
                <w:szCs w:val="18"/>
              </w:rPr>
            </w:pPr>
          </w:p>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199</w:t>
            </w:r>
          </w:p>
        </w:tc>
        <w:tc>
          <w:tcPr>
            <w:tcW w:w="603" w:type="dxa"/>
            <w:shd w:val="clear" w:color="auto" w:fill="auto"/>
          </w:tcPr>
          <w:p>
            <w:pPr>
              <w:widowControl/>
              <w:jc w:val="center"/>
              <w:outlineLvl w:val="1"/>
              <w:rPr>
                <w:rFonts w:ascii="仿宋_GB2312" w:hAnsi="宋体" w:eastAsia="仿宋_GB2312"/>
                <w:kern w:val="0"/>
                <w:sz w:val="32"/>
                <w:szCs w:val="32"/>
              </w:rPr>
            </w:pPr>
          </w:p>
        </w:tc>
        <w:tc>
          <w:tcPr>
            <w:tcW w:w="652" w:type="dxa"/>
            <w:shd w:val="clear" w:color="auto" w:fill="auto"/>
          </w:tcPr>
          <w:p>
            <w:pPr>
              <w:widowControl/>
              <w:jc w:val="center"/>
              <w:outlineLvl w:val="1"/>
              <w:rPr>
                <w:rFonts w:ascii="仿宋_GB2312" w:hAnsi="宋体" w:eastAsia="仿宋_GB2312"/>
                <w:kern w:val="0"/>
                <w:sz w:val="32"/>
                <w:szCs w:val="32"/>
              </w:rPr>
            </w:pPr>
          </w:p>
        </w:tc>
        <w:tc>
          <w:tcPr>
            <w:tcW w:w="578" w:type="dxa"/>
            <w:gridSpan w:val="2"/>
            <w:shd w:val="clear" w:color="auto" w:fill="auto"/>
          </w:tcPr>
          <w:p>
            <w:pPr>
              <w:widowControl/>
              <w:jc w:val="center"/>
              <w:outlineLvl w:val="1"/>
              <w:rPr>
                <w:rFonts w:ascii="仿宋_GB2312" w:hAnsi="宋体" w:eastAsia="仿宋_GB2312"/>
                <w:kern w:val="0"/>
                <w:sz w:val="32"/>
                <w:szCs w:val="32"/>
              </w:rPr>
            </w:pPr>
          </w:p>
        </w:tc>
        <w:tc>
          <w:tcPr>
            <w:tcW w:w="419" w:type="dxa"/>
            <w:shd w:val="clear" w:color="auto" w:fill="auto"/>
          </w:tcPr>
          <w:p>
            <w:pPr>
              <w:widowControl/>
              <w:jc w:val="center"/>
              <w:outlineLvl w:val="1"/>
              <w:rPr>
                <w:rFonts w:ascii="仿宋_GB2312" w:hAnsi="宋体" w:eastAsia="仿宋_GB2312"/>
                <w:kern w:val="0"/>
                <w:sz w:val="32"/>
                <w:szCs w:val="32"/>
              </w:rPr>
            </w:pPr>
          </w:p>
        </w:tc>
        <w:tc>
          <w:tcPr>
            <w:tcW w:w="578" w:type="dxa"/>
            <w:shd w:val="clear" w:color="auto" w:fill="auto"/>
          </w:tcPr>
          <w:p>
            <w:pPr>
              <w:widowControl/>
              <w:jc w:val="center"/>
              <w:outlineLvl w:val="1"/>
              <w:rPr>
                <w:rFonts w:ascii="仿宋_GB2312" w:hAnsi="宋体" w:eastAsia="仿宋_GB2312"/>
                <w:kern w:val="0"/>
                <w:sz w:val="32"/>
                <w:szCs w:val="32"/>
              </w:rPr>
            </w:pPr>
          </w:p>
        </w:tc>
        <w:tc>
          <w:tcPr>
            <w:tcW w:w="420" w:type="dxa"/>
            <w:shd w:val="clear" w:color="auto" w:fill="auto"/>
          </w:tcPr>
          <w:p>
            <w:pPr>
              <w:widowControl/>
              <w:jc w:val="center"/>
              <w:outlineLvl w:val="1"/>
              <w:rPr>
                <w:rFonts w:ascii="仿宋_GB2312" w:hAnsi="宋体" w:eastAsia="仿宋_GB2312"/>
                <w:kern w:val="0"/>
                <w:sz w:val="32"/>
                <w:szCs w:val="32"/>
              </w:rPr>
            </w:pPr>
          </w:p>
        </w:tc>
        <w:tc>
          <w:tcPr>
            <w:tcW w:w="420" w:type="dxa"/>
            <w:shd w:val="clear" w:color="auto" w:fill="auto"/>
          </w:tcPr>
          <w:p>
            <w:pPr>
              <w:widowControl/>
              <w:jc w:val="center"/>
              <w:outlineLvl w:val="1"/>
              <w:rPr>
                <w:rFonts w:ascii="仿宋_GB2312" w:hAnsi="宋体" w:eastAsia="仿宋_GB2312"/>
                <w:kern w:val="0"/>
                <w:sz w:val="32"/>
                <w:szCs w:val="32"/>
              </w:rPr>
            </w:pPr>
          </w:p>
        </w:tc>
        <w:tc>
          <w:tcPr>
            <w:tcW w:w="397" w:type="dxa"/>
            <w:gridSpan w:val="2"/>
            <w:shd w:val="clear" w:color="auto" w:fill="auto"/>
          </w:tcPr>
          <w:p>
            <w:pPr>
              <w:widowControl/>
              <w:jc w:val="center"/>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编制单位：昌吉州教育局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12.3</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12.3</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12.3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编制单位：昌吉州教育局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关于昌吉州教育局2019年收支预算情况的总体说明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按照全口径预算的原则，昌吉州教育局2019年所有收入和支出均纳入部门预算管理。收支总预算1004.39万元。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收入预算包括：一般公共预算1004.39万元。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支出预算包括：教育支出1004.39万元。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二、关于昌吉州教育局2019年收入预算情况说明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昌吉州教育局收入预算1004.39万元，其中：</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一般公共预算1004.39万元，占100%，比上年减少14.25万元，主要原因是人员减少了5人，调出3人，退休2人，本年度人员经费减少。    </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三、关于昌吉州教育局2019年支出预算情况说明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昌吉州教育局2019年支出预算1004.39万元，其中：</w:t>
      </w:r>
    </w:p>
    <w:p>
      <w:pPr>
        <w:widowControl/>
        <w:spacing w:line="580" w:lineRule="exact"/>
        <w:ind w:firstLine="640"/>
        <w:jc w:val="left"/>
        <w:rPr>
          <w:rFonts w:ascii="仿宋" w:hAnsi="仿宋" w:eastAsia="仿宋" w:cs="宋体"/>
          <w:b/>
          <w:kern w:val="0"/>
          <w:sz w:val="32"/>
          <w:szCs w:val="32"/>
        </w:rPr>
      </w:pPr>
      <w:r>
        <w:rPr>
          <w:rFonts w:hint="eastAsia" w:ascii="仿宋" w:hAnsi="仿宋" w:eastAsia="仿宋" w:cs="宋体"/>
          <w:kern w:val="0"/>
          <w:sz w:val="32"/>
          <w:szCs w:val="32"/>
        </w:rPr>
        <w:t>基本支出805.39万元，占80.19%，比上年减少44.25万元，主要原因是减少了5人，调出3人，退休2人，当年基本支出预算减少。</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项目支出199万元，占19.81%，比上年增加50万元，主要原因是：因工作需要增加双语教育工作经费项目支出50万元。</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四、关于昌吉州教育局</w:t>
      </w:r>
      <w:r>
        <w:rPr>
          <w:rFonts w:hint="eastAsia" w:ascii="黑体" w:hAnsi="黑体" w:eastAsia="黑体" w:cs="宋体"/>
          <w:bCs/>
          <w:kern w:val="0"/>
          <w:sz w:val="32"/>
          <w:szCs w:val="32"/>
          <w:lang w:eastAsia="zh-CN"/>
        </w:rPr>
        <w:t>部门</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 w:hAnsi="仿宋" w:eastAsia="仿宋" w:cs="宋体"/>
          <w:kern w:val="0"/>
          <w:sz w:val="32"/>
          <w:szCs w:val="32"/>
        </w:rPr>
      </w:pPr>
      <w:r>
        <w:rPr>
          <w:rFonts w:hint="eastAsia" w:ascii="仿宋" w:hAnsi="仿宋" w:eastAsia="仿宋" w:cs="宋体"/>
          <w:kern w:val="0"/>
          <w:sz w:val="32"/>
          <w:szCs w:val="32"/>
        </w:rPr>
        <w:t>2019年财政拨款收支总预算1004.39万元。</w:t>
      </w:r>
    </w:p>
    <w:p>
      <w:pPr>
        <w:spacing w:line="580" w:lineRule="exact"/>
        <w:ind w:firstLine="640"/>
        <w:rPr>
          <w:rFonts w:ascii="仿宋" w:hAnsi="仿宋" w:eastAsia="仿宋" w:cs="宋体"/>
          <w:kern w:val="0"/>
          <w:sz w:val="32"/>
          <w:szCs w:val="32"/>
        </w:rPr>
      </w:pPr>
      <w:r>
        <w:rPr>
          <w:rFonts w:hint="eastAsia" w:ascii="仿宋" w:hAnsi="仿宋" w:eastAsia="仿宋" w:cs="宋体"/>
          <w:kern w:val="0"/>
          <w:sz w:val="32"/>
          <w:szCs w:val="32"/>
        </w:rPr>
        <w:t>收入全部为一般公共预算拨款，无政府性基金预算拨款。</w:t>
      </w:r>
    </w:p>
    <w:p>
      <w:pPr>
        <w:spacing w:line="560" w:lineRule="exact"/>
        <w:ind w:firstLine="640" w:firstLineChars="200"/>
        <w:rPr>
          <w:rFonts w:ascii="仿宋" w:hAnsi="仿宋" w:eastAsia="仿宋" w:cs="宋体"/>
          <w:spacing w:val="-6"/>
          <w:kern w:val="0"/>
          <w:sz w:val="32"/>
          <w:szCs w:val="32"/>
        </w:rPr>
      </w:pPr>
      <w:r>
        <w:rPr>
          <w:rFonts w:hint="eastAsia" w:ascii="仿宋" w:hAnsi="仿宋" w:eastAsia="仿宋" w:cs="宋体"/>
          <w:kern w:val="0"/>
          <w:sz w:val="32"/>
          <w:szCs w:val="32"/>
        </w:rPr>
        <w:t>支出预算包括：教育支出1004.39万元，主要用于</w:t>
      </w:r>
      <w:r>
        <w:rPr>
          <w:rFonts w:hint="eastAsia" w:ascii="仿宋" w:hAnsi="仿宋" w:eastAsia="仿宋" w:cs="宋体"/>
          <w:spacing w:val="-6"/>
          <w:kern w:val="0"/>
          <w:sz w:val="32"/>
          <w:szCs w:val="32"/>
        </w:rPr>
        <w:t>主要用于人员工资、津贴、社保缴费、机关运行的公用经费，及教育督导、校长书记培训等项目经费支出。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五、关于昌吉州教育局2019年一般公共预算当年拨款情况说明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 w:hAnsi="仿宋" w:eastAsia="仿宋" w:cs="宋体"/>
          <w:b/>
          <w:kern w:val="0"/>
          <w:sz w:val="32"/>
          <w:szCs w:val="32"/>
        </w:rPr>
      </w:pPr>
      <w:r>
        <w:rPr>
          <w:rFonts w:hint="eastAsia" w:ascii="仿宋" w:hAnsi="仿宋" w:eastAsia="仿宋" w:cs="宋体"/>
          <w:kern w:val="0"/>
          <w:sz w:val="32"/>
          <w:szCs w:val="32"/>
        </w:rPr>
        <w:t>昌吉州教育局2019年一般公共预算拨款基本支出805.39万元，占80.19%，比上年减少44.25万元，主要原因是减少了5人，调出3人，退休2人，基本支出经费预算减少。</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项目支出199万元，占19.81%，比上年增加50万元，主要原因是：因工作需要增加双语教育工作经费项目支出50万元。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 w:hAnsi="仿宋" w:eastAsia="仿宋" w:cs="宋体"/>
          <w:color w:val="000000" w:themeColor="text1"/>
          <w:kern w:val="0"/>
          <w:sz w:val="32"/>
          <w:szCs w:val="32"/>
        </w:rPr>
      </w:pPr>
      <w:r>
        <w:rPr>
          <w:rFonts w:hint="eastAsia" w:ascii="仿宋" w:hAnsi="仿宋" w:eastAsia="仿宋"/>
          <w:color w:val="000000" w:themeColor="text1"/>
          <w:sz w:val="32"/>
          <w:szCs w:val="32"/>
        </w:rPr>
        <w:t>教育支出（205）1004.39</w:t>
      </w:r>
      <w:r>
        <w:rPr>
          <w:rFonts w:hint="eastAsia" w:ascii="仿宋" w:hAnsi="仿宋" w:eastAsia="仿宋" w:cs="宋体"/>
          <w:color w:val="000000" w:themeColor="text1"/>
          <w:kern w:val="0"/>
          <w:sz w:val="32"/>
          <w:szCs w:val="32"/>
        </w:rPr>
        <w:t>万元，占一般预算支出的100%。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1.教育支出（205）教育管理事务（01）行政运行（01）</w:t>
      </w:r>
      <w:r>
        <w:rPr>
          <w:rFonts w:ascii="仿宋" w:hAnsi="仿宋" w:eastAsia="仿宋" w:cs="宋体"/>
          <w:kern w:val="0"/>
          <w:sz w:val="32"/>
          <w:szCs w:val="32"/>
        </w:rPr>
        <w:t>:</w:t>
      </w:r>
      <w:r>
        <w:rPr>
          <w:rFonts w:hint="eastAsia" w:ascii="仿宋" w:hAnsi="仿宋" w:eastAsia="仿宋" w:cs="宋体"/>
          <w:kern w:val="0"/>
          <w:sz w:val="32"/>
          <w:szCs w:val="32"/>
        </w:rPr>
        <w:t>2019年</w:t>
      </w:r>
      <w:r>
        <w:rPr>
          <w:rFonts w:ascii="仿宋" w:hAnsi="仿宋" w:eastAsia="仿宋" w:cs="宋体"/>
          <w:kern w:val="0"/>
          <w:sz w:val="32"/>
          <w:szCs w:val="32"/>
        </w:rPr>
        <w:t>预算数为</w:t>
      </w:r>
      <w:r>
        <w:rPr>
          <w:rFonts w:hint="eastAsia" w:ascii="仿宋" w:hAnsi="仿宋" w:eastAsia="仿宋" w:cs="宋体"/>
          <w:kern w:val="0"/>
          <w:sz w:val="32"/>
          <w:szCs w:val="32"/>
        </w:rPr>
        <w:t>805.39</w:t>
      </w:r>
      <w:r>
        <w:rPr>
          <w:rFonts w:ascii="仿宋" w:hAnsi="仿宋" w:eastAsia="仿宋" w:cs="宋体"/>
          <w:kern w:val="0"/>
          <w:sz w:val="32"/>
          <w:szCs w:val="32"/>
        </w:rPr>
        <w:t>万元，</w:t>
      </w:r>
      <w:r>
        <w:rPr>
          <w:rFonts w:hint="eastAsia" w:ascii="仿宋" w:hAnsi="仿宋" w:eastAsia="仿宋" w:cs="宋体"/>
          <w:kern w:val="0"/>
          <w:sz w:val="32"/>
          <w:szCs w:val="32"/>
        </w:rPr>
        <w:t>比上年执行数减少44.25万元，下降5.21%，主要原因是：减少了5人，调出3人，退休2人，造成当年经</w:t>
      </w:r>
      <w:bookmarkStart w:id="0" w:name="_GoBack"/>
      <w:bookmarkEnd w:id="0"/>
      <w:r>
        <w:rPr>
          <w:rFonts w:hint="eastAsia" w:ascii="仿宋" w:hAnsi="仿宋" w:eastAsia="仿宋" w:cs="宋体"/>
          <w:kern w:val="0"/>
          <w:sz w:val="32"/>
          <w:szCs w:val="32"/>
        </w:rPr>
        <w:t xml:space="preserve">费预算较上年减少。    </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2、教育支出（205）教育管理事务（01）一般行政管理事务（02）：2019年</w:t>
      </w:r>
      <w:r>
        <w:rPr>
          <w:rFonts w:ascii="仿宋" w:hAnsi="仿宋" w:eastAsia="仿宋" w:cs="宋体"/>
          <w:kern w:val="0"/>
          <w:sz w:val="32"/>
          <w:szCs w:val="32"/>
        </w:rPr>
        <w:t>预算数为</w:t>
      </w:r>
      <w:r>
        <w:rPr>
          <w:rFonts w:hint="eastAsia" w:ascii="仿宋" w:hAnsi="仿宋" w:eastAsia="仿宋" w:cs="宋体"/>
          <w:kern w:val="0"/>
          <w:sz w:val="32"/>
          <w:szCs w:val="32"/>
        </w:rPr>
        <w:t>199</w:t>
      </w:r>
      <w:r>
        <w:rPr>
          <w:rFonts w:ascii="仿宋" w:hAnsi="仿宋" w:eastAsia="仿宋" w:cs="宋体"/>
          <w:kern w:val="0"/>
          <w:sz w:val="32"/>
          <w:szCs w:val="32"/>
        </w:rPr>
        <w:t>万元，</w:t>
      </w:r>
      <w:r>
        <w:rPr>
          <w:rFonts w:hint="eastAsia" w:ascii="仿宋" w:hAnsi="仿宋" w:eastAsia="仿宋" w:cs="宋体"/>
          <w:kern w:val="0"/>
          <w:sz w:val="32"/>
          <w:szCs w:val="32"/>
        </w:rPr>
        <w:t>比上年执行数增加了50万元，增长33.56%，主要原因是：因工作需要增加双语教育工作经费项目支出50万元。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六、关于昌吉州教育局2019年一般公共预算基本支出情况说明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昌吉州教育局2019年一般公共预算基本支出805.39万元， 其中：</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人员经费695.96万元，主要包括：基本工资、津贴补贴、奖金、伙食补助费、机关事业单位基本养老保险缴费、职业年金缴费、职工基本医疗保险缴费、公务员医疗补助缴费、其他社会保障缴费、住房公积金、其他工资福利支出、离休费、奖励金、其他对个人和家庭的补助等。</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公用经费109.43万元，主要包括：办公费、水费、电费、邮电费、取暖费、物业管理费、差旅费、维修（护）费、租赁费、培训费、专用材料费、工会经费、福利费、公务用车运行维护费、其他商品和服务支出等。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七、关于州教育局2019年项目支出情况说明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：对口南疆支教经费</w:t>
      </w:r>
    </w:p>
    <w:p>
      <w:pPr>
        <w:widowControl/>
        <w:spacing w:line="580" w:lineRule="exact"/>
        <w:ind w:firstLine="640"/>
        <w:jc w:val="left"/>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：根据《南疆学前双语教育干部支教工作方案》（新党厅字2016.97号）文件规定执行。支教人员所需经费按照分级管理分级负担的原则列入自治区本级和各地财政预算。</w:t>
      </w:r>
    </w:p>
    <w:p>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：30万元</w:t>
      </w:r>
    </w:p>
    <w:p>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：昌吉州教育局</w:t>
      </w:r>
    </w:p>
    <w:p>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：商品服务支出30万元，主要用于全州教师南疆支教过程中发生的费用开支</w:t>
      </w:r>
    </w:p>
    <w:p>
      <w:pPr>
        <w:widowControl/>
        <w:spacing w:line="580" w:lineRule="exact"/>
        <w:ind w:firstLine="640"/>
        <w:jc w:val="left"/>
        <w:rPr>
          <w:rFonts w:ascii="仿宋" w:hAnsi="仿宋" w:eastAsia="仿宋"/>
          <w:sz w:val="32"/>
          <w:szCs w:val="32"/>
        </w:rPr>
      </w:pPr>
      <w:r>
        <w:rPr>
          <w:rFonts w:ascii="仿宋" w:hAnsi="仿宋" w:eastAsia="仿宋"/>
          <w:sz w:val="32"/>
          <w:szCs w:val="32"/>
        </w:rPr>
        <w:t>资金执行时间</w:t>
      </w:r>
      <w:r>
        <w:rPr>
          <w:rFonts w:hint="eastAsia" w:ascii="仿宋" w:hAnsi="仿宋" w:eastAsia="仿宋"/>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：校长书记培训专项经费</w:t>
      </w:r>
    </w:p>
    <w:p>
      <w:pPr>
        <w:widowControl/>
        <w:spacing w:line="580" w:lineRule="exact"/>
        <w:ind w:firstLine="640"/>
        <w:jc w:val="left"/>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校长、书记是学校的管理者和各项政策规定在学校的执行者，校长、书记的能力素质决定学校的发展水平，加强校长、书记队伍建设，提高能力素质是促进教育健康、持续、快速发展的根本保证。根据国家教育部中小学校长培训规定，在每五年的培训周期内，中小学校长、书记必须接受不少于240学时的岗位培训和提高培训，并且将中小学校长、书记岗位和提高（双证）培训情况纳入工作指标考核体系。</w:t>
      </w:r>
    </w:p>
    <w:p>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：30万元</w:t>
      </w:r>
    </w:p>
    <w:p>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：昌吉州教育局</w:t>
      </w:r>
    </w:p>
    <w:p>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：商品服务支出30万元，主要用于全州校长书记培训过程中发生的费用开支</w:t>
      </w:r>
    </w:p>
    <w:p>
      <w:pPr>
        <w:widowControl/>
        <w:spacing w:line="580" w:lineRule="exact"/>
        <w:ind w:firstLine="640"/>
        <w:jc w:val="left"/>
        <w:rPr>
          <w:rFonts w:ascii="仿宋" w:hAnsi="仿宋" w:eastAsia="仿宋"/>
          <w:sz w:val="32"/>
          <w:szCs w:val="32"/>
        </w:rPr>
      </w:pPr>
      <w:r>
        <w:rPr>
          <w:rFonts w:ascii="仿宋" w:hAnsi="仿宋" w:eastAsia="仿宋"/>
          <w:sz w:val="32"/>
          <w:szCs w:val="32"/>
        </w:rPr>
        <w:t>资金执行时间</w:t>
      </w:r>
      <w:r>
        <w:rPr>
          <w:rFonts w:hint="eastAsia" w:ascii="仿宋" w:hAnsi="仿宋" w:eastAsia="仿宋"/>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：中小学体育竞赛活动经费</w:t>
      </w:r>
    </w:p>
    <w:p>
      <w:pPr>
        <w:widowControl/>
        <w:spacing w:line="580" w:lineRule="exact"/>
        <w:ind w:firstLine="640"/>
        <w:jc w:val="left"/>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为全面贯彻党的教育方针,认真落实《自治区党委、自治区人民政府贯彻&lt;中共中央国务院关于加强青少年体育增强青少年体质的意见&gt;的实施意见》（新党发[2007]18号）精神，自治区、自治州每年都要开展相对固定的体育竞赛活动，所需体育竞赛活动经费由当地财政予以安排。</w:t>
      </w:r>
    </w:p>
    <w:p>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：30万元</w:t>
      </w:r>
    </w:p>
    <w:p>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：昌吉州教育局</w:t>
      </w:r>
    </w:p>
    <w:p>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：商品服务支出30万元，主要用于全州中小学开展体育项目活动过程中发生的费用开支</w:t>
      </w:r>
    </w:p>
    <w:p>
      <w:pPr>
        <w:widowControl/>
        <w:spacing w:line="580" w:lineRule="exact"/>
        <w:ind w:firstLine="640"/>
        <w:jc w:val="left"/>
        <w:rPr>
          <w:rFonts w:ascii="仿宋" w:hAnsi="仿宋" w:eastAsia="仿宋"/>
          <w:sz w:val="32"/>
          <w:szCs w:val="32"/>
        </w:rPr>
      </w:pPr>
      <w:r>
        <w:rPr>
          <w:rFonts w:ascii="仿宋" w:hAnsi="仿宋" w:eastAsia="仿宋"/>
          <w:sz w:val="32"/>
          <w:szCs w:val="32"/>
        </w:rPr>
        <w:t>资金执行时间</w:t>
      </w:r>
      <w:r>
        <w:rPr>
          <w:rFonts w:hint="eastAsia" w:ascii="仿宋" w:hAnsi="仿宋" w:eastAsia="仿宋"/>
          <w:sz w:val="32"/>
          <w:szCs w:val="32"/>
        </w:rPr>
        <w:t>：2019年1月-12月</w:t>
      </w:r>
    </w:p>
    <w:p>
      <w:pPr>
        <w:widowControl/>
        <w:spacing w:line="580" w:lineRule="exact"/>
        <w:ind w:firstLine="640"/>
        <w:jc w:val="left"/>
        <w:rPr>
          <w:rFonts w:ascii="仿宋" w:hAnsi="仿宋" w:eastAsia="仿宋"/>
          <w:b/>
          <w:bCs/>
          <w:sz w:val="32"/>
          <w:szCs w:val="32"/>
        </w:rPr>
      </w:pPr>
      <w:r>
        <w:rPr>
          <w:rFonts w:hint="eastAsia" w:ascii="仿宋" w:hAnsi="仿宋" w:eastAsia="仿宋"/>
          <w:b/>
          <w:bCs/>
          <w:sz w:val="32"/>
          <w:szCs w:val="32"/>
        </w:rPr>
        <w:t>4、项目</w:t>
      </w:r>
      <w:r>
        <w:rPr>
          <w:rFonts w:ascii="仿宋" w:hAnsi="仿宋" w:eastAsia="仿宋"/>
          <w:b/>
          <w:bCs/>
          <w:sz w:val="32"/>
          <w:szCs w:val="32"/>
        </w:rPr>
        <w:t>名称</w:t>
      </w:r>
      <w:r>
        <w:rPr>
          <w:rFonts w:hint="eastAsia" w:ascii="仿宋" w:hAnsi="仿宋" w:eastAsia="仿宋"/>
          <w:b/>
          <w:bCs/>
          <w:sz w:val="32"/>
          <w:szCs w:val="32"/>
        </w:rPr>
        <w:t>：教育督导专项经费</w:t>
      </w:r>
    </w:p>
    <w:p>
      <w:pPr>
        <w:widowControl/>
        <w:spacing w:line="580" w:lineRule="exact"/>
        <w:ind w:firstLine="640"/>
        <w:jc w:val="left"/>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为认真贯彻落实《自治区人民政府对县级人民政府教育工作进行督导评估的实施意见》，2004年州党委、州人民政府印发了《自治州关于实行教育督导工作责任追究制度的意见》(昌州党办〔2004〕65号)，制定了自治州对县级人民政府教育工作进行综合督导评估、义务教育专项督导、教育投入专项督导、对中等学校督导评估、对教育重点难点工作的督查、实行教育工作表彰奖励和教育督导工作责任追究等七项教育督导制度。</w:t>
      </w:r>
    </w:p>
    <w:p>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：10万元</w:t>
      </w:r>
    </w:p>
    <w:p>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：昌吉州教育局</w:t>
      </w:r>
    </w:p>
    <w:p>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：商品服务支出10万元，主要用于教育督导差费、工作经费。</w:t>
      </w:r>
    </w:p>
    <w:p>
      <w:pPr>
        <w:widowControl/>
        <w:spacing w:line="580" w:lineRule="exact"/>
        <w:ind w:firstLine="642"/>
        <w:jc w:val="left"/>
        <w:rPr>
          <w:rFonts w:ascii="仿宋" w:hAnsi="仿宋" w:eastAsia="仿宋"/>
          <w:sz w:val="32"/>
          <w:szCs w:val="32"/>
        </w:rPr>
      </w:pPr>
      <w:r>
        <w:rPr>
          <w:rFonts w:ascii="仿宋" w:hAnsi="仿宋" w:eastAsia="仿宋"/>
          <w:sz w:val="32"/>
          <w:szCs w:val="32"/>
        </w:rPr>
        <w:t>资金执行时间</w:t>
      </w:r>
      <w:r>
        <w:rPr>
          <w:rFonts w:hint="eastAsia" w:ascii="仿宋" w:hAnsi="仿宋" w:eastAsia="仿宋"/>
          <w:sz w:val="32"/>
          <w:szCs w:val="32"/>
        </w:rPr>
        <w:t>：2019年1月-12月</w:t>
      </w:r>
    </w:p>
    <w:p>
      <w:pPr>
        <w:spacing w:line="500" w:lineRule="exact"/>
        <w:ind w:firstLine="636"/>
        <w:rPr>
          <w:rFonts w:ascii="仿宋" w:hAnsi="仿宋" w:eastAsia="仿宋" w:cs="仿宋_GB2312"/>
          <w:sz w:val="32"/>
          <w:szCs w:val="32"/>
        </w:rPr>
      </w:pPr>
      <w:r>
        <w:rPr>
          <w:rFonts w:hint="eastAsia" w:ascii="仿宋" w:hAnsi="仿宋" w:eastAsia="仿宋"/>
          <w:b/>
          <w:sz w:val="32"/>
          <w:szCs w:val="32"/>
        </w:rPr>
        <w:t>5.</w:t>
      </w:r>
      <w:r>
        <w:rPr>
          <w:rFonts w:hint="eastAsia" w:ascii="仿宋" w:hAnsi="仿宋" w:eastAsia="仿宋" w:cs="仿宋_GB2312"/>
          <w:b/>
          <w:sz w:val="32"/>
          <w:szCs w:val="32"/>
        </w:rPr>
        <w:t>项目名称：</w:t>
      </w:r>
      <w:r>
        <w:rPr>
          <w:rFonts w:hint="eastAsia" w:ascii="仿宋" w:hAnsi="仿宋" w:eastAsia="仿宋"/>
          <w:b/>
          <w:sz w:val="32"/>
          <w:szCs w:val="32"/>
        </w:rPr>
        <w:t>农村教育综合改革专项经费</w:t>
      </w:r>
    </w:p>
    <w:p>
      <w:pPr>
        <w:tabs>
          <w:tab w:val="center" w:pos="4422"/>
        </w:tabs>
        <w:spacing w:line="500" w:lineRule="exact"/>
        <w:ind w:firstLine="640"/>
        <w:rPr>
          <w:rFonts w:ascii="仿宋" w:hAnsi="仿宋" w:eastAsia="仿宋" w:cs="仿宋_GB2312"/>
          <w:sz w:val="32"/>
          <w:szCs w:val="32"/>
        </w:rPr>
      </w:pPr>
      <w:r>
        <w:rPr>
          <w:rFonts w:hint="eastAsia" w:ascii="仿宋" w:hAnsi="仿宋" w:eastAsia="仿宋" w:cs="仿宋_GB2312"/>
          <w:sz w:val="32"/>
          <w:szCs w:val="32"/>
        </w:rPr>
        <w:t>设立的政策依据：根据自治区党委和政府的相关文件，教育局年初的工作安排，对县市农牧区农民进行职业教育技能的培训。</w:t>
      </w:r>
    </w:p>
    <w:p>
      <w:pPr>
        <w:tabs>
          <w:tab w:val="center" w:pos="4422"/>
        </w:tabs>
        <w:spacing w:line="500" w:lineRule="exact"/>
        <w:ind w:firstLine="640"/>
        <w:rPr>
          <w:rFonts w:ascii="仿宋" w:hAnsi="仿宋" w:eastAsia="仿宋" w:cs="仿宋_GB2312"/>
          <w:sz w:val="32"/>
          <w:szCs w:val="32"/>
        </w:rPr>
      </w:pPr>
      <w:r>
        <w:rPr>
          <w:rFonts w:hint="eastAsia" w:ascii="仿宋" w:hAnsi="仿宋" w:eastAsia="仿宋" w:cs="仿宋_GB2312"/>
          <w:sz w:val="32"/>
          <w:szCs w:val="32"/>
        </w:rPr>
        <w:t>预算安排规模：11万元</w:t>
      </w:r>
    </w:p>
    <w:p>
      <w:pPr>
        <w:tabs>
          <w:tab w:val="center" w:pos="4422"/>
        </w:tabs>
        <w:spacing w:line="500" w:lineRule="exact"/>
        <w:ind w:firstLine="640"/>
        <w:rPr>
          <w:rFonts w:ascii="仿宋" w:hAnsi="仿宋" w:eastAsia="仿宋" w:cs="仿宋_GB2312"/>
          <w:sz w:val="32"/>
          <w:szCs w:val="32"/>
        </w:rPr>
      </w:pPr>
      <w:r>
        <w:rPr>
          <w:rFonts w:hint="eastAsia" w:ascii="仿宋" w:hAnsi="仿宋" w:eastAsia="仿宋" w:cs="仿宋_GB2312"/>
          <w:sz w:val="32"/>
          <w:szCs w:val="32"/>
        </w:rPr>
        <w:t>项目承担单位：昌吉州教育局</w:t>
      </w:r>
    </w:p>
    <w:p>
      <w:pPr>
        <w:tabs>
          <w:tab w:val="center" w:pos="4422"/>
        </w:tabs>
        <w:spacing w:line="500" w:lineRule="exact"/>
        <w:ind w:firstLine="640"/>
        <w:rPr>
          <w:rFonts w:ascii="仿宋" w:hAnsi="仿宋" w:eastAsia="仿宋" w:cs="仿宋_GB2312"/>
          <w:sz w:val="32"/>
          <w:szCs w:val="32"/>
        </w:rPr>
      </w:pPr>
      <w:r>
        <w:rPr>
          <w:rFonts w:hint="eastAsia" w:ascii="仿宋" w:hAnsi="仿宋" w:eastAsia="仿宋" w:cs="仿宋_GB2312"/>
          <w:sz w:val="32"/>
          <w:szCs w:val="32"/>
        </w:rPr>
        <w:t>资金分配情况：商品服务支出11万元，主要用于培训材料费、课时费等经费支出。</w:t>
      </w:r>
    </w:p>
    <w:p>
      <w:pPr>
        <w:tabs>
          <w:tab w:val="center" w:pos="4422"/>
        </w:tabs>
        <w:spacing w:line="500" w:lineRule="exact"/>
        <w:ind w:firstLine="640"/>
        <w:rPr>
          <w:rFonts w:ascii="仿宋" w:hAnsi="仿宋" w:eastAsia="仿宋" w:cs="仿宋_GB2312"/>
          <w:sz w:val="32"/>
          <w:szCs w:val="32"/>
        </w:rPr>
      </w:pPr>
      <w:r>
        <w:rPr>
          <w:rFonts w:hint="eastAsia" w:ascii="仿宋" w:hAnsi="仿宋" w:eastAsia="仿宋" w:cs="仿宋_GB2312"/>
          <w:sz w:val="32"/>
          <w:szCs w:val="32"/>
        </w:rPr>
        <w:t>资金执行时间：2019年1月—12月</w:t>
      </w:r>
    </w:p>
    <w:p>
      <w:pPr>
        <w:ind w:firstLine="643" w:firstLineChars="200"/>
        <w:rPr>
          <w:rFonts w:ascii="仿宋" w:hAnsi="仿宋" w:eastAsia="仿宋" w:cs="仿宋_GB2312"/>
          <w:sz w:val="32"/>
          <w:szCs w:val="32"/>
        </w:rPr>
      </w:pPr>
      <w:r>
        <w:rPr>
          <w:rFonts w:hint="eastAsia" w:ascii="仿宋" w:hAnsi="仿宋" w:eastAsia="仿宋" w:cs="仿宋_GB2312"/>
          <w:b/>
          <w:sz w:val="32"/>
          <w:szCs w:val="32"/>
        </w:rPr>
        <w:t>6.项目名称：双语教育工作经费</w:t>
      </w:r>
      <w:r>
        <w:rPr>
          <w:rFonts w:hint="eastAsia" w:ascii="仿宋" w:hAnsi="仿宋" w:eastAsia="仿宋" w:cs="仿宋_GB2312"/>
          <w:b/>
          <w:sz w:val="32"/>
          <w:szCs w:val="32"/>
        </w:rPr>
        <w:br w:type="textWrapping"/>
      </w:r>
      <w:r>
        <w:rPr>
          <w:rFonts w:hint="eastAsia" w:ascii="仿宋" w:hAnsi="仿宋" w:eastAsia="仿宋" w:cs="仿宋_GB2312"/>
          <w:sz w:val="32"/>
          <w:szCs w:val="32"/>
        </w:rPr>
        <w:t xml:space="preserve">  设立的政策依据：根据</w:t>
      </w:r>
      <w:r>
        <w:rPr>
          <w:rFonts w:hint="eastAsia" w:ascii="仿宋" w:hAnsi="仿宋" w:eastAsia="仿宋"/>
          <w:sz w:val="32"/>
          <w:szCs w:val="32"/>
        </w:rPr>
        <w:t>《自治区党委自治区人民政府关于全面深化新时代教师队伍建设改革的实施意见》（新党发〔2018〕27号）、《自治州关于进一步加强新时代教师队伍建设的实施意见》（</w:t>
      </w:r>
      <w:r>
        <w:rPr>
          <w:rFonts w:ascii="仿宋" w:hAnsi="仿宋" w:eastAsia="仿宋"/>
          <w:sz w:val="32"/>
          <w:szCs w:val="32"/>
        </w:rPr>
        <w:t>昌州党办发</w:t>
      </w:r>
      <w:r>
        <w:rPr>
          <w:rFonts w:hint="eastAsia" w:ascii="仿宋" w:hAnsi="仿宋" w:eastAsia="仿宋"/>
          <w:sz w:val="32"/>
          <w:szCs w:val="32"/>
        </w:rPr>
        <w:t>〔</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78号</w:t>
      </w:r>
      <w:r>
        <w:rPr>
          <w:rFonts w:hint="eastAsia" w:ascii="仿宋" w:hAnsi="仿宋" w:eastAsia="仿宋"/>
          <w:sz w:val="32"/>
          <w:szCs w:val="32"/>
        </w:rPr>
        <w:t>）、《新疆维吾尔自治区中小学和幼儿园教师继续教育规划（2019—2023年）》（新教厅〔2019〕6号）和《昌吉回族自治州中小学和幼儿园教师继续教育规划（2019-2023年）》精神，</w:t>
      </w:r>
      <w:r>
        <w:rPr>
          <w:rFonts w:hint="eastAsia" w:ascii="仿宋" w:hAnsi="仿宋" w:eastAsia="仿宋" w:cs="仿宋_GB2312"/>
          <w:sz w:val="32"/>
          <w:szCs w:val="32"/>
        </w:rPr>
        <w:t>为了不断提高少数民族教师国语水平和教育教学能力，促进自治州教师整体素质的提升，强化教师队伍建设，结合我州教育工作实际开展国语教育培训班。</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预算安排规模：58万元</w:t>
      </w:r>
    </w:p>
    <w:p>
      <w:pPr>
        <w:ind w:left="319" w:leftChars="152"/>
        <w:rPr>
          <w:rFonts w:ascii="仿宋" w:hAnsi="仿宋" w:eastAsia="仿宋" w:cs="仿宋_GB2312"/>
          <w:sz w:val="32"/>
          <w:szCs w:val="32"/>
        </w:rPr>
      </w:pPr>
      <w:r>
        <w:rPr>
          <w:rFonts w:hint="eastAsia" w:ascii="仿宋" w:hAnsi="仿宋" w:eastAsia="仿宋" w:cs="仿宋_GB2312"/>
          <w:sz w:val="32"/>
          <w:szCs w:val="32"/>
        </w:rPr>
        <w:t>项目承担单位：昌吉州教育局</w:t>
      </w:r>
      <w:r>
        <w:rPr>
          <w:rFonts w:hint="eastAsia" w:ascii="仿宋" w:hAnsi="仿宋" w:eastAsia="仿宋" w:cs="仿宋_GB2312"/>
          <w:sz w:val="32"/>
          <w:szCs w:val="32"/>
        </w:rPr>
        <w:br w:type="textWrapping"/>
      </w:r>
      <w:r>
        <w:rPr>
          <w:rFonts w:hint="eastAsia" w:ascii="仿宋" w:hAnsi="仿宋" w:eastAsia="仿宋" w:cs="仿宋_GB2312"/>
          <w:sz w:val="32"/>
          <w:szCs w:val="32"/>
        </w:rPr>
        <w:t>资金分配情况：商品服务支出58万元，用于培训食宿费</w:t>
      </w:r>
    </w:p>
    <w:p>
      <w:pPr>
        <w:ind w:left="640" w:hanging="640" w:hangingChars="200"/>
        <w:rPr>
          <w:rFonts w:ascii="仿宋" w:hAnsi="仿宋" w:eastAsia="仿宋" w:cs="仿宋_GB2312"/>
          <w:sz w:val="32"/>
          <w:szCs w:val="32"/>
        </w:rPr>
      </w:pPr>
      <w:r>
        <w:rPr>
          <w:rFonts w:hint="eastAsia" w:ascii="仿宋" w:hAnsi="仿宋" w:eastAsia="仿宋" w:cs="仿宋_GB2312"/>
          <w:sz w:val="32"/>
          <w:szCs w:val="32"/>
        </w:rPr>
        <w:t>用和支出</w:t>
      </w:r>
    </w:p>
    <w:p>
      <w:pPr>
        <w:ind w:left="639" w:leftChars="152" w:hanging="320" w:hangingChars="100"/>
        <w:rPr>
          <w:rFonts w:ascii="仿宋" w:hAnsi="仿宋" w:eastAsia="仿宋" w:cs="仿宋_GB2312"/>
          <w:sz w:val="32"/>
          <w:szCs w:val="32"/>
        </w:rPr>
      </w:pPr>
      <w:r>
        <w:rPr>
          <w:rFonts w:hint="eastAsia" w:ascii="仿宋" w:hAnsi="仿宋" w:eastAsia="仿宋" w:cs="仿宋_GB2312"/>
          <w:sz w:val="32"/>
          <w:szCs w:val="32"/>
        </w:rPr>
        <w:t>资金执行时间：2019年1月-12月</w:t>
      </w:r>
    </w:p>
    <w:p>
      <w:pPr>
        <w:numPr>
          <w:ilvl w:val="0"/>
          <w:numId w:val="1"/>
        </w:numPr>
        <w:ind w:left="319" w:leftChars="152"/>
        <w:rPr>
          <w:rFonts w:ascii="仿宋" w:hAnsi="仿宋" w:eastAsia="仿宋"/>
          <w:b/>
          <w:sz w:val="32"/>
          <w:szCs w:val="32"/>
        </w:rPr>
      </w:pPr>
      <w:r>
        <w:rPr>
          <w:rFonts w:hint="eastAsia" w:ascii="仿宋" w:hAnsi="仿宋" w:eastAsia="仿宋" w:cs="仿宋_GB2312"/>
          <w:b/>
          <w:sz w:val="32"/>
          <w:szCs w:val="32"/>
        </w:rPr>
        <w:t>项目名称：</w:t>
      </w:r>
      <w:r>
        <w:rPr>
          <w:rFonts w:hint="eastAsia" w:ascii="仿宋" w:hAnsi="仿宋" w:eastAsia="仿宋"/>
          <w:b/>
          <w:sz w:val="32"/>
          <w:szCs w:val="32"/>
        </w:rPr>
        <w:t>教育工委工作经费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设立的政策依据：中共昌吉州教育工作委员会是州党委下设的教育系统工作委员会，单位设在州教育局，两套班子一套人员，合署办公，财政根据州党委的文件要求每年拨付州教育工委30万元的业务工作经费，用于州教育工委开展正常的工作所需。</w:t>
      </w:r>
    </w:p>
    <w:p>
      <w:pPr>
        <w:ind w:left="640" w:hanging="640" w:hangingChars="200"/>
        <w:rPr>
          <w:rFonts w:ascii="仿宋" w:hAnsi="仿宋" w:eastAsia="仿宋" w:cs="仿宋_GB2312"/>
          <w:sz w:val="32"/>
          <w:szCs w:val="32"/>
        </w:rPr>
      </w:pPr>
      <w:r>
        <w:rPr>
          <w:rFonts w:hint="eastAsia" w:ascii="仿宋" w:hAnsi="仿宋" w:eastAsia="仿宋" w:cs="仿宋_GB2312"/>
          <w:sz w:val="32"/>
          <w:szCs w:val="32"/>
        </w:rPr>
        <w:t>预算安排规模：30万元</w:t>
      </w:r>
      <w:r>
        <w:rPr>
          <w:rFonts w:hint="eastAsia" w:ascii="仿宋" w:hAnsi="仿宋" w:eastAsia="仿宋" w:cs="仿宋_GB2312"/>
          <w:sz w:val="32"/>
          <w:szCs w:val="32"/>
        </w:rPr>
        <w:br w:type="textWrapping"/>
      </w:r>
      <w:r>
        <w:rPr>
          <w:rFonts w:hint="eastAsia" w:ascii="仿宋" w:hAnsi="仿宋" w:eastAsia="仿宋" w:cs="仿宋_GB2312"/>
          <w:sz w:val="32"/>
          <w:szCs w:val="32"/>
        </w:rPr>
        <w:t>项目承担单位：昌吉州教育局</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资金分配情况：商品服务支出30万元，新增两个党</w:t>
      </w:r>
    </w:p>
    <w:p>
      <w:pPr>
        <w:ind w:left="640" w:hanging="640" w:hangingChars="200"/>
        <w:rPr>
          <w:rFonts w:ascii="仿宋" w:hAnsi="仿宋" w:eastAsia="仿宋" w:cs="仿宋_GB2312"/>
          <w:sz w:val="32"/>
          <w:szCs w:val="32"/>
        </w:rPr>
      </w:pPr>
      <w:r>
        <w:rPr>
          <w:rFonts w:hint="eastAsia" w:ascii="仿宋" w:hAnsi="仿宋" w:eastAsia="仿宋" w:cs="仿宋_GB2312"/>
          <w:sz w:val="32"/>
          <w:szCs w:val="32"/>
        </w:rPr>
        <w:t>建示范点、举办一期党员发展对象培训班。</w:t>
      </w:r>
    </w:p>
    <w:p>
      <w:pPr>
        <w:ind w:left="639" w:leftChars="152" w:hanging="320" w:hangingChars="100"/>
        <w:rPr>
          <w:rFonts w:ascii="仿宋" w:hAnsi="仿宋" w:eastAsia="仿宋" w:cs="仿宋_GB2312"/>
          <w:sz w:val="32"/>
          <w:szCs w:val="32"/>
        </w:rPr>
      </w:pPr>
      <w:r>
        <w:rPr>
          <w:rFonts w:hint="eastAsia" w:ascii="仿宋" w:hAnsi="仿宋" w:eastAsia="仿宋" w:cs="仿宋_GB2312"/>
          <w:sz w:val="32"/>
          <w:szCs w:val="32"/>
        </w:rPr>
        <w:t>资金执行时间：2019年1月-12月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八、关于昌吉州教育局2019年一般公共预算“三公”经费预算情况说明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昌吉州教育局2019年“三公”经费财政拨款预算数为12.3万元，其中：因公出国（境）费0万元，公务用车购置0万元，公务用车运行费12.3万元，公务接待费0万元。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2019年“三公”经费财政拨款预算比上年减少0.13万元，其中：因公出国（境）费增加（减少）0万元；公务用车购置费为0，未安排预算；公务用车运行费减少0.13万元，主要原因是单位严格执行中央八项规定，压减公务用车费用开支；公务接待费增加（减少）0万元。</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九、关于昌吉州教育局2019年政府性基金预算拨款情况说明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昌吉州教育局2019年没有使用政府性基金预算拨款安排的支出，政府性基金预算支出情况表为空表。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2019年，昌吉州教育局的机关运行经费财政拨款预算109.43万元，比上年预算增加5.51万元，增长5.3%。主要原因是工资增加后公用经费拨付按照比例增加所致。</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2019年，昌吉州教育局政府采购预算253.05万元，其中：政府采购货物预算253.05万元，政府采购工程预算0万元，政府采购服务预算0万元。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截至2018年底，州教育局占用使用国有资产总体情况为</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1.房屋9322.47平方米，价值1033.31万元。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2.车辆3辆，价值73.82万元；其中：一般公务用车3辆，价值73.82万元；执法执勤用车0辆，价值0万元；其他车辆0辆，价值0万元。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3.办公家具价值65.71万元。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4.其他资产价值286.01万元。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单位价值50万元以上大型设备0台（套），单位价值100万元以上大型设备0（套）。</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2019年部门预算未安排购置车辆经费（或安排购置车辆经费0万元），安排购置50万元以上大型设备0台（套），单位价值100万元以上大型设备0台（套）。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2019年度，本年度实行绩效管理的项目7个，涉及预算金额199万元。具体情况见下表（按项目分别填报）：</w:t>
      </w:r>
    </w:p>
    <w:p>
      <w:pPr>
        <w:spacing w:line="500" w:lineRule="exact"/>
        <w:rPr>
          <w:rFonts w:ascii="仿宋" w:hAnsi="仿宋" w:eastAsia="仿宋"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对口南疆支教经费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满足南疆支教教师的生活后勤保障和州教育局的工作经费保障</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看望慰问南疆支教教师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举办一次南疆支教教师培训班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10天20万元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举办一次南疆支教教师培训班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培训支教教师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200人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看望南疆支教教师次数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举办一次南疆支教教师培训班时间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2019年8月底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支教教师能力和素质显著提升，各项待遇得到落实</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师生满意度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学生家长满意度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教育督导专项经费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每年春秋两季对县市进行两次教育督导检查</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督导评估检查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开展对七县市履行教育职责的督导评估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每个县市抽查3天</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开展对全州21所中小学督导评估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每个县市2所小学1所中学</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以上三项工作全面完成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开展对七县市2019年教育重点工作检查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每个县市抽查6所中小学检查时间3天</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州党委改革办开展师生满意度调查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州党委改革办开展学生家长满意度调查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95.6%</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农村教育综合改革专项经费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根据自治区党委和政府的相关文件，依据教育局年初的工作安排，对县市农牧区农民进行职业教育技能的培训。</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举办培训班费用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开展对农牧民进行为期20天的培训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培训人数20人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培训学时培训天数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160学时20天</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以上二项工作全面完成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天</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培训持证过级率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大于70%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培训学员满意度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社会满意度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双语教育工作经费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对各县市的双语教育工作每年进行春秋两季的常规检查。</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青少年双语口语大赛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开展国语教育全覆盖督导检查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举办青少年学生双语口语大赛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以上二项工作全面完成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开展对七县市2019年教育重点工作检查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每个县市抽查6所中小学检查时间3天</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7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民汉合校学校学前义务教育阶段及高中一二年级学生通用国家语言教达到全覆盖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师生家长满意度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校长书记培训专项经费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每年组织全州100名校长书记到福建参加20天的培训</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培训班费用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培训人数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50-100人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举办中小学校长书记培训班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以上二项工作全面完成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7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中小学校长书记整体素质和水平得到提高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学校管理能力治校办学水平显着提高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学校满意度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校长书记满意度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中小学体育竞赛活动经费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每年参加自治区和昌吉州的各项各类体育竞赛活动，体育活动有：中学生田径运动会、中学生跆拳道、中学生健美操比赛等等</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参加自治区的比赛项目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组织昌吉州全州的体育比赛项目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参加自治区教育厅组织的体育比赛项目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参加项目4个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组织全州的体育比赛项目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组织比赛项目5个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以上二项工作全面完成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100%完成</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完成全年体育比赛计划，提高中小学学生整体素质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7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提升中小学学生的身体健康素质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师生家长满意度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昌吉州教育局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教育工委工作经费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完成教育工委年初制定的工作计划</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开展党组织工作规范化督导检查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新增党建示范点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新增2个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举办1期党员发展对象培训班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培训学员30人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2019年8月底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两个全覆盖工作扎实开展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党建</w:t>
            </w: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党建七大工程有效推进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基层党组织建设加强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所属党组织测评满意度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321" w:firstLineChars="1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ind w:firstLine="10880" w:firstLineChars="34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昌吉州教育局</w:t>
      </w:r>
    </w:p>
    <w:p>
      <w:pPr>
        <w:widowControl/>
        <w:spacing w:line="560" w:lineRule="exact"/>
        <w:ind w:firstLine="10720" w:firstLineChars="33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35</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C5C67"/>
    <w:multiLevelType w:val="singleLevel"/>
    <w:tmpl w:val="FDEC5C67"/>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4318F"/>
    <w:rsid w:val="00103E51"/>
    <w:rsid w:val="001833B0"/>
    <w:rsid w:val="001E6171"/>
    <w:rsid w:val="002B3AB6"/>
    <w:rsid w:val="002B5144"/>
    <w:rsid w:val="00325B17"/>
    <w:rsid w:val="005722C3"/>
    <w:rsid w:val="005B1484"/>
    <w:rsid w:val="005C28D7"/>
    <w:rsid w:val="005D54A3"/>
    <w:rsid w:val="007055BD"/>
    <w:rsid w:val="00757310"/>
    <w:rsid w:val="00775DCE"/>
    <w:rsid w:val="007F62F9"/>
    <w:rsid w:val="00841512"/>
    <w:rsid w:val="0085598C"/>
    <w:rsid w:val="008F4A86"/>
    <w:rsid w:val="00A42E4A"/>
    <w:rsid w:val="00CD08FF"/>
    <w:rsid w:val="00D95B2F"/>
    <w:rsid w:val="00DB6C8B"/>
    <w:rsid w:val="00E71959"/>
    <w:rsid w:val="00EE458B"/>
    <w:rsid w:val="00FA5319"/>
    <w:rsid w:val="00FC6ABD"/>
    <w:rsid w:val="01C822A2"/>
    <w:rsid w:val="02112977"/>
    <w:rsid w:val="03800D55"/>
    <w:rsid w:val="04C97270"/>
    <w:rsid w:val="08145CAC"/>
    <w:rsid w:val="08386F04"/>
    <w:rsid w:val="0ECE366F"/>
    <w:rsid w:val="0EE51BF3"/>
    <w:rsid w:val="10EC4879"/>
    <w:rsid w:val="11480CB6"/>
    <w:rsid w:val="123126AA"/>
    <w:rsid w:val="12FE5E69"/>
    <w:rsid w:val="14C8130D"/>
    <w:rsid w:val="1515178C"/>
    <w:rsid w:val="17E273B1"/>
    <w:rsid w:val="1814358F"/>
    <w:rsid w:val="181C387A"/>
    <w:rsid w:val="189130F1"/>
    <w:rsid w:val="18947E68"/>
    <w:rsid w:val="18C04C2D"/>
    <w:rsid w:val="1B45406E"/>
    <w:rsid w:val="1C0727B6"/>
    <w:rsid w:val="1CE8109B"/>
    <w:rsid w:val="1CFE5C8F"/>
    <w:rsid w:val="1D7C397D"/>
    <w:rsid w:val="1DF81C95"/>
    <w:rsid w:val="20E00A67"/>
    <w:rsid w:val="22A12A6C"/>
    <w:rsid w:val="23295C18"/>
    <w:rsid w:val="26895F3D"/>
    <w:rsid w:val="27562F95"/>
    <w:rsid w:val="2A071767"/>
    <w:rsid w:val="2D5A543F"/>
    <w:rsid w:val="301E7C55"/>
    <w:rsid w:val="30E725C9"/>
    <w:rsid w:val="31543585"/>
    <w:rsid w:val="31852DA3"/>
    <w:rsid w:val="31F2613D"/>
    <w:rsid w:val="334347C1"/>
    <w:rsid w:val="336B78FC"/>
    <w:rsid w:val="36246EC4"/>
    <w:rsid w:val="373C4D0F"/>
    <w:rsid w:val="376D605E"/>
    <w:rsid w:val="37C703A8"/>
    <w:rsid w:val="37E750BA"/>
    <w:rsid w:val="3805659D"/>
    <w:rsid w:val="3B34003D"/>
    <w:rsid w:val="3BEE3D7F"/>
    <w:rsid w:val="40F42198"/>
    <w:rsid w:val="41331A3F"/>
    <w:rsid w:val="418C68ED"/>
    <w:rsid w:val="423920B5"/>
    <w:rsid w:val="4254540C"/>
    <w:rsid w:val="42B14EAE"/>
    <w:rsid w:val="43BE1A02"/>
    <w:rsid w:val="457D125D"/>
    <w:rsid w:val="46297A82"/>
    <w:rsid w:val="46563E21"/>
    <w:rsid w:val="47073935"/>
    <w:rsid w:val="48B82D38"/>
    <w:rsid w:val="49800D7D"/>
    <w:rsid w:val="49A2136B"/>
    <w:rsid w:val="4A9B4EA2"/>
    <w:rsid w:val="4C8875C5"/>
    <w:rsid w:val="4C9B3514"/>
    <w:rsid w:val="4D207E79"/>
    <w:rsid w:val="50737B49"/>
    <w:rsid w:val="52603D69"/>
    <w:rsid w:val="53155D23"/>
    <w:rsid w:val="5382007A"/>
    <w:rsid w:val="549628F8"/>
    <w:rsid w:val="55F62785"/>
    <w:rsid w:val="56323CE5"/>
    <w:rsid w:val="56446F0B"/>
    <w:rsid w:val="590419C1"/>
    <w:rsid w:val="599045F2"/>
    <w:rsid w:val="59FC446D"/>
    <w:rsid w:val="5BDC0027"/>
    <w:rsid w:val="5E304526"/>
    <w:rsid w:val="5F1D3DFF"/>
    <w:rsid w:val="5F496A7D"/>
    <w:rsid w:val="5F6064F5"/>
    <w:rsid w:val="609665C4"/>
    <w:rsid w:val="61140A84"/>
    <w:rsid w:val="614238BC"/>
    <w:rsid w:val="61ED38FC"/>
    <w:rsid w:val="64AD055E"/>
    <w:rsid w:val="653166BA"/>
    <w:rsid w:val="65EA1404"/>
    <w:rsid w:val="66795AE4"/>
    <w:rsid w:val="67483113"/>
    <w:rsid w:val="6811709F"/>
    <w:rsid w:val="68BC5125"/>
    <w:rsid w:val="68BD4495"/>
    <w:rsid w:val="6A512776"/>
    <w:rsid w:val="6AA4213F"/>
    <w:rsid w:val="6D365345"/>
    <w:rsid w:val="6ECA514A"/>
    <w:rsid w:val="6FD35D43"/>
    <w:rsid w:val="70B006C3"/>
    <w:rsid w:val="7170389F"/>
    <w:rsid w:val="73901C5E"/>
    <w:rsid w:val="745101A3"/>
    <w:rsid w:val="75B6054E"/>
    <w:rsid w:val="794D1313"/>
    <w:rsid w:val="7AE653C7"/>
    <w:rsid w:val="7B901150"/>
    <w:rsid w:val="7DA91E54"/>
    <w:rsid w:val="7E7E70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AEF86-47AA-4718-B820-88BB09E2E85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2284</Words>
  <Characters>13021</Characters>
  <Lines>108</Lines>
  <Paragraphs>30</Paragraphs>
  <TotalTime>0</TotalTime>
  <ScaleCrop>false</ScaleCrop>
  <LinksUpToDate>false</LinksUpToDate>
  <CharactersWithSpaces>15275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admin</cp:lastModifiedBy>
  <dcterms:modified xsi:type="dcterms:W3CDTF">2021-05-28T03:30:46Z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9CFDDE32AAF5437D8247DD74D5AF2461</vt:lpwstr>
  </property>
</Properties>
</file>