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eastAsia="zh-CN"/>
        </w:rPr>
        <w:t>昌吉州教育工会</w:t>
      </w:r>
      <w:r>
        <w:rPr>
          <w:rFonts w:ascii="方正小标宋_GBK" w:hAnsi="宋体" w:eastAsia="方正小标宋_GBK"/>
          <w:kern w:val="0"/>
          <w:sz w:val="44"/>
          <w:szCs w:val="44"/>
        </w:rPr>
        <w:t>2019</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w:t>
      </w:r>
      <w:r>
        <w:rPr>
          <w:rFonts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w:t>
      </w:r>
      <w:r>
        <w:rPr>
          <w:rFonts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eastAsia="仿宋_GB2312"/>
          <w:sz w:val="32"/>
          <w:szCs w:val="32"/>
          <w:lang w:eastAsia="zh-CN"/>
        </w:rPr>
        <w:t>昌吉州教育工会</w:t>
      </w:r>
      <w:r>
        <w:rPr>
          <w:rFonts w:ascii="仿宋_GB2312" w:hAnsi="宋体" w:eastAsia="仿宋_GB2312"/>
          <w:kern w:val="0"/>
          <w:sz w:val="32"/>
          <w:szCs w:val="32"/>
        </w:rPr>
        <w:t>2019</w:t>
      </w:r>
      <w:r>
        <w:rPr>
          <w:rFonts w:hint="eastAsia" w:ascii="仿宋_GB2312" w:hAnsi="宋体" w:eastAsia="仿宋_GB2312"/>
          <w:kern w:val="0"/>
          <w:sz w:val="32"/>
          <w:szCs w:val="32"/>
        </w:rPr>
        <w:t>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eastAsia="仿宋_GB2312"/>
          <w:sz w:val="32"/>
          <w:szCs w:val="32"/>
          <w:lang w:eastAsia="zh-CN"/>
        </w:rPr>
        <w:t>昌吉州教育工会</w:t>
      </w:r>
      <w:r>
        <w:rPr>
          <w:rFonts w:ascii="仿宋_GB2312" w:hAnsi="宋体" w:eastAsia="仿宋_GB2312"/>
          <w:kern w:val="0"/>
          <w:sz w:val="32"/>
          <w:szCs w:val="32"/>
        </w:rPr>
        <w:t>2019</w:t>
      </w:r>
      <w:r>
        <w:rPr>
          <w:rFonts w:hint="eastAsia" w:ascii="仿宋_GB2312" w:hAnsi="宋体" w:eastAsia="仿宋_GB2312"/>
          <w:kern w:val="0"/>
          <w:sz w:val="32"/>
          <w:szCs w:val="32"/>
        </w:rPr>
        <w:t>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eastAsia="仿宋_GB2312"/>
          <w:sz w:val="32"/>
          <w:szCs w:val="32"/>
          <w:lang w:eastAsia="zh-CN"/>
        </w:rPr>
        <w:t>昌吉州教育工会</w:t>
      </w:r>
      <w:r>
        <w:rPr>
          <w:rFonts w:ascii="仿宋_GB2312" w:hAnsi="宋体" w:eastAsia="仿宋_GB2312"/>
          <w:kern w:val="0"/>
          <w:sz w:val="32"/>
          <w:szCs w:val="32"/>
        </w:rPr>
        <w:t>2019</w:t>
      </w:r>
      <w:r>
        <w:rPr>
          <w:rFonts w:hint="eastAsia" w:ascii="仿宋_GB2312" w:hAnsi="宋体" w:eastAsia="仿宋_GB2312"/>
          <w:kern w:val="0"/>
          <w:sz w:val="32"/>
          <w:szCs w:val="32"/>
        </w:rPr>
        <w:t>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eastAsia="仿宋_GB2312"/>
          <w:sz w:val="32"/>
          <w:szCs w:val="32"/>
          <w:lang w:eastAsia="zh-CN"/>
        </w:rPr>
        <w:t>昌吉州教育工会</w:t>
      </w:r>
      <w:r>
        <w:rPr>
          <w:rFonts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eastAsia="仿宋_GB2312"/>
          <w:sz w:val="32"/>
          <w:szCs w:val="32"/>
          <w:lang w:eastAsia="zh-CN"/>
        </w:rPr>
        <w:t>昌吉州教育工会</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eastAsia="仿宋_GB2312"/>
          <w:sz w:val="32"/>
          <w:szCs w:val="32"/>
          <w:lang w:eastAsia="zh-CN"/>
        </w:rPr>
        <w:t>昌吉州教育工会</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eastAsia="仿宋_GB2312"/>
          <w:sz w:val="32"/>
          <w:szCs w:val="32"/>
          <w:lang w:eastAsia="zh-CN"/>
        </w:rPr>
        <w:t>昌吉州教育工会</w:t>
      </w:r>
      <w:r>
        <w:rPr>
          <w:rFonts w:ascii="仿宋_GB2312" w:hAnsi="宋体" w:eastAsia="仿宋_GB2312"/>
          <w:kern w:val="0"/>
          <w:sz w:val="32"/>
          <w:szCs w:val="32"/>
        </w:rPr>
        <w:t>2019</w:t>
      </w:r>
      <w:r>
        <w:rPr>
          <w:rFonts w:hint="eastAsia" w:ascii="仿宋_GB2312" w:hAnsi="宋体" w:eastAsia="仿宋_GB2312"/>
          <w:kern w:val="0"/>
          <w:sz w:val="32"/>
          <w:szCs w:val="32"/>
        </w:rPr>
        <w:t>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eastAsia="仿宋_GB2312"/>
          <w:sz w:val="32"/>
          <w:szCs w:val="32"/>
          <w:lang w:eastAsia="zh-CN"/>
        </w:rPr>
        <w:t>昌吉州教育工会</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eastAsia="仿宋_GB2312"/>
          <w:sz w:val="32"/>
          <w:szCs w:val="32"/>
          <w:lang w:eastAsia="zh-CN"/>
        </w:rPr>
        <w:t>昌吉州教育工会</w:t>
      </w:r>
      <w:r>
        <w:rPr>
          <w:rFonts w:ascii="仿宋_GB2312" w:hAnsi="宋体" w:eastAsia="仿宋_GB2312"/>
          <w:kern w:val="0"/>
          <w:sz w:val="32"/>
          <w:szCs w:val="32"/>
        </w:rPr>
        <w:t>2019</w:t>
      </w:r>
      <w:r>
        <w:rPr>
          <w:rFonts w:hint="eastAsia" w:ascii="仿宋_GB2312" w:hAnsi="宋体" w:eastAsia="仿宋_GB2312"/>
          <w:kern w:val="0"/>
          <w:sz w:val="32"/>
          <w:szCs w:val="32"/>
        </w:rPr>
        <w:t>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jc w:val="center"/>
        <w:outlineLvl w:val="1"/>
        <w:rPr>
          <w:rFonts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lang w:eastAsia="zh-CN"/>
        </w:rPr>
        <w:t>昌吉州教育工会</w:t>
      </w:r>
      <w:r>
        <w:rPr>
          <w:rFonts w:hint="eastAsia" w:ascii="黑体" w:hAnsi="黑体" w:eastAsia="黑体"/>
          <w:kern w:val="0"/>
          <w:sz w:val="32"/>
          <w:szCs w:val="32"/>
        </w:rPr>
        <w:t>单位概况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昌吉州教育工会</w:t>
      </w:r>
      <w:r>
        <w:rPr>
          <w:rFonts w:hint="eastAsia" w:ascii="仿宋_GB2312" w:hAnsi="宋体" w:eastAsia="仿宋_GB2312" w:cs="宋体"/>
          <w:kern w:val="0"/>
          <w:sz w:val="32"/>
          <w:szCs w:val="32"/>
        </w:rPr>
        <w:t>是财政全额拨款的参公管理事业单位，单位的主要职责是：</w:t>
      </w:r>
    </w:p>
    <w:p>
      <w:pPr>
        <w:widowControl/>
        <w:spacing w:line="56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一是负责开展全州各族教职工的思想政治工作，在全州各族教职工中广泛深入地开展“教书育人、管理育人、服务育人”和教职工职业道德建设活动，提高广大教职工的政治、业务素质。</w:t>
      </w:r>
      <w:r>
        <w:rPr>
          <w:rFonts w:ascii="仿宋_GB2312" w:hAnsi="宋体" w:eastAsia="仿宋_GB2312" w:cs="宋体"/>
          <w:kern w:val="0"/>
          <w:sz w:val="32"/>
          <w:szCs w:val="32"/>
        </w:rPr>
        <w:t xml:space="preserve"> </w:t>
      </w:r>
    </w:p>
    <w:p>
      <w:pPr>
        <w:widowControl/>
        <w:spacing w:line="56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二是负责全州教育系统工会的组织建设、干部培训和理论研究工作，督查、指导、验收“教工之家”工作；指导和组织开展教职工的业余文化生活和群众性的体育活动。</w:t>
      </w:r>
      <w:r>
        <w:rPr>
          <w:rFonts w:ascii="仿宋_GB2312" w:hAnsi="宋体" w:eastAsia="仿宋_GB2312" w:cs="宋体"/>
          <w:kern w:val="0"/>
          <w:sz w:val="32"/>
          <w:szCs w:val="32"/>
        </w:rPr>
        <w:t xml:space="preserve"> </w:t>
      </w:r>
    </w:p>
    <w:p>
      <w:pPr>
        <w:widowControl/>
        <w:spacing w:line="56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三是负责全州各级各类学校的民主政治建设，健全和完善全州各级各类学校的教职工代表大会制度和校务公开制度，落实好教代会的各项职权，充分发挥教职工当家作主的积极性，加强民主管理和民主监督。</w:t>
      </w:r>
      <w:r>
        <w:rPr>
          <w:rFonts w:ascii="仿宋_GB2312" w:hAnsi="宋体" w:eastAsia="仿宋_GB2312" w:cs="宋体"/>
          <w:kern w:val="0"/>
          <w:sz w:val="32"/>
          <w:szCs w:val="32"/>
        </w:rPr>
        <w:t xml:space="preserve"> </w:t>
      </w:r>
    </w:p>
    <w:p>
      <w:pPr>
        <w:widowControl/>
        <w:spacing w:line="56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四是负责掌握、收集全州教职工的思想动态和普遍关心的热点问题，依法维护全州各族教职工的合法权益，负责实施“送温暖工程”和扶贫帮困活动。</w:t>
      </w:r>
    </w:p>
    <w:p>
      <w:pPr>
        <w:widowControl/>
        <w:spacing w:line="56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五是负责</w:t>
      </w:r>
      <w:r>
        <w:rPr>
          <w:rFonts w:hint="eastAsia" w:ascii="仿宋_GB2312" w:hAnsi="宋体" w:eastAsia="仿宋_GB2312" w:cs="宋体"/>
          <w:kern w:val="0"/>
          <w:sz w:val="32"/>
          <w:szCs w:val="32"/>
          <w:lang w:eastAsia="zh-CN"/>
        </w:rPr>
        <w:t>昌吉州教育工会</w:t>
      </w:r>
      <w:r>
        <w:rPr>
          <w:rFonts w:hint="eastAsia" w:ascii="仿宋_GB2312" w:hAnsi="宋体" w:eastAsia="仿宋_GB2312" w:cs="宋体"/>
          <w:kern w:val="0"/>
          <w:sz w:val="32"/>
          <w:szCs w:val="32"/>
        </w:rPr>
        <w:t>机关的日常工作，总结经验、定期表彰各类先进；负责催缴州直民办学校按时足额上缴工会经费。</w:t>
      </w:r>
    </w:p>
    <w:p>
      <w:pPr>
        <w:widowControl/>
        <w:spacing w:line="56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六是完成州党委、州人民政府和自治区教育工会、自治州总工会交办的其它工作。</w:t>
      </w:r>
    </w:p>
    <w:p>
      <w:pPr>
        <w:widowControl/>
        <w:spacing w:line="560" w:lineRule="exact"/>
        <w:ind w:firstLine="636"/>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spacing w:line="560" w:lineRule="exact"/>
        <w:ind w:firstLine="627" w:firstLineChars="196"/>
        <w:rPr>
          <w:rFonts w:ascii="仿宋_GB2312" w:hAnsi="宋体" w:eastAsia="仿宋_GB2312" w:cs="宋体"/>
          <w:kern w:val="0"/>
          <w:sz w:val="32"/>
          <w:szCs w:val="32"/>
        </w:rPr>
      </w:pPr>
      <w:r>
        <w:rPr>
          <w:rFonts w:hint="eastAsia" w:ascii="仿宋_GB2312" w:hAnsi="黑体" w:eastAsia="仿宋_GB2312" w:cs="宋体"/>
          <w:bCs/>
          <w:kern w:val="0"/>
          <w:sz w:val="32"/>
          <w:szCs w:val="32"/>
          <w:lang w:eastAsia="zh-CN"/>
        </w:rPr>
        <w:t>昌吉州教育工会</w:t>
      </w:r>
      <w:r>
        <w:rPr>
          <w:rFonts w:hint="eastAsia" w:ascii="仿宋_GB2312" w:hAnsi="黑体" w:eastAsia="仿宋_GB2312" w:cs="宋体"/>
          <w:bCs/>
          <w:kern w:val="0"/>
          <w:sz w:val="32"/>
          <w:szCs w:val="32"/>
        </w:rPr>
        <w:t>无下属预算单位，下设</w:t>
      </w:r>
      <w:r>
        <w:rPr>
          <w:rFonts w:ascii="仿宋_GB2312" w:hAnsi="黑体" w:eastAsia="仿宋_GB2312" w:cs="宋体"/>
          <w:bCs/>
          <w:kern w:val="0"/>
          <w:sz w:val="32"/>
          <w:szCs w:val="32"/>
        </w:rPr>
        <w:t>1</w:t>
      </w:r>
      <w:r>
        <w:rPr>
          <w:rFonts w:hint="eastAsia" w:ascii="仿宋_GB2312" w:hAnsi="黑体" w:eastAsia="仿宋_GB2312" w:cs="宋体"/>
          <w:bCs/>
          <w:kern w:val="0"/>
          <w:sz w:val="32"/>
          <w:szCs w:val="32"/>
        </w:rPr>
        <w:t>个处室是：</w:t>
      </w:r>
      <w:r>
        <w:rPr>
          <w:rFonts w:hint="eastAsia" w:ascii="仿宋_GB2312" w:hAnsi="宋体" w:eastAsia="仿宋_GB2312"/>
          <w:sz w:val="32"/>
          <w:szCs w:val="32"/>
        </w:rPr>
        <w:t>办公室</w:t>
      </w:r>
      <w:r>
        <w:rPr>
          <w:rFonts w:hint="eastAsia" w:ascii="仿宋_GB2312" w:hAnsi="宋体" w:eastAsia="仿宋_GB2312" w:cs="宋体"/>
          <w:kern w:val="0"/>
          <w:sz w:val="32"/>
          <w:szCs w:val="32"/>
        </w:rPr>
        <w:t>。</w:t>
      </w:r>
    </w:p>
    <w:p>
      <w:pPr>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昌吉州教育工会</w:t>
      </w:r>
      <w:r>
        <w:rPr>
          <w:rFonts w:hint="eastAsia" w:ascii="仿宋_GB2312" w:hAnsi="宋体" w:eastAsia="仿宋_GB2312" w:cs="宋体"/>
          <w:kern w:val="0"/>
          <w:sz w:val="32"/>
          <w:szCs w:val="32"/>
        </w:rPr>
        <w:t>编制数</w:t>
      </w:r>
      <w:r>
        <w:rPr>
          <w:rFonts w:ascii="仿宋_GB2312" w:hAnsi="宋体" w:eastAsia="仿宋_GB2312" w:cs="宋体"/>
          <w:kern w:val="0"/>
          <w:sz w:val="32"/>
          <w:szCs w:val="32"/>
        </w:rPr>
        <w:t>5</w:t>
      </w:r>
      <w:r>
        <w:rPr>
          <w:rFonts w:hint="eastAsia" w:ascii="仿宋_GB2312" w:hAnsi="宋体" w:eastAsia="仿宋_GB2312" w:cs="宋体"/>
          <w:kern w:val="0"/>
          <w:sz w:val="32"/>
          <w:szCs w:val="32"/>
        </w:rPr>
        <w:t>人，实有人数</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5</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退休</w:t>
      </w:r>
      <w:r>
        <w:rPr>
          <w:rFonts w:ascii="仿宋_GB2312" w:hAnsi="宋体" w:eastAsia="仿宋_GB2312" w:cs="宋体"/>
          <w:kern w:val="0"/>
          <w:sz w:val="32"/>
          <w:szCs w:val="32"/>
        </w:rPr>
        <w:t>3</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人；离休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2019</w:t>
      </w:r>
      <w:r>
        <w:rPr>
          <w:rFonts w:hint="eastAsia" w:ascii="黑体" w:hAnsi="黑体" w:eastAsia="黑体"/>
          <w:kern w:val="0"/>
          <w:sz w:val="32"/>
          <w:szCs w:val="32"/>
        </w:rPr>
        <w:t>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昌吉州教育工会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76.47</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76.47</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76.47</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210 </w:t>
            </w:r>
            <w:r>
              <w:rPr>
                <w:rFonts w:hint="eastAsia" w:ascii="仿宋_GB2312" w:hAnsi="宋体" w:eastAsia="仿宋_GB2312" w:cs="宋体"/>
                <w:kern w:val="0"/>
                <w:sz w:val="18"/>
                <w:szCs w:val="18"/>
              </w:rPr>
              <w:t>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76.47</w:t>
            </w:r>
          </w:p>
        </w:tc>
        <w:tc>
          <w:tcPr>
            <w:tcW w:w="2693" w:type="dxa"/>
            <w:tcBorders>
              <w:top w:val="nil"/>
              <w:left w:val="nil"/>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76.47</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76.47</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76.47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昌吉州教育工会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654" w:type="dxa"/>
        <w:tblInd w:w="93" w:type="dxa"/>
        <w:tblLayout w:type="fixed"/>
        <w:tblCellMar>
          <w:top w:w="0" w:type="dxa"/>
          <w:left w:w="108" w:type="dxa"/>
          <w:bottom w:w="0" w:type="dxa"/>
          <w:right w:w="108" w:type="dxa"/>
        </w:tblCellMar>
      </w:tblPr>
      <w:tblGrid>
        <w:gridCol w:w="568"/>
        <w:gridCol w:w="451"/>
        <w:gridCol w:w="451"/>
        <w:gridCol w:w="1724"/>
        <w:gridCol w:w="851"/>
        <w:gridCol w:w="851"/>
        <w:gridCol w:w="680"/>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4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72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72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hAnsi="宋体" w:eastAsia="仿宋_GB2312" w:cs="宋体"/>
                <w:color w:val="000000"/>
                <w:sz w:val="20"/>
                <w:szCs w:val="20"/>
              </w:rPr>
              <w:t>205</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hAnsi="宋体" w:eastAsia="仿宋_GB2312" w:cs="宋体"/>
                <w:color w:val="000000"/>
                <w:sz w:val="20"/>
                <w:szCs w:val="20"/>
              </w:rPr>
              <w:t>01</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hAnsi="宋体" w:eastAsia="仿宋_GB2312" w:cs="宋体"/>
                <w:color w:val="000000"/>
                <w:sz w:val="20"/>
                <w:szCs w:val="20"/>
              </w:rPr>
              <w:t>99</w:t>
            </w: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其他教育管理事务支出</w:t>
            </w:r>
          </w:p>
        </w:tc>
        <w:tc>
          <w:tcPr>
            <w:tcW w:w="85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85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昌吉州教育工会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29" w:type="dxa"/>
        <w:tblInd w:w="93" w:type="dxa"/>
        <w:tblLayout w:type="fixed"/>
        <w:tblCellMar>
          <w:top w:w="0" w:type="dxa"/>
          <w:left w:w="108" w:type="dxa"/>
          <w:bottom w:w="0" w:type="dxa"/>
          <w:right w:w="108" w:type="dxa"/>
        </w:tblCellMar>
      </w:tblPr>
      <w:tblGrid>
        <w:gridCol w:w="568"/>
        <w:gridCol w:w="451"/>
        <w:gridCol w:w="451"/>
        <w:gridCol w:w="2501"/>
        <w:gridCol w:w="1803"/>
        <w:gridCol w:w="1804"/>
        <w:gridCol w:w="1651"/>
      </w:tblGrid>
      <w:tr>
        <w:tblPrEx>
          <w:tblLayout w:type="fixed"/>
          <w:tblCellMar>
            <w:top w:w="0" w:type="dxa"/>
            <w:left w:w="108" w:type="dxa"/>
            <w:bottom w:w="0" w:type="dxa"/>
            <w:right w:w="108" w:type="dxa"/>
          </w:tblCellMar>
        </w:tblPrEx>
        <w:trPr>
          <w:trHeight w:val="345" w:hRule="atLeast"/>
        </w:trPr>
        <w:tc>
          <w:tcPr>
            <w:tcW w:w="397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258"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7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0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6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5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6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hAnsi="宋体" w:eastAsia="仿宋_GB2312" w:cs="宋体"/>
                <w:color w:val="000000"/>
                <w:sz w:val="20"/>
                <w:szCs w:val="20"/>
              </w:rPr>
              <w:t>205</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hAnsi="宋体" w:eastAsia="仿宋_GB2312" w:cs="宋体"/>
                <w:color w:val="000000"/>
                <w:sz w:val="20"/>
                <w:szCs w:val="20"/>
              </w:rPr>
              <w:t>01</w:t>
            </w:r>
          </w:p>
        </w:tc>
        <w:tc>
          <w:tcPr>
            <w:tcW w:w="4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hAnsi="宋体" w:eastAsia="仿宋_GB2312" w:cs="宋体"/>
                <w:color w:val="000000"/>
                <w:sz w:val="20"/>
                <w:szCs w:val="20"/>
              </w:rPr>
              <w:t>99</w:t>
            </w:r>
          </w:p>
        </w:tc>
        <w:tc>
          <w:tcPr>
            <w:tcW w:w="25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其他教育管理事务支出</w:t>
            </w:r>
          </w:p>
        </w:tc>
        <w:tc>
          <w:tcPr>
            <w:tcW w:w="180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8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0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5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51"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5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5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80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8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65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outlineLvl w:val="1"/>
        <w:rPr>
          <w:rFonts w:ascii="仿宋_GB2312" w:hAnsi="宋体" w:eastAsia="仿宋_GB2312"/>
          <w:b/>
          <w:kern w:val="0"/>
          <w:sz w:val="32"/>
          <w:szCs w:val="32"/>
        </w:rPr>
      </w:pP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lang w:eastAsia="zh-CN"/>
        </w:rPr>
        <w:t>昌吉州教育工会</w:t>
      </w:r>
      <w:r>
        <w:rPr>
          <w:rFonts w:ascii="仿宋_GB2312" w:hAnsi="宋体" w:eastAsia="仿宋_GB2312"/>
          <w:kern w:val="0"/>
          <w:sz w:val="28"/>
          <w:szCs w:val="28"/>
        </w:rPr>
        <w:t xml:space="preserve">                                </w:t>
      </w:r>
      <w:r>
        <w:rPr>
          <w:rFonts w:hint="eastAsia" w:ascii="仿宋_GB2312" w:hAnsi="宋体" w:eastAsia="仿宋_GB2312"/>
          <w:kern w:val="0"/>
          <w:sz w:val="28"/>
          <w:szCs w:val="28"/>
        </w:rPr>
        <w:t>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76.47</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76.47</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2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5"/>
                <w:szCs w:val="15"/>
              </w:rPr>
              <w:t xml:space="preserve">210 </w:t>
            </w:r>
            <w:r>
              <w:rPr>
                <w:rFonts w:hint="eastAsia" w:ascii="仿宋_GB2312" w:hAnsi="宋体" w:eastAsia="仿宋_GB2312" w:cs="宋体"/>
                <w:kern w:val="0"/>
                <w:sz w:val="15"/>
                <w:szCs w:val="15"/>
              </w:rPr>
              <w:t>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5"/>
                <w:szCs w:val="15"/>
              </w:rPr>
              <w:t>2</w:t>
            </w:r>
            <w:r>
              <w:rPr>
                <w:rFonts w:ascii="仿宋_GB2312" w:hAnsi="宋体" w:eastAsia="仿宋_GB2312" w:cs="宋体"/>
                <w:color w:val="000000"/>
                <w:kern w:val="0"/>
                <w:sz w:val="15"/>
                <w:szCs w:val="15"/>
              </w:rPr>
              <w:t xml:space="preserve">23 </w:t>
            </w:r>
            <w:r>
              <w:rPr>
                <w:rFonts w:hint="eastAsia" w:ascii="仿宋_GB2312" w:hAnsi="宋体" w:eastAsia="仿宋_GB2312" w:cs="宋体"/>
                <w:color w:val="000000"/>
                <w:kern w:val="0"/>
                <w:sz w:val="15"/>
                <w:szCs w:val="15"/>
              </w:rPr>
              <w:t>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31 </w:t>
            </w:r>
            <w:r>
              <w:rPr>
                <w:rFonts w:hint="eastAsia" w:ascii="仿宋_GB2312" w:hAnsi="宋体" w:eastAsia="仿宋_GB2312" w:cs="宋体"/>
                <w:color w:val="000000"/>
                <w:kern w:val="0"/>
                <w:sz w:val="18"/>
                <w:szCs w:val="18"/>
              </w:rPr>
              <w:t>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32 </w:t>
            </w:r>
            <w:r>
              <w:rPr>
                <w:rFonts w:hint="eastAsia" w:ascii="仿宋_GB2312" w:hAnsi="宋体" w:eastAsia="仿宋_GB2312" w:cs="宋体"/>
                <w:color w:val="000000"/>
                <w:kern w:val="0"/>
                <w:sz w:val="18"/>
                <w:szCs w:val="18"/>
              </w:rPr>
              <w:t>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233</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76.47</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418"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76.47</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93" w:type="dxa"/>
        <w:tblLayout w:type="fixed"/>
        <w:tblCellMar>
          <w:top w:w="0" w:type="dxa"/>
          <w:left w:w="108" w:type="dxa"/>
          <w:bottom w:w="0" w:type="dxa"/>
          <w:right w:w="108" w:type="dxa"/>
        </w:tblCellMar>
      </w:tblPr>
      <w:tblGrid>
        <w:gridCol w:w="587"/>
        <w:gridCol w:w="491"/>
        <w:gridCol w:w="463"/>
        <w:gridCol w:w="2446"/>
        <w:gridCol w:w="168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昌吉州教育工会</w:t>
            </w:r>
            <w:r>
              <w:rPr>
                <w:rFonts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4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4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6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hAnsi="宋体" w:eastAsia="仿宋_GB2312" w:cs="宋体"/>
                <w:color w:val="000000"/>
                <w:sz w:val="20"/>
                <w:szCs w:val="20"/>
              </w:rPr>
              <w:t>205</w:t>
            </w:r>
          </w:p>
        </w:tc>
        <w:tc>
          <w:tcPr>
            <w:tcW w:w="49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hAnsi="宋体" w:eastAsia="仿宋_GB2312" w:cs="宋体"/>
                <w:color w:val="000000"/>
                <w:sz w:val="20"/>
                <w:szCs w:val="20"/>
              </w:rPr>
              <w:t>01</w:t>
            </w:r>
          </w:p>
        </w:tc>
        <w:tc>
          <w:tcPr>
            <w:tcW w:w="4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hAnsi="宋体" w:eastAsia="仿宋_GB2312" w:cs="宋体"/>
                <w:color w:val="000000"/>
                <w:sz w:val="20"/>
                <w:szCs w:val="20"/>
              </w:rPr>
              <w:t>99</w:t>
            </w:r>
          </w:p>
        </w:tc>
        <w:tc>
          <w:tcPr>
            <w:tcW w:w="244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其他教育管理事务支出</w:t>
            </w:r>
          </w:p>
        </w:tc>
        <w:tc>
          <w:tcPr>
            <w:tcW w:w="1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4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76.47</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118" w:type="dxa"/>
        <w:tblInd w:w="93" w:type="dxa"/>
        <w:tblLayout w:type="fixed"/>
        <w:tblCellMar>
          <w:top w:w="0" w:type="dxa"/>
          <w:left w:w="108" w:type="dxa"/>
          <w:bottom w:w="0" w:type="dxa"/>
          <w:right w:w="108" w:type="dxa"/>
        </w:tblCellMar>
      </w:tblPr>
      <w:tblGrid>
        <w:gridCol w:w="568"/>
        <w:gridCol w:w="576"/>
        <w:gridCol w:w="3371"/>
        <w:gridCol w:w="1201"/>
        <w:gridCol w:w="976"/>
        <w:gridCol w:w="725"/>
        <w:gridCol w:w="1701"/>
      </w:tblGrid>
      <w:tr>
        <w:tblPrEx>
          <w:tblLayout w:type="fixed"/>
          <w:tblCellMar>
            <w:top w:w="0" w:type="dxa"/>
            <w:left w:w="108" w:type="dxa"/>
            <w:bottom w:w="0" w:type="dxa"/>
            <w:right w:w="108" w:type="dxa"/>
          </w:tblCellMar>
        </w:tblPrEx>
        <w:trPr>
          <w:trHeight w:val="375" w:hRule="atLeast"/>
        </w:trPr>
        <w:tc>
          <w:tcPr>
            <w:tcW w:w="9118" w:type="dxa"/>
            <w:gridSpan w:val="7"/>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6692" w:type="dxa"/>
            <w:gridSpan w:val="5"/>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昌吉州教育工会</w:t>
            </w:r>
            <w:r>
              <w:rPr>
                <w:rFonts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51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60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14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37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2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3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2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基本工资</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22.71</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22.71</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02</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津贴补贴</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14.29</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14.29</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03</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奖金</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1.52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1.52</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06</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伙食补助费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6.3</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6.3</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08</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机关事业单位基本养老保险缴费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7.71</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7.71</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10</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职工基本医疗保险缴费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5.51</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5.51</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11</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公务员医疗补助缴费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4.28</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4.28</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12</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其他社会保障缴费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0.12</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301</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13</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住房公积金</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4.62</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4.62</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办公费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0.66</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0.66</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07</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邮电费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0.25</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0.25</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11</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差旅费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1.5</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1.5</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16</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培训费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0.6</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0.6</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26</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劳务费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28</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工会经费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0.45</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0.45</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29</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福利费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31</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公务车运行维护费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2.08</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2.08</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302</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99</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其他商品和服务支出</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0.93</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0.93</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303</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09</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奖励金</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0.14</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0.14</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303</w:t>
            </w: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14</w:t>
            </w: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hint="eastAsia" w:ascii="Dialog" w:hAnsi="Dialog"/>
                <w:color w:val="000000"/>
              </w:rPr>
              <w:t>职工住宅取暖费</w:t>
            </w: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0.8</w:t>
            </w: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0.8</w:t>
            </w: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rPr>
                <w:rFonts w:ascii="Dialog" w:hAnsi="Dialog" w:cs="宋体"/>
                <w:color w:val="000000"/>
                <w:sz w:val="24"/>
              </w:rPr>
            </w:pPr>
          </w:p>
        </w:tc>
        <w:tc>
          <w:tcPr>
            <w:tcW w:w="576"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337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201" w:type="dxa"/>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gridSpan w:val="2"/>
            <w:tcBorders>
              <w:top w:val="nil"/>
              <w:left w:val="nil"/>
              <w:bottom w:val="single" w:color="auto" w:sz="4" w:space="0"/>
              <w:right w:val="single" w:color="auto" w:sz="4" w:space="0"/>
            </w:tcBorders>
            <w:vAlign w:val="center"/>
          </w:tcPr>
          <w:p>
            <w:pPr>
              <w:rPr>
                <w:rFonts w:ascii="Dialog" w:hAnsi="Dialog" w:cs="宋体"/>
                <w:color w:val="000000"/>
                <w:sz w:val="24"/>
              </w:rPr>
            </w:pPr>
          </w:p>
        </w:tc>
        <w:tc>
          <w:tcPr>
            <w:tcW w:w="1701" w:type="dxa"/>
            <w:tcBorders>
              <w:top w:val="nil"/>
              <w:left w:val="nil"/>
              <w:bottom w:val="single" w:color="auto" w:sz="4" w:space="0"/>
              <w:right w:val="single" w:color="auto" w:sz="4" w:space="0"/>
            </w:tcBorders>
            <w:vAlign w:val="center"/>
          </w:tcPr>
          <w:p>
            <w:pPr>
              <w:rPr>
                <w:rFonts w:ascii="Dialog" w:hAnsi="Dialog" w:cs="宋体"/>
                <w:color w:val="000000"/>
                <w:sz w:val="24"/>
              </w:rPr>
            </w:pP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37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b/>
                <w:bCs/>
                <w:color w:val="000000"/>
                <w:kern w:val="0"/>
                <w:sz w:val="20"/>
                <w:szCs w:val="20"/>
              </w:rPr>
              <w:t>合计</w:t>
            </w:r>
          </w:p>
        </w:tc>
        <w:tc>
          <w:tcPr>
            <w:tcW w:w="12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76.47</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68</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8.47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7"/>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7027" w:type="dxa"/>
            <w:gridSpan w:val="11"/>
            <w:tcBorders>
              <w:top w:val="nil"/>
              <w:left w:val="nil"/>
              <w:bottom w:val="nil"/>
              <w:right w:val="nil"/>
            </w:tcBorders>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昌吉州教育工会</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pPr>
              <w:widowControl/>
              <w:jc w:val="left"/>
              <w:outlineLvl w:val="1"/>
              <w:rPr>
                <w:rFonts w:ascii="仿宋_GB2312" w:hAnsi="宋体" w:eastAsia="仿宋_GB2312"/>
                <w:b/>
                <w:kern w:val="0"/>
                <w:sz w:val="18"/>
                <w:szCs w:val="18"/>
              </w:rPr>
            </w:pPr>
          </w:p>
        </w:tc>
        <w:tc>
          <w:tcPr>
            <w:tcW w:w="1456" w:type="dxa"/>
            <w:vMerge w:val="continue"/>
          </w:tcPr>
          <w:p>
            <w:pPr>
              <w:widowControl/>
              <w:jc w:val="left"/>
              <w:outlineLvl w:val="1"/>
              <w:rPr>
                <w:rFonts w:ascii="仿宋_GB2312" w:hAnsi="宋体" w:eastAsia="仿宋_GB2312"/>
                <w:b/>
                <w:kern w:val="0"/>
                <w:sz w:val="18"/>
                <w:szCs w:val="18"/>
              </w:rPr>
            </w:pPr>
          </w:p>
        </w:tc>
        <w:tc>
          <w:tcPr>
            <w:tcW w:w="750" w:type="dxa"/>
            <w:vMerge w:val="continue"/>
          </w:tcPr>
          <w:p>
            <w:pPr>
              <w:widowControl/>
              <w:jc w:val="left"/>
              <w:outlineLvl w:val="1"/>
              <w:rPr>
                <w:rFonts w:ascii="仿宋_GB2312" w:hAnsi="宋体" w:eastAsia="仿宋_GB2312"/>
                <w:b/>
                <w:kern w:val="0"/>
                <w:sz w:val="18"/>
                <w:szCs w:val="18"/>
              </w:rPr>
            </w:pPr>
          </w:p>
        </w:tc>
        <w:tc>
          <w:tcPr>
            <w:tcW w:w="569" w:type="dxa"/>
            <w:vMerge w:val="continue"/>
          </w:tcPr>
          <w:p>
            <w:pPr>
              <w:widowControl/>
              <w:jc w:val="left"/>
              <w:outlineLvl w:val="1"/>
              <w:rPr>
                <w:rFonts w:ascii="仿宋_GB2312" w:hAnsi="宋体" w:eastAsia="仿宋_GB2312"/>
                <w:b/>
                <w:kern w:val="0"/>
                <w:sz w:val="18"/>
                <w:szCs w:val="18"/>
              </w:rPr>
            </w:pPr>
          </w:p>
        </w:tc>
        <w:tc>
          <w:tcPr>
            <w:tcW w:w="536"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578" w:type="dxa"/>
            <w:gridSpan w:val="2"/>
            <w:vMerge w:val="continue"/>
          </w:tcPr>
          <w:p>
            <w:pPr>
              <w:widowControl/>
              <w:jc w:val="left"/>
              <w:outlineLvl w:val="1"/>
              <w:rPr>
                <w:rFonts w:ascii="仿宋_GB2312" w:hAnsi="宋体" w:eastAsia="仿宋_GB2312"/>
                <w:b/>
                <w:kern w:val="0"/>
                <w:sz w:val="18"/>
                <w:szCs w:val="18"/>
              </w:rPr>
            </w:pPr>
          </w:p>
        </w:tc>
        <w:tc>
          <w:tcPr>
            <w:tcW w:w="419" w:type="dxa"/>
            <w:vMerge w:val="continue"/>
          </w:tcPr>
          <w:p>
            <w:pPr>
              <w:widowControl/>
              <w:jc w:val="left"/>
              <w:outlineLvl w:val="1"/>
              <w:rPr>
                <w:rFonts w:ascii="仿宋_GB2312" w:hAnsi="宋体" w:eastAsia="仿宋_GB2312"/>
                <w:b/>
                <w:kern w:val="0"/>
                <w:sz w:val="18"/>
                <w:szCs w:val="18"/>
              </w:rPr>
            </w:pPr>
          </w:p>
        </w:tc>
        <w:tc>
          <w:tcPr>
            <w:tcW w:w="578"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397" w:type="dxa"/>
            <w:gridSpan w:val="2"/>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昌吉州教育工会</w:t>
      </w:r>
      <w:r>
        <w:rPr>
          <w:rFonts w:ascii="仿宋_GB2312" w:hAnsi="宋体" w:eastAsia="仿宋_GB2312" w:cs="仿宋_GB2312"/>
          <w:b/>
          <w:bCs/>
          <w:kern w:val="0"/>
          <w:sz w:val="28"/>
          <w:szCs w:val="28"/>
        </w:rPr>
        <w:t>2019</w:t>
      </w:r>
      <w:r>
        <w:rPr>
          <w:rFonts w:hint="eastAsia" w:ascii="仿宋_GB2312" w:hAnsi="宋体" w:eastAsia="仿宋_GB2312" w:cs="仿宋_GB2312"/>
          <w:b/>
          <w:bCs/>
          <w:kern w:val="0"/>
          <w:sz w:val="28"/>
          <w:szCs w:val="28"/>
        </w:rPr>
        <w:t>年预算未安排项目支出</w:t>
      </w:r>
      <w:r>
        <w:rPr>
          <w:rFonts w:hint="eastAsia" w:ascii="仿宋_GB2312" w:hAnsi="宋体" w:eastAsia="仿宋_GB2312" w:cs="仿宋_GB2312"/>
          <w:b/>
          <w:bCs/>
          <w:kern w:val="0"/>
          <w:sz w:val="28"/>
          <w:szCs w:val="28"/>
          <w:lang w:eastAsia="zh-CN"/>
        </w:rPr>
        <w:t>，此表为空</w:t>
      </w:r>
      <w:r>
        <w:rPr>
          <w:rFonts w:hint="eastAsia" w:ascii="仿宋_GB2312" w:hAnsi="宋体" w:eastAsia="仿宋_GB2312" w:cs="仿宋_GB2312"/>
          <w:b/>
          <w:bCs/>
          <w:kern w:val="0"/>
          <w:sz w:val="28"/>
          <w:szCs w:val="28"/>
        </w:rPr>
        <w:t>。</w:t>
      </w:r>
    </w:p>
    <w:p>
      <w:pPr>
        <w:widowControl/>
        <w:outlineLvl w:val="1"/>
        <w:rPr>
          <w:rFonts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昌吉州教育工会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2.08</w:t>
            </w:r>
          </w:p>
        </w:tc>
        <w:tc>
          <w:tcPr>
            <w:tcW w:w="1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2.08</w:t>
            </w:r>
          </w:p>
        </w:tc>
        <w:tc>
          <w:tcPr>
            <w:tcW w:w="141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2.08</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昌吉州教育工会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昌吉州教育工会</w:t>
      </w:r>
      <w:r>
        <w:rPr>
          <w:rFonts w:ascii="仿宋_GB2312" w:hAnsi="宋体" w:eastAsia="仿宋_GB2312" w:cs="仿宋_GB2312"/>
          <w:b/>
          <w:bCs/>
          <w:kern w:val="0"/>
          <w:sz w:val="28"/>
          <w:szCs w:val="28"/>
        </w:rPr>
        <w:t>2019</w:t>
      </w:r>
      <w:r>
        <w:rPr>
          <w:rFonts w:hint="eastAsia" w:ascii="仿宋_GB2312" w:hAnsi="宋体" w:eastAsia="仿宋_GB2312" w:cs="仿宋_GB2312"/>
          <w:b/>
          <w:bCs/>
          <w:kern w:val="0"/>
          <w:sz w:val="28"/>
          <w:szCs w:val="28"/>
        </w:rPr>
        <w:t>年未安排政府性基金预算</w:t>
      </w:r>
      <w:r>
        <w:rPr>
          <w:rFonts w:hint="eastAsia" w:ascii="仿宋_GB2312" w:hAnsi="宋体" w:eastAsia="仿宋_GB2312" w:cs="仿宋_GB2312"/>
          <w:b/>
          <w:bCs/>
          <w:kern w:val="0"/>
          <w:sz w:val="28"/>
          <w:szCs w:val="28"/>
          <w:lang w:eastAsia="zh-CN"/>
        </w:rPr>
        <w:t>，此表为空。</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2019</w:t>
      </w:r>
      <w:r>
        <w:rPr>
          <w:rFonts w:hint="eastAsia" w:ascii="黑体" w:hAnsi="黑体" w:eastAsia="黑体"/>
          <w:kern w:val="0"/>
          <w:sz w:val="32"/>
          <w:szCs w:val="32"/>
        </w:rPr>
        <w:t>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cs="黑体"/>
          <w:sz w:val="32"/>
          <w:szCs w:val="32"/>
          <w:lang w:eastAsia="zh-CN"/>
        </w:rPr>
        <w:t>昌吉州教育工会</w:t>
      </w:r>
      <w:r>
        <w:rPr>
          <w:rFonts w:hint="eastAsia" w:ascii="黑体" w:hAnsi="黑体" w:eastAsia="黑体" w:cs="黑体"/>
          <w:sz w:val="32"/>
          <w:szCs w:val="32"/>
        </w:rPr>
        <w:t>2019</w:t>
      </w:r>
      <w:r>
        <w:rPr>
          <w:rFonts w:hint="eastAsia" w:ascii="黑体" w:hAnsi="宋体" w:eastAsia="黑体" w:cs="宋体"/>
          <w:kern w:val="0"/>
          <w:sz w:val="32"/>
          <w:szCs w:val="32"/>
        </w:rPr>
        <w:t>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eastAsia="仿宋_GB2312"/>
          <w:sz w:val="32"/>
          <w:szCs w:val="32"/>
          <w:lang w:eastAsia="zh-CN"/>
        </w:rPr>
        <w:t>昌吉州教育工会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cs="黑体"/>
          <w:sz w:val="32"/>
          <w:szCs w:val="32"/>
          <w:lang w:eastAsia="zh-CN"/>
        </w:rPr>
        <w:t>昌吉州教育工会</w:t>
      </w:r>
      <w:r>
        <w:rPr>
          <w:rFonts w:ascii="黑体" w:hAnsi="宋体" w:eastAsia="黑体" w:cs="宋体"/>
          <w:kern w:val="0"/>
          <w:sz w:val="32"/>
          <w:szCs w:val="32"/>
        </w:rPr>
        <w:t>2019</w:t>
      </w:r>
      <w:r>
        <w:rPr>
          <w:rFonts w:hint="eastAsia" w:ascii="黑体" w:hAnsi="宋体" w:eastAsia="黑体" w:cs="宋体"/>
          <w:kern w:val="0"/>
          <w:sz w:val="32"/>
          <w:szCs w:val="32"/>
        </w:rPr>
        <w:t>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lang w:eastAsia="zh-CN"/>
        </w:rPr>
        <w:t>昌吉州教育工会</w:t>
      </w:r>
      <w:r>
        <w:rPr>
          <w:rFonts w:hint="eastAsia" w:ascii="仿宋_GB2312" w:hAnsi="宋体" w:eastAsia="仿宋_GB2312" w:cs="宋体"/>
          <w:kern w:val="0"/>
          <w:sz w:val="32"/>
          <w:szCs w:val="32"/>
        </w:rPr>
        <w:t>收入预算</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万元，其中：</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1.78</w:t>
      </w:r>
      <w:r>
        <w:rPr>
          <w:rFonts w:hint="eastAsia" w:ascii="仿宋_GB2312" w:hAnsi="宋体" w:eastAsia="仿宋_GB2312" w:cs="宋体"/>
          <w:kern w:val="0"/>
          <w:sz w:val="32"/>
          <w:szCs w:val="32"/>
        </w:rPr>
        <w:t>万元，主要原因是人员正常增资，基本工资增加</w:t>
      </w:r>
      <w:r>
        <w:rPr>
          <w:rFonts w:hint="eastAsia" w:ascii="仿宋_GB2312" w:hAnsi="宋体" w:eastAsia="仿宋_GB2312" w:cs="宋体"/>
          <w:kern w:val="0"/>
          <w:sz w:val="32"/>
          <w:szCs w:val="32"/>
          <w:lang w:eastAsia="zh-CN"/>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cs="黑体"/>
          <w:sz w:val="32"/>
          <w:szCs w:val="32"/>
          <w:lang w:eastAsia="zh-CN"/>
        </w:rPr>
        <w:t>昌吉州教育工会</w:t>
      </w:r>
      <w:r>
        <w:rPr>
          <w:rFonts w:hint="eastAsia" w:ascii="黑体" w:hAnsi="黑体" w:eastAsia="黑体" w:cs="黑体"/>
          <w:sz w:val="32"/>
          <w:szCs w:val="32"/>
        </w:rPr>
        <w:t>2019</w:t>
      </w:r>
      <w:r>
        <w:rPr>
          <w:rFonts w:hint="eastAsia" w:ascii="黑体" w:hAnsi="宋体" w:eastAsia="黑体" w:cs="宋体"/>
          <w:kern w:val="0"/>
          <w:sz w:val="32"/>
          <w:szCs w:val="32"/>
        </w:rPr>
        <w:t>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lang w:eastAsia="zh-CN"/>
        </w:rPr>
        <w:t>昌吉州教育工会</w:t>
      </w:r>
      <w:r>
        <w:rPr>
          <w:rFonts w:hint="eastAsia" w:ascii="仿宋_GB2312" w:hAnsi="宋体" w:eastAsia="仿宋_GB2312" w:cs="宋体"/>
          <w:kern w:val="0"/>
          <w:sz w:val="32"/>
          <w:szCs w:val="32"/>
        </w:rPr>
        <w:t>单位</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rPr>
        <w:t>基本支出</w:t>
      </w:r>
      <w:r>
        <w:rPr>
          <w:rFonts w:ascii="仿宋_GB2312" w:eastAsia="仿宋_GB2312"/>
          <w:sz w:val="32"/>
          <w:szCs w:val="32"/>
        </w:rPr>
        <w:t>76.47</w:t>
      </w:r>
      <w:r>
        <w:rPr>
          <w:rFonts w:hint="eastAsia" w:ascii="仿宋_GB2312" w:eastAsia="仿宋_GB2312"/>
          <w:sz w:val="32"/>
          <w:szCs w:val="32"/>
        </w:rPr>
        <w:t>万元，占</w:t>
      </w:r>
      <w:r>
        <w:rPr>
          <w:rFonts w:ascii="仿宋_GB2312" w:eastAsia="仿宋_GB2312"/>
          <w:sz w:val="32"/>
          <w:szCs w:val="32"/>
        </w:rPr>
        <w:t>100%</w:t>
      </w:r>
      <w:r>
        <w:rPr>
          <w:rFonts w:hint="eastAsia" w:ascii="仿宋_GB2312" w:eastAsia="仿宋_GB2312"/>
          <w:sz w:val="32"/>
          <w:szCs w:val="32"/>
        </w:rPr>
        <w:t>，比上年</w:t>
      </w:r>
      <w:r>
        <w:rPr>
          <w:rFonts w:hint="eastAsia" w:ascii="仿宋_GB2312" w:hAnsi="宋体" w:eastAsia="仿宋_GB2312" w:cs="宋体"/>
          <w:kern w:val="0"/>
          <w:sz w:val="32"/>
          <w:szCs w:val="32"/>
        </w:rPr>
        <w:t>增加</w:t>
      </w:r>
      <w:r>
        <w:rPr>
          <w:rFonts w:ascii="仿宋_GB2312" w:hAnsi="宋体" w:eastAsia="仿宋_GB2312" w:cs="宋体"/>
          <w:kern w:val="0"/>
          <w:sz w:val="32"/>
          <w:szCs w:val="32"/>
        </w:rPr>
        <w:t>1.78</w:t>
      </w:r>
      <w:r>
        <w:rPr>
          <w:rFonts w:hint="eastAsia" w:ascii="仿宋_GB2312" w:hAnsi="宋体" w:eastAsia="仿宋_GB2312" w:cs="宋体"/>
          <w:kern w:val="0"/>
          <w:sz w:val="32"/>
          <w:szCs w:val="32"/>
        </w:rPr>
        <w:t>万元</w:t>
      </w:r>
      <w:r>
        <w:rPr>
          <w:rFonts w:hint="eastAsia" w:ascii="仿宋_GB2312" w:eastAsia="仿宋_GB2312"/>
          <w:sz w:val="32"/>
          <w:szCs w:val="32"/>
        </w:rPr>
        <w:t>，主要原因是</w:t>
      </w:r>
      <w:r>
        <w:rPr>
          <w:rFonts w:hint="eastAsia" w:ascii="仿宋_GB2312" w:hAnsi="宋体" w:eastAsia="仿宋_GB2312" w:cs="宋体"/>
          <w:kern w:val="0"/>
          <w:sz w:val="32"/>
          <w:szCs w:val="32"/>
        </w:rPr>
        <w:t>人员正常增资，基本工资增加</w:t>
      </w:r>
      <w:r>
        <w:rPr>
          <w:rFonts w:hint="eastAsia" w:ascii="仿宋_GB2312" w:eastAsia="仿宋_GB2312"/>
          <w:sz w:val="32"/>
          <w:szCs w:val="32"/>
        </w:rPr>
        <w:t>。</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w:t>
      </w:r>
      <w:r>
        <w:rPr>
          <w:rFonts w:hint="eastAsia" w:ascii="黑体" w:hAnsi="黑体" w:eastAsia="黑体" w:cs="黑体"/>
          <w:bCs/>
          <w:kern w:val="0"/>
          <w:sz w:val="32"/>
          <w:szCs w:val="32"/>
        </w:rPr>
        <w:t>于</w:t>
      </w:r>
      <w:r>
        <w:rPr>
          <w:rFonts w:hint="eastAsia" w:ascii="黑体" w:hAnsi="黑体" w:eastAsia="黑体" w:cs="黑体"/>
          <w:sz w:val="32"/>
          <w:szCs w:val="32"/>
          <w:lang w:eastAsia="zh-CN"/>
        </w:rPr>
        <w:t>昌吉州教育工会</w:t>
      </w:r>
      <w:r>
        <w:rPr>
          <w:rFonts w:hint="eastAsia" w:ascii="黑体" w:hAnsi="黑体" w:eastAsia="黑体" w:cs="黑体"/>
          <w:sz w:val="32"/>
          <w:szCs w:val="32"/>
        </w:rPr>
        <w:t>2019</w:t>
      </w:r>
      <w:r>
        <w:rPr>
          <w:rFonts w:hint="eastAsia" w:ascii="黑体" w:hAnsi="黑体" w:eastAsia="黑体" w:cs="宋体"/>
          <w:bCs/>
          <w:kern w:val="0"/>
          <w:sz w:val="32"/>
          <w:szCs w:val="32"/>
        </w:rPr>
        <w:t>年财政拨款收支预算情况的总体说明</w:t>
      </w:r>
    </w:p>
    <w:p>
      <w:pPr>
        <w:spacing w:line="580" w:lineRule="exact"/>
        <w:ind w:firstLine="642"/>
        <w:rPr>
          <w:rFonts w:ascii="仿宋_GB2312" w:hAnsi="宋体" w:eastAsia="仿宋_GB2312" w:cs="宋体"/>
          <w:spacing w:val="-4"/>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支出预算包括：教育支出</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万元，主要用于工资福利支出</w:t>
      </w:r>
      <w:r>
        <w:rPr>
          <w:rFonts w:hint="eastAsia" w:ascii="仿宋_GB2312" w:hAnsi="宋体" w:eastAsia="仿宋_GB2312" w:cs="宋体"/>
          <w:kern w:val="0"/>
          <w:sz w:val="32"/>
          <w:szCs w:val="32"/>
          <w:lang w:eastAsia="zh-CN"/>
        </w:rPr>
        <w:t>及</w:t>
      </w:r>
      <w:r>
        <w:rPr>
          <w:rFonts w:hint="eastAsia" w:ascii="仿宋_GB2312" w:hAnsi="宋体" w:eastAsia="仿宋_GB2312" w:cs="宋体"/>
          <w:kern w:val="0"/>
          <w:sz w:val="32"/>
          <w:szCs w:val="32"/>
        </w:rPr>
        <w:t>公用经费支出</w:t>
      </w:r>
      <w:r>
        <w:rPr>
          <w:rFonts w:hint="eastAsia" w:ascii="仿宋_GB2312" w:hAnsi="宋体" w:eastAsia="仿宋_GB2312" w:cs="宋体"/>
          <w:kern w:val="0"/>
          <w:sz w:val="32"/>
          <w:szCs w:val="32"/>
          <w:lang w:eastAsia="zh-CN"/>
        </w:rPr>
        <w:t>，保障单位正常运行。</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黑体"/>
          <w:sz w:val="32"/>
          <w:szCs w:val="32"/>
          <w:lang w:eastAsia="zh-CN"/>
        </w:rPr>
        <w:t>昌吉州教育工会</w:t>
      </w:r>
      <w:r>
        <w:rPr>
          <w:rFonts w:hint="eastAsia" w:ascii="黑体" w:hAnsi="黑体" w:eastAsia="黑体" w:cs="黑体"/>
          <w:sz w:val="32"/>
          <w:szCs w:val="32"/>
        </w:rPr>
        <w:t>2019</w:t>
      </w:r>
      <w:r>
        <w:rPr>
          <w:rFonts w:hint="eastAsia" w:ascii="黑体" w:hAnsi="宋体" w:eastAsia="黑体" w:cs="宋体"/>
          <w:kern w:val="0"/>
          <w:sz w:val="32"/>
          <w:szCs w:val="32"/>
        </w:rPr>
        <w:t>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lang w:eastAsia="zh-CN"/>
        </w:rPr>
        <w:t>昌吉州教育工会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年一般公共预算拨款基本支出</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1.78</w:t>
      </w:r>
      <w:r>
        <w:rPr>
          <w:rFonts w:hint="eastAsia" w:ascii="仿宋_GB2312" w:hAnsi="宋体" w:eastAsia="仿宋_GB2312" w:cs="宋体"/>
          <w:kern w:val="0"/>
          <w:sz w:val="32"/>
          <w:szCs w:val="32"/>
        </w:rPr>
        <w:t>万元，增加</w:t>
      </w:r>
      <w:r>
        <w:rPr>
          <w:rFonts w:hint="eastAsia" w:ascii="仿宋_GB2312" w:hAnsi="宋体" w:eastAsia="仿宋_GB2312" w:cs="宋体"/>
          <w:kern w:val="0"/>
          <w:sz w:val="32"/>
          <w:szCs w:val="32"/>
          <w:lang w:val="en-US" w:eastAsia="zh-CN"/>
        </w:rPr>
        <w:t>2.38</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。主要原因是：人员正常增资，基本工资增加。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教育支出（</w:t>
      </w:r>
      <w:r>
        <w:rPr>
          <w:rFonts w:hint="eastAsia" w:ascii="仿宋_GB2312" w:eastAsia="仿宋_GB2312"/>
          <w:sz w:val="32"/>
          <w:szCs w:val="32"/>
          <w:lang w:val="en-US" w:eastAsia="zh-CN"/>
        </w:rPr>
        <w:t>205</w:t>
      </w:r>
      <w:r>
        <w:rPr>
          <w:rFonts w:hint="eastAsia" w:ascii="仿宋_GB2312" w:hAnsi="宋体" w:eastAsia="仿宋_GB2312" w:cs="宋体"/>
          <w:kern w:val="0"/>
          <w:sz w:val="32"/>
          <w:szCs w:val="32"/>
        </w:rPr>
        <w:t>）76.47万元，占一般公共预算100%。</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教育支出</w:t>
      </w:r>
      <w:r>
        <w:rPr>
          <w:rFonts w:hint="eastAsia" w:ascii="仿宋_GB2312" w:hAnsi="宋体" w:eastAsia="仿宋_GB2312" w:cs="宋体"/>
          <w:kern w:val="0"/>
          <w:sz w:val="32"/>
          <w:szCs w:val="32"/>
        </w:rPr>
        <w:t>（</w:t>
      </w:r>
      <w:r>
        <w:rPr>
          <w:rFonts w:ascii="仿宋_GB2312" w:hAnsi="宋体" w:eastAsia="仿宋_GB2312" w:cs="宋体"/>
          <w:kern w:val="0"/>
          <w:sz w:val="32"/>
          <w:szCs w:val="32"/>
        </w:rPr>
        <w:t>205</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教育管理事务</w:t>
      </w:r>
      <w:r>
        <w:rPr>
          <w:rFonts w:hint="eastAsia" w:ascii="仿宋_GB2312" w:hAnsi="宋体" w:eastAsia="仿宋_GB2312" w:cs="宋体"/>
          <w:kern w:val="0"/>
          <w:sz w:val="32"/>
          <w:szCs w:val="32"/>
        </w:rPr>
        <w:t>（</w:t>
      </w:r>
      <w:r>
        <w:rPr>
          <w:rFonts w:ascii="仿宋_GB2312" w:hAnsi="宋体" w:eastAsia="仿宋_GB2312" w:cs="宋体"/>
          <w:kern w:val="0"/>
          <w:sz w:val="32"/>
          <w:szCs w:val="32"/>
        </w:rPr>
        <w:t>01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其他教育管理事务支出</w:t>
      </w:r>
      <w:r>
        <w:rPr>
          <w:rFonts w:hint="eastAsia" w:ascii="仿宋_GB2312" w:hAnsi="宋体" w:eastAsia="仿宋_GB2312" w:cs="宋体"/>
          <w:kern w:val="0"/>
          <w:sz w:val="32"/>
          <w:szCs w:val="32"/>
        </w:rPr>
        <w:t>（</w:t>
      </w:r>
      <w:r>
        <w:rPr>
          <w:rFonts w:ascii="仿宋_GB2312" w:hAnsi="宋体" w:eastAsia="仿宋_GB2312" w:cs="宋体"/>
          <w:kern w:val="0"/>
          <w:sz w:val="32"/>
          <w:szCs w:val="32"/>
        </w:rPr>
        <w:t>99</w:t>
      </w:r>
      <w:r>
        <w:rPr>
          <w:rFonts w:hint="eastAsia" w:ascii="仿宋_GB2312" w:hAnsi="宋体" w:eastAsia="仿宋_GB2312" w:cs="宋体"/>
          <w:kern w:val="0"/>
          <w:sz w:val="32"/>
          <w:szCs w:val="32"/>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1.78</w:t>
      </w:r>
      <w:r>
        <w:rPr>
          <w:rFonts w:hint="eastAsia" w:ascii="仿宋_GB2312" w:hAnsi="宋体" w:eastAsia="仿宋_GB2312" w:cs="宋体"/>
          <w:kern w:val="0"/>
          <w:sz w:val="32"/>
          <w:szCs w:val="32"/>
        </w:rPr>
        <w:t>万元，增加</w:t>
      </w:r>
      <w:r>
        <w:rPr>
          <w:rFonts w:hint="eastAsia" w:ascii="仿宋_GB2312" w:hAnsi="宋体" w:eastAsia="仿宋_GB2312" w:cs="宋体"/>
          <w:kern w:val="0"/>
          <w:sz w:val="32"/>
          <w:szCs w:val="32"/>
          <w:lang w:val="en-US" w:eastAsia="zh-CN"/>
        </w:rPr>
        <w:t>2.38</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，主要原因是：人员正常增资，基本工资增加。</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cs="黑体"/>
          <w:sz w:val="32"/>
          <w:szCs w:val="32"/>
          <w:lang w:eastAsia="zh-CN"/>
        </w:rPr>
        <w:t>昌吉州教育工会</w:t>
      </w:r>
      <w:r>
        <w:rPr>
          <w:rFonts w:hint="eastAsia" w:ascii="黑体" w:hAnsi="黑体" w:eastAsia="黑体" w:cs="黑体"/>
          <w:sz w:val="32"/>
          <w:szCs w:val="32"/>
        </w:rPr>
        <w:t>2019</w:t>
      </w:r>
      <w:r>
        <w:rPr>
          <w:rFonts w:hint="eastAsia" w:ascii="黑体" w:hAnsi="宋体" w:eastAsia="黑体" w:cs="宋体"/>
          <w:kern w:val="0"/>
          <w:sz w:val="32"/>
          <w:szCs w:val="32"/>
        </w:rPr>
        <w:t>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lang w:eastAsia="zh-CN"/>
        </w:rPr>
        <w:t>昌吉州教育工会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76.47</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68</w:t>
      </w:r>
      <w:r>
        <w:rPr>
          <w:rFonts w:hint="eastAsia" w:ascii="仿宋_GB2312" w:hAnsi="宋体" w:eastAsia="仿宋_GB2312" w:cs="宋体"/>
          <w:kern w:val="0"/>
          <w:sz w:val="32"/>
          <w:szCs w:val="32"/>
        </w:rPr>
        <w:t>万元，主要包括：基本工资、津贴补贴、奖金、伙食补助费、机关事业单位基本养老保险缴费、职工基本医疗保险缴费、公务员医疗补助缴费、其他社会保障缴费、住房公积金、奖励金、职工住宅取暖费等。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8.47</w:t>
      </w:r>
      <w:r>
        <w:rPr>
          <w:rFonts w:hint="eastAsia" w:ascii="仿宋_GB2312" w:hAnsi="宋体" w:eastAsia="仿宋_GB2312" w:cs="宋体"/>
          <w:kern w:val="0"/>
          <w:sz w:val="32"/>
          <w:szCs w:val="32"/>
        </w:rPr>
        <w:t>万元，主要包括：办公费、邮电费、差旅费、培训费、劳务费、工会经费、福利费、公务车运行维护费、其他商品和服务支出等。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黑体" w:eastAsia="黑体" w:cs="黑体"/>
          <w:sz w:val="32"/>
          <w:szCs w:val="32"/>
          <w:lang w:eastAsia="zh-CN"/>
        </w:rPr>
        <w:t>昌吉州教育工会</w:t>
      </w:r>
      <w:r>
        <w:rPr>
          <w:rFonts w:hint="eastAsia" w:ascii="黑体" w:hAnsi="黑体" w:eastAsia="黑体" w:cs="黑体"/>
          <w:kern w:val="0"/>
          <w:sz w:val="32"/>
          <w:szCs w:val="32"/>
        </w:rPr>
        <w:t>2019</w:t>
      </w:r>
      <w:r>
        <w:rPr>
          <w:rFonts w:hint="eastAsia" w:ascii="黑体" w:hAnsi="宋体" w:eastAsia="黑体" w:cs="宋体"/>
          <w:kern w:val="0"/>
          <w:sz w:val="32"/>
          <w:szCs w:val="32"/>
        </w:rPr>
        <w:t>年项目支出情况说明</w:t>
      </w:r>
    </w:p>
    <w:p>
      <w:pPr>
        <w:widowControl/>
        <w:spacing w:line="580" w:lineRule="exact"/>
        <w:ind w:firstLine="642"/>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lang w:eastAsia="zh-CN"/>
        </w:rPr>
        <w:t>昌吉州教育工会</w:t>
      </w:r>
      <w:r>
        <w:rPr>
          <w:rFonts w:hint="eastAsia" w:ascii="仿宋_GB2312" w:hAnsi="仿宋_GB2312" w:eastAsia="仿宋_GB2312" w:cs="仿宋_GB2312"/>
          <w:b w:val="0"/>
          <w:bCs w:val="0"/>
          <w:kern w:val="0"/>
          <w:sz w:val="32"/>
          <w:szCs w:val="32"/>
        </w:rPr>
        <w:t>2019年预算中没有安排项目支出，项目支出情况表为空表。</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黑体" w:eastAsia="黑体" w:cs="黑体"/>
          <w:sz w:val="32"/>
          <w:szCs w:val="32"/>
          <w:lang w:eastAsia="zh-CN"/>
        </w:rPr>
        <w:t>昌吉州教育工会</w:t>
      </w:r>
      <w:r>
        <w:rPr>
          <w:rFonts w:hint="eastAsia" w:ascii="黑体" w:hAnsi="黑体" w:eastAsia="黑体" w:cs="黑体"/>
          <w:kern w:val="0"/>
          <w:sz w:val="32"/>
          <w:szCs w:val="32"/>
        </w:rPr>
        <w:t>2019</w:t>
      </w:r>
      <w:r>
        <w:rPr>
          <w:rFonts w:hint="eastAsia" w:ascii="黑体" w:hAnsi="宋体" w:eastAsia="黑体" w:cs="宋体"/>
          <w:kern w:val="0"/>
          <w:sz w:val="32"/>
          <w:szCs w:val="32"/>
        </w:rPr>
        <w:t>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lang w:eastAsia="zh-CN"/>
        </w:rPr>
        <w:t>昌吉州教育工会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年“三公”经费财政拨款预算数为</w:t>
      </w:r>
      <w:r>
        <w:rPr>
          <w:rFonts w:ascii="仿宋_GB2312" w:hAnsi="宋体" w:eastAsia="仿宋_GB2312" w:cs="宋体"/>
          <w:kern w:val="0"/>
          <w:sz w:val="32"/>
          <w:szCs w:val="32"/>
        </w:rPr>
        <w:t>2.08</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2.08</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年“三公”经费财政拨款预算比上年减少</w:t>
      </w:r>
      <w:r>
        <w:rPr>
          <w:rFonts w:ascii="仿宋_GB2312" w:hAnsi="宋体" w:eastAsia="仿宋_GB2312" w:cs="宋体"/>
          <w:kern w:val="0"/>
          <w:sz w:val="32"/>
          <w:szCs w:val="32"/>
        </w:rPr>
        <w:t>0.02</w:t>
      </w:r>
      <w:r>
        <w:rPr>
          <w:rFonts w:hint="eastAsia" w:ascii="仿宋_GB2312" w:hAnsi="宋体" w:eastAsia="仿宋_GB2312" w:cs="宋体"/>
          <w:kern w:val="0"/>
          <w:sz w:val="32"/>
          <w:szCs w:val="32"/>
        </w:rPr>
        <w:t>万元，其中：因公出国（境）费增加（减少）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昌吉州教育工会</w:t>
      </w:r>
      <w:r>
        <w:rPr>
          <w:rFonts w:hint="eastAsia" w:ascii="仿宋_GB2312" w:hAnsi="宋体" w:eastAsia="仿宋_GB2312" w:cs="宋体"/>
          <w:kern w:val="0"/>
          <w:sz w:val="32"/>
          <w:szCs w:val="32"/>
        </w:rPr>
        <w:t>未安排此项预算；公务用车购置费为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，未安排预算；公务用车运行费减少</w:t>
      </w:r>
      <w:r>
        <w:rPr>
          <w:rFonts w:ascii="仿宋_GB2312" w:hAnsi="宋体" w:eastAsia="仿宋_GB2312" w:cs="宋体"/>
          <w:kern w:val="0"/>
          <w:sz w:val="32"/>
          <w:szCs w:val="32"/>
        </w:rPr>
        <w:t>0.2</w:t>
      </w:r>
      <w:r>
        <w:rPr>
          <w:rFonts w:hint="eastAsia" w:ascii="仿宋_GB2312" w:hAnsi="宋体" w:eastAsia="仿宋_GB2312" w:cs="宋体"/>
          <w:kern w:val="0"/>
          <w:sz w:val="32"/>
          <w:szCs w:val="32"/>
        </w:rPr>
        <w:t>万元；公务接待费为</w:t>
      </w:r>
      <w:r>
        <w:rPr>
          <w:rFonts w:ascii="仿宋_GB2312" w:hAnsi="宋体" w:eastAsia="仿宋_GB2312" w:cs="宋体"/>
          <w:kern w:val="0"/>
          <w:sz w:val="32"/>
          <w:szCs w:val="32"/>
        </w:rPr>
        <w:t>0</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，未安排预算，主要原因是严格按要求压减“三公”经费支出。</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昌吉州</w:t>
      </w:r>
      <w:bookmarkStart w:id="0" w:name="_GoBack"/>
      <w:bookmarkEnd w:id="0"/>
      <w:r>
        <w:rPr>
          <w:rFonts w:hint="eastAsia" w:ascii="黑体" w:hAnsi="宋体" w:eastAsia="黑体" w:cs="宋体"/>
          <w:kern w:val="0"/>
          <w:sz w:val="32"/>
          <w:szCs w:val="32"/>
          <w:lang w:eastAsia="zh-CN"/>
        </w:rPr>
        <w:t>教育工会</w:t>
      </w:r>
      <w:r>
        <w:rPr>
          <w:rFonts w:hint="eastAsia" w:ascii="黑体" w:hAnsi="宋体" w:eastAsia="黑体" w:cs="宋体"/>
          <w:kern w:val="0"/>
          <w:sz w:val="32"/>
          <w:szCs w:val="32"/>
        </w:rPr>
        <w:t>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lang w:eastAsia="zh-CN"/>
        </w:rPr>
        <w:t>昌吉州教育工会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hint="eastAsia" w:ascii="仿宋_GB2312" w:eastAsia="仿宋_GB2312"/>
          <w:sz w:val="32"/>
          <w:szCs w:val="32"/>
          <w:lang w:eastAsia="zh-CN"/>
        </w:rPr>
        <w:t>昌吉州教育工会</w:t>
      </w:r>
      <w:r>
        <w:rPr>
          <w:rFonts w:hint="eastAsia" w:ascii="仿宋_GB2312" w:hAnsi="宋体" w:eastAsia="仿宋_GB2312" w:cs="宋体"/>
          <w:kern w:val="0"/>
          <w:sz w:val="32"/>
          <w:szCs w:val="32"/>
        </w:rPr>
        <w:t>机关运行经费财政拨款预算</w:t>
      </w:r>
      <w:r>
        <w:rPr>
          <w:rFonts w:ascii="仿宋_GB2312" w:hAnsi="宋体" w:eastAsia="仿宋_GB2312" w:cs="宋体"/>
          <w:kern w:val="0"/>
          <w:sz w:val="32"/>
          <w:szCs w:val="32"/>
        </w:rPr>
        <w:t>8.47</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 xml:space="preserve">0.06 </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0.71</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。主要原因是办公费及公务车运行维护费预算减少，其他商品和服务预算增加。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hint="eastAsia" w:ascii="仿宋_GB2312" w:eastAsia="仿宋_GB2312"/>
          <w:sz w:val="32"/>
          <w:szCs w:val="32"/>
          <w:lang w:eastAsia="zh-CN"/>
        </w:rPr>
        <w:t>昌吉州教育工会</w:t>
      </w:r>
      <w:r>
        <w:rPr>
          <w:rFonts w:hint="eastAsia" w:ascii="仿宋_GB2312" w:hAnsi="宋体" w:eastAsia="仿宋_GB2312" w:cs="宋体"/>
          <w:kern w:val="0"/>
          <w:sz w:val="32"/>
          <w:szCs w:val="32"/>
        </w:rPr>
        <w:t>政府采购预算</w:t>
      </w:r>
      <w:r>
        <w:rPr>
          <w:rFonts w:ascii="仿宋_GB2312" w:hAnsi="宋体" w:eastAsia="仿宋_GB2312" w:cs="宋体"/>
          <w:kern w:val="0"/>
          <w:sz w:val="32"/>
          <w:szCs w:val="32"/>
        </w:rPr>
        <w:t>2.5</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2.5</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仿宋_GB2312" w:eastAsia="仿宋_GB2312"/>
          <w:sz w:val="32"/>
        </w:rPr>
        <w:t>2019</w:t>
      </w:r>
      <w:r>
        <w:rPr>
          <w:rFonts w:hint="eastAsia" w:ascii="仿宋_GB2312" w:hAnsi="仿宋_GB2312" w:eastAsia="仿宋_GB2312"/>
          <w:sz w:val="32"/>
        </w:rPr>
        <w:t>年度本部门面向中小企业预留政府采购项目预算金额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年底，</w:t>
      </w:r>
      <w:r>
        <w:rPr>
          <w:rFonts w:hint="eastAsia" w:ascii="仿宋_GB2312" w:eastAsia="仿宋_GB2312"/>
          <w:sz w:val="32"/>
          <w:szCs w:val="32"/>
          <w:lang w:eastAsia="zh-CN"/>
        </w:rPr>
        <w:t>昌吉州教育工会</w:t>
      </w:r>
      <w:r>
        <w:rPr>
          <w:rFonts w:hint="eastAsia" w:ascii="仿宋_GB2312" w:hAnsi="宋体" w:eastAsia="仿宋_GB2312" w:cs="宋体"/>
          <w:kern w:val="0"/>
          <w:sz w:val="32"/>
          <w:szCs w:val="32"/>
        </w:rPr>
        <w:t>占用使用国有资产总体情况为</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color w:val="000000"/>
          <w:kern w:val="0"/>
          <w:sz w:val="32"/>
          <w:szCs w:val="32"/>
        </w:rPr>
        <w:t>20.70</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color w:val="000000"/>
          <w:kern w:val="0"/>
          <w:sz w:val="32"/>
          <w:szCs w:val="32"/>
        </w:rPr>
        <w:t>20.70</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0.18</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9.42</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hint="eastAsia" w:ascii="仿宋_GB2312" w:eastAsia="仿宋_GB2312"/>
          <w:sz w:val="32"/>
          <w:szCs w:val="32"/>
          <w:lang w:eastAsia="zh-CN"/>
        </w:rPr>
        <w:t>昌吉州教育工会</w:t>
      </w:r>
      <w:r>
        <w:rPr>
          <w:rFonts w:hint="eastAsia" w:ascii="仿宋_GB2312" w:hAnsi="宋体" w:eastAsia="仿宋_GB2312" w:cs="宋体"/>
          <w:kern w:val="0"/>
          <w:sz w:val="32"/>
          <w:szCs w:val="32"/>
        </w:rPr>
        <w:t>预算未安排购置车辆经费，安排购置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r>
        <w:rPr>
          <w:rFonts w:hint="eastAsia" w:ascii="仿宋_GB2312" w:hAnsi="宋体" w:eastAsia="仿宋_GB2312" w:cs="仿宋_GB2312"/>
          <w:kern w:val="0"/>
          <w:sz w:val="32"/>
          <w:szCs w:val="32"/>
          <w:lang w:eastAsia="zh-CN"/>
        </w:rPr>
        <w:t>昌吉州教育工会</w:t>
      </w:r>
      <w:r>
        <w:rPr>
          <w:rFonts w:hint="eastAsia" w:ascii="仿宋_GB2312" w:hAnsi="宋体" w:eastAsia="仿宋_GB2312" w:cs="仿宋_GB2312"/>
          <w:kern w:val="0"/>
          <w:sz w:val="32"/>
          <w:szCs w:val="32"/>
        </w:rPr>
        <w:t>没有涉及绩效管理的项目，下列项目支出绩效目标表是空表。</w:t>
      </w:r>
    </w:p>
    <w:p>
      <w:pPr>
        <w:widowControl/>
        <w:spacing w:line="580" w:lineRule="exact"/>
        <w:ind w:firstLine="640"/>
        <w:jc w:val="lef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s="宋体"/>
                <w:color w:val="000000"/>
                <w:kern w:val="0"/>
                <w:sz w:val="22"/>
              </w:rPr>
            </w:pPr>
          </w:p>
        </w:tc>
        <w:tc>
          <w:tcPr>
            <w:tcW w:w="1857"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1925"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XX</w:t>
            </w:r>
            <w:r>
              <w:rPr>
                <w:rFonts w:hint="eastAsia" w:ascii="宋体" w:hAnsi="宋体" w:cs="宋体"/>
                <w:kern w:val="0"/>
                <w:sz w:val="18"/>
                <w:szCs w:val="18"/>
              </w:rPr>
              <w:t>单位</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XXXXX</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jc w:val="left"/>
        <w:rPr>
          <w:rFonts w:hint="default" w:ascii="仿宋_GB2312" w:hAnsi="宋体" w:eastAsia="仿宋_GB2312" w:cs="宋体"/>
          <w:kern w:val="0"/>
          <w:sz w:val="32"/>
          <w:szCs w:val="32"/>
          <w:lang w:val="en-US" w:eastAsia="zh-CN"/>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无。</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w:t>
      </w:r>
      <w:r>
        <w:rPr>
          <w:rFonts w:hint="eastAsia" w:ascii="仿宋_GB2312" w:eastAsia="仿宋_GB2312"/>
          <w:sz w:val="32"/>
          <w:szCs w:val="32"/>
          <w:lang w:eastAsia="zh-CN"/>
        </w:rPr>
        <w:t>州</w:t>
      </w:r>
      <w:r>
        <w:rPr>
          <w:rFonts w:hint="eastAsia" w:ascii="仿宋_GB2312" w:eastAsia="仿宋_GB2312"/>
          <w:sz w:val="32"/>
          <w:szCs w:val="32"/>
        </w:rPr>
        <w:t>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w:t>
      </w:r>
      <w:r>
        <w:rPr>
          <w:rFonts w:hint="eastAsia" w:ascii="仿宋_GB2312" w:eastAsia="仿宋_GB2312"/>
          <w:sz w:val="32"/>
          <w:szCs w:val="32"/>
          <w:lang w:eastAsia="zh-CN"/>
        </w:rPr>
        <w:t>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50" w:lineRule="exact"/>
        <w:ind w:firstLine="640"/>
        <w:rPr>
          <w:rFonts w:ascii="仿宋_GB2312" w:eastAsia="仿宋_GB2312"/>
          <w:b/>
          <w:szCs w:val="20"/>
        </w:rPr>
      </w:pP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80" w:lineRule="exact"/>
        <w:ind w:firstLine="640"/>
        <w:jc w:val="right"/>
        <w:rPr>
          <w:rFonts w:hint="eastAsia" w:ascii="仿宋_GB2312" w:hAnsi="宋体" w:eastAsia="仿宋_GB2312" w:cs="宋体"/>
          <w:kern w:val="0"/>
          <w:sz w:val="32"/>
          <w:szCs w:val="32"/>
          <w:lang w:eastAsia="zh-CN"/>
        </w:rPr>
      </w:pPr>
      <w:r>
        <w:rPr>
          <w:rFonts w:ascii="仿宋_GB2312" w:hAnsi="宋体" w:eastAsia="仿宋_GB2312" w:cs="宋体"/>
          <w:kern w:val="0"/>
          <w:sz w:val="32"/>
          <w:szCs w:val="32"/>
        </w:rPr>
        <w:t xml:space="preserve">                            </w:t>
      </w:r>
      <w:r>
        <w:rPr>
          <w:rFonts w:hint="eastAsia" w:ascii="仿宋_GB2312" w:eastAsia="仿宋_GB2312"/>
          <w:sz w:val="32"/>
          <w:szCs w:val="32"/>
          <w:lang w:eastAsia="zh-CN"/>
        </w:rPr>
        <w:t>昌吉州教育工会</w:t>
      </w:r>
    </w:p>
    <w:p>
      <w:pPr>
        <w:widowControl/>
        <w:spacing w:line="560" w:lineRule="exact"/>
        <w:jc w:val="right"/>
        <w:rPr>
          <w:rFonts w:ascii="仿宋_GB2312" w:hAnsi="宋体" w:eastAsia="仿宋_GB2312" w:cs="宋体"/>
          <w:kern w:val="0"/>
          <w:sz w:val="32"/>
          <w:szCs w:val="32"/>
        </w:rPr>
      </w:pPr>
      <w:r>
        <w:rPr>
          <w:rFonts w:ascii="仿宋_GB2312" w:hAnsi="宋体" w:eastAsia="仿宋_GB2312" w:cs="宋体"/>
          <w:kern w:val="0"/>
          <w:sz w:val="32"/>
          <w:szCs w:val="32"/>
        </w:rPr>
        <w:t xml:space="preserve">                               2019</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Dialog">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17</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034442"/>
    <w:rsid w:val="000D4D9F"/>
    <w:rsid w:val="000F45D5"/>
    <w:rsid w:val="001833B0"/>
    <w:rsid w:val="001A7BB5"/>
    <w:rsid w:val="00206765"/>
    <w:rsid w:val="0023522E"/>
    <w:rsid w:val="00242D75"/>
    <w:rsid w:val="00255764"/>
    <w:rsid w:val="002B5144"/>
    <w:rsid w:val="002C1114"/>
    <w:rsid w:val="002C2E1A"/>
    <w:rsid w:val="002E52AE"/>
    <w:rsid w:val="00300523"/>
    <w:rsid w:val="00305D05"/>
    <w:rsid w:val="00325B17"/>
    <w:rsid w:val="00360F66"/>
    <w:rsid w:val="00361BC7"/>
    <w:rsid w:val="003C6ED3"/>
    <w:rsid w:val="004003C7"/>
    <w:rsid w:val="00407C14"/>
    <w:rsid w:val="00441359"/>
    <w:rsid w:val="004423AF"/>
    <w:rsid w:val="004E65AB"/>
    <w:rsid w:val="004F4392"/>
    <w:rsid w:val="005102A7"/>
    <w:rsid w:val="00513C64"/>
    <w:rsid w:val="00533141"/>
    <w:rsid w:val="00535F69"/>
    <w:rsid w:val="005379B5"/>
    <w:rsid w:val="00562FAE"/>
    <w:rsid w:val="005D4D2C"/>
    <w:rsid w:val="006312A3"/>
    <w:rsid w:val="00643145"/>
    <w:rsid w:val="0073216A"/>
    <w:rsid w:val="00757310"/>
    <w:rsid w:val="00841512"/>
    <w:rsid w:val="00843B0D"/>
    <w:rsid w:val="008718B6"/>
    <w:rsid w:val="008C295D"/>
    <w:rsid w:val="008C48F6"/>
    <w:rsid w:val="009106A1"/>
    <w:rsid w:val="00910A31"/>
    <w:rsid w:val="00967414"/>
    <w:rsid w:val="009721F4"/>
    <w:rsid w:val="00975043"/>
    <w:rsid w:val="009A4CB8"/>
    <w:rsid w:val="009B257C"/>
    <w:rsid w:val="009E45FE"/>
    <w:rsid w:val="00A21054"/>
    <w:rsid w:val="00A467D0"/>
    <w:rsid w:val="00A740EA"/>
    <w:rsid w:val="00AC3DFA"/>
    <w:rsid w:val="00AD5E5E"/>
    <w:rsid w:val="00B57302"/>
    <w:rsid w:val="00BE41CD"/>
    <w:rsid w:val="00CB67B7"/>
    <w:rsid w:val="00CF306F"/>
    <w:rsid w:val="00D95B2F"/>
    <w:rsid w:val="00DA2C11"/>
    <w:rsid w:val="00DA6C62"/>
    <w:rsid w:val="00DC0C65"/>
    <w:rsid w:val="00DD5C58"/>
    <w:rsid w:val="00DE5C0D"/>
    <w:rsid w:val="00E23B82"/>
    <w:rsid w:val="00E65964"/>
    <w:rsid w:val="00ED4394"/>
    <w:rsid w:val="00ED51E4"/>
    <w:rsid w:val="00ED79E4"/>
    <w:rsid w:val="00EE458B"/>
    <w:rsid w:val="00F457EC"/>
    <w:rsid w:val="00F730B6"/>
    <w:rsid w:val="00FC6ABD"/>
    <w:rsid w:val="1A1A3516"/>
    <w:rsid w:val="509600D5"/>
    <w:rsid w:val="57666752"/>
    <w:rsid w:val="5EA00206"/>
    <w:rsid w:val="688931AE"/>
    <w:rsid w:val="701D7D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Footer Char"/>
    <w:basedOn w:val="9"/>
    <w:link w:val="3"/>
    <w:qFormat/>
    <w:locked/>
    <w:uiPriority w:val="99"/>
    <w:rPr>
      <w:rFonts w:ascii="Times New Roman" w:hAnsi="Times New Roman" w:eastAsia="黑体" w:cs="Times New Roman"/>
      <w:snapToGrid w:val="0"/>
      <w:kern w:val="0"/>
      <w:sz w:val="18"/>
      <w:szCs w:val="18"/>
    </w:rPr>
  </w:style>
  <w:style w:type="paragraph" w:customStyle="1" w:styleId="1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Balloon Text Char"/>
    <w:basedOn w:val="9"/>
    <w:link w:val="2"/>
    <w:semiHidden/>
    <w:qFormat/>
    <w:locked/>
    <w:uiPriority w:val="99"/>
    <w:rPr>
      <w:rFonts w:ascii="Times New Roman" w:hAnsi="Times New Roman" w:eastAsia="宋体" w:cs="Times New Roman"/>
      <w:sz w:val="18"/>
      <w:szCs w:val="18"/>
    </w:rPr>
  </w:style>
  <w:style w:type="character" w:customStyle="1" w:styleId="15">
    <w:name w:val="Header Char"/>
    <w:basedOn w:val="9"/>
    <w:link w:val="4"/>
    <w:qFormat/>
    <w:locked/>
    <w:uiPriority w:val="99"/>
    <w:rPr>
      <w:rFonts w:ascii="Times New Roman" w:hAnsi="Times New Roman" w:eastAsia="宋体" w:cs="Times New Roman"/>
      <w:sz w:val="18"/>
      <w:szCs w:val="18"/>
    </w:rPr>
  </w:style>
  <w:style w:type="character" w:customStyle="1" w:styleId="16">
    <w:name w:val="Body Text Indent 3 Char"/>
    <w:basedOn w:val="9"/>
    <w:link w:val="5"/>
    <w:qFormat/>
    <w:locked/>
    <w:uiPriority w:val="99"/>
    <w:rPr>
      <w:rFonts w:ascii="Times New Roman" w:hAnsi="Times New Roman" w:eastAsia="仿宋_GB2312" w:cs="Times New Roman"/>
      <w:sz w:val="24"/>
      <w:szCs w:val="24"/>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1445</Words>
  <Characters>8240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2019-04-18T07:40:00Z</dcterms:created>
  <dc:creator>王怡</dc:creator>
  <cp:lastModifiedBy>admin</cp:lastModifiedBy>
  <dcterms:modified xsi:type="dcterms:W3CDTF">2021-05-27T12:00:30Z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23F1D2F5B75A4CA89E335E27D2ECBB3F</vt:lpwstr>
  </property>
</Properties>
</file>